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73E7B" w14:textId="7CD7017A" w:rsidR="00623FFB" w:rsidRDefault="00623FFB" w:rsidP="00623FFB">
      <w:pPr>
        <w:rPr>
          <w:rFonts w:ascii="Calibri" w:eastAsia="SimSun" w:hAnsi="Calibri" w:cs="Calibri"/>
          <w:b/>
          <w:bCs/>
          <w:color w:val="000000" w:themeColor="text1"/>
          <w:sz w:val="22"/>
        </w:rPr>
      </w:pPr>
      <w:r>
        <w:rPr>
          <w:rFonts w:ascii="Calibri" w:eastAsia="SimSun" w:hAnsi="Calibri" w:cs="Calibri"/>
          <w:b/>
          <w:bCs/>
          <w:color w:val="000000" w:themeColor="text1"/>
          <w:sz w:val="22"/>
        </w:rPr>
        <w:t>Article Processing Charges</w:t>
      </w:r>
      <w:r w:rsidR="0054104E">
        <w:rPr>
          <w:rFonts w:ascii="Calibri" w:eastAsia="SimSun" w:hAnsi="Calibri" w:cs="Calibri"/>
          <w:b/>
          <w:bCs/>
          <w:color w:val="000000" w:themeColor="text1"/>
          <w:sz w:val="22"/>
        </w:rPr>
        <w:t xml:space="preserve">: </w:t>
      </w:r>
      <w:r w:rsidR="000878BA">
        <w:rPr>
          <w:rFonts w:ascii="Calibri" w:eastAsia="SimSun" w:hAnsi="Calibri" w:cs="Calibri"/>
          <w:b/>
          <w:bCs/>
          <w:i/>
          <w:iCs/>
          <w:color w:val="000000" w:themeColor="text1"/>
          <w:sz w:val="22"/>
        </w:rPr>
        <w:t xml:space="preserve"> Methods in Microscopy </w:t>
      </w:r>
    </w:p>
    <w:p w14:paraId="58E4E992" w14:textId="1A2252C6" w:rsidR="00623FFB" w:rsidRPr="0001247A" w:rsidRDefault="00623FFB" w:rsidP="00623FFB">
      <w:pPr>
        <w:rPr>
          <w:rFonts w:ascii="Calibri" w:eastAsia="SimSun" w:hAnsi="Calibri" w:cs="Calibri"/>
          <w:b/>
          <w:bCs/>
          <w:color w:val="000000" w:themeColor="text1"/>
          <w:sz w:val="22"/>
        </w:rPr>
      </w:pPr>
    </w:p>
    <w:p w14:paraId="60E16DAA" w14:textId="6D65937E" w:rsidR="00623FFB" w:rsidRPr="0001247A" w:rsidRDefault="00623FFB" w:rsidP="00623FFB">
      <w:pPr>
        <w:rPr>
          <w:rFonts w:ascii="Calibri" w:eastAsia="SimSun" w:hAnsi="Calibri" w:cs="Calibri"/>
          <w:color w:val="000000" w:themeColor="text1"/>
          <w:sz w:val="22"/>
        </w:rPr>
      </w:pPr>
      <w:proofErr w:type="gramStart"/>
      <w:r w:rsidRPr="0001247A">
        <w:rPr>
          <w:rFonts w:ascii="Calibri" w:eastAsia="SimSun" w:hAnsi="Calibri" w:cs="Calibri"/>
          <w:color w:val="000000" w:themeColor="text1"/>
          <w:sz w:val="22"/>
        </w:rPr>
        <w:t>In order to</w:t>
      </w:r>
      <w:proofErr w:type="gramEnd"/>
      <w:r w:rsidRPr="0001247A">
        <w:rPr>
          <w:rFonts w:ascii="Calibri" w:eastAsia="SimSun" w:hAnsi="Calibri" w:cs="Calibri"/>
          <w:color w:val="000000" w:themeColor="text1"/>
          <w:sz w:val="22"/>
        </w:rPr>
        <w:t xml:space="preserve"> sustain the publication of our fully refere</w:t>
      </w:r>
      <w:r>
        <w:rPr>
          <w:rFonts w:ascii="Calibri" w:eastAsia="SimSun" w:hAnsi="Calibri" w:cs="Calibri"/>
          <w:color w:val="000000" w:themeColor="text1"/>
          <w:sz w:val="22"/>
        </w:rPr>
        <w:t>e</w:t>
      </w:r>
      <w:r w:rsidRPr="0001247A">
        <w:rPr>
          <w:rFonts w:ascii="Calibri" w:eastAsia="SimSun" w:hAnsi="Calibri" w:cs="Calibri"/>
          <w:color w:val="000000" w:themeColor="text1"/>
          <w:sz w:val="22"/>
        </w:rPr>
        <w:t xml:space="preserve">d journal, all articles accepted for publication in </w:t>
      </w:r>
      <w:r w:rsidR="000878BA">
        <w:rPr>
          <w:rFonts w:ascii="Calibri" w:eastAsia="SimSun" w:hAnsi="Calibri" w:cs="Calibri"/>
          <w:i/>
          <w:iCs/>
          <w:color w:val="000000" w:themeColor="text1"/>
          <w:sz w:val="22"/>
        </w:rPr>
        <w:t xml:space="preserve">Methods in Microscopy </w:t>
      </w:r>
      <w:r w:rsidRPr="0001247A">
        <w:rPr>
          <w:rFonts w:ascii="Calibri" w:eastAsia="SimSun" w:hAnsi="Calibri" w:cs="Calibri"/>
          <w:color w:val="000000" w:themeColor="text1"/>
          <w:sz w:val="22"/>
        </w:rPr>
        <w:t xml:space="preserve">will be subject to an Article Processing Charge (APC). This fee is used to cover the cost of the </w:t>
      </w:r>
      <w:r w:rsidR="00443509">
        <w:rPr>
          <w:rFonts w:ascii="Calibri" w:eastAsia="SimSun" w:hAnsi="Calibri" w:cs="Calibri"/>
          <w:color w:val="000000" w:themeColor="text1"/>
          <w:sz w:val="22"/>
        </w:rPr>
        <w:t xml:space="preserve">editorial </w:t>
      </w:r>
      <w:r w:rsidRPr="0001247A">
        <w:rPr>
          <w:rFonts w:ascii="Calibri" w:eastAsia="SimSun" w:hAnsi="Calibri" w:cs="Calibri"/>
          <w:color w:val="000000" w:themeColor="text1"/>
          <w:sz w:val="22"/>
        </w:rPr>
        <w:t xml:space="preserve">process, professional </w:t>
      </w:r>
      <w:proofErr w:type="gramStart"/>
      <w:r w:rsidRPr="0001247A">
        <w:rPr>
          <w:rFonts w:ascii="Calibri" w:eastAsia="SimSun" w:hAnsi="Calibri" w:cs="Calibri"/>
          <w:color w:val="000000" w:themeColor="text1"/>
          <w:sz w:val="22"/>
        </w:rPr>
        <w:t>typesetting</w:t>
      </w:r>
      <w:proofErr w:type="gramEnd"/>
      <w:r w:rsidRPr="0001247A">
        <w:rPr>
          <w:rFonts w:ascii="Calibri" w:eastAsia="SimSun" w:hAnsi="Calibri" w:cs="Calibri"/>
          <w:color w:val="000000" w:themeColor="text1"/>
          <w:sz w:val="22"/>
        </w:rPr>
        <w:t xml:space="preserve"> and copyediting, as well as online hosting and long-term preservation. </w:t>
      </w:r>
    </w:p>
    <w:p w14:paraId="4338F49D" w14:textId="74F65CAC" w:rsidR="00623FFB" w:rsidRPr="0001247A" w:rsidRDefault="00623FFB" w:rsidP="00623FFB">
      <w:pPr>
        <w:rPr>
          <w:rFonts w:ascii="Calibri" w:eastAsia="SimSun" w:hAnsi="Calibri" w:cs="Calibri"/>
          <w:color w:val="000000" w:themeColor="text1"/>
          <w:sz w:val="22"/>
        </w:rPr>
      </w:pPr>
      <w:r w:rsidRPr="0001247A">
        <w:rPr>
          <w:rFonts w:ascii="Calibri" w:eastAsia="SimSun" w:hAnsi="Calibri" w:cs="Calibri"/>
          <w:color w:val="000000" w:themeColor="text1"/>
          <w:sz w:val="22"/>
        </w:rPr>
        <w:t xml:space="preserve">Information regarding payment of </w:t>
      </w:r>
      <w:r w:rsidR="00E86B34">
        <w:rPr>
          <w:rFonts w:ascii="Calibri" w:eastAsia="SimSun" w:hAnsi="Calibri" w:cs="Calibri"/>
          <w:color w:val="000000" w:themeColor="text1"/>
          <w:sz w:val="22"/>
        </w:rPr>
        <w:t>the APC</w:t>
      </w:r>
      <w:r w:rsidRPr="0001247A">
        <w:rPr>
          <w:rFonts w:ascii="Calibri" w:eastAsia="SimSun" w:hAnsi="Calibri" w:cs="Calibri"/>
          <w:color w:val="000000" w:themeColor="text1"/>
          <w:sz w:val="22"/>
        </w:rPr>
        <w:t xml:space="preserve"> will be provided after an article has been accepted for publication. Enquiries regarding </w:t>
      </w:r>
      <w:r w:rsidR="00DF2CDD">
        <w:rPr>
          <w:rFonts w:ascii="Calibri" w:eastAsia="SimSun" w:hAnsi="Calibri" w:cs="Calibri"/>
          <w:color w:val="000000" w:themeColor="text1"/>
          <w:sz w:val="22"/>
        </w:rPr>
        <w:t xml:space="preserve">APCs </w:t>
      </w:r>
      <w:r w:rsidRPr="0001247A">
        <w:rPr>
          <w:rFonts w:ascii="Calibri" w:eastAsia="SimSun" w:hAnsi="Calibri" w:cs="Calibri"/>
          <w:color w:val="000000" w:themeColor="text1"/>
          <w:sz w:val="22"/>
        </w:rPr>
        <w:t xml:space="preserve">should be </w:t>
      </w:r>
      <w:r w:rsidRPr="00A333F1">
        <w:rPr>
          <w:rFonts w:ascii="Calibri" w:eastAsia="SimSun" w:hAnsi="Calibri" w:cs="Calibri"/>
          <w:color w:val="000000" w:themeColor="text1"/>
          <w:sz w:val="22"/>
        </w:rPr>
        <w:t>addressed to</w:t>
      </w:r>
      <w:r w:rsidR="00A333F1" w:rsidRPr="00A333F1">
        <w:rPr>
          <w:rFonts w:ascii="Calibri" w:eastAsia="SimSun" w:hAnsi="Calibri" w:cs="Calibri"/>
          <w:color w:val="000000" w:themeColor="text1"/>
          <w:sz w:val="22"/>
        </w:rPr>
        <w:t xml:space="preserve"> the</w:t>
      </w:r>
      <w:r w:rsidRPr="00A333F1">
        <w:rPr>
          <w:rFonts w:ascii="Calibri" w:eastAsia="SimSun" w:hAnsi="Calibri" w:cs="Calibri"/>
          <w:color w:val="000000" w:themeColor="text1"/>
          <w:sz w:val="22"/>
        </w:rPr>
        <w:t xml:space="preserve"> </w:t>
      </w:r>
      <w:r w:rsidR="0049518F" w:rsidRPr="00A333F1">
        <w:rPr>
          <w:rFonts w:ascii="Calibri" w:eastAsia="SimSun" w:hAnsi="Calibri" w:cs="Calibri"/>
          <w:color w:val="000000" w:themeColor="text1"/>
          <w:sz w:val="22"/>
        </w:rPr>
        <w:t>Publishing Editor</w:t>
      </w:r>
      <w:r w:rsidR="00834163">
        <w:rPr>
          <w:rFonts w:ascii="Calibri" w:eastAsia="SimSun" w:hAnsi="Calibri" w:cs="Calibri"/>
          <w:color w:val="000000" w:themeColor="text1"/>
          <w:sz w:val="22"/>
        </w:rPr>
        <w:t xml:space="preserve"> - </w:t>
      </w:r>
      <w:hyperlink r:id="rId4" w:history="1">
        <w:r w:rsidR="00834163" w:rsidRPr="00834163">
          <w:rPr>
            <w:rStyle w:val="Hyperlink"/>
            <w:u w:val="none"/>
          </w:rPr>
          <w:t>editor@methodsmicroscopy.org</w:t>
        </w:r>
      </w:hyperlink>
      <w:r w:rsidR="00834163">
        <w:t xml:space="preserve"> </w:t>
      </w:r>
    </w:p>
    <w:p w14:paraId="7B0D0D6A" w14:textId="76CDDDBC" w:rsidR="00623FFB" w:rsidRPr="0001247A" w:rsidRDefault="00623FFB" w:rsidP="00623FFB">
      <w:pPr>
        <w:rPr>
          <w:rFonts w:ascii="Calibri" w:eastAsia="SimSun" w:hAnsi="Calibri" w:cs="Calibri"/>
          <w:color w:val="000000" w:themeColor="text1"/>
          <w:sz w:val="22"/>
        </w:rPr>
      </w:pPr>
      <w:r w:rsidRPr="0001247A">
        <w:rPr>
          <w:rFonts w:ascii="Calibri" w:eastAsia="SimSun" w:hAnsi="Calibri" w:cs="Calibri"/>
          <w:color w:val="000000" w:themeColor="text1"/>
          <w:sz w:val="22"/>
        </w:rPr>
        <w:t>A</w:t>
      </w:r>
      <w:r w:rsidR="00DF2CDD">
        <w:rPr>
          <w:rFonts w:ascii="Calibri" w:eastAsia="SimSun" w:hAnsi="Calibri" w:cs="Calibri"/>
          <w:color w:val="000000" w:themeColor="text1"/>
          <w:sz w:val="22"/>
        </w:rPr>
        <w:t xml:space="preserve">PCs </w:t>
      </w:r>
      <w:r w:rsidRPr="0001247A">
        <w:rPr>
          <w:rFonts w:ascii="Calibri" w:eastAsia="SimSun" w:hAnsi="Calibri" w:cs="Calibri"/>
          <w:color w:val="000000" w:themeColor="text1"/>
          <w:sz w:val="22"/>
        </w:rPr>
        <w:t xml:space="preserve">are collected via the </w:t>
      </w:r>
      <w:proofErr w:type="spellStart"/>
      <w:r w:rsidRPr="0001247A">
        <w:rPr>
          <w:rFonts w:ascii="Calibri" w:eastAsia="SimSun" w:hAnsi="Calibri" w:cs="Calibri"/>
          <w:color w:val="000000" w:themeColor="text1"/>
          <w:sz w:val="22"/>
        </w:rPr>
        <w:t>RightsLink</w:t>
      </w:r>
      <w:proofErr w:type="spellEnd"/>
      <w:r w:rsidRPr="0001247A">
        <w:rPr>
          <w:rFonts w:ascii="Calibri" w:eastAsia="SimSun" w:hAnsi="Calibri" w:cs="Calibri"/>
          <w:color w:val="000000" w:themeColor="text1"/>
          <w:sz w:val="22"/>
        </w:rPr>
        <w:t xml:space="preserve"> system (provide</w:t>
      </w:r>
      <w:r>
        <w:rPr>
          <w:rFonts w:ascii="Calibri" w:eastAsia="SimSun" w:hAnsi="Calibri" w:cs="Calibri"/>
          <w:color w:val="000000" w:themeColor="text1"/>
          <w:sz w:val="22"/>
        </w:rPr>
        <w:t>d</w:t>
      </w:r>
      <w:r w:rsidRPr="0001247A">
        <w:rPr>
          <w:rFonts w:ascii="Calibri" w:eastAsia="SimSun" w:hAnsi="Calibri" w:cs="Calibri"/>
          <w:color w:val="000000" w:themeColor="text1"/>
          <w:sz w:val="22"/>
        </w:rPr>
        <w:t xml:space="preserve"> by </w:t>
      </w:r>
      <w:r>
        <w:rPr>
          <w:rFonts w:ascii="Calibri" w:eastAsia="SimSun" w:hAnsi="Calibri" w:cs="Calibri"/>
          <w:color w:val="000000" w:themeColor="text1"/>
          <w:sz w:val="22"/>
        </w:rPr>
        <w:t>C</w:t>
      </w:r>
      <w:r w:rsidRPr="0001247A">
        <w:rPr>
          <w:rFonts w:ascii="Calibri" w:eastAsia="SimSun" w:hAnsi="Calibri" w:cs="Calibri"/>
          <w:color w:val="000000" w:themeColor="text1"/>
          <w:sz w:val="22"/>
        </w:rPr>
        <w:t xml:space="preserve">opyright </w:t>
      </w:r>
      <w:r>
        <w:rPr>
          <w:rFonts w:ascii="Calibri" w:eastAsia="SimSun" w:hAnsi="Calibri" w:cs="Calibri"/>
          <w:color w:val="000000" w:themeColor="text1"/>
          <w:sz w:val="22"/>
        </w:rPr>
        <w:t>C</w:t>
      </w:r>
      <w:r w:rsidRPr="0001247A">
        <w:rPr>
          <w:rFonts w:ascii="Calibri" w:eastAsia="SimSun" w:hAnsi="Calibri" w:cs="Calibri"/>
          <w:color w:val="000000" w:themeColor="text1"/>
          <w:sz w:val="22"/>
        </w:rPr>
        <w:t xml:space="preserve">learance </w:t>
      </w:r>
      <w:r>
        <w:rPr>
          <w:rFonts w:ascii="Calibri" w:eastAsia="SimSun" w:hAnsi="Calibri" w:cs="Calibri"/>
          <w:color w:val="000000" w:themeColor="text1"/>
          <w:sz w:val="22"/>
        </w:rPr>
        <w:t>C</w:t>
      </w:r>
      <w:r w:rsidRPr="0001247A">
        <w:rPr>
          <w:rFonts w:ascii="Calibri" w:eastAsia="SimSun" w:hAnsi="Calibri" w:cs="Calibri"/>
          <w:color w:val="000000" w:themeColor="text1"/>
          <w:sz w:val="22"/>
        </w:rPr>
        <w:t xml:space="preserve">entre). The payment can be made in </w:t>
      </w:r>
      <w:r w:rsidR="00443509">
        <w:rPr>
          <w:rFonts w:ascii="Calibri" w:eastAsia="SimSun" w:hAnsi="Calibri" w:cs="Calibri"/>
          <w:color w:val="000000" w:themeColor="text1"/>
          <w:sz w:val="22"/>
        </w:rPr>
        <w:t>E</w:t>
      </w:r>
      <w:r w:rsidR="00AD05B8">
        <w:rPr>
          <w:rFonts w:ascii="Calibri" w:eastAsia="SimSun" w:hAnsi="Calibri" w:cs="Calibri"/>
          <w:color w:val="000000" w:themeColor="text1"/>
          <w:sz w:val="22"/>
        </w:rPr>
        <w:t>U</w:t>
      </w:r>
      <w:r w:rsidR="00443509">
        <w:rPr>
          <w:rFonts w:ascii="Calibri" w:eastAsia="SimSun" w:hAnsi="Calibri" w:cs="Calibri"/>
          <w:color w:val="000000" w:themeColor="text1"/>
          <w:sz w:val="22"/>
        </w:rPr>
        <w:t xml:space="preserve">R, </w:t>
      </w:r>
      <w:proofErr w:type="gramStart"/>
      <w:r w:rsidR="00443509">
        <w:rPr>
          <w:rFonts w:ascii="Calibri" w:eastAsia="SimSun" w:hAnsi="Calibri" w:cs="Calibri"/>
          <w:color w:val="000000" w:themeColor="text1"/>
          <w:sz w:val="22"/>
        </w:rPr>
        <w:t>USD</w:t>
      </w:r>
      <w:proofErr w:type="gramEnd"/>
      <w:r w:rsidR="00443509">
        <w:rPr>
          <w:rFonts w:ascii="Calibri" w:eastAsia="SimSun" w:hAnsi="Calibri" w:cs="Calibri"/>
          <w:color w:val="000000" w:themeColor="text1"/>
          <w:sz w:val="22"/>
        </w:rPr>
        <w:t xml:space="preserve"> </w:t>
      </w:r>
      <w:r w:rsidRPr="0001247A">
        <w:rPr>
          <w:rFonts w:ascii="Calibri" w:eastAsia="SimSun" w:hAnsi="Calibri" w:cs="Calibri"/>
          <w:color w:val="000000" w:themeColor="text1"/>
          <w:sz w:val="22"/>
        </w:rPr>
        <w:t xml:space="preserve">or GBP, and may be subject to VAT where applicable. </w:t>
      </w:r>
    </w:p>
    <w:p w14:paraId="3EC8884E" w14:textId="05E506C5" w:rsidR="00623FFB" w:rsidRDefault="00623FFB" w:rsidP="00623FFB">
      <w:pPr>
        <w:rPr>
          <w:rFonts w:ascii="Calibri" w:hAnsi="Calibri" w:cs="Calibri"/>
          <w:color w:val="3B3D3F"/>
          <w:sz w:val="22"/>
          <w:shd w:val="clear" w:color="auto" w:fill="FFFFFF"/>
        </w:rPr>
      </w:pPr>
      <w:r w:rsidRPr="00623FFB">
        <w:rPr>
          <w:rFonts w:ascii="Calibri" w:hAnsi="Calibri" w:cs="Calibri"/>
          <w:b/>
          <w:bCs/>
          <w:color w:val="3B3D3F"/>
          <w:sz w:val="22"/>
          <w:shd w:val="clear" w:color="auto" w:fill="FFFFFF"/>
        </w:rPr>
        <w:t>The current A</w:t>
      </w:r>
      <w:r w:rsidR="00DF2CDD">
        <w:rPr>
          <w:rFonts w:ascii="Calibri" w:hAnsi="Calibri" w:cs="Calibri"/>
          <w:b/>
          <w:bCs/>
          <w:color w:val="3B3D3F"/>
          <w:sz w:val="22"/>
          <w:shd w:val="clear" w:color="auto" w:fill="FFFFFF"/>
        </w:rPr>
        <w:t xml:space="preserve">PC for </w:t>
      </w:r>
      <w:r w:rsidR="00795BD6">
        <w:rPr>
          <w:rFonts w:ascii="Calibri" w:hAnsi="Calibri" w:cs="Calibri"/>
          <w:b/>
          <w:bCs/>
          <w:i/>
          <w:iCs/>
          <w:color w:val="3B3D3F"/>
          <w:sz w:val="22"/>
          <w:shd w:val="clear" w:color="auto" w:fill="FFFFFF"/>
        </w:rPr>
        <w:t>Methods in Microscopy</w:t>
      </w:r>
      <w:r w:rsidRPr="00623FFB">
        <w:rPr>
          <w:rFonts w:ascii="Calibri" w:hAnsi="Calibri" w:cs="Calibri"/>
          <w:b/>
          <w:bCs/>
          <w:color w:val="3B3D3F"/>
          <w:sz w:val="22"/>
          <w:shd w:val="clear" w:color="auto" w:fill="FFFFFF"/>
        </w:rPr>
        <w:t xml:space="preserve"> is</w:t>
      </w:r>
      <w:r w:rsidRPr="002C2DC4">
        <w:rPr>
          <w:rFonts w:ascii="Calibri" w:hAnsi="Calibri" w:cs="Calibri"/>
          <w:color w:val="3B3D3F"/>
          <w:sz w:val="22"/>
          <w:shd w:val="clear" w:color="auto" w:fill="FFFFFF"/>
        </w:rPr>
        <w:t xml:space="preserve"> </w:t>
      </w:r>
      <w:r w:rsidRPr="00623FFB">
        <w:rPr>
          <w:rFonts w:ascii="Calibri" w:hAnsi="Calibri" w:cs="Calibri"/>
          <w:b/>
          <w:bCs/>
          <w:color w:val="3B3D3F"/>
          <w:sz w:val="22"/>
          <w:shd w:val="clear" w:color="auto" w:fill="FFFFFF"/>
        </w:rPr>
        <w:t>€</w:t>
      </w:r>
      <w:r w:rsidR="00795BD6">
        <w:rPr>
          <w:rFonts w:ascii="Calibri" w:hAnsi="Calibri" w:cs="Calibri"/>
          <w:b/>
          <w:bCs/>
          <w:color w:val="3B3D3F"/>
          <w:sz w:val="22"/>
          <w:shd w:val="clear" w:color="auto" w:fill="FFFFFF"/>
        </w:rPr>
        <w:t>2000</w:t>
      </w:r>
      <w:r w:rsidRPr="002C2DC4">
        <w:rPr>
          <w:rFonts w:ascii="Calibri" w:hAnsi="Calibri" w:cs="Calibri"/>
          <w:color w:val="3B3D3F"/>
          <w:sz w:val="22"/>
          <w:shd w:val="clear" w:color="auto" w:fill="FFFFFF"/>
        </w:rPr>
        <w:t xml:space="preserve">. </w:t>
      </w:r>
    </w:p>
    <w:p w14:paraId="4C55DAD0" w14:textId="77777777" w:rsidR="00795BD6" w:rsidRDefault="00795BD6" w:rsidP="00623FFB">
      <w:pPr>
        <w:rPr>
          <w:rFonts w:ascii="Calibri" w:hAnsi="Calibri" w:cs="Calibri"/>
          <w:color w:val="3B3D3F"/>
          <w:sz w:val="22"/>
          <w:shd w:val="clear" w:color="auto" w:fill="FFFFFF"/>
        </w:rPr>
      </w:pPr>
    </w:p>
    <w:p w14:paraId="65D90B17" w14:textId="1EC6D13D" w:rsidR="00623FFB" w:rsidRPr="000D38BF" w:rsidRDefault="00623FFB" w:rsidP="00623FFB">
      <w:pPr>
        <w:rPr>
          <w:rFonts w:ascii="Calibri" w:hAnsi="Calibri" w:cs="Calibri"/>
          <w:b/>
          <w:bCs/>
          <w:color w:val="3B3D3F"/>
          <w:sz w:val="22"/>
          <w:shd w:val="clear" w:color="auto" w:fill="FFFFFF"/>
        </w:rPr>
      </w:pPr>
      <w:r>
        <w:rPr>
          <w:rFonts w:ascii="Calibri" w:hAnsi="Calibri" w:cs="Calibri"/>
          <w:b/>
          <w:bCs/>
          <w:color w:val="3B3D3F"/>
          <w:sz w:val="22"/>
          <w:shd w:val="clear" w:color="auto" w:fill="FFFFFF"/>
        </w:rPr>
        <w:t xml:space="preserve">Discount and </w:t>
      </w:r>
      <w:r w:rsidRPr="000D38BF">
        <w:rPr>
          <w:rFonts w:ascii="Calibri" w:hAnsi="Calibri" w:cs="Calibri"/>
          <w:b/>
          <w:bCs/>
          <w:color w:val="3B3D3F"/>
          <w:sz w:val="22"/>
          <w:shd w:val="clear" w:color="auto" w:fill="FFFFFF"/>
        </w:rPr>
        <w:t xml:space="preserve">Waiver Policy </w:t>
      </w:r>
    </w:p>
    <w:p w14:paraId="528B51A3" w14:textId="669B8BB2" w:rsidR="00623FFB" w:rsidRDefault="00623FFB" w:rsidP="00623FFB">
      <w:pPr>
        <w:rPr>
          <w:rFonts w:ascii="Calibri" w:hAnsi="Calibri" w:cs="Calibri"/>
          <w:color w:val="3B3D3F"/>
          <w:sz w:val="22"/>
          <w:shd w:val="clear" w:color="auto" w:fill="FFFFFF"/>
        </w:rPr>
      </w:pPr>
      <w:r>
        <w:rPr>
          <w:rFonts w:ascii="Calibri" w:hAnsi="Calibri" w:cs="Calibri"/>
          <w:color w:val="3B3D3F"/>
          <w:sz w:val="22"/>
          <w:shd w:val="clear" w:color="auto" w:fill="FFFFFF"/>
        </w:rPr>
        <w:t xml:space="preserve">If the first named author is affiliated with an organization that has an </w:t>
      </w:r>
      <w:hyperlink r:id="rId5" w:history="1">
        <w:r w:rsidRPr="00623FFB">
          <w:rPr>
            <w:rStyle w:val="Hyperlink"/>
            <w:rFonts w:ascii="Calibri" w:hAnsi="Calibri" w:cs="Calibri"/>
            <w:sz w:val="22"/>
            <w:shd w:val="clear" w:color="auto" w:fill="FFFFFF"/>
          </w:rPr>
          <w:t>open access agreement</w:t>
        </w:r>
      </w:hyperlink>
      <w:r>
        <w:rPr>
          <w:rFonts w:ascii="Calibri" w:hAnsi="Calibri" w:cs="Calibri"/>
          <w:color w:val="3B3D3F"/>
          <w:sz w:val="22"/>
          <w:shd w:val="clear" w:color="auto" w:fill="FFFFFF"/>
        </w:rPr>
        <w:t xml:space="preserve"> with De Gruyter, the </w:t>
      </w:r>
      <w:r w:rsidR="00345A1B">
        <w:rPr>
          <w:rFonts w:ascii="Calibri" w:hAnsi="Calibri" w:cs="Calibri"/>
          <w:color w:val="3B3D3F"/>
          <w:sz w:val="22"/>
          <w:shd w:val="clear" w:color="auto" w:fill="FFFFFF"/>
        </w:rPr>
        <w:t>APC</w:t>
      </w:r>
      <w:r>
        <w:rPr>
          <w:rFonts w:ascii="Calibri" w:hAnsi="Calibri" w:cs="Calibri"/>
          <w:color w:val="3B3D3F"/>
          <w:sz w:val="22"/>
          <w:shd w:val="clear" w:color="auto" w:fill="FFFFFF"/>
        </w:rPr>
        <w:t xml:space="preserve"> may be covered or discounted.</w:t>
      </w:r>
    </w:p>
    <w:p w14:paraId="1BAC13BB" w14:textId="23E9F5CB" w:rsidR="00623FFB" w:rsidRPr="00623FFB" w:rsidRDefault="00623FFB" w:rsidP="00623FFB">
      <w:pPr>
        <w:rPr>
          <w:rFonts w:ascii="Calibri" w:hAnsi="Calibri" w:cs="Calibri"/>
          <w:color w:val="3B3D3F"/>
          <w:sz w:val="22"/>
          <w:shd w:val="clear" w:color="auto" w:fill="FFFFFF"/>
        </w:rPr>
      </w:pPr>
      <w:r>
        <w:rPr>
          <w:rFonts w:ascii="Calibri" w:hAnsi="Calibri" w:cs="Calibri"/>
          <w:color w:val="3B3D3F"/>
          <w:sz w:val="22"/>
          <w:shd w:val="clear" w:color="auto" w:fill="FFFFFF"/>
        </w:rPr>
        <w:t xml:space="preserve">In addition, </w:t>
      </w:r>
      <w:r w:rsidR="000E4C4F">
        <w:rPr>
          <w:rFonts w:ascii="Calibri" w:hAnsi="Calibri" w:cs="Calibri"/>
          <w:color w:val="3B3D3F"/>
          <w:sz w:val="22"/>
          <w:shd w:val="clear" w:color="auto" w:fill="FFFFFF"/>
        </w:rPr>
        <w:t xml:space="preserve">Thoss Media and </w:t>
      </w:r>
      <w:r>
        <w:rPr>
          <w:rFonts w:ascii="Calibri" w:hAnsi="Calibri" w:cs="Calibri"/>
          <w:color w:val="3B3D3F"/>
          <w:sz w:val="22"/>
          <w:shd w:val="clear" w:color="auto" w:fill="FFFFFF"/>
        </w:rPr>
        <w:t xml:space="preserve">De Gruyter are committed to supporting researchers in emerging nations to share their research with a global audience. </w:t>
      </w:r>
      <w:r w:rsidRPr="14ACE294">
        <w:rPr>
          <w:sz w:val="22"/>
        </w:rPr>
        <w:t xml:space="preserve">As per </w:t>
      </w:r>
      <w:hyperlink r:id="rId6" w:history="1">
        <w:r w:rsidRPr="0072705E">
          <w:rPr>
            <w:rStyle w:val="Hyperlink"/>
            <w:sz w:val="22"/>
          </w:rPr>
          <w:t>World Bank definitions</w:t>
        </w:r>
      </w:hyperlink>
      <w:r w:rsidRPr="14ACE294">
        <w:rPr>
          <w:sz w:val="22"/>
        </w:rPr>
        <w:t>,</w:t>
      </w:r>
      <w:r>
        <w:rPr>
          <w:sz w:val="22"/>
        </w:rPr>
        <w:t xml:space="preserve"> first named</w:t>
      </w:r>
      <w:r w:rsidRPr="14ACE294">
        <w:rPr>
          <w:sz w:val="22"/>
        </w:rPr>
        <w:t xml:space="preserve"> authors from lower income countries will be entitled to a</w:t>
      </w:r>
      <w:r>
        <w:rPr>
          <w:sz w:val="22"/>
        </w:rPr>
        <w:t xml:space="preserve"> </w:t>
      </w:r>
      <w:r w:rsidRPr="14ACE294">
        <w:rPr>
          <w:sz w:val="22"/>
        </w:rPr>
        <w:t>100</w:t>
      </w:r>
      <w:r>
        <w:rPr>
          <w:sz w:val="22"/>
        </w:rPr>
        <w:t>% discount on the A</w:t>
      </w:r>
      <w:r w:rsidR="00303703">
        <w:rPr>
          <w:sz w:val="22"/>
        </w:rPr>
        <w:t>PC</w:t>
      </w:r>
      <w:r w:rsidRPr="14ACE294">
        <w:rPr>
          <w:sz w:val="22"/>
        </w:rPr>
        <w:t xml:space="preserve"> and </w:t>
      </w:r>
      <w:r>
        <w:rPr>
          <w:sz w:val="22"/>
        </w:rPr>
        <w:t xml:space="preserve">first named </w:t>
      </w:r>
      <w:r w:rsidRPr="14ACE294">
        <w:rPr>
          <w:sz w:val="22"/>
        </w:rPr>
        <w:t>authors from lower middle income countries will be entitled to a 50%</w:t>
      </w:r>
      <w:r>
        <w:rPr>
          <w:sz w:val="22"/>
        </w:rPr>
        <w:t xml:space="preserve"> </w:t>
      </w:r>
      <w:r w:rsidRPr="14ACE294">
        <w:rPr>
          <w:sz w:val="22"/>
        </w:rPr>
        <w:t>discount</w:t>
      </w:r>
      <w:r>
        <w:rPr>
          <w:sz w:val="22"/>
        </w:rPr>
        <w:t xml:space="preserve"> on the A</w:t>
      </w:r>
      <w:r w:rsidR="00303703">
        <w:rPr>
          <w:sz w:val="22"/>
        </w:rPr>
        <w:t>PC</w:t>
      </w:r>
      <w:r>
        <w:rPr>
          <w:sz w:val="22"/>
        </w:rPr>
        <w:t>.</w:t>
      </w:r>
    </w:p>
    <w:p w14:paraId="337DB504" w14:textId="23404913" w:rsidR="00623FFB" w:rsidRPr="00D60EBF" w:rsidRDefault="00834163" w:rsidP="00623FFB">
      <w:pPr>
        <w:pStyle w:val="Base"/>
        <w:tabs>
          <w:tab w:val="left" w:pos="426"/>
        </w:tabs>
        <w:ind w:left="0" w:firstLine="0"/>
        <w:rPr>
          <w:b/>
          <w:bCs/>
          <w:color w:val="auto"/>
          <w:sz w:val="22"/>
          <w:szCs w:val="22"/>
          <w:u w:val="single"/>
        </w:rPr>
      </w:pPr>
      <w:r>
        <w:rPr>
          <w:b/>
          <w:bCs/>
          <w:color w:val="auto"/>
          <w:sz w:val="22"/>
          <w:szCs w:val="22"/>
          <w:u w:val="single"/>
        </w:rPr>
        <w:t xml:space="preserve">In the initial publication </w:t>
      </w:r>
      <w:proofErr w:type="gramStart"/>
      <w:r>
        <w:rPr>
          <w:b/>
          <w:bCs/>
          <w:color w:val="auto"/>
          <w:sz w:val="22"/>
          <w:szCs w:val="22"/>
          <w:u w:val="single"/>
        </w:rPr>
        <w:t>years</w:t>
      </w:r>
      <w:proofErr w:type="gramEnd"/>
      <w:r>
        <w:rPr>
          <w:b/>
          <w:bCs/>
          <w:color w:val="auto"/>
          <w:sz w:val="22"/>
          <w:szCs w:val="22"/>
          <w:u w:val="single"/>
        </w:rPr>
        <w:t xml:space="preserve"> w</w:t>
      </w:r>
      <w:r w:rsidR="00623FFB" w:rsidRPr="00D60EBF">
        <w:rPr>
          <w:b/>
          <w:bCs/>
          <w:color w:val="auto"/>
          <w:sz w:val="22"/>
          <w:szCs w:val="22"/>
          <w:u w:val="single"/>
        </w:rPr>
        <w:t xml:space="preserve">e will also consider requests for discretionary waivers for researchers who aren’t eligible under the criteria above. </w:t>
      </w:r>
    </w:p>
    <w:p w14:paraId="33DFC440" w14:textId="4293A47D" w:rsidR="00623FFB" w:rsidRDefault="00623FFB" w:rsidP="00623FFB">
      <w:pPr>
        <w:pStyle w:val="Base"/>
        <w:tabs>
          <w:tab w:val="left" w:pos="426"/>
        </w:tabs>
        <w:ind w:left="0" w:firstLine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For any questions relating to</w:t>
      </w:r>
      <w:r w:rsidR="00303703">
        <w:rPr>
          <w:color w:val="auto"/>
          <w:sz w:val="22"/>
          <w:szCs w:val="22"/>
        </w:rPr>
        <w:t xml:space="preserve"> discounts and waivers</w:t>
      </w:r>
      <w:r>
        <w:rPr>
          <w:color w:val="auto"/>
          <w:sz w:val="22"/>
          <w:szCs w:val="22"/>
        </w:rPr>
        <w:t xml:space="preserve"> please contact the</w:t>
      </w:r>
      <w:r w:rsidR="0049518F">
        <w:rPr>
          <w:color w:val="auto"/>
          <w:sz w:val="22"/>
          <w:szCs w:val="22"/>
        </w:rPr>
        <w:t xml:space="preserve"> Publishing Editor </w:t>
      </w:r>
      <w:r w:rsidR="00834163">
        <w:rPr>
          <w:color w:val="auto"/>
          <w:sz w:val="22"/>
          <w:szCs w:val="22"/>
        </w:rPr>
        <w:t xml:space="preserve">- </w:t>
      </w:r>
      <w:hyperlink r:id="rId7" w:history="1">
        <w:r w:rsidR="00834163" w:rsidRPr="00834163">
          <w:rPr>
            <w:rStyle w:val="Hyperlink"/>
            <w:u w:val="none"/>
          </w:rPr>
          <w:t>editor@methodsmicroscopy.org</w:t>
        </w:r>
      </w:hyperlink>
      <w:r w:rsidR="00834163">
        <w:t xml:space="preserve"> </w:t>
      </w:r>
    </w:p>
    <w:p w14:paraId="188A7CF9" w14:textId="77777777" w:rsidR="00762D15" w:rsidRDefault="00762D15"/>
    <w:sectPr w:rsidR="00762D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FB"/>
    <w:rsid w:val="000834B8"/>
    <w:rsid w:val="000878BA"/>
    <w:rsid w:val="000E4C4F"/>
    <w:rsid w:val="00303703"/>
    <w:rsid w:val="00345A1B"/>
    <w:rsid w:val="00423FB4"/>
    <w:rsid w:val="00443509"/>
    <w:rsid w:val="0049518F"/>
    <w:rsid w:val="0054104E"/>
    <w:rsid w:val="00623FFB"/>
    <w:rsid w:val="00762D15"/>
    <w:rsid w:val="00795BD6"/>
    <w:rsid w:val="00834163"/>
    <w:rsid w:val="00A333F1"/>
    <w:rsid w:val="00A42C33"/>
    <w:rsid w:val="00A53594"/>
    <w:rsid w:val="00AD05B8"/>
    <w:rsid w:val="00D60EBF"/>
    <w:rsid w:val="00D848C3"/>
    <w:rsid w:val="00DF2CDD"/>
    <w:rsid w:val="00E8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8994D"/>
  <w15:chartTrackingRefBased/>
  <w15:docId w15:val="{BE782DDF-6F44-43A4-8257-798F2BE3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FFB"/>
    <w:pPr>
      <w:widowControl w:val="0"/>
      <w:spacing w:after="200" w:line="276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623FFB"/>
    <w:rPr>
      <w:color w:val="0563C1" w:themeColor="hyperlink"/>
      <w:u w:val="single"/>
    </w:rPr>
  </w:style>
  <w:style w:type="paragraph" w:customStyle="1" w:styleId="Base">
    <w:name w:val="Base"/>
    <w:basedOn w:val="Normal"/>
    <w:link w:val="BaseChar"/>
    <w:qFormat/>
    <w:rsid w:val="00623FFB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 w:hanging="360"/>
    </w:pPr>
    <w:rPr>
      <w:rFonts w:ascii="Calibri" w:eastAsia="Calibri" w:hAnsi="Calibri" w:cstheme="minorHAnsi"/>
      <w:color w:val="000000"/>
      <w:kern w:val="0"/>
      <w:sz w:val="24"/>
      <w:szCs w:val="24"/>
      <w:u w:color="000000"/>
      <w:bdr w:val="nil"/>
      <w:lang w:eastAsia="en-US"/>
    </w:rPr>
  </w:style>
  <w:style w:type="character" w:customStyle="1" w:styleId="BaseChar">
    <w:name w:val="Base Char"/>
    <w:basedOn w:val="DefaultParagraphFont"/>
    <w:link w:val="Base"/>
    <w:rsid w:val="00623FFB"/>
    <w:rPr>
      <w:rFonts w:ascii="Calibri" w:eastAsia="Calibri" w:hAnsi="Calibri" w:cstheme="minorHAnsi"/>
      <w:color w:val="000000"/>
      <w:sz w:val="24"/>
      <w:szCs w:val="24"/>
      <w:u w:color="000000"/>
      <w:bdr w:val="ni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23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ditor@methodsmicroscopy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ahelpdesk.worldbank.org/knowledgebase/articles/906519" TargetMode="External"/><Relationship Id="rId5" Type="http://schemas.openxmlformats.org/officeDocument/2006/relationships/hyperlink" Target="https://www.degruyter.com/publishing/publications/openaccess/open-access-agreements" TargetMode="External"/><Relationship Id="rId4" Type="http://schemas.openxmlformats.org/officeDocument/2006/relationships/hyperlink" Target="mailto:editor@methodsmicroscopy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4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Nixon, Aimee</dc:creator>
  <cp:keywords/>
  <dc:description/>
  <cp:lastModifiedBy>Nixon, Aimee</cp:lastModifiedBy>
  <cp:revision>2</cp:revision>
  <dcterms:created xsi:type="dcterms:W3CDTF">2024-01-03T17:21:00Z</dcterms:created>
  <dcterms:modified xsi:type="dcterms:W3CDTF">2024-01-03T17:21:00Z</dcterms:modified>
</cp:coreProperties>
</file>