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D85D" w14:textId="77777777" w:rsidR="00A1771A" w:rsidRPr="0092323D" w:rsidRDefault="00A1771A" w:rsidP="00A1771A">
      <w:pPr>
        <w:rPr>
          <w:sz w:val="28"/>
          <w:szCs w:val="28"/>
        </w:rPr>
      </w:pPr>
      <w:r w:rsidRPr="0092323D">
        <w:rPr>
          <w:sz w:val="28"/>
          <w:szCs w:val="28"/>
        </w:rPr>
        <w:t>Altorientalische Forschungen</w:t>
      </w:r>
    </w:p>
    <w:p w14:paraId="78DA5EFE" w14:textId="77777777" w:rsidR="00A1771A" w:rsidRPr="0092323D" w:rsidRDefault="00A1771A" w:rsidP="00A1771A">
      <w:pPr>
        <w:rPr>
          <w:sz w:val="22"/>
          <w:szCs w:val="22"/>
        </w:rPr>
      </w:pPr>
    </w:p>
    <w:p w14:paraId="6C7B362C" w14:textId="77777777" w:rsidR="00A1771A" w:rsidRPr="001A5015" w:rsidRDefault="00A1771A" w:rsidP="00A1771A">
      <w:pPr>
        <w:rPr>
          <w:sz w:val="22"/>
          <w:szCs w:val="22"/>
        </w:rPr>
      </w:pPr>
      <w:r w:rsidRPr="001A5015">
        <w:rPr>
          <w:sz w:val="22"/>
          <w:szCs w:val="22"/>
        </w:rPr>
        <w:t xml:space="preserve">Die Zeitschrift </w:t>
      </w:r>
      <w:r w:rsidRPr="001A5015">
        <w:rPr>
          <w:i/>
          <w:sz w:val="22"/>
          <w:szCs w:val="22"/>
        </w:rPr>
        <w:t xml:space="preserve">Altorientalischen Forschungen </w:t>
      </w:r>
      <w:r w:rsidRPr="001A5015">
        <w:rPr>
          <w:sz w:val="22"/>
          <w:szCs w:val="22"/>
        </w:rPr>
        <w:t>veröffentlicht Aufsätze</w:t>
      </w:r>
      <w:r>
        <w:rPr>
          <w:sz w:val="22"/>
          <w:szCs w:val="22"/>
        </w:rPr>
        <w:t xml:space="preserve"> und Beiträge</w:t>
      </w:r>
      <w:r w:rsidRPr="001A5015">
        <w:rPr>
          <w:sz w:val="22"/>
          <w:szCs w:val="22"/>
        </w:rPr>
        <w:t xml:space="preserve"> zu Geschichte, Kultur und Sprachen des Alten Orients </w:t>
      </w:r>
      <w:r>
        <w:rPr>
          <w:sz w:val="22"/>
          <w:szCs w:val="22"/>
        </w:rPr>
        <w:t>und</w:t>
      </w:r>
      <w:r w:rsidRPr="001A5015">
        <w:rPr>
          <w:sz w:val="22"/>
          <w:szCs w:val="22"/>
        </w:rPr>
        <w:t xml:space="preserve"> </w:t>
      </w:r>
      <w:r>
        <w:rPr>
          <w:sz w:val="22"/>
          <w:szCs w:val="22"/>
        </w:rPr>
        <w:t>dessen</w:t>
      </w:r>
      <w:r w:rsidRPr="001A5015">
        <w:rPr>
          <w:sz w:val="22"/>
          <w:szCs w:val="22"/>
        </w:rPr>
        <w:t xml:space="preserve"> Wechselbeziehungen mit angrenzenden Regionen wie Zentralasien, Ägypten und der Ägäis. Dabei finden philologische und archäologische (inkl</w:t>
      </w:r>
      <w:r>
        <w:rPr>
          <w:sz w:val="22"/>
          <w:szCs w:val="22"/>
        </w:rPr>
        <w:t>usive</w:t>
      </w:r>
      <w:r w:rsidRPr="001A5015">
        <w:rPr>
          <w:sz w:val="22"/>
          <w:szCs w:val="22"/>
        </w:rPr>
        <w:t xml:space="preserve"> kunsthistorische) Untersuchungen gleichermaßen Berücksichtigung. Alle Beiträge haben ein Gutachterverfahren durchlaufen.</w:t>
      </w:r>
      <w:r>
        <w:rPr>
          <w:sz w:val="22"/>
          <w:szCs w:val="22"/>
        </w:rPr>
        <w:t xml:space="preserve"> Die Zeitschrift erscheint in Online- und Druckversion.</w:t>
      </w:r>
    </w:p>
    <w:p w14:paraId="4DDA3895" w14:textId="77777777" w:rsidR="00A1771A" w:rsidRPr="0092323D" w:rsidRDefault="00A1771A" w:rsidP="00A1771A">
      <w:pPr>
        <w:rPr>
          <w:sz w:val="22"/>
          <w:szCs w:val="22"/>
        </w:rPr>
      </w:pPr>
    </w:p>
    <w:p w14:paraId="47B99D0C" w14:textId="77777777" w:rsidR="00A1771A" w:rsidRPr="0092323D" w:rsidRDefault="00A1771A" w:rsidP="00A1771A">
      <w:pPr>
        <w:rPr>
          <w:sz w:val="28"/>
          <w:szCs w:val="28"/>
        </w:rPr>
      </w:pPr>
      <w:r w:rsidRPr="0092323D">
        <w:rPr>
          <w:sz w:val="28"/>
          <w:szCs w:val="28"/>
        </w:rPr>
        <w:t>Hinweise für Autoren</w:t>
      </w:r>
    </w:p>
    <w:p w14:paraId="36CAA4EF" w14:textId="77777777" w:rsidR="00A1771A" w:rsidRPr="0092323D" w:rsidRDefault="00A1771A" w:rsidP="00A1771A">
      <w:pPr>
        <w:rPr>
          <w:sz w:val="22"/>
          <w:szCs w:val="22"/>
        </w:rPr>
      </w:pPr>
    </w:p>
    <w:p w14:paraId="17263AEB" w14:textId="77777777" w:rsidR="00A1771A" w:rsidRPr="004617D1" w:rsidRDefault="00A1771A" w:rsidP="00154840">
      <w:pPr>
        <w:rPr>
          <w:rFonts w:asciiTheme="majorBidi" w:hAnsiTheme="majorBidi" w:cstheme="majorBidi"/>
          <w:sz w:val="22"/>
          <w:szCs w:val="22"/>
        </w:rPr>
      </w:pPr>
      <w:r w:rsidRPr="004617D1">
        <w:rPr>
          <w:rFonts w:asciiTheme="majorBidi" w:hAnsiTheme="majorBidi" w:cstheme="majorBidi"/>
          <w:i/>
          <w:sz w:val="22"/>
          <w:szCs w:val="22"/>
        </w:rPr>
        <w:t>Manuskripte</w:t>
      </w:r>
      <w:r w:rsidRPr="004617D1">
        <w:rPr>
          <w:rFonts w:asciiTheme="majorBidi" w:hAnsiTheme="majorBidi" w:cstheme="majorBidi"/>
          <w:sz w:val="22"/>
          <w:szCs w:val="22"/>
        </w:rPr>
        <w:t xml:space="preserve"> sind als Word-Datei und als </w:t>
      </w:r>
      <w:proofErr w:type="spellStart"/>
      <w:r w:rsidRPr="004617D1">
        <w:rPr>
          <w:rFonts w:asciiTheme="majorBidi" w:hAnsiTheme="majorBidi" w:cstheme="majorBidi"/>
          <w:sz w:val="22"/>
          <w:szCs w:val="22"/>
        </w:rPr>
        <w:t>pdf</w:t>
      </w:r>
      <w:proofErr w:type="spellEnd"/>
      <w:r w:rsidRPr="004617D1">
        <w:rPr>
          <w:rFonts w:asciiTheme="majorBidi" w:hAnsiTheme="majorBidi" w:cstheme="majorBidi"/>
          <w:sz w:val="22"/>
          <w:szCs w:val="22"/>
        </w:rPr>
        <w:t xml:space="preserve"> an die Redaktionsadresse (aof@degruyter.com) zu richten.</w:t>
      </w:r>
    </w:p>
    <w:p w14:paraId="30AF17E6" w14:textId="77777777" w:rsidR="00A1771A" w:rsidRPr="004617D1" w:rsidRDefault="00A1771A" w:rsidP="00154840">
      <w:pPr>
        <w:rPr>
          <w:rFonts w:asciiTheme="majorBidi" w:hAnsiTheme="majorBidi" w:cstheme="majorBidi"/>
          <w:i/>
          <w:sz w:val="22"/>
          <w:szCs w:val="22"/>
        </w:rPr>
      </w:pPr>
    </w:p>
    <w:p w14:paraId="47B4B2F0" w14:textId="77777777" w:rsidR="000219FE" w:rsidRPr="004617D1" w:rsidRDefault="00A1771A" w:rsidP="00154840">
      <w:pPr>
        <w:rPr>
          <w:rFonts w:asciiTheme="majorBidi" w:hAnsiTheme="majorBidi" w:cstheme="majorBidi"/>
          <w:sz w:val="22"/>
          <w:szCs w:val="22"/>
        </w:rPr>
      </w:pPr>
      <w:r w:rsidRPr="004617D1">
        <w:rPr>
          <w:rFonts w:asciiTheme="majorBidi" w:hAnsiTheme="majorBidi" w:cstheme="majorBidi"/>
          <w:i/>
          <w:sz w:val="22"/>
          <w:szCs w:val="22"/>
        </w:rPr>
        <w:t>Abbildungen</w:t>
      </w:r>
      <w:r w:rsidRPr="004617D1">
        <w:rPr>
          <w:rFonts w:asciiTheme="majorBidi" w:hAnsiTheme="majorBidi" w:cstheme="majorBidi"/>
          <w:sz w:val="22"/>
          <w:szCs w:val="22"/>
        </w:rPr>
        <w:t xml:space="preserve"> und </w:t>
      </w:r>
      <w:r w:rsidRPr="004617D1">
        <w:rPr>
          <w:rFonts w:asciiTheme="majorBidi" w:hAnsiTheme="majorBidi" w:cstheme="majorBidi"/>
          <w:i/>
          <w:sz w:val="22"/>
          <w:szCs w:val="22"/>
        </w:rPr>
        <w:t>Tabellen/Grafiken</w:t>
      </w:r>
    </w:p>
    <w:p w14:paraId="483493D1" w14:textId="64D79EFA" w:rsidR="00A1771A" w:rsidRPr="004617D1" w:rsidRDefault="000219FE" w:rsidP="004617D1">
      <w:pPr>
        <w:pStyle w:val="Listenabsatz"/>
        <w:numPr>
          <w:ilvl w:val="0"/>
          <w:numId w:val="8"/>
        </w:numPr>
        <w:rPr>
          <w:rFonts w:asciiTheme="majorBidi" w:hAnsiTheme="majorBidi" w:cstheme="majorBidi"/>
          <w:sz w:val="22"/>
          <w:szCs w:val="22"/>
        </w:rPr>
      </w:pPr>
      <w:r w:rsidRPr="004617D1">
        <w:rPr>
          <w:rFonts w:asciiTheme="majorBidi" w:hAnsiTheme="majorBidi" w:cstheme="majorBidi"/>
          <w:sz w:val="22"/>
          <w:szCs w:val="22"/>
        </w:rPr>
        <w:t>Einzeln und nicht in den Text eingebettet einreichen</w:t>
      </w:r>
      <w:r w:rsidR="00A1771A" w:rsidRPr="004617D1">
        <w:rPr>
          <w:rFonts w:asciiTheme="majorBidi" w:hAnsiTheme="majorBidi" w:cstheme="majorBidi"/>
          <w:sz w:val="22"/>
          <w:szCs w:val="22"/>
        </w:rPr>
        <w:t xml:space="preserve"> – mit Hinweis im Fließtext, wo ungefähr sie platziert werden sollen (am besten mit der Abbildungs-/Tabellenunterschrift).</w:t>
      </w:r>
    </w:p>
    <w:p w14:paraId="2B605378" w14:textId="77777777" w:rsidR="000219FE" w:rsidRPr="004617D1" w:rsidRDefault="00A1771A" w:rsidP="004617D1">
      <w:pPr>
        <w:pStyle w:val="Listenabsatz"/>
        <w:numPr>
          <w:ilvl w:val="0"/>
          <w:numId w:val="8"/>
        </w:numPr>
        <w:rPr>
          <w:rFonts w:asciiTheme="majorBidi" w:hAnsiTheme="majorBidi" w:cstheme="majorBidi"/>
          <w:sz w:val="22"/>
          <w:szCs w:val="22"/>
        </w:rPr>
      </w:pPr>
      <w:r w:rsidRPr="004617D1">
        <w:rPr>
          <w:rFonts w:asciiTheme="majorBidi" w:hAnsiTheme="majorBidi" w:cstheme="majorBidi"/>
          <w:sz w:val="22"/>
          <w:szCs w:val="22"/>
        </w:rPr>
        <w:t>Zeichnungen erfordern eine Auflösung von 1000 dpi, Fotografien möglichst 600 dpi, mindestens aber 300 dpi.</w:t>
      </w:r>
    </w:p>
    <w:p w14:paraId="24179AC9" w14:textId="3EFAC964" w:rsidR="00A1771A" w:rsidRPr="004617D1" w:rsidRDefault="00A1771A" w:rsidP="004617D1">
      <w:pPr>
        <w:pStyle w:val="Listenabsatz"/>
        <w:numPr>
          <w:ilvl w:val="0"/>
          <w:numId w:val="8"/>
        </w:numPr>
        <w:rPr>
          <w:rFonts w:asciiTheme="majorBidi" w:hAnsiTheme="majorBidi" w:cstheme="majorBidi"/>
          <w:sz w:val="22"/>
          <w:szCs w:val="22"/>
        </w:rPr>
      </w:pPr>
      <w:r w:rsidRPr="004617D1">
        <w:rPr>
          <w:rFonts w:asciiTheme="majorBidi" w:hAnsiTheme="majorBidi" w:cstheme="majorBidi"/>
          <w:sz w:val="22"/>
          <w:szCs w:val="22"/>
        </w:rPr>
        <w:t xml:space="preserve">Bei sämtlichen Abbildungen ist die Quelle anzugeben. Der Autor muss im Besitz einer allfälligen Reproduktionsgenehmigung sein. </w:t>
      </w:r>
    </w:p>
    <w:p w14:paraId="3899CD0A" w14:textId="77777777" w:rsidR="00A1771A" w:rsidRPr="004617D1" w:rsidRDefault="00A1771A" w:rsidP="00154840">
      <w:pPr>
        <w:rPr>
          <w:rFonts w:asciiTheme="majorBidi" w:hAnsiTheme="majorBidi" w:cstheme="majorBidi"/>
          <w:sz w:val="22"/>
          <w:szCs w:val="22"/>
        </w:rPr>
      </w:pPr>
    </w:p>
    <w:p w14:paraId="6AB9FEED" w14:textId="77777777" w:rsidR="000219FE" w:rsidRPr="004617D1" w:rsidRDefault="00A1771A" w:rsidP="00154840">
      <w:pPr>
        <w:rPr>
          <w:rFonts w:asciiTheme="majorBidi" w:hAnsiTheme="majorBidi" w:cstheme="majorBidi"/>
          <w:sz w:val="22"/>
          <w:szCs w:val="22"/>
        </w:rPr>
      </w:pPr>
      <w:r w:rsidRPr="004617D1">
        <w:rPr>
          <w:rFonts w:asciiTheme="majorBidi" w:hAnsiTheme="majorBidi" w:cstheme="majorBidi"/>
          <w:i/>
          <w:sz w:val="22"/>
          <w:szCs w:val="22"/>
        </w:rPr>
        <w:t>Schriftsatz und Rechtschreibung</w:t>
      </w:r>
      <w:r w:rsidRPr="004617D1">
        <w:rPr>
          <w:rFonts w:asciiTheme="majorBidi" w:hAnsiTheme="majorBidi" w:cstheme="majorBidi"/>
          <w:sz w:val="22"/>
          <w:szCs w:val="22"/>
        </w:rPr>
        <w:t>:</w:t>
      </w:r>
    </w:p>
    <w:p w14:paraId="61EEB44C" w14:textId="360CE2BC" w:rsidR="00E64175" w:rsidRPr="004617D1" w:rsidRDefault="00A1771A" w:rsidP="004617D1">
      <w:pPr>
        <w:pStyle w:val="Listenabsatz"/>
        <w:numPr>
          <w:ilvl w:val="0"/>
          <w:numId w:val="9"/>
        </w:numPr>
        <w:rPr>
          <w:rFonts w:asciiTheme="majorBidi" w:hAnsiTheme="majorBidi" w:cstheme="majorBidi"/>
          <w:sz w:val="22"/>
          <w:szCs w:val="22"/>
        </w:rPr>
      </w:pPr>
      <w:r w:rsidRPr="004617D1">
        <w:rPr>
          <w:rFonts w:asciiTheme="majorBidi" w:hAnsiTheme="majorBidi" w:cstheme="majorBidi"/>
          <w:sz w:val="22"/>
          <w:szCs w:val="22"/>
        </w:rPr>
        <w:t xml:space="preserve">Die Beiträge sind in einem Unicode-Schriftsatz (bevorzugt Times New Roman) zu verfassen. Deutschsprachige Beiträge sind in neuer deutscher Rechtschreibung gemäß „Duden – Die Rechtschreibung“ abzufassen, englischsprachige gemäß dem Oxford Style Manual oder dem Chicago Manual </w:t>
      </w:r>
      <w:proofErr w:type="spellStart"/>
      <w:r w:rsidRPr="004617D1">
        <w:rPr>
          <w:rFonts w:asciiTheme="majorBidi" w:hAnsiTheme="majorBidi" w:cstheme="majorBidi"/>
          <w:sz w:val="22"/>
          <w:szCs w:val="22"/>
        </w:rPr>
        <w:t>of</w:t>
      </w:r>
      <w:proofErr w:type="spellEnd"/>
      <w:r w:rsidRPr="004617D1">
        <w:rPr>
          <w:rFonts w:asciiTheme="majorBidi" w:hAnsiTheme="majorBidi" w:cstheme="majorBidi"/>
          <w:sz w:val="22"/>
          <w:szCs w:val="22"/>
        </w:rPr>
        <w:t xml:space="preserve"> Style.</w:t>
      </w:r>
    </w:p>
    <w:p w14:paraId="7F5BBF10" w14:textId="2763253C" w:rsidR="00A1771A" w:rsidRPr="004617D1" w:rsidRDefault="00A1771A" w:rsidP="004617D1">
      <w:pPr>
        <w:pStyle w:val="Listenabsatz"/>
        <w:numPr>
          <w:ilvl w:val="0"/>
          <w:numId w:val="9"/>
        </w:numPr>
        <w:rPr>
          <w:rFonts w:asciiTheme="majorBidi" w:hAnsiTheme="majorBidi" w:cstheme="majorBidi"/>
          <w:sz w:val="22"/>
          <w:szCs w:val="22"/>
        </w:rPr>
      </w:pPr>
      <w:r w:rsidRPr="004617D1">
        <w:rPr>
          <w:rFonts w:asciiTheme="majorBidi" w:hAnsiTheme="majorBidi" w:cstheme="majorBidi"/>
          <w:sz w:val="22"/>
          <w:szCs w:val="22"/>
        </w:rPr>
        <w:t>Fußnoten in Titel und Untertitel sind nicht möglich.</w:t>
      </w:r>
    </w:p>
    <w:p w14:paraId="7DBDBF1F" w14:textId="77777777" w:rsidR="00A1771A" w:rsidRPr="004617D1" w:rsidRDefault="00A1771A" w:rsidP="00154840">
      <w:pPr>
        <w:rPr>
          <w:rFonts w:asciiTheme="majorBidi" w:hAnsiTheme="majorBidi" w:cstheme="majorBidi"/>
          <w:sz w:val="22"/>
          <w:szCs w:val="22"/>
        </w:rPr>
      </w:pPr>
    </w:p>
    <w:p w14:paraId="1ADC1949" w14:textId="77EA6DA1" w:rsidR="000219FE" w:rsidRPr="004617D1" w:rsidRDefault="00E64175" w:rsidP="00154840">
      <w:pPr>
        <w:rPr>
          <w:rFonts w:asciiTheme="majorBidi" w:hAnsiTheme="majorBidi" w:cstheme="majorBidi"/>
          <w:i/>
          <w:iCs/>
          <w:sz w:val="22"/>
          <w:szCs w:val="22"/>
        </w:rPr>
      </w:pPr>
      <w:r w:rsidRPr="004617D1">
        <w:rPr>
          <w:rFonts w:asciiTheme="majorBidi" w:hAnsiTheme="majorBidi" w:cstheme="majorBidi"/>
          <w:i/>
          <w:iCs/>
          <w:sz w:val="22"/>
          <w:szCs w:val="22"/>
        </w:rPr>
        <w:t xml:space="preserve">Titel, </w:t>
      </w:r>
      <w:r w:rsidR="000219FE" w:rsidRPr="004617D1">
        <w:rPr>
          <w:rFonts w:asciiTheme="majorBidi" w:hAnsiTheme="majorBidi" w:cstheme="majorBidi"/>
          <w:i/>
          <w:iCs/>
          <w:sz w:val="22"/>
          <w:szCs w:val="22"/>
        </w:rPr>
        <w:t>Abstract, Keywords und Angaben zum Verfasser:</w:t>
      </w:r>
    </w:p>
    <w:p w14:paraId="74C1C739" w14:textId="77777777" w:rsidR="000219FE" w:rsidRPr="004617D1" w:rsidRDefault="00A1771A" w:rsidP="004617D1">
      <w:pPr>
        <w:pStyle w:val="Listenabsatz"/>
        <w:numPr>
          <w:ilvl w:val="0"/>
          <w:numId w:val="10"/>
        </w:numPr>
        <w:rPr>
          <w:rFonts w:asciiTheme="majorBidi" w:hAnsiTheme="majorBidi" w:cstheme="majorBidi"/>
          <w:sz w:val="22"/>
          <w:szCs w:val="22"/>
        </w:rPr>
      </w:pPr>
      <w:r w:rsidRPr="004617D1">
        <w:rPr>
          <w:rFonts w:asciiTheme="majorBidi" w:hAnsiTheme="majorBidi" w:cstheme="majorBidi"/>
          <w:sz w:val="22"/>
          <w:szCs w:val="22"/>
        </w:rPr>
        <w:t xml:space="preserve">Jedem Beitrag sind ein </w:t>
      </w:r>
      <w:r w:rsidRPr="004617D1">
        <w:rPr>
          <w:rFonts w:asciiTheme="majorBidi" w:hAnsiTheme="majorBidi" w:cstheme="majorBidi"/>
          <w:i/>
          <w:sz w:val="22"/>
          <w:szCs w:val="22"/>
        </w:rPr>
        <w:t>Abstract</w:t>
      </w:r>
      <w:r w:rsidRPr="004617D1">
        <w:rPr>
          <w:rFonts w:asciiTheme="majorBidi" w:hAnsiTheme="majorBidi" w:cstheme="majorBidi"/>
          <w:sz w:val="22"/>
          <w:szCs w:val="22"/>
        </w:rPr>
        <w:t xml:space="preserve"> von ca. 8–12 Zeilen in englischer Sprache sowie einige thematische „</w:t>
      </w:r>
      <w:r w:rsidRPr="004617D1">
        <w:rPr>
          <w:rFonts w:asciiTheme="majorBidi" w:hAnsiTheme="majorBidi" w:cstheme="majorBidi"/>
          <w:i/>
          <w:sz w:val="22"/>
          <w:szCs w:val="22"/>
        </w:rPr>
        <w:t>Keywords</w:t>
      </w:r>
      <w:r w:rsidRPr="004617D1">
        <w:rPr>
          <w:rFonts w:asciiTheme="majorBidi" w:hAnsiTheme="majorBidi" w:cstheme="majorBidi"/>
          <w:sz w:val="22"/>
          <w:szCs w:val="22"/>
        </w:rPr>
        <w:t xml:space="preserve">“ voranzustellen. </w:t>
      </w:r>
      <w:r w:rsidR="00D16049" w:rsidRPr="004617D1">
        <w:rPr>
          <w:rFonts w:asciiTheme="majorBidi" w:hAnsiTheme="majorBidi" w:cstheme="majorBidi"/>
          <w:sz w:val="22"/>
          <w:szCs w:val="22"/>
        </w:rPr>
        <w:t>Sie sind durch Kommata voneinander abzugrenzen und schließen ohne Punkt.</w:t>
      </w:r>
    </w:p>
    <w:p w14:paraId="735A0145" w14:textId="20804AC9" w:rsidR="00A1771A" w:rsidRPr="004617D1" w:rsidRDefault="00A1771A" w:rsidP="00154840">
      <w:pPr>
        <w:pStyle w:val="Listenabsatz"/>
        <w:numPr>
          <w:ilvl w:val="0"/>
          <w:numId w:val="10"/>
        </w:numPr>
        <w:rPr>
          <w:rFonts w:asciiTheme="majorBidi" w:hAnsiTheme="majorBidi" w:cstheme="majorBidi"/>
          <w:sz w:val="22"/>
          <w:szCs w:val="22"/>
        </w:rPr>
      </w:pPr>
      <w:r w:rsidRPr="004617D1">
        <w:rPr>
          <w:rFonts w:asciiTheme="majorBidi" w:hAnsiTheme="majorBidi" w:cstheme="majorBidi"/>
          <w:sz w:val="22"/>
          <w:szCs w:val="22"/>
        </w:rPr>
        <w:t>Am Ende des Beitrags sollen der Name, das Institut, die Adresse, das Land und die E-Mail-Adresse des Autors genannt werden.</w:t>
      </w:r>
    </w:p>
    <w:p w14:paraId="3F989D37" w14:textId="50F6C5D3" w:rsidR="00E64175" w:rsidRPr="004617D1" w:rsidRDefault="00E64175" w:rsidP="004617D1">
      <w:pPr>
        <w:pStyle w:val="Listenabsatz"/>
        <w:numPr>
          <w:ilvl w:val="0"/>
          <w:numId w:val="10"/>
        </w:numPr>
        <w:rPr>
          <w:rFonts w:asciiTheme="majorBidi" w:hAnsiTheme="majorBidi" w:cstheme="majorBidi"/>
          <w:sz w:val="22"/>
          <w:szCs w:val="22"/>
        </w:rPr>
      </w:pPr>
      <w:r w:rsidRPr="004617D1">
        <w:rPr>
          <w:rFonts w:asciiTheme="majorBidi" w:hAnsiTheme="majorBidi" w:cstheme="majorBidi"/>
          <w:sz w:val="22"/>
          <w:szCs w:val="22"/>
        </w:rPr>
        <w:t>Bitte bei langen Titeln einen Kurztitel für die Kopfzeile formulieren.</w:t>
      </w:r>
    </w:p>
    <w:p w14:paraId="5EEF9B64" w14:textId="77777777" w:rsidR="00A1771A" w:rsidRPr="004617D1" w:rsidRDefault="00A1771A" w:rsidP="00154840">
      <w:pPr>
        <w:rPr>
          <w:rFonts w:asciiTheme="majorBidi" w:hAnsiTheme="majorBidi" w:cstheme="majorBidi"/>
          <w:sz w:val="22"/>
          <w:szCs w:val="22"/>
        </w:rPr>
      </w:pPr>
    </w:p>
    <w:p w14:paraId="292937C0" w14:textId="77777777" w:rsidR="00A1771A" w:rsidRPr="004617D1" w:rsidRDefault="00A1771A" w:rsidP="00154840">
      <w:pPr>
        <w:widowControl w:val="0"/>
        <w:tabs>
          <w:tab w:val="left" w:pos="220"/>
          <w:tab w:val="left" w:pos="720"/>
        </w:tabs>
        <w:autoSpaceDE w:val="0"/>
        <w:autoSpaceDN w:val="0"/>
        <w:adjustRightInd w:val="0"/>
        <w:rPr>
          <w:rFonts w:asciiTheme="majorBidi" w:hAnsiTheme="majorBidi" w:cstheme="majorBidi"/>
          <w:sz w:val="22"/>
          <w:szCs w:val="22"/>
        </w:rPr>
      </w:pPr>
      <w:r w:rsidRPr="004617D1">
        <w:rPr>
          <w:rFonts w:asciiTheme="majorBidi" w:hAnsiTheme="majorBidi" w:cstheme="majorBidi"/>
          <w:i/>
          <w:sz w:val="22"/>
          <w:szCs w:val="22"/>
        </w:rPr>
        <w:t>Danksagungen/Anmerkungen/Hinweise auf Abkürzungsverzeichnisse</w:t>
      </w:r>
      <w:r w:rsidRPr="004617D1">
        <w:rPr>
          <w:rFonts w:asciiTheme="majorBidi" w:hAnsiTheme="majorBidi" w:cstheme="majorBidi"/>
          <w:sz w:val="22"/>
          <w:szCs w:val="22"/>
        </w:rPr>
        <w:t xml:space="preserve"> können nicht als erste Fußnote gesetzt werden, sondern stehen vor der Bibliografie.</w:t>
      </w:r>
    </w:p>
    <w:p w14:paraId="2D4C9439" w14:textId="77777777" w:rsidR="00A1771A" w:rsidRPr="004617D1" w:rsidRDefault="00A1771A" w:rsidP="00154840">
      <w:pPr>
        <w:rPr>
          <w:rFonts w:asciiTheme="majorBidi" w:hAnsiTheme="majorBidi" w:cstheme="majorBidi"/>
          <w:sz w:val="22"/>
          <w:szCs w:val="22"/>
        </w:rPr>
      </w:pPr>
    </w:p>
    <w:p w14:paraId="6DDF0F84" w14:textId="77777777" w:rsidR="00A1771A" w:rsidRPr="004617D1" w:rsidRDefault="00A1771A" w:rsidP="00154840">
      <w:pPr>
        <w:rPr>
          <w:rFonts w:asciiTheme="majorBidi" w:hAnsiTheme="majorBidi" w:cstheme="majorBidi"/>
          <w:sz w:val="22"/>
          <w:szCs w:val="22"/>
        </w:rPr>
      </w:pPr>
      <w:r w:rsidRPr="004617D1">
        <w:rPr>
          <w:rFonts w:asciiTheme="majorBidi" w:hAnsiTheme="majorBidi" w:cstheme="majorBidi"/>
          <w:i/>
          <w:sz w:val="22"/>
          <w:szCs w:val="22"/>
        </w:rPr>
        <w:t>Abkürzungen</w:t>
      </w:r>
      <w:r w:rsidRPr="004617D1">
        <w:rPr>
          <w:rFonts w:asciiTheme="majorBidi" w:hAnsiTheme="majorBidi" w:cstheme="majorBidi"/>
          <w:sz w:val="22"/>
          <w:szCs w:val="22"/>
        </w:rPr>
        <w:t xml:space="preserve"> von Literatur folgen den Vorgaben des Reallexikons der Assyriologie und Vorderasiatischen Archäologie. Werden folgende andere Standardwerke verwendet, so sind diese sowie eventuelle zusätzliche Abkürzungen in den Anmerkungen vor der Bibliografie aufzuführen: Archiv für Orientforschung, Akkadisches Handwörterbuch, Chicago </w:t>
      </w:r>
      <w:proofErr w:type="spellStart"/>
      <w:r w:rsidRPr="004617D1">
        <w:rPr>
          <w:rFonts w:asciiTheme="majorBidi" w:hAnsiTheme="majorBidi" w:cstheme="majorBidi"/>
          <w:sz w:val="22"/>
          <w:szCs w:val="22"/>
        </w:rPr>
        <w:t>Assyrian</w:t>
      </w:r>
      <w:proofErr w:type="spellEnd"/>
      <w:r w:rsidRPr="004617D1">
        <w:rPr>
          <w:rFonts w:asciiTheme="majorBidi" w:hAnsiTheme="majorBidi" w:cstheme="majorBidi"/>
          <w:sz w:val="22"/>
          <w:szCs w:val="22"/>
        </w:rPr>
        <w:t xml:space="preserve"> Dictionary, Chicago </w:t>
      </w:r>
      <w:proofErr w:type="spellStart"/>
      <w:r w:rsidRPr="004617D1">
        <w:rPr>
          <w:rFonts w:asciiTheme="majorBidi" w:hAnsiTheme="majorBidi" w:cstheme="majorBidi"/>
          <w:sz w:val="22"/>
          <w:szCs w:val="22"/>
        </w:rPr>
        <w:t>Hittite</w:t>
      </w:r>
      <w:proofErr w:type="spellEnd"/>
      <w:r w:rsidRPr="004617D1">
        <w:rPr>
          <w:rFonts w:asciiTheme="majorBidi" w:hAnsiTheme="majorBidi" w:cstheme="majorBidi"/>
          <w:sz w:val="22"/>
          <w:szCs w:val="22"/>
        </w:rPr>
        <w:t xml:space="preserve"> Dictionary, Keilschriftbibliografie von </w:t>
      </w:r>
      <w:proofErr w:type="spellStart"/>
      <w:r w:rsidRPr="004617D1">
        <w:rPr>
          <w:rFonts w:asciiTheme="majorBidi" w:hAnsiTheme="majorBidi" w:cstheme="majorBidi"/>
          <w:sz w:val="22"/>
          <w:szCs w:val="22"/>
        </w:rPr>
        <w:t>Orientalia</w:t>
      </w:r>
      <w:proofErr w:type="spellEnd"/>
      <w:r w:rsidRPr="004617D1">
        <w:rPr>
          <w:rFonts w:asciiTheme="majorBidi" w:hAnsiTheme="majorBidi" w:cstheme="majorBidi"/>
          <w:sz w:val="22"/>
          <w:szCs w:val="22"/>
        </w:rPr>
        <w:t>, Hethitisches Wörterbuch</w:t>
      </w:r>
      <w:r w:rsidRPr="004617D1">
        <w:rPr>
          <w:rFonts w:asciiTheme="majorBidi" w:hAnsiTheme="majorBidi" w:cstheme="majorBidi"/>
          <w:sz w:val="22"/>
          <w:szCs w:val="22"/>
          <w:vertAlign w:val="superscript"/>
        </w:rPr>
        <w:t>2</w:t>
      </w:r>
      <w:r w:rsidRPr="004617D1">
        <w:rPr>
          <w:rFonts w:asciiTheme="majorBidi" w:hAnsiTheme="majorBidi" w:cstheme="majorBidi"/>
          <w:sz w:val="22"/>
          <w:szCs w:val="22"/>
        </w:rPr>
        <w:t xml:space="preserve"> oder Deutsches Archäologisches Institut.</w:t>
      </w:r>
    </w:p>
    <w:p w14:paraId="34CDB82A" w14:textId="27E67C03" w:rsidR="00D16049" w:rsidRPr="004617D1" w:rsidRDefault="00D16049" w:rsidP="00154840">
      <w:pPr>
        <w:rPr>
          <w:rFonts w:asciiTheme="majorBidi" w:hAnsiTheme="majorBidi" w:cstheme="majorBidi"/>
          <w:sz w:val="22"/>
          <w:szCs w:val="22"/>
        </w:rPr>
      </w:pPr>
    </w:p>
    <w:p w14:paraId="48672F9E" w14:textId="08CCC14C" w:rsidR="00D16049" w:rsidRPr="004617D1" w:rsidRDefault="00D16049" w:rsidP="00154840">
      <w:pPr>
        <w:rPr>
          <w:rFonts w:asciiTheme="majorBidi" w:hAnsiTheme="majorBidi" w:cstheme="majorBidi"/>
          <w:sz w:val="22"/>
          <w:szCs w:val="22"/>
        </w:rPr>
      </w:pPr>
      <w:r w:rsidRPr="004617D1">
        <w:rPr>
          <w:rFonts w:asciiTheme="majorBidi" w:hAnsiTheme="majorBidi" w:cstheme="majorBidi"/>
          <w:i/>
          <w:iCs/>
          <w:sz w:val="22"/>
          <w:szCs w:val="22"/>
        </w:rPr>
        <w:t>Formatierungsvorgaben</w:t>
      </w:r>
      <w:r w:rsidR="008D1916" w:rsidRPr="004617D1">
        <w:rPr>
          <w:rFonts w:asciiTheme="majorBidi" w:hAnsiTheme="majorBidi" w:cstheme="majorBidi"/>
          <w:i/>
          <w:iCs/>
          <w:sz w:val="22"/>
          <w:szCs w:val="22"/>
        </w:rPr>
        <w:t>, Umschriftkonventionen</w:t>
      </w:r>
      <w:r w:rsidRPr="004617D1">
        <w:rPr>
          <w:rFonts w:asciiTheme="majorBidi" w:hAnsiTheme="majorBidi" w:cstheme="majorBidi"/>
          <w:sz w:val="22"/>
          <w:szCs w:val="22"/>
        </w:rPr>
        <w:t>:</w:t>
      </w:r>
    </w:p>
    <w:p w14:paraId="0E89950B" w14:textId="05B8F85D" w:rsidR="00D16049" w:rsidRPr="00803AD0" w:rsidRDefault="00D16049" w:rsidP="00154840">
      <w:pPr>
        <w:numPr>
          <w:ilvl w:val="0"/>
          <w:numId w:val="3"/>
        </w:numPr>
        <w:rPr>
          <w:rFonts w:asciiTheme="majorBidi" w:hAnsiTheme="majorBidi" w:cstheme="majorBidi"/>
          <w:bCs/>
          <w:sz w:val="22"/>
          <w:szCs w:val="22"/>
        </w:rPr>
      </w:pPr>
      <w:r w:rsidRPr="00803AD0">
        <w:rPr>
          <w:rFonts w:asciiTheme="majorBidi" w:hAnsiTheme="majorBidi" w:cstheme="majorBidi"/>
          <w:bCs/>
          <w:sz w:val="22"/>
          <w:szCs w:val="22"/>
        </w:rPr>
        <w:t xml:space="preserve">Zahlen sind voll auszuschreiben, i.e. 264–265 (statt 264–5); </w:t>
      </w:r>
      <w:r w:rsidR="00E64175" w:rsidRPr="00803AD0">
        <w:rPr>
          <w:rFonts w:asciiTheme="majorBidi" w:hAnsiTheme="majorBidi" w:cstheme="majorBidi"/>
          <w:bCs/>
          <w:sz w:val="22"/>
          <w:szCs w:val="22"/>
        </w:rPr>
        <w:t>Angaben „von–</w:t>
      </w:r>
      <w:r w:rsidRPr="00803AD0">
        <w:rPr>
          <w:rFonts w:asciiTheme="majorBidi" w:hAnsiTheme="majorBidi" w:cstheme="majorBidi"/>
          <w:bCs/>
          <w:sz w:val="22"/>
          <w:szCs w:val="22"/>
        </w:rPr>
        <w:t xml:space="preserve">bis“ </w:t>
      </w:r>
      <w:r w:rsidR="00E64175" w:rsidRPr="00803AD0">
        <w:rPr>
          <w:rFonts w:asciiTheme="majorBidi" w:hAnsiTheme="majorBidi" w:cstheme="majorBidi"/>
          <w:bCs/>
          <w:sz w:val="22"/>
          <w:szCs w:val="22"/>
        </w:rPr>
        <w:t>sind</w:t>
      </w:r>
      <w:r w:rsidRPr="00803AD0">
        <w:rPr>
          <w:rFonts w:asciiTheme="majorBidi" w:hAnsiTheme="majorBidi" w:cstheme="majorBidi"/>
          <w:bCs/>
          <w:sz w:val="22"/>
          <w:szCs w:val="22"/>
        </w:rPr>
        <w:t xml:space="preserve"> mit Halbgeviertstrich „–“ zu verbinden, nicht mit Bindestrich „-“, i.e. 264–265 (statt 264-265</w:t>
      </w:r>
      <w:r w:rsidR="001C6F1E" w:rsidRPr="00803AD0">
        <w:rPr>
          <w:rFonts w:asciiTheme="majorBidi" w:hAnsiTheme="majorBidi" w:cstheme="majorBidi"/>
          <w:bCs/>
          <w:sz w:val="22"/>
          <w:szCs w:val="22"/>
        </w:rPr>
        <w:t>; 1998–2001; iii 5′–7′.</w:t>
      </w:r>
    </w:p>
    <w:p w14:paraId="675E8EC1" w14:textId="77777777" w:rsidR="00D16049" w:rsidRPr="00803AD0" w:rsidRDefault="00D16049" w:rsidP="004617D1">
      <w:pPr>
        <w:pStyle w:val="Listenabsatz"/>
        <w:widowControl w:val="0"/>
        <w:numPr>
          <w:ilvl w:val="0"/>
          <w:numId w:val="3"/>
        </w:numPr>
        <w:autoSpaceDE w:val="0"/>
        <w:autoSpaceDN w:val="0"/>
        <w:adjustRightInd w:val="0"/>
        <w:ind w:right="-432"/>
        <w:rPr>
          <w:rFonts w:asciiTheme="majorBidi" w:hAnsiTheme="majorBidi" w:cstheme="majorBidi"/>
          <w:bCs/>
          <w:sz w:val="22"/>
          <w:szCs w:val="22"/>
        </w:rPr>
      </w:pPr>
      <w:r w:rsidRPr="00803AD0">
        <w:rPr>
          <w:rFonts w:asciiTheme="majorBidi" w:hAnsiTheme="majorBidi" w:cstheme="majorBidi"/>
          <w:bCs/>
          <w:sz w:val="22"/>
          <w:szCs w:val="22"/>
        </w:rPr>
        <w:t xml:space="preserve">′ (Minutenstrich) statt ’ für den Zeilenstrich, e.g. </w:t>
      </w:r>
      <w:proofErr w:type="spellStart"/>
      <w:r w:rsidRPr="00803AD0">
        <w:rPr>
          <w:rFonts w:asciiTheme="majorBidi" w:hAnsiTheme="majorBidi" w:cstheme="majorBidi"/>
          <w:bCs/>
          <w:sz w:val="22"/>
          <w:szCs w:val="22"/>
        </w:rPr>
        <w:t>KBo</w:t>
      </w:r>
      <w:proofErr w:type="spellEnd"/>
      <w:r w:rsidRPr="00803AD0">
        <w:rPr>
          <w:rFonts w:asciiTheme="majorBidi" w:hAnsiTheme="majorBidi" w:cstheme="majorBidi"/>
          <w:bCs/>
          <w:sz w:val="22"/>
          <w:szCs w:val="22"/>
        </w:rPr>
        <w:t>. 1.1 Rs. iii 12′ statt 12’.</w:t>
      </w:r>
    </w:p>
    <w:p w14:paraId="384F3A8C" w14:textId="2B6DC22C" w:rsidR="001C6F1E" w:rsidRPr="00803AD0" w:rsidRDefault="001C6F1E" w:rsidP="004617D1">
      <w:pPr>
        <w:pStyle w:val="Listenabsatz"/>
        <w:widowControl w:val="0"/>
        <w:numPr>
          <w:ilvl w:val="0"/>
          <w:numId w:val="3"/>
        </w:numPr>
        <w:autoSpaceDE w:val="0"/>
        <w:autoSpaceDN w:val="0"/>
        <w:adjustRightInd w:val="0"/>
        <w:ind w:right="-432"/>
        <w:rPr>
          <w:rFonts w:asciiTheme="majorBidi" w:hAnsiTheme="majorBidi" w:cstheme="majorBidi"/>
          <w:bCs/>
          <w:sz w:val="22"/>
          <w:szCs w:val="22"/>
        </w:rPr>
      </w:pPr>
      <w:r w:rsidRPr="00803AD0">
        <w:rPr>
          <w:rFonts w:asciiTheme="majorBidi" w:hAnsiTheme="majorBidi" w:cstheme="majorBidi"/>
          <w:bCs/>
          <w:sz w:val="22"/>
          <w:szCs w:val="22"/>
        </w:rPr>
        <w:t>Kolumnenbezeichnungen werden kleingeschrieben.</w:t>
      </w:r>
    </w:p>
    <w:p w14:paraId="74B48F15" w14:textId="71DCE3FF" w:rsidR="00D16049" w:rsidRPr="00803AD0" w:rsidRDefault="00D16049" w:rsidP="00154840">
      <w:pPr>
        <w:numPr>
          <w:ilvl w:val="0"/>
          <w:numId w:val="3"/>
        </w:numPr>
        <w:rPr>
          <w:rFonts w:asciiTheme="majorBidi" w:hAnsiTheme="majorBidi" w:cstheme="majorBidi"/>
          <w:bCs/>
          <w:sz w:val="22"/>
          <w:szCs w:val="22"/>
        </w:rPr>
      </w:pPr>
      <w:r w:rsidRPr="00803AD0">
        <w:rPr>
          <w:rFonts w:asciiTheme="majorBidi" w:hAnsiTheme="majorBidi" w:cstheme="majorBidi"/>
          <w:bCs/>
          <w:sz w:val="22"/>
          <w:szCs w:val="22"/>
        </w:rPr>
        <w:t>Anführungsstriche sind im Deutschen folgendermaßen zu setzen: „Der ‚Sitz im Leben‘ des Textes ...“; im Englischen hingegen: “</w:t>
      </w:r>
      <w:proofErr w:type="spellStart"/>
      <w:r w:rsidRPr="00803AD0">
        <w:rPr>
          <w:rFonts w:asciiTheme="majorBidi" w:hAnsiTheme="majorBidi" w:cstheme="majorBidi"/>
          <w:bCs/>
          <w:sz w:val="22"/>
          <w:szCs w:val="22"/>
        </w:rPr>
        <w:t>as</w:t>
      </w:r>
      <w:proofErr w:type="spellEnd"/>
      <w:r w:rsidRPr="00803AD0">
        <w:rPr>
          <w:rFonts w:asciiTheme="majorBidi" w:hAnsiTheme="majorBidi" w:cstheme="majorBidi"/>
          <w:bCs/>
          <w:sz w:val="22"/>
          <w:szCs w:val="22"/>
        </w:rPr>
        <w:t xml:space="preserve"> </w:t>
      </w:r>
      <w:proofErr w:type="spellStart"/>
      <w:r w:rsidRPr="00803AD0">
        <w:rPr>
          <w:rFonts w:asciiTheme="majorBidi" w:hAnsiTheme="majorBidi" w:cstheme="majorBidi"/>
          <w:bCs/>
          <w:sz w:val="22"/>
          <w:szCs w:val="22"/>
        </w:rPr>
        <w:t>it</w:t>
      </w:r>
      <w:proofErr w:type="spellEnd"/>
      <w:r w:rsidRPr="00803AD0">
        <w:rPr>
          <w:rFonts w:asciiTheme="majorBidi" w:hAnsiTheme="majorBidi" w:cstheme="majorBidi"/>
          <w:bCs/>
          <w:sz w:val="22"/>
          <w:szCs w:val="22"/>
        </w:rPr>
        <w:t xml:space="preserve"> </w:t>
      </w:r>
      <w:proofErr w:type="spellStart"/>
      <w:r w:rsidRPr="00803AD0">
        <w:rPr>
          <w:rFonts w:asciiTheme="majorBidi" w:hAnsiTheme="majorBidi" w:cstheme="majorBidi"/>
          <w:bCs/>
          <w:sz w:val="22"/>
          <w:szCs w:val="22"/>
        </w:rPr>
        <w:t>is</w:t>
      </w:r>
      <w:proofErr w:type="spellEnd"/>
      <w:r w:rsidRPr="00803AD0">
        <w:rPr>
          <w:rFonts w:asciiTheme="majorBidi" w:hAnsiTheme="majorBidi" w:cstheme="majorBidi"/>
          <w:bCs/>
          <w:sz w:val="22"/>
          <w:szCs w:val="22"/>
        </w:rPr>
        <w:t xml:space="preserve"> ‘</w:t>
      </w:r>
      <w:proofErr w:type="spellStart"/>
      <w:r w:rsidRPr="00803AD0">
        <w:rPr>
          <w:rFonts w:asciiTheme="majorBidi" w:hAnsiTheme="majorBidi" w:cstheme="majorBidi"/>
          <w:bCs/>
          <w:sz w:val="22"/>
          <w:szCs w:val="22"/>
        </w:rPr>
        <w:t>known</w:t>
      </w:r>
      <w:proofErr w:type="spellEnd"/>
      <w:r w:rsidRPr="00803AD0">
        <w:rPr>
          <w:rFonts w:asciiTheme="majorBidi" w:hAnsiTheme="majorBidi" w:cstheme="majorBidi"/>
          <w:bCs/>
          <w:sz w:val="22"/>
          <w:szCs w:val="22"/>
        </w:rPr>
        <w:t>’ ...”.</w:t>
      </w:r>
    </w:p>
    <w:p w14:paraId="7CDFC208" w14:textId="7832C9B0" w:rsidR="001C6F1E" w:rsidRPr="00803AD0" w:rsidRDefault="001C6F1E" w:rsidP="00154840">
      <w:pPr>
        <w:numPr>
          <w:ilvl w:val="0"/>
          <w:numId w:val="3"/>
        </w:numPr>
        <w:rPr>
          <w:rFonts w:asciiTheme="majorBidi" w:hAnsiTheme="majorBidi" w:cstheme="majorBidi"/>
          <w:bCs/>
          <w:sz w:val="22"/>
          <w:szCs w:val="22"/>
        </w:rPr>
      </w:pPr>
      <w:r w:rsidRPr="00803AD0">
        <w:rPr>
          <w:rFonts w:asciiTheme="majorBidi" w:hAnsiTheme="majorBidi" w:cstheme="majorBidi"/>
          <w:bCs/>
          <w:sz w:val="22"/>
          <w:szCs w:val="22"/>
        </w:rPr>
        <w:t>Zwischen zwei Zahlen steht immer eine Interpunktion, i.e. BPOA 1, 115 (statt BPOA 1 115).</w:t>
      </w:r>
    </w:p>
    <w:p w14:paraId="200B7DC9" w14:textId="77777777" w:rsidR="008D1916" w:rsidRPr="00803AD0" w:rsidRDefault="008D1916" w:rsidP="00154840">
      <w:pPr>
        <w:pStyle w:val="Listenabsatz"/>
        <w:numPr>
          <w:ilvl w:val="0"/>
          <w:numId w:val="7"/>
        </w:numPr>
        <w:rPr>
          <w:rFonts w:asciiTheme="majorBidi" w:hAnsiTheme="majorBidi" w:cstheme="majorBidi"/>
          <w:bCs/>
          <w:sz w:val="22"/>
          <w:szCs w:val="22"/>
        </w:rPr>
      </w:pPr>
      <w:r w:rsidRPr="00803AD0">
        <w:rPr>
          <w:rFonts w:asciiTheme="majorBidi" w:hAnsiTheme="majorBidi" w:cstheme="majorBidi"/>
          <w:bCs/>
          <w:sz w:val="22"/>
          <w:szCs w:val="22"/>
        </w:rPr>
        <w:lastRenderedPageBreak/>
        <w:t xml:space="preserve">Im Fließtext werden sumerische Wörter </w:t>
      </w:r>
      <w:r w:rsidRPr="00803AD0">
        <w:rPr>
          <w:rFonts w:asciiTheme="majorBidi" w:hAnsiTheme="majorBidi" w:cstheme="majorBidi"/>
          <w:bCs/>
          <w:spacing w:val="24"/>
          <w:sz w:val="22"/>
          <w:szCs w:val="22"/>
        </w:rPr>
        <w:t>gesperrt</w:t>
      </w:r>
      <w:r w:rsidRPr="00803AD0">
        <w:rPr>
          <w:rFonts w:asciiTheme="majorBidi" w:hAnsiTheme="majorBidi" w:cstheme="majorBidi"/>
          <w:bCs/>
          <w:spacing w:val="20"/>
          <w:sz w:val="22"/>
          <w:szCs w:val="22"/>
        </w:rPr>
        <w:t xml:space="preserve"> </w:t>
      </w:r>
      <w:r w:rsidRPr="00803AD0">
        <w:rPr>
          <w:rFonts w:asciiTheme="majorBidi" w:hAnsiTheme="majorBidi" w:cstheme="majorBidi"/>
          <w:bCs/>
          <w:sz w:val="22"/>
          <w:szCs w:val="22"/>
        </w:rPr>
        <w:t xml:space="preserve">gesetzt, akkadische und hethitische </w:t>
      </w:r>
      <w:r w:rsidRPr="00803AD0">
        <w:rPr>
          <w:rFonts w:asciiTheme="majorBidi" w:hAnsiTheme="majorBidi" w:cstheme="majorBidi"/>
          <w:bCs/>
          <w:i/>
          <w:sz w:val="22"/>
          <w:szCs w:val="22"/>
        </w:rPr>
        <w:t>kursiv</w:t>
      </w:r>
      <w:r w:rsidRPr="00803AD0">
        <w:rPr>
          <w:rFonts w:asciiTheme="majorBidi" w:hAnsiTheme="majorBidi" w:cstheme="majorBidi"/>
          <w:bCs/>
          <w:sz w:val="22"/>
          <w:szCs w:val="22"/>
        </w:rPr>
        <w:t>.</w:t>
      </w:r>
    </w:p>
    <w:p w14:paraId="73E55DE2" w14:textId="77777777" w:rsidR="008D1916" w:rsidRPr="00803AD0" w:rsidRDefault="008D1916" w:rsidP="00154840">
      <w:pPr>
        <w:pStyle w:val="Listenabsatz"/>
        <w:numPr>
          <w:ilvl w:val="0"/>
          <w:numId w:val="7"/>
        </w:numPr>
        <w:rPr>
          <w:rFonts w:asciiTheme="majorBidi" w:hAnsiTheme="majorBidi" w:cstheme="majorBidi"/>
          <w:bCs/>
          <w:sz w:val="22"/>
          <w:szCs w:val="22"/>
        </w:rPr>
      </w:pPr>
      <w:r w:rsidRPr="00803AD0">
        <w:rPr>
          <w:rFonts w:asciiTheme="majorBidi" w:hAnsiTheme="majorBidi" w:cstheme="majorBidi"/>
          <w:bCs/>
          <w:sz w:val="22"/>
          <w:szCs w:val="22"/>
        </w:rPr>
        <w:t xml:space="preserve">In den Umschriften wird Sumerisch in Normalschrift gesetzt, Akkadisch und Hethitisch </w:t>
      </w:r>
      <w:r w:rsidRPr="00803AD0">
        <w:rPr>
          <w:rFonts w:asciiTheme="majorBidi" w:hAnsiTheme="majorBidi" w:cstheme="majorBidi"/>
          <w:bCs/>
          <w:i/>
          <w:sz w:val="22"/>
          <w:szCs w:val="22"/>
        </w:rPr>
        <w:t>kursiv</w:t>
      </w:r>
      <w:r w:rsidRPr="00803AD0">
        <w:rPr>
          <w:rFonts w:asciiTheme="majorBidi" w:hAnsiTheme="majorBidi" w:cstheme="majorBidi"/>
          <w:bCs/>
          <w:sz w:val="22"/>
          <w:szCs w:val="22"/>
        </w:rPr>
        <w:t>.</w:t>
      </w:r>
    </w:p>
    <w:p w14:paraId="414FAD73" w14:textId="77777777" w:rsidR="008D1916" w:rsidRPr="00803AD0" w:rsidRDefault="008D1916" w:rsidP="00154840">
      <w:pPr>
        <w:pStyle w:val="Listenabsatz"/>
        <w:numPr>
          <w:ilvl w:val="0"/>
          <w:numId w:val="7"/>
        </w:numPr>
        <w:rPr>
          <w:rFonts w:asciiTheme="majorBidi" w:hAnsiTheme="majorBidi" w:cstheme="majorBidi"/>
          <w:bCs/>
          <w:sz w:val="22"/>
          <w:szCs w:val="22"/>
        </w:rPr>
      </w:pPr>
      <w:r w:rsidRPr="00803AD0">
        <w:rPr>
          <w:rFonts w:asciiTheme="majorBidi" w:hAnsiTheme="majorBidi" w:cstheme="majorBidi"/>
          <w:bCs/>
          <w:sz w:val="22"/>
          <w:szCs w:val="22"/>
        </w:rPr>
        <w:t xml:space="preserve">Für </w:t>
      </w:r>
      <w:proofErr w:type="spellStart"/>
      <w:r w:rsidRPr="00803AD0">
        <w:rPr>
          <w:rFonts w:asciiTheme="majorBidi" w:hAnsiTheme="majorBidi" w:cstheme="majorBidi"/>
          <w:bCs/>
          <w:sz w:val="22"/>
          <w:szCs w:val="22"/>
        </w:rPr>
        <w:t>Sumerogramme</w:t>
      </w:r>
      <w:proofErr w:type="spellEnd"/>
      <w:r w:rsidRPr="00803AD0">
        <w:rPr>
          <w:rFonts w:asciiTheme="majorBidi" w:hAnsiTheme="majorBidi" w:cstheme="majorBidi"/>
          <w:bCs/>
          <w:sz w:val="22"/>
          <w:szCs w:val="22"/>
        </w:rPr>
        <w:t xml:space="preserve"> und Zeichenformen sind </w:t>
      </w:r>
      <w:proofErr w:type="spellStart"/>
      <w:r w:rsidRPr="00803AD0">
        <w:rPr>
          <w:rFonts w:asciiTheme="majorBidi" w:hAnsiTheme="majorBidi" w:cstheme="majorBidi"/>
          <w:bCs/>
          <w:smallCaps/>
          <w:sz w:val="22"/>
          <w:szCs w:val="22"/>
        </w:rPr>
        <w:t>kapitälchen</w:t>
      </w:r>
      <w:proofErr w:type="spellEnd"/>
      <w:r w:rsidRPr="00803AD0">
        <w:rPr>
          <w:rFonts w:asciiTheme="majorBidi" w:hAnsiTheme="majorBidi" w:cstheme="majorBidi"/>
          <w:bCs/>
          <w:sz w:val="22"/>
          <w:szCs w:val="22"/>
        </w:rPr>
        <w:t xml:space="preserve"> zu verwenden, für </w:t>
      </w:r>
      <w:proofErr w:type="spellStart"/>
      <w:r w:rsidRPr="00803AD0">
        <w:rPr>
          <w:rFonts w:asciiTheme="majorBidi" w:hAnsiTheme="majorBidi" w:cstheme="majorBidi"/>
          <w:bCs/>
          <w:sz w:val="22"/>
          <w:szCs w:val="22"/>
        </w:rPr>
        <w:t>Akkadogramme</w:t>
      </w:r>
      <w:proofErr w:type="spellEnd"/>
      <w:r w:rsidRPr="00803AD0">
        <w:rPr>
          <w:rFonts w:asciiTheme="majorBidi" w:hAnsiTheme="majorBidi" w:cstheme="majorBidi"/>
          <w:bCs/>
          <w:sz w:val="22"/>
          <w:szCs w:val="22"/>
        </w:rPr>
        <w:t xml:space="preserve"> </w:t>
      </w:r>
      <w:r w:rsidRPr="00803AD0">
        <w:rPr>
          <w:rFonts w:asciiTheme="majorBidi" w:hAnsiTheme="majorBidi" w:cstheme="majorBidi"/>
          <w:bCs/>
          <w:i/>
          <w:smallCaps/>
          <w:sz w:val="22"/>
          <w:szCs w:val="22"/>
        </w:rPr>
        <w:t xml:space="preserve">kursive </w:t>
      </w:r>
      <w:proofErr w:type="spellStart"/>
      <w:r w:rsidRPr="00803AD0">
        <w:rPr>
          <w:rFonts w:asciiTheme="majorBidi" w:hAnsiTheme="majorBidi" w:cstheme="majorBidi"/>
          <w:bCs/>
          <w:i/>
          <w:smallCaps/>
          <w:sz w:val="22"/>
          <w:szCs w:val="22"/>
        </w:rPr>
        <w:t>kapitälchen</w:t>
      </w:r>
      <w:proofErr w:type="spellEnd"/>
      <w:r w:rsidRPr="00803AD0">
        <w:rPr>
          <w:rFonts w:asciiTheme="majorBidi" w:hAnsiTheme="majorBidi" w:cstheme="majorBidi"/>
          <w:bCs/>
          <w:sz w:val="22"/>
          <w:szCs w:val="22"/>
        </w:rPr>
        <w:t>.</w:t>
      </w:r>
    </w:p>
    <w:p w14:paraId="28BDE27B" w14:textId="77777777" w:rsidR="008D1916" w:rsidRPr="00803AD0" w:rsidRDefault="008D1916" w:rsidP="00154840">
      <w:pPr>
        <w:pStyle w:val="Listenabsatz"/>
        <w:numPr>
          <w:ilvl w:val="0"/>
          <w:numId w:val="7"/>
        </w:numPr>
        <w:rPr>
          <w:rFonts w:asciiTheme="majorBidi" w:hAnsiTheme="majorBidi" w:cstheme="majorBidi"/>
          <w:bCs/>
          <w:sz w:val="22"/>
          <w:szCs w:val="22"/>
        </w:rPr>
      </w:pPr>
      <w:r w:rsidRPr="00803AD0">
        <w:rPr>
          <w:rFonts w:asciiTheme="majorBidi" w:hAnsiTheme="majorBidi" w:cstheme="majorBidi"/>
          <w:bCs/>
          <w:sz w:val="22"/>
          <w:szCs w:val="22"/>
        </w:rPr>
        <w:t>Hochgestellte Determinative werden kleingeschrieben.</w:t>
      </w:r>
    </w:p>
    <w:p w14:paraId="17A64A06" w14:textId="25B6CE1C" w:rsidR="008D1916" w:rsidRPr="00803AD0" w:rsidRDefault="008D1916" w:rsidP="00154840">
      <w:pPr>
        <w:pStyle w:val="Listenabsatz"/>
        <w:numPr>
          <w:ilvl w:val="0"/>
          <w:numId w:val="7"/>
        </w:numPr>
        <w:rPr>
          <w:rFonts w:asciiTheme="majorBidi" w:hAnsiTheme="majorBidi" w:cstheme="majorBidi"/>
          <w:bCs/>
          <w:sz w:val="22"/>
          <w:szCs w:val="22"/>
        </w:rPr>
      </w:pPr>
      <w:r w:rsidRPr="00803AD0">
        <w:rPr>
          <w:rFonts w:asciiTheme="majorBidi" w:hAnsiTheme="majorBidi" w:cstheme="majorBidi"/>
          <w:bCs/>
          <w:sz w:val="22"/>
          <w:szCs w:val="22"/>
        </w:rPr>
        <w:t xml:space="preserve">Es werden nur Indexzahlen (immer als Unicode-Sonderzeichen </w:t>
      </w:r>
      <w:r w:rsidR="00154840" w:rsidRPr="00803AD0">
        <w:rPr>
          <w:rFonts w:asciiTheme="majorBidi" w:hAnsiTheme="majorBidi" w:cstheme="majorBidi"/>
          <w:bCs/>
          <w:sz w:val="22"/>
          <w:szCs w:val="22"/>
        </w:rPr>
        <w:t>nicht</w:t>
      </w:r>
      <w:r w:rsidRPr="00803AD0">
        <w:rPr>
          <w:rFonts w:asciiTheme="majorBidi" w:hAnsiTheme="majorBidi" w:cstheme="majorBidi"/>
          <w:bCs/>
          <w:sz w:val="22"/>
          <w:szCs w:val="22"/>
        </w:rPr>
        <w:t xml:space="preserve"> kursiv) verwendet (a₂ und a₃ anstelle von á und à).</w:t>
      </w:r>
    </w:p>
    <w:p w14:paraId="4D0BE0CE" w14:textId="11408127" w:rsidR="00154840" w:rsidRPr="00803AD0" w:rsidRDefault="00154840" w:rsidP="00154840">
      <w:pPr>
        <w:pStyle w:val="Listenabsatz"/>
        <w:numPr>
          <w:ilvl w:val="0"/>
          <w:numId w:val="7"/>
        </w:numPr>
        <w:rPr>
          <w:rFonts w:asciiTheme="majorBidi" w:hAnsiTheme="majorBidi" w:cstheme="majorBidi"/>
          <w:bCs/>
          <w:sz w:val="22"/>
          <w:szCs w:val="22"/>
        </w:rPr>
      </w:pPr>
      <w:r w:rsidRPr="00803AD0">
        <w:rPr>
          <w:rFonts w:asciiTheme="majorBidi" w:hAnsiTheme="majorBidi" w:cstheme="majorBidi"/>
          <w:bCs/>
          <w:sz w:val="22"/>
          <w:szCs w:val="22"/>
        </w:rPr>
        <w:t>Vor dem Einreichen sollten sämtliche internen Verknüpfungen gelöscht werden.</w:t>
      </w:r>
    </w:p>
    <w:p w14:paraId="5068A799" w14:textId="77777777" w:rsidR="00D16049" w:rsidRPr="00803AD0" w:rsidRDefault="00D16049" w:rsidP="00154840">
      <w:pPr>
        <w:rPr>
          <w:rFonts w:asciiTheme="majorBidi" w:hAnsiTheme="majorBidi" w:cstheme="majorBidi"/>
          <w:bCs/>
          <w:sz w:val="22"/>
          <w:szCs w:val="22"/>
        </w:rPr>
      </w:pPr>
    </w:p>
    <w:p w14:paraId="77909750" w14:textId="77777777" w:rsidR="00A1771A" w:rsidRPr="00803AD0" w:rsidRDefault="00A1771A" w:rsidP="00154840">
      <w:pPr>
        <w:pStyle w:val="Aufzhlungszeichen"/>
        <w:numPr>
          <w:ilvl w:val="0"/>
          <w:numId w:val="0"/>
        </w:numPr>
        <w:rPr>
          <w:rFonts w:asciiTheme="majorBidi" w:hAnsiTheme="majorBidi" w:cstheme="majorBidi"/>
          <w:bCs/>
          <w:sz w:val="22"/>
          <w:szCs w:val="22"/>
        </w:rPr>
      </w:pPr>
      <w:r w:rsidRPr="00803AD0">
        <w:rPr>
          <w:rFonts w:asciiTheme="majorBidi" w:hAnsiTheme="majorBidi" w:cstheme="majorBidi"/>
          <w:bCs/>
          <w:i/>
          <w:sz w:val="22"/>
          <w:szCs w:val="22"/>
        </w:rPr>
        <w:t>Literaturangaben</w:t>
      </w:r>
      <w:r w:rsidRPr="00803AD0">
        <w:rPr>
          <w:rFonts w:asciiTheme="majorBidi" w:hAnsiTheme="majorBidi" w:cstheme="majorBidi"/>
          <w:bCs/>
          <w:sz w:val="22"/>
          <w:szCs w:val="22"/>
        </w:rPr>
        <w:t xml:space="preserve"> folgen der Zitierweise nach Autor und Jahreszahl mit Bibliografie.</w:t>
      </w:r>
    </w:p>
    <w:p w14:paraId="7F4AF5C6" w14:textId="77777777" w:rsidR="000219FE" w:rsidRPr="00803AD0" w:rsidRDefault="00A1771A" w:rsidP="004617D1">
      <w:pPr>
        <w:pStyle w:val="Aufzhlungszeichen"/>
        <w:numPr>
          <w:ilvl w:val="0"/>
          <w:numId w:val="5"/>
        </w:numPr>
        <w:rPr>
          <w:rFonts w:asciiTheme="majorBidi" w:hAnsiTheme="majorBidi" w:cstheme="majorBidi"/>
          <w:bCs/>
          <w:sz w:val="22"/>
          <w:szCs w:val="22"/>
        </w:rPr>
      </w:pPr>
      <w:r w:rsidRPr="00803AD0">
        <w:rPr>
          <w:rFonts w:asciiTheme="majorBidi" w:hAnsiTheme="majorBidi" w:cstheme="majorBidi"/>
          <w:bCs/>
          <w:sz w:val="22"/>
          <w:szCs w:val="22"/>
        </w:rPr>
        <w:t xml:space="preserve">Literaturverweise innerhalb des Beitrages sind mit Autorennamen (Jahreszahl: Seitenzahl) anzugeben, z.B. Güterbock (1973: 235) oder </w:t>
      </w:r>
      <w:proofErr w:type="spellStart"/>
      <w:r w:rsidRPr="00803AD0">
        <w:rPr>
          <w:rFonts w:asciiTheme="majorBidi" w:hAnsiTheme="majorBidi" w:cstheme="majorBidi"/>
          <w:bCs/>
          <w:sz w:val="22"/>
          <w:szCs w:val="22"/>
        </w:rPr>
        <w:t>Reculeau</w:t>
      </w:r>
      <w:proofErr w:type="spellEnd"/>
      <w:r w:rsidRPr="00803AD0">
        <w:rPr>
          <w:rFonts w:asciiTheme="majorBidi" w:hAnsiTheme="majorBidi" w:cstheme="majorBidi"/>
          <w:bCs/>
          <w:sz w:val="22"/>
          <w:szCs w:val="22"/>
        </w:rPr>
        <w:t>/Feller (2012: 13).</w:t>
      </w:r>
    </w:p>
    <w:p w14:paraId="0109C29D" w14:textId="21982798" w:rsidR="00A1771A" w:rsidRPr="00803AD0" w:rsidRDefault="00A1771A" w:rsidP="004617D1">
      <w:pPr>
        <w:pStyle w:val="Aufzhlungszeichen"/>
        <w:numPr>
          <w:ilvl w:val="0"/>
          <w:numId w:val="5"/>
        </w:numPr>
        <w:rPr>
          <w:rFonts w:asciiTheme="majorBidi" w:hAnsiTheme="majorBidi" w:cstheme="majorBidi"/>
          <w:bCs/>
          <w:sz w:val="22"/>
          <w:szCs w:val="22"/>
        </w:rPr>
      </w:pPr>
      <w:r w:rsidRPr="00803AD0">
        <w:rPr>
          <w:rFonts w:asciiTheme="majorBidi" w:hAnsiTheme="majorBidi" w:cstheme="majorBidi"/>
          <w:bCs/>
          <w:sz w:val="22"/>
          <w:szCs w:val="22"/>
        </w:rPr>
        <w:t xml:space="preserve">In Fußnoten werden Klammern nur dann verwendet, wenn das Zitat in einen vollständigen Satz eingebettet ist. </w:t>
      </w:r>
    </w:p>
    <w:p w14:paraId="1C7DC39C" w14:textId="0D568213" w:rsidR="00A1771A" w:rsidRPr="00803AD0" w:rsidRDefault="00A1771A" w:rsidP="004617D1">
      <w:pPr>
        <w:pStyle w:val="Aufzhlungszeichen"/>
        <w:numPr>
          <w:ilvl w:val="0"/>
          <w:numId w:val="5"/>
        </w:numPr>
        <w:rPr>
          <w:rFonts w:asciiTheme="majorBidi" w:hAnsiTheme="majorBidi" w:cstheme="majorBidi"/>
          <w:bCs/>
          <w:sz w:val="22"/>
          <w:szCs w:val="22"/>
        </w:rPr>
      </w:pPr>
      <w:r w:rsidRPr="00803AD0">
        <w:rPr>
          <w:rFonts w:asciiTheme="majorBidi" w:hAnsiTheme="majorBidi" w:cstheme="majorBidi"/>
          <w:bCs/>
          <w:sz w:val="22"/>
          <w:szCs w:val="22"/>
        </w:rPr>
        <w:t>Bei Literaturangaben innerhalb des Beitrages sind</w:t>
      </w:r>
      <w:r w:rsidR="001C6F1E" w:rsidRPr="00803AD0">
        <w:rPr>
          <w:rFonts w:asciiTheme="majorBidi" w:hAnsiTheme="majorBidi" w:cstheme="majorBidi"/>
          <w:bCs/>
          <w:sz w:val="22"/>
          <w:szCs w:val="22"/>
        </w:rPr>
        <w:t xml:space="preserve"> </w:t>
      </w:r>
      <w:r w:rsidRPr="00803AD0">
        <w:rPr>
          <w:rFonts w:asciiTheme="majorBidi" w:hAnsiTheme="majorBidi" w:cstheme="majorBidi"/>
          <w:bCs/>
          <w:sz w:val="22"/>
          <w:szCs w:val="22"/>
        </w:rPr>
        <w:t>Autoren ausschließlich mit Nachnamen zu zitieren</w:t>
      </w:r>
      <w:r w:rsidR="001C6F1E" w:rsidRPr="00803AD0">
        <w:rPr>
          <w:rFonts w:asciiTheme="majorBidi" w:hAnsiTheme="majorBidi" w:cstheme="majorBidi"/>
          <w:bCs/>
          <w:sz w:val="22"/>
          <w:szCs w:val="22"/>
        </w:rPr>
        <w:t>.</w:t>
      </w:r>
    </w:p>
    <w:p w14:paraId="389FCF95" w14:textId="12FF6214" w:rsidR="001C6F1E" w:rsidRPr="00803AD0" w:rsidRDefault="001C6F1E" w:rsidP="004617D1">
      <w:pPr>
        <w:pStyle w:val="Listenabsatz"/>
        <w:widowControl w:val="0"/>
        <w:numPr>
          <w:ilvl w:val="0"/>
          <w:numId w:val="5"/>
        </w:numPr>
        <w:autoSpaceDE w:val="0"/>
        <w:autoSpaceDN w:val="0"/>
        <w:adjustRightInd w:val="0"/>
        <w:ind w:right="-432"/>
        <w:rPr>
          <w:rFonts w:asciiTheme="majorBidi" w:hAnsiTheme="majorBidi" w:cstheme="majorBidi"/>
          <w:bCs/>
          <w:sz w:val="22"/>
          <w:szCs w:val="22"/>
        </w:rPr>
      </w:pPr>
      <w:r w:rsidRPr="00803AD0">
        <w:rPr>
          <w:rFonts w:asciiTheme="majorBidi" w:hAnsiTheme="majorBidi" w:cstheme="majorBidi"/>
          <w:bCs/>
          <w:sz w:val="22"/>
          <w:szCs w:val="22"/>
        </w:rPr>
        <w:t>Namen wie de Martino, von Soden oder Van De Mieroop werden in der Bibliografie so wie o.a. geschrieben und nach de, von und Van De alphabetisiert.</w:t>
      </w:r>
    </w:p>
    <w:p w14:paraId="00A72835" w14:textId="2A1F8AE1" w:rsidR="000219FE" w:rsidRPr="00803AD0" w:rsidRDefault="000219FE" w:rsidP="004617D1">
      <w:pPr>
        <w:pStyle w:val="Listenabsatz"/>
        <w:widowControl w:val="0"/>
        <w:numPr>
          <w:ilvl w:val="0"/>
          <w:numId w:val="5"/>
        </w:numPr>
        <w:autoSpaceDE w:val="0"/>
        <w:autoSpaceDN w:val="0"/>
        <w:adjustRightInd w:val="0"/>
        <w:ind w:right="-432"/>
        <w:rPr>
          <w:rFonts w:asciiTheme="majorBidi" w:hAnsiTheme="majorBidi" w:cstheme="majorBidi"/>
          <w:bCs/>
          <w:sz w:val="22"/>
          <w:szCs w:val="22"/>
        </w:rPr>
      </w:pPr>
      <w:r w:rsidRPr="00803AD0">
        <w:rPr>
          <w:rFonts w:asciiTheme="majorBidi" w:hAnsiTheme="majorBidi" w:cstheme="majorBidi"/>
          <w:bCs/>
          <w:sz w:val="22"/>
          <w:szCs w:val="22"/>
        </w:rPr>
        <w:t>Sämtliche online-Angaben sind mit dem Datum des letzten Zugriffs zu versehen.</w:t>
      </w:r>
    </w:p>
    <w:p w14:paraId="49F8D2B3" w14:textId="0E4A74B5" w:rsidR="008D1916" w:rsidRPr="00803AD0" w:rsidRDefault="008D1916" w:rsidP="004617D1">
      <w:pPr>
        <w:numPr>
          <w:ilvl w:val="0"/>
          <w:numId w:val="5"/>
        </w:numPr>
        <w:rPr>
          <w:rFonts w:asciiTheme="majorBidi" w:hAnsiTheme="majorBidi" w:cstheme="majorBidi"/>
          <w:bCs/>
          <w:sz w:val="22"/>
          <w:szCs w:val="22"/>
        </w:rPr>
      </w:pPr>
      <w:r w:rsidRPr="00803AD0">
        <w:rPr>
          <w:rFonts w:asciiTheme="majorBidi" w:hAnsiTheme="majorBidi" w:cstheme="majorBidi"/>
          <w:bCs/>
          <w:sz w:val="22"/>
          <w:szCs w:val="22"/>
        </w:rPr>
        <w:t>In englischsprachigen Überschriften und bibliografischen Angaben sind alle Wörter außer Präpositionen, Artikel und Konjunktionen großzuschreiben. („Title Case“), unabhängig von der Originalpublikation.</w:t>
      </w:r>
    </w:p>
    <w:p w14:paraId="25B3A6D6" w14:textId="1D99D2C9" w:rsidR="008D1916" w:rsidRPr="004617D1" w:rsidRDefault="008D1916" w:rsidP="004617D1">
      <w:pPr>
        <w:pStyle w:val="Listenabsatz"/>
        <w:widowControl w:val="0"/>
        <w:numPr>
          <w:ilvl w:val="0"/>
          <w:numId w:val="5"/>
        </w:numPr>
        <w:autoSpaceDE w:val="0"/>
        <w:autoSpaceDN w:val="0"/>
        <w:adjustRightInd w:val="0"/>
        <w:ind w:right="-432"/>
        <w:rPr>
          <w:rFonts w:asciiTheme="majorBidi" w:hAnsiTheme="majorBidi" w:cstheme="majorBidi"/>
          <w:sz w:val="22"/>
          <w:szCs w:val="22"/>
        </w:rPr>
      </w:pPr>
      <w:r w:rsidRPr="004617D1">
        <w:rPr>
          <w:rFonts w:asciiTheme="majorBidi" w:hAnsiTheme="majorBidi" w:cstheme="majorBidi"/>
          <w:sz w:val="22"/>
          <w:szCs w:val="22"/>
        </w:rPr>
        <w:t>Römische Zahlen für Bandnummern vermeiden und bei Zeitschriftenbänden nur Bandnummern, keine Heftnummern.</w:t>
      </w:r>
    </w:p>
    <w:p w14:paraId="14DBAA64" w14:textId="77777777" w:rsidR="00154840" w:rsidRPr="004617D1" w:rsidRDefault="00154840" w:rsidP="00154840">
      <w:pPr>
        <w:pStyle w:val="Listenabsatz"/>
        <w:numPr>
          <w:ilvl w:val="0"/>
          <w:numId w:val="5"/>
        </w:numPr>
        <w:rPr>
          <w:rFonts w:asciiTheme="majorBidi" w:hAnsiTheme="majorBidi" w:cstheme="majorBidi"/>
          <w:sz w:val="22"/>
          <w:szCs w:val="22"/>
        </w:rPr>
      </w:pPr>
      <w:r w:rsidRPr="004617D1">
        <w:rPr>
          <w:rFonts w:asciiTheme="majorBidi" w:hAnsiTheme="majorBidi" w:cstheme="majorBidi"/>
          <w:sz w:val="22"/>
          <w:szCs w:val="22"/>
        </w:rPr>
        <w:t>Bei mehr als zwei Autoren oder Herausgebern wird im Beitrag nur der erste namentlich genannt, weitere werden mit „et al.“ angegeben. In der Bibliografie werden alle Autoren oder Herausgeber namentlich aufgeführt.</w:t>
      </w:r>
    </w:p>
    <w:p w14:paraId="5D775CF5" w14:textId="77777777" w:rsidR="00154840" w:rsidRPr="004617D1" w:rsidRDefault="00154840" w:rsidP="004617D1">
      <w:pPr>
        <w:pStyle w:val="Listenabsatz"/>
        <w:numPr>
          <w:ilvl w:val="0"/>
          <w:numId w:val="5"/>
        </w:numPr>
        <w:rPr>
          <w:rFonts w:asciiTheme="majorBidi" w:hAnsiTheme="majorBidi" w:cstheme="majorBidi"/>
          <w:sz w:val="22"/>
          <w:szCs w:val="22"/>
        </w:rPr>
      </w:pPr>
      <w:r w:rsidRPr="004617D1">
        <w:rPr>
          <w:rFonts w:asciiTheme="majorBidi" w:hAnsiTheme="majorBidi" w:cstheme="majorBidi"/>
          <w:sz w:val="22"/>
          <w:szCs w:val="22"/>
        </w:rPr>
        <w:t>Kommentierende Angaben im Literaturverzeichnis sowie die Erscheinungsorte sind in der Sprache des Beitrags anzugeben.</w:t>
      </w:r>
    </w:p>
    <w:p w14:paraId="06A16511" w14:textId="77777777" w:rsidR="00A1771A" w:rsidRPr="004617D1" w:rsidRDefault="00A1771A" w:rsidP="004617D1">
      <w:pPr>
        <w:pStyle w:val="Aufzhlungszeichen"/>
        <w:numPr>
          <w:ilvl w:val="0"/>
          <w:numId w:val="0"/>
        </w:numPr>
        <w:rPr>
          <w:rFonts w:asciiTheme="majorBidi" w:hAnsiTheme="majorBidi" w:cstheme="majorBidi"/>
          <w:sz w:val="22"/>
          <w:szCs w:val="22"/>
        </w:rPr>
      </w:pPr>
    </w:p>
    <w:p w14:paraId="78AEF5E5" w14:textId="77777777" w:rsidR="00A1771A" w:rsidRPr="004617D1" w:rsidRDefault="00A1771A" w:rsidP="00154840">
      <w:pPr>
        <w:pStyle w:val="Aufzhlungszeichen"/>
        <w:numPr>
          <w:ilvl w:val="0"/>
          <w:numId w:val="0"/>
        </w:numPr>
        <w:rPr>
          <w:rFonts w:asciiTheme="majorBidi" w:hAnsiTheme="majorBidi" w:cstheme="majorBidi"/>
          <w:sz w:val="22"/>
          <w:szCs w:val="22"/>
        </w:rPr>
      </w:pPr>
      <w:r w:rsidRPr="004617D1">
        <w:rPr>
          <w:rFonts w:asciiTheme="majorBidi" w:hAnsiTheme="majorBidi" w:cstheme="majorBidi"/>
          <w:sz w:val="22"/>
          <w:szCs w:val="22"/>
        </w:rPr>
        <w:t>Die Literaturangaben in der Bibliografie sollen den Konventionen der folgenden Beispiele entsprechen:</w:t>
      </w:r>
    </w:p>
    <w:p w14:paraId="6B1C3F49" w14:textId="77777777" w:rsidR="00A1771A" w:rsidRPr="004617D1" w:rsidRDefault="00A1771A" w:rsidP="00154840">
      <w:pPr>
        <w:pStyle w:val="Calibri"/>
        <w:rPr>
          <w:rFonts w:asciiTheme="majorBidi" w:hAnsiTheme="majorBidi" w:cstheme="majorBidi"/>
        </w:rPr>
      </w:pPr>
    </w:p>
    <w:p w14:paraId="7B469DCE" w14:textId="4ED0ED29" w:rsidR="000219FE" w:rsidRPr="004617D1" w:rsidRDefault="000219FE" w:rsidP="00154840">
      <w:pPr>
        <w:ind w:left="284" w:hanging="284"/>
        <w:rPr>
          <w:rFonts w:asciiTheme="majorBidi" w:hAnsiTheme="majorBidi" w:cstheme="majorBidi"/>
          <w:sz w:val="22"/>
          <w:szCs w:val="22"/>
          <w:lang w:val="fr-FR"/>
        </w:rPr>
      </w:pPr>
      <w:r w:rsidRPr="004617D1">
        <w:rPr>
          <w:rFonts w:asciiTheme="majorBidi" w:hAnsiTheme="majorBidi" w:cstheme="majorBidi"/>
          <w:sz w:val="22"/>
          <w:szCs w:val="22"/>
          <w:lang w:val="fr-FR"/>
        </w:rPr>
        <w:t>Attinger, P. (2023</w:t>
      </w:r>
      <w:proofErr w:type="gramStart"/>
      <w:r w:rsidRPr="004617D1">
        <w:rPr>
          <w:rFonts w:asciiTheme="majorBidi" w:hAnsiTheme="majorBidi" w:cstheme="majorBidi"/>
          <w:sz w:val="22"/>
          <w:szCs w:val="22"/>
          <w:lang w:val="fr-FR"/>
        </w:rPr>
        <w:t>):</w:t>
      </w:r>
      <w:proofErr w:type="gramEnd"/>
      <w:r w:rsidRPr="004617D1">
        <w:rPr>
          <w:rFonts w:asciiTheme="majorBidi" w:hAnsiTheme="majorBidi" w:cstheme="majorBidi"/>
          <w:sz w:val="22"/>
          <w:szCs w:val="22"/>
          <w:lang w:val="fr-FR"/>
        </w:rPr>
        <w:t xml:space="preserve"> Glossaire sumérien-français, principalement des textes littéraires </w:t>
      </w:r>
      <w:proofErr w:type="spellStart"/>
      <w:r w:rsidRPr="004617D1">
        <w:rPr>
          <w:rFonts w:asciiTheme="majorBidi" w:hAnsiTheme="majorBidi" w:cstheme="majorBidi"/>
          <w:sz w:val="22"/>
          <w:szCs w:val="22"/>
          <w:lang w:val="fr-FR"/>
        </w:rPr>
        <w:t>paléobabyloniens</w:t>
      </w:r>
      <w:proofErr w:type="spellEnd"/>
      <w:r w:rsidRPr="004617D1">
        <w:rPr>
          <w:rFonts w:asciiTheme="majorBidi" w:hAnsiTheme="majorBidi" w:cstheme="majorBidi"/>
          <w:sz w:val="22"/>
          <w:szCs w:val="22"/>
          <w:lang w:val="fr-FR"/>
        </w:rPr>
        <w:t xml:space="preserve">. Deuxième </w:t>
      </w:r>
      <w:proofErr w:type="spellStart"/>
      <w:r w:rsidRPr="004617D1">
        <w:rPr>
          <w:rFonts w:asciiTheme="majorBidi" w:hAnsiTheme="majorBidi" w:cstheme="majorBidi"/>
          <w:sz w:val="22"/>
          <w:szCs w:val="22"/>
          <w:lang w:val="x-none"/>
        </w:rPr>
        <w:t>é</w:t>
      </w:r>
      <w:r w:rsidRPr="004617D1">
        <w:rPr>
          <w:rFonts w:asciiTheme="majorBidi" w:hAnsiTheme="majorBidi" w:cstheme="majorBidi"/>
          <w:sz w:val="22"/>
          <w:szCs w:val="22"/>
          <w:lang w:val="fr-FR"/>
        </w:rPr>
        <w:t>dition</w:t>
      </w:r>
      <w:proofErr w:type="spellEnd"/>
      <w:r w:rsidRPr="004617D1">
        <w:rPr>
          <w:rFonts w:asciiTheme="majorBidi" w:hAnsiTheme="majorBidi" w:cstheme="majorBidi"/>
          <w:sz w:val="22"/>
          <w:szCs w:val="22"/>
          <w:lang w:val="fr-FR"/>
        </w:rPr>
        <w:t xml:space="preserve">, revue et augmentée, </w:t>
      </w:r>
      <w:hyperlink r:id="rId5" w:history="1">
        <w:r w:rsidRPr="004617D1">
          <w:rPr>
            <w:rStyle w:val="Hyperlink"/>
            <w:rFonts w:asciiTheme="majorBidi" w:hAnsiTheme="majorBidi" w:cstheme="majorBidi"/>
            <w:sz w:val="22"/>
            <w:szCs w:val="22"/>
            <w:lang w:val="nl-NL"/>
          </w:rPr>
          <w:t>https://zenodo.org/records/8369441</w:t>
        </w:r>
      </w:hyperlink>
      <w:r w:rsidRPr="004617D1">
        <w:rPr>
          <w:rFonts w:asciiTheme="majorBidi" w:hAnsiTheme="majorBidi" w:cstheme="majorBidi"/>
          <w:sz w:val="22"/>
          <w:szCs w:val="22"/>
          <w:lang w:val="fr-FR"/>
        </w:rPr>
        <w:t xml:space="preserve"> (</w:t>
      </w:r>
      <w:r w:rsidRPr="004617D1">
        <w:rPr>
          <w:rFonts w:asciiTheme="majorBidi" w:hAnsiTheme="majorBidi" w:cstheme="majorBidi"/>
          <w:sz w:val="22"/>
          <w:szCs w:val="22"/>
        </w:rPr>
        <w:t xml:space="preserve">last </w:t>
      </w:r>
      <w:proofErr w:type="spellStart"/>
      <w:r w:rsidRPr="004617D1">
        <w:rPr>
          <w:rFonts w:asciiTheme="majorBidi" w:hAnsiTheme="majorBidi" w:cstheme="majorBidi"/>
          <w:sz w:val="22"/>
          <w:szCs w:val="22"/>
        </w:rPr>
        <w:t>access</w:t>
      </w:r>
      <w:proofErr w:type="spellEnd"/>
      <w:r w:rsidRPr="004617D1">
        <w:rPr>
          <w:rFonts w:asciiTheme="majorBidi" w:hAnsiTheme="majorBidi" w:cstheme="majorBidi"/>
          <w:sz w:val="22"/>
          <w:szCs w:val="22"/>
        </w:rPr>
        <w:t xml:space="preserve"> 13 </w:t>
      </w:r>
      <w:proofErr w:type="spellStart"/>
      <w:r w:rsidRPr="004617D1">
        <w:rPr>
          <w:rFonts w:asciiTheme="majorBidi" w:hAnsiTheme="majorBidi" w:cstheme="majorBidi"/>
          <w:sz w:val="22"/>
          <w:szCs w:val="22"/>
        </w:rPr>
        <w:t>February</w:t>
      </w:r>
      <w:proofErr w:type="spellEnd"/>
      <w:r w:rsidRPr="004617D1">
        <w:rPr>
          <w:rFonts w:asciiTheme="majorBidi" w:hAnsiTheme="majorBidi" w:cstheme="majorBidi"/>
          <w:sz w:val="22"/>
          <w:szCs w:val="22"/>
        </w:rPr>
        <w:t xml:space="preserve"> 2024</w:t>
      </w:r>
      <w:r w:rsidR="008D1916" w:rsidRPr="004617D1">
        <w:rPr>
          <w:rFonts w:asciiTheme="majorBidi" w:hAnsiTheme="majorBidi" w:cstheme="majorBidi"/>
          <w:sz w:val="22"/>
          <w:szCs w:val="22"/>
        </w:rPr>
        <w:t>/letzter Zugriff 13.2.24</w:t>
      </w:r>
      <w:r w:rsidRPr="004617D1">
        <w:rPr>
          <w:rFonts w:asciiTheme="majorBidi" w:hAnsiTheme="majorBidi" w:cstheme="majorBidi"/>
          <w:sz w:val="22"/>
          <w:szCs w:val="22"/>
          <w:lang w:val="fr-FR"/>
        </w:rPr>
        <w:t>).</w:t>
      </w:r>
    </w:p>
    <w:p w14:paraId="6A57BBBC" w14:textId="77777777" w:rsidR="00A1771A" w:rsidRPr="004617D1" w:rsidRDefault="00A1771A" w:rsidP="00154840">
      <w:pPr>
        <w:ind w:left="284" w:hanging="284"/>
        <w:rPr>
          <w:rFonts w:asciiTheme="majorBidi" w:hAnsiTheme="majorBidi" w:cstheme="majorBidi"/>
          <w:sz w:val="22"/>
          <w:szCs w:val="22"/>
          <w:lang w:val="en-GB"/>
        </w:rPr>
      </w:pPr>
      <w:r w:rsidRPr="004617D1">
        <w:rPr>
          <w:rFonts w:asciiTheme="majorBidi" w:hAnsiTheme="majorBidi" w:cstheme="majorBidi"/>
          <w:sz w:val="22"/>
          <w:szCs w:val="22"/>
          <w:lang w:val="en-GB"/>
        </w:rPr>
        <w:t xml:space="preserve">Güterbock, H.G. (1973): Hittite Hieroglyphic Seal Impressions from </w:t>
      </w:r>
      <w:proofErr w:type="spellStart"/>
      <w:r w:rsidRPr="004617D1">
        <w:rPr>
          <w:rFonts w:asciiTheme="majorBidi" w:hAnsiTheme="majorBidi" w:cstheme="majorBidi"/>
          <w:sz w:val="22"/>
          <w:szCs w:val="22"/>
          <w:lang w:val="en-GB"/>
        </w:rPr>
        <w:t>Korucutepe</w:t>
      </w:r>
      <w:proofErr w:type="spellEnd"/>
      <w:r w:rsidRPr="004617D1">
        <w:rPr>
          <w:rFonts w:asciiTheme="majorBidi" w:hAnsiTheme="majorBidi" w:cstheme="majorBidi"/>
          <w:sz w:val="22"/>
          <w:szCs w:val="22"/>
          <w:lang w:val="en-GB"/>
        </w:rPr>
        <w:t>, JNES 32, 135–147.</w:t>
      </w:r>
    </w:p>
    <w:p w14:paraId="42CA191A" w14:textId="77777777" w:rsidR="00A1771A" w:rsidRPr="004617D1" w:rsidRDefault="00A1771A" w:rsidP="00154840">
      <w:pPr>
        <w:ind w:left="284" w:hanging="284"/>
        <w:rPr>
          <w:rFonts w:asciiTheme="majorBidi" w:hAnsiTheme="majorBidi" w:cstheme="majorBidi"/>
          <w:sz w:val="22"/>
          <w:szCs w:val="22"/>
        </w:rPr>
      </w:pPr>
      <w:bookmarkStart w:id="0" w:name="_ENREF_14"/>
      <w:r w:rsidRPr="004617D1">
        <w:rPr>
          <w:rFonts w:asciiTheme="majorBidi" w:hAnsiTheme="majorBidi" w:cstheme="majorBidi"/>
          <w:sz w:val="22"/>
          <w:szCs w:val="22"/>
        </w:rPr>
        <w:t xml:space="preserve">Kühne, C./H. Otten (1971): Der </w:t>
      </w:r>
      <w:proofErr w:type="spellStart"/>
      <w:r w:rsidRPr="004617D1">
        <w:rPr>
          <w:rFonts w:asciiTheme="majorBidi" w:hAnsiTheme="majorBidi" w:cstheme="majorBidi"/>
          <w:sz w:val="22"/>
          <w:szCs w:val="22"/>
        </w:rPr>
        <w:t>Šaušgamuwa</w:t>
      </w:r>
      <w:proofErr w:type="spellEnd"/>
      <w:r w:rsidRPr="004617D1">
        <w:rPr>
          <w:rFonts w:asciiTheme="majorBidi" w:hAnsiTheme="majorBidi" w:cstheme="majorBidi"/>
          <w:sz w:val="22"/>
          <w:szCs w:val="22"/>
        </w:rPr>
        <w:t>-Vertrag (</w:t>
      </w:r>
      <w:proofErr w:type="spellStart"/>
      <w:r w:rsidRPr="004617D1">
        <w:rPr>
          <w:rFonts w:asciiTheme="majorBidi" w:hAnsiTheme="majorBidi" w:cstheme="majorBidi"/>
          <w:sz w:val="22"/>
          <w:szCs w:val="22"/>
        </w:rPr>
        <w:t>StBoT</w:t>
      </w:r>
      <w:proofErr w:type="spellEnd"/>
      <w:r w:rsidRPr="004617D1">
        <w:rPr>
          <w:rFonts w:asciiTheme="majorBidi" w:hAnsiTheme="majorBidi" w:cstheme="majorBidi"/>
          <w:sz w:val="22"/>
          <w:szCs w:val="22"/>
        </w:rPr>
        <w:t xml:space="preserve"> 16), Wiesbaden.</w:t>
      </w:r>
      <w:bookmarkEnd w:id="0"/>
    </w:p>
    <w:p w14:paraId="5ECBAD17" w14:textId="77777777" w:rsidR="000219FE" w:rsidRPr="004617D1" w:rsidRDefault="000219FE" w:rsidP="00154840">
      <w:pPr>
        <w:ind w:left="284" w:hanging="284"/>
        <w:rPr>
          <w:rFonts w:asciiTheme="majorBidi" w:hAnsiTheme="majorBidi" w:cstheme="majorBidi"/>
          <w:sz w:val="22"/>
          <w:szCs w:val="22"/>
        </w:rPr>
      </w:pPr>
      <w:r w:rsidRPr="004617D1">
        <w:rPr>
          <w:rFonts w:asciiTheme="majorBidi" w:hAnsiTheme="majorBidi" w:cstheme="majorBidi"/>
          <w:sz w:val="22"/>
          <w:szCs w:val="22"/>
        </w:rPr>
        <w:t xml:space="preserve">Krebernik, M. (1984): Die Beschwörungen aus </w:t>
      </w:r>
      <w:proofErr w:type="spellStart"/>
      <w:r w:rsidRPr="004617D1">
        <w:rPr>
          <w:rFonts w:asciiTheme="majorBidi" w:hAnsiTheme="majorBidi" w:cstheme="majorBidi"/>
          <w:sz w:val="22"/>
          <w:szCs w:val="22"/>
        </w:rPr>
        <w:t>Fara</w:t>
      </w:r>
      <w:proofErr w:type="spellEnd"/>
      <w:r w:rsidRPr="004617D1">
        <w:rPr>
          <w:rFonts w:asciiTheme="majorBidi" w:hAnsiTheme="majorBidi" w:cstheme="majorBidi"/>
          <w:sz w:val="22"/>
          <w:szCs w:val="22"/>
        </w:rPr>
        <w:t xml:space="preserve"> und </w:t>
      </w:r>
      <w:proofErr w:type="spellStart"/>
      <w:r w:rsidRPr="004617D1">
        <w:rPr>
          <w:rFonts w:asciiTheme="majorBidi" w:hAnsiTheme="majorBidi" w:cstheme="majorBidi"/>
          <w:sz w:val="22"/>
          <w:szCs w:val="22"/>
        </w:rPr>
        <w:t>Ebla</w:t>
      </w:r>
      <w:proofErr w:type="spellEnd"/>
      <w:r w:rsidRPr="004617D1">
        <w:rPr>
          <w:rFonts w:asciiTheme="majorBidi" w:hAnsiTheme="majorBidi" w:cstheme="majorBidi"/>
          <w:sz w:val="22"/>
          <w:szCs w:val="22"/>
        </w:rPr>
        <w:t>: Untersuchungen zur ältesten keilschriftlichen Beschwörungsliteratur (TSO 2), Hildesheim – Zürich – New York.</w:t>
      </w:r>
    </w:p>
    <w:p w14:paraId="4A91BE9C" w14:textId="77777777" w:rsidR="00A1771A" w:rsidRPr="004617D1" w:rsidRDefault="00A1771A" w:rsidP="00154840">
      <w:pPr>
        <w:ind w:left="284" w:hanging="284"/>
        <w:rPr>
          <w:rFonts w:asciiTheme="majorBidi" w:hAnsiTheme="majorBidi" w:cstheme="majorBidi"/>
          <w:sz w:val="22"/>
          <w:szCs w:val="22"/>
          <w:lang w:val="en-GB"/>
        </w:rPr>
      </w:pPr>
      <w:bookmarkStart w:id="1" w:name="_ENREF_26"/>
      <w:r w:rsidRPr="004617D1">
        <w:rPr>
          <w:rFonts w:asciiTheme="majorBidi" w:hAnsiTheme="majorBidi" w:cstheme="majorBidi"/>
          <w:sz w:val="22"/>
          <w:szCs w:val="22"/>
          <w:lang w:val="en-GB"/>
        </w:rPr>
        <w:t>Singer, I. (1999): A Political History of Ugarit. In: W.G.E. Watson/N. Wyatt (ed.), Handbook of Ugaritic Studies (</w:t>
      </w:r>
      <w:proofErr w:type="spellStart"/>
      <w:r w:rsidRPr="004617D1">
        <w:rPr>
          <w:rFonts w:asciiTheme="majorBidi" w:hAnsiTheme="majorBidi" w:cstheme="majorBidi"/>
          <w:sz w:val="22"/>
          <w:szCs w:val="22"/>
          <w:lang w:val="en-GB"/>
        </w:rPr>
        <w:t>HdOr</w:t>
      </w:r>
      <w:proofErr w:type="spellEnd"/>
      <w:r w:rsidRPr="004617D1">
        <w:rPr>
          <w:rFonts w:asciiTheme="majorBidi" w:hAnsiTheme="majorBidi" w:cstheme="majorBidi"/>
          <w:sz w:val="22"/>
          <w:szCs w:val="22"/>
          <w:lang w:val="en-GB"/>
        </w:rPr>
        <w:t>. 1/39), Leiden – Boston – Köln, 603–733.</w:t>
      </w:r>
      <w:bookmarkEnd w:id="1"/>
    </w:p>
    <w:p w14:paraId="577CAFED" w14:textId="77777777" w:rsidR="00154840" w:rsidRPr="004617D1" w:rsidRDefault="00154840" w:rsidP="00154840">
      <w:pPr>
        <w:ind w:left="284" w:hanging="284"/>
        <w:rPr>
          <w:rFonts w:asciiTheme="majorBidi" w:hAnsiTheme="majorBidi" w:cstheme="majorBidi"/>
          <w:sz w:val="22"/>
          <w:szCs w:val="22"/>
        </w:rPr>
      </w:pPr>
      <w:proofErr w:type="spellStart"/>
      <w:r w:rsidRPr="004617D1">
        <w:rPr>
          <w:rFonts w:asciiTheme="majorBidi" w:hAnsiTheme="majorBidi" w:cstheme="majorBidi"/>
          <w:sz w:val="22"/>
          <w:szCs w:val="22"/>
        </w:rPr>
        <w:t>Sjöberg</w:t>
      </w:r>
      <w:proofErr w:type="spellEnd"/>
      <w:r w:rsidRPr="004617D1">
        <w:rPr>
          <w:rFonts w:asciiTheme="majorBidi" w:hAnsiTheme="majorBidi" w:cstheme="majorBidi"/>
          <w:sz w:val="22"/>
          <w:szCs w:val="22"/>
        </w:rPr>
        <w:t xml:space="preserve">, Å.W (1962), </w:t>
      </w:r>
      <w:proofErr w:type="spellStart"/>
      <w:r w:rsidRPr="004617D1">
        <w:rPr>
          <w:rFonts w:asciiTheme="majorBidi" w:hAnsiTheme="majorBidi" w:cstheme="majorBidi"/>
          <w:sz w:val="22"/>
          <w:szCs w:val="22"/>
        </w:rPr>
        <w:t>Rez</w:t>
      </w:r>
      <w:proofErr w:type="spellEnd"/>
      <w:r w:rsidRPr="004617D1">
        <w:rPr>
          <w:rFonts w:asciiTheme="majorBidi" w:hAnsiTheme="majorBidi" w:cstheme="majorBidi"/>
          <w:sz w:val="22"/>
          <w:szCs w:val="22"/>
        </w:rPr>
        <w:t xml:space="preserve">. zu A. Salonen, Die Türen </w:t>
      </w:r>
      <w:proofErr w:type="gramStart"/>
      <w:r w:rsidRPr="004617D1">
        <w:rPr>
          <w:rFonts w:asciiTheme="majorBidi" w:hAnsiTheme="majorBidi" w:cstheme="majorBidi"/>
          <w:sz w:val="22"/>
          <w:szCs w:val="22"/>
        </w:rPr>
        <w:t>des alten Mesopotamien</w:t>
      </w:r>
      <w:proofErr w:type="gramEnd"/>
      <w:r w:rsidRPr="004617D1">
        <w:rPr>
          <w:rFonts w:asciiTheme="majorBidi" w:hAnsiTheme="majorBidi" w:cstheme="majorBidi"/>
          <w:sz w:val="22"/>
          <w:szCs w:val="22"/>
        </w:rPr>
        <w:t>: Eine lexikalische und kulturgeschichtliche Untersuchung (= AASF B 124), Helsinki 1961, ZA 55, 261–264.</w:t>
      </w:r>
    </w:p>
    <w:p w14:paraId="4ECFB2CD" w14:textId="77777777" w:rsidR="00A1771A" w:rsidRPr="004617D1" w:rsidRDefault="00A1771A" w:rsidP="00154840">
      <w:pPr>
        <w:rPr>
          <w:rFonts w:asciiTheme="majorBidi" w:hAnsiTheme="majorBidi" w:cstheme="majorBidi"/>
          <w:sz w:val="22"/>
          <w:szCs w:val="22"/>
        </w:rPr>
      </w:pPr>
    </w:p>
    <w:p w14:paraId="793FE9E1" w14:textId="33E20043" w:rsidR="00DC59F3" w:rsidRPr="008B697D" w:rsidRDefault="00A1771A" w:rsidP="004617D1">
      <w:r w:rsidRPr="004617D1">
        <w:rPr>
          <w:rFonts w:asciiTheme="majorBidi" w:hAnsiTheme="majorBidi" w:cstheme="majorBidi"/>
          <w:i/>
          <w:sz w:val="22"/>
          <w:szCs w:val="22"/>
        </w:rPr>
        <w:t>Orts-, Personen-, Götternamen:</w:t>
      </w:r>
      <w:r w:rsidRPr="004617D1">
        <w:rPr>
          <w:rFonts w:asciiTheme="majorBidi" w:hAnsiTheme="majorBidi" w:cstheme="majorBidi"/>
          <w:sz w:val="22"/>
          <w:szCs w:val="22"/>
        </w:rPr>
        <w:t xml:space="preserve"> Die Wiedergabe von Ortsnamen soll </w:t>
      </w:r>
      <w:r w:rsidR="00CE2B7D" w:rsidRPr="004617D1">
        <w:rPr>
          <w:rFonts w:asciiTheme="majorBidi" w:hAnsiTheme="majorBidi" w:cstheme="majorBidi"/>
          <w:sz w:val="22"/>
          <w:szCs w:val="22"/>
        </w:rPr>
        <w:t xml:space="preserve">im Text und auf Abbildungen </w:t>
      </w:r>
      <w:r w:rsidRPr="004617D1">
        <w:rPr>
          <w:rFonts w:asciiTheme="majorBidi" w:hAnsiTheme="majorBidi" w:cstheme="majorBidi"/>
          <w:sz w:val="22"/>
          <w:szCs w:val="22"/>
        </w:rPr>
        <w:t>nach dem Tübinger Atlas des Vorderen Orients, diejenige von Personen- und Götternamen nach den gängigen Normen der Assyriologie/Hethitologie (z.B. der des Reallexikons der Assyriologie und Vorderasiatischen Archäologie) erfolgen. Falls adaptierte bzw. „eingebürgerte“ Formen existieren, können diese in der ersten Erwähnung in Klammer gesetzt werden: z.B. Salmānu-ašarēd (</w:t>
      </w:r>
      <w:proofErr w:type="spellStart"/>
      <w:r w:rsidRPr="004617D1">
        <w:rPr>
          <w:rFonts w:asciiTheme="majorBidi" w:hAnsiTheme="majorBidi" w:cstheme="majorBidi"/>
          <w:sz w:val="22"/>
          <w:szCs w:val="22"/>
        </w:rPr>
        <w:t>Shalmanaser</w:t>
      </w:r>
      <w:proofErr w:type="spellEnd"/>
      <w:r w:rsidRPr="004617D1">
        <w:rPr>
          <w:rFonts w:asciiTheme="majorBidi" w:hAnsiTheme="majorBidi" w:cstheme="majorBidi"/>
          <w:sz w:val="22"/>
          <w:szCs w:val="22"/>
        </w:rPr>
        <w:t>/Salmanassar).</w:t>
      </w:r>
    </w:p>
    <w:sectPr w:rsidR="00DC59F3" w:rsidRPr="008B69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0C38C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EE1233"/>
    <w:multiLevelType w:val="hybridMultilevel"/>
    <w:tmpl w:val="BFA49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CA080E"/>
    <w:multiLevelType w:val="hybridMultilevel"/>
    <w:tmpl w:val="67C0B9B2"/>
    <w:lvl w:ilvl="0" w:tplc="6688D0BA">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374EC"/>
    <w:multiLevelType w:val="hybridMultilevel"/>
    <w:tmpl w:val="663EE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A57272"/>
    <w:multiLevelType w:val="hybridMultilevel"/>
    <w:tmpl w:val="8522D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994836"/>
    <w:multiLevelType w:val="hybridMultilevel"/>
    <w:tmpl w:val="2D00E0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5024EE"/>
    <w:multiLevelType w:val="hybridMultilevel"/>
    <w:tmpl w:val="A8542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5A1BFF"/>
    <w:multiLevelType w:val="hybridMultilevel"/>
    <w:tmpl w:val="B3460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D8D267F"/>
    <w:multiLevelType w:val="hybridMultilevel"/>
    <w:tmpl w:val="0970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C837D0"/>
    <w:multiLevelType w:val="hybridMultilevel"/>
    <w:tmpl w:val="AFDC2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4652286">
    <w:abstractNumId w:val="0"/>
  </w:num>
  <w:num w:numId="2" w16cid:durableId="207227699">
    <w:abstractNumId w:val="2"/>
  </w:num>
  <w:num w:numId="3" w16cid:durableId="555118892">
    <w:abstractNumId w:val="3"/>
  </w:num>
  <w:num w:numId="4" w16cid:durableId="1189563145">
    <w:abstractNumId w:val="7"/>
  </w:num>
  <w:num w:numId="5" w16cid:durableId="1973751453">
    <w:abstractNumId w:val="6"/>
  </w:num>
  <w:num w:numId="6" w16cid:durableId="1770077866">
    <w:abstractNumId w:val="5"/>
  </w:num>
  <w:num w:numId="7" w16cid:durableId="713580212">
    <w:abstractNumId w:val="9"/>
  </w:num>
  <w:num w:numId="8" w16cid:durableId="1183280210">
    <w:abstractNumId w:val="4"/>
  </w:num>
  <w:num w:numId="9" w16cid:durableId="2043167540">
    <w:abstractNumId w:val="8"/>
  </w:num>
  <w:num w:numId="10" w16cid:durableId="12616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1A"/>
    <w:rsid w:val="000219FE"/>
    <w:rsid w:val="00154840"/>
    <w:rsid w:val="001C6F1E"/>
    <w:rsid w:val="004617D1"/>
    <w:rsid w:val="00651CEF"/>
    <w:rsid w:val="006748F3"/>
    <w:rsid w:val="00803AD0"/>
    <w:rsid w:val="008B697D"/>
    <w:rsid w:val="008D1916"/>
    <w:rsid w:val="00904851"/>
    <w:rsid w:val="00A1771A"/>
    <w:rsid w:val="00C929D6"/>
    <w:rsid w:val="00CE2B7D"/>
    <w:rsid w:val="00D16049"/>
    <w:rsid w:val="00DC59F3"/>
    <w:rsid w:val="00E6417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4:docId w14:val="24105518"/>
  <w15:chartTrackingRefBased/>
  <w15:docId w15:val="{7FF1B06B-AABC-A142-B55D-A7975002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771A"/>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link w:val="AufzhlungszeichenZchn"/>
    <w:rsid w:val="00A1771A"/>
    <w:pPr>
      <w:numPr>
        <w:numId w:val="1"/>
      </w:numPr>
    </w:pPr>
  </w:style>
  <w:style w:type="character" w:customStyle="1" w:styleId="AufzhlungszeichenZchn">
    <w:name w:val="Aufzählungszeichen Zchn"/>
    <w:link w:val="Aufzhlungszeichen"/>
    <w:rsid w:val="00A1771A"/>
    <w:rPr>
      <w:rFonts w:ascii="Times New Roman" w:eastAsia="Times New Roman" w:hAnsi="Times New Roman" w:cs="Times New Roman"/>
      <w:lang w:eastAsia="de-DE"/>
    </w:rPr>
  </w:style>
  <w:style w:type="paragraph" w:customStyle="1" w:styleId="Calibri">
    <w:name w:val="Calibri"/>
    <w:basedOn w:val="Aufzhlungszeichen"/>
    <w:rsid w:val="00A1771A"/>
    <w:pPr>
      <w:numPr>
        <w:numId w:val="0"/>
      </w:numPr>
    </w:pPr>
    <w:rPr>
      <w:sz w:val="22"/>
      <w:szCs w:val="22"/>
    </w:rPr>
  </w:style>
  <w:style w:type="paragraph" w:styleId="berarbeitung">
    <w:name w:val="Revision"/>
    <w:hidden/>
    <w:uiPriority w:val="99"/>
    <w:semiHidden/>
    <w:rsid w:val="00D16049"/>
    <w:rPr>
      <w:rFonts w:ascii="Times New Roman" w:eastAsia="Times New Roman" w:hAnsi="Times New Roman" w:cs="Times New Roman"/>
      <w:lang w:eastAsia="de-DE"/>
    </w:rPr>
  </w:style>
  <w:style w:type="paragraph" w:styleId="Listenabsatz">
    <w:name w:val="List Paragraph"/>
    <w:basedOn w:val="Standard"/>
    <w:uiPriority w:val="34"/>
    <w:qFormat/>
    <w:rsid w:val="00D16049"/>
    <w:pPr>
      <w:ind w:left="720"/>
      <w:contextualSpacing/>
    </w:pPr>
    <w:rPr>
      <w:rFonts w:asciiTheme="minorHAnsi" w:eastAsiaTheme="minorEastAsia" w:hAnsiTheme="minorHAnsi" w:cstheme="minorBidi"/>
    </w:rPr>
  </w:style>
  <w:style w:type="character" w:styleId="Hyperlink">
    <w:name w:val="Hyperlink"/>
    <w:basedOn w:val="Absatz-Standardschriftart"/>
    <w:uiPriority w:val="99"/>
    <w:unhideWhenUsed/>
    <w:rsid w:val="000219FE"/>
    <w:rPr>
      <w:color w:val="0563C1" w:themeColor="hyperlink"/>
      <w:u w:val="single"/>
    </w:rPr>
  </w:style>
  <w:style w:type="character" w:styleId="NichtaufgelsteErwhnung">
    <w:name w:val="Unresolved Mention"/>
    <w:basedOn w:val="Absatz-Standardschriftart"/>
    <w:uiPriority w:val="99"/>
    <w:semiHidden/>
    <w:unhideWhenUsed/>
    <w:rsid w:val="00021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enodo.org/records/836944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5655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Matuszak</dc:creator>
  <cp:keywords/>
  <dc:description/>
  <cp:lastModifiedBy>Ecklin, Sabine (IAW)</cp:lastModifiedBy>
  <cp:revision>8</cp:revision>
  <dcterms:created xsi:type="dcterms:W3CDTF">2024-02-13T18:25:00Z</dcterms:created>
  <dcterms:modified xsi:type="dcterms:W3CDTF">2024-03-15T12:30:00Z</dcterms:modified>
</cp:coreProperties>
</file>