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6FEF" w14:textId="77777777" w:rsidR="007C62D1" w:rsidRPr="002E236C" w:rsidRDefault="007C62D1" w:rsidP="007C62D1">
      <w:pPr>
        <w:pStyle w:val="StandardWeb"/>
        <w:rPr>
          <w:sz w:val="28"/>
          <w:szCs w:val="28"/>
        </w:rPr>
      </w:pPr>
      <w:proofErr w:type="spellStart"/>
      <w:r w:rsidRPr="002E236C">
        <w:rPr>
          <w:bCs/>
          <w:sz w:val="28"/>
          <w:szCs w:val="28"/>
        </w:rPr>
        <w:t>Altorientalische</w:t>
      </w:r>
      <w:proofErr w:type="spellEnd"/>
      <w:r w:rsidRPr="002E236C">
        <w:rPr>
          <w:bCs/>
          <w:sz w:val="28"/>
          <w:szCs w:val="28"/>
        </w:rPr>
        <w:t xml:space="preserve"> </w:t>
      </w:r>
      <w:proofErr w:type="spellStart"/>
      <w:r w:rsidRPr="002E236C">
        <w:rPr>
          <w:bCs/>
          <w:sz w:val="28"/>
          <w:szCs w:val="28"/>
        </w:rPr>
        <w:t>Forschungen</w:t>
      </w:r>
      <w:proofErr w:type="spellEnd"/>
    </w:p>
    <w:p w14:paraId="5F93EC5A" w14:textId="441A8A5E" w:rsidR="007C62D1" w:rsidRPr="00A160B3" w:rsidRDefault="007C62D1" w:rsidP="007C62D1">
      <w:pPr>
        <w:pStyle w:val="StandardWeb"/>
        <w:rPr>
          <w:sz w:val="22"/>
          <w:szCs w:val="22"/>
          <w:lang w:val="en-US"/>
        </w:rPr>
      </w:pPr>
      <w:r w:rsidRPr="00A160B3">
        <w:rPr>
          <w:sz w:val="22"/>
          <w:szCs w:val="22"/>
          <w:lang w:val="en-US"/>
        </w:rPr>
        <w:t xml:space="preserve">The journal </w:t>
      </w:r>
      <w:proofErr w:type="spellStart"/>
      <w:r w:rsidRPr="00A160B3">
        <w:rPr>
          <w:i/>
          <w:sz w:val="22"/>
          <w:szCs w:val="22"/>
          <w:lang w:val="en-US"/>
        </w:rPr>
        <w:t>Altorientalischen</w:t>
      </w:r>
      <w:proofErr w:type="spellEnd"/>
      <w:r w:rsidRPr="00A160B3">
        <w:rPr>
          <w:i/>
          <w:sz w:val="22"/>
          <w:szCs w:val="22"/>
          <w:lang w:val="en-US"/>
        </w:rPr>
        <w:t xml:space="preserve"> </w:t>
      </w:r>
      <w:proofErr w:type="spellStart"/>
      <w:r w:rsidRPr="00A160B3">
        <w:rPr>
          <w:i/>
          <w:sz w:val="22"/>
          <w:szCs w:val="22"/>
          <w:lang w:val="en-US"/>
        </w:rPr>
        <w:t>Forschungen</w:t>
      </w:r>
      <w:proofErr w:type="spellEnd"/>
      <w:r w:rsidRPr="00A160B3">
        <w:rPr>
          <w:sz w:val="22"/>
          <w:szCs w:val="22"/>
          <w:lang w:val="en-US"/>
        </w:rPr>
        <w:t xml:space="preserve"> publishes original research on the history and culture of the Ancient Near East as well as </w:t>
      </w:r>
      <w:r w:rsidR="008C2934">
        <w:rPr>
          <w:sz w:val="22"/>
          <w:szCs w:val="22"/>
          <w:lang w:val="en-US"/>
        </w:rPr>
        <w:t>cultural contacts</w:t>
      </w:r>
      <w:r w:rsidRPr="00A160B3">
        <w:rPr>
          <w:sz w:val="22"/>
          <w:szCs w:val="22"/>
          <w:lang w:val="en-US"/>
        </w:rPr>
        <w:t xml:space="preserve"> with neighboring regions such as Central Asia, Egypt and the Aegean. Philological and archaeological (including art historical) investigations are equally welcome. All contributions are peer-reviewed. The journal is published both in print and online.</w:t>
      </w:r>
    </w:p>
    <w:p w14:paraId="48DF324E" w14:textId="77777777" w:rsidR="007C62D1" w:rsidRPr="002E236C" w:rsidRDefault="007C62D1" w:rsidP="007C62D1">
      <w:pPr>
        <w:pStyle w:val="StandardWeb"/>
        <w:rPr>
          <w:sz w:val="28"/>
          <w:szCs w:val="28"/>
        </w:rPr>
      </w:pPr>
      <w:r w:rsidRPr="002E236C">
        <w:rPr>
          <w:bCs/>
          <w:sz w:val="28"/>
          <w:szCs w:val="28"/>
        </w:rPr>
        <w:t xml:space="preserve">Guidelines for Authors </w:t>
      </w:r>
    </w:p>
    <w:p w14:paraId="3599AC9C" w14:textId="77777777" w:rsidR="007C62D1" w:rsidRPr="002E236C" w:rsidRDefault="007C62D1" w:rsidP="007C62D1">
      <w:pPr>
        <w:pStyle w:val="StandardWeb"/>
        <w:rPr>
          <w:sz w:val="22"/>
          <w:szCs w:val="22"/>
        </w:rPr>
      </w:pPr>
      <w:r w:rsidRPr="002E236C">
        <w:rPr>
          <w:sz w:val="22"/>
          <w:szCs w:val="22"/>
        </w:rPr>
        <w:t xml:space="preserve">Please submit your </w:t>
      </w:r>
      <w:r w:rsidRPr="002E236C">
        <w:rPr>
          <w:i/>
          <w:iCs/>
          <w:sz w:val="22"/>
          <w:szCs w:val="22"/>
        </w:rPr>
        <w:t>manuscript</w:t>
      </w:r>
      <w:r w:rsidRPr="0099390B">
        <w:rPr>
          <w:rFonts w:hint="eastAsia"/>
          <w:iCs/>
          <w:sz w:val="22"/>
          <w:szCs w:val="22"/>
        </w:rPr>
        <w:t xml:space="preserve"> in</w:t>
      </w:r>
      <w:r w:rsidRPr="002E236C">
        <w:rPr>
          <w:sz w:val="22"/>
          <w:szCs w:val="22"/>
        </w:rPr>
        <w:t xml:space="preserve"> both WORD and PDF format to the editorial office (aof@degruyter.com). </w:t>
      </w:r>
    </w:p>
    <w:p w14:paraId="597D93E9" w14:textId="3874D8C7" w:rsidR="0012203A" w:rsidRDefault="007C62D1" w:rsidP="00AC442B">
      <w:pPr>
        <w:pStyle w:val="StandardWeb"/>
        <w:contextualSpacing/>
        <w:rPr>
          <w:i/>
          <w:iCs/>
          <w:sz w:val="22"/>
          <w:szCs w:val="22"/>
        </w:rPr>
      </w:pPr>
      <w:r w:rsidRPr="002E236C">
        <w:rPr>
          <w:i/>
          <w:iCs/>
          <w:sz w:val="22"/>
          <w:szCs w:val="22"/>
        </w:rPr>
        <w:t xml:space="preserve">Illustrations, </w:t>
      </w:r>
      <w:r w:rsidR="005E0242">
        <w:rPr>
          <w:i/>
          <w:iCs/>
          <w:sz w:val="22"/>
          <w:szCs w:val="22"/>
        </w:rPr>
        <w:t>T</w:t>
      </w:r>
      <w:r w:rsidRPr="002E236C">
        <w:rPr>
          <w:i/>
          <w:iCs/>
          <w:sz w:val="22"/>
          <w:szCs w:val="22"/>
        </w:rPr>
        <w:t xml:space="preserve">ables and </w:t>
      </w:r>
      <w:r w:rsidR="005E0242">
        <w:rPr>
          <w:i/>
          <w:iCs/>
          <w:sz w:val="22"/>
          <w:szCs w:val="22"/>
        </w:rPr>
        <w:t>C</w:t>
      </w:r>
      <w:r w:rsidRPr="002E236C">
        <w:rPr>
          <w:i/>
          <w:iCs/>
          <w:sz w:val="22"/>
          <w:szCs w:val="22"/>
        </w:rPr>
        <w:t>harts</w:t>
      </w:r>
      <w:r w:rsidR="0012203A" w:rsidRPr="0012203A">
        <w:rPr>
          <w:sz w:val="22"/>
          <w:szCs w:val="22"/>
        </w:rPr>
        <w:t>:</w:t>
      </w:r>
    </w:p>
    <w:p w14:paraId="7498F917" w14:textId="3E706371" w:rsidR="0012203A" w:rsidRDefault="007C62D1" w:rsidP="0012203A">
      <w:pPr>
        <w:pStyle w:val="StandardWeb"/>
        <w:numPr>
          <w:ilvl w:val="0"/>
          <w:numId w:val="1"/>
        </w:numPr>
        <w:rPr>
          <w:sz w:val="22"/>
          <w:szCs w:val="22"/>
        </w:rPr>
      </w:pPr>
      <w:r w:rsidRPr="002E236C">
        <w:rPr>
          <w:sz w:val="22"/>
          <w:szCs w:val="22"/>
        </w:rPr>
        <w:t>are submitted separately</w:t>
      </w:r>
      <w:r w:rsidR="0012203A">
        <w:rPr>
          <w:sz w:val="22"/>
          <w:szCs w:val="22"/>
        </w:rPr>
        <w:t xml:space="preserve"> rather than embedded in the text</w:t>
      </w:r>
      <w:r w:rsidRPr="002E236C">
        <w:rPr>
          <w:sz w:val="22"/>
          <w:szCs w:val="22"/>
        </w:rPr>
        <w:t>, with an indication of where to place them within the main text</w:t>
      </w:r>
      <w:r w:rsidR="0012203A">
        <w:rPr>
          <w:sz w:val="22"/>
          <w:szCs w:val="22"/>
        </w:rPr>
        <w:t xml:space="preserve"> (ideally together with the captions).</w:t>
      </w:r>
    </w:p>
    <w:p w14:paraId="252BBCEF" w14:textId="77777777" w:rsidR="0012203A" w:rsidRDefault="007C62D1" w:rsidP="0012203A">
      <w:pPr>
        <w:pStyle w:val="StandardWeb"/>
        <w:numPr>
          <w:ilvl w:val="0"/>
          <w:numId w:val="1"/>
        </w:numPr>
        <w:rPr>
          <w:sz w:val="22"/>
          <w:szCs w:val="22"/>
        </w:rPr>
      </w:pPr>
      <w:r w:rsidRPr="002E236C">
        <w:rPr>
          <w:sz w:val="22"/>
          <w:szCs w:val="22"/>
        </w:rPr>
        <w:t xml:space="preserve">Line drawings must have a resolution of 1000 dpi, photographs ideally 600 dpi, but at least 300 dpi. </w:t>
      </w:r>
    </w:p>
    <w:p w14:paraId="637FA114" w14:textId="2B98EF94" w:rsidR="007C62D1" w:rsidRPr="002E236C" w:rsidRDefault="007C62D1" w:rsidP="0012203A">
      <w:pPr>
        <w:pStyle w:val="StandardWeb"/>
        <w:numPr>
          <w:ilvl w:val="0"/>
          <w:numId w:val="1"/>
        </w:numPr>
        <w:rPr>
          <w:sz w:val="22"/>
          <w:szCs w:val="22"/>
        </w:rPr>
      </w:pPr>
      <w:r w:rsidRPr="002E236C">
        <w:rPr>
          <w:sz w:val="22"/>
          <w:szCs w:val="22"/>
        </w:rPr>
        <w:t>Please provide appropriate source information for each illustration. The author is responsible for obtaining the required reproduction rights.</w:t>
      </w:r>
    </w:p>
    <w:p w14:paraId="7160D2DE" w14:textId="21AC95A7" w:rsidR="0012203A" w:rsidRDefault="007C62D1" w:rsidP="00AC442B">
      <w:pPr>
        <w:pStyle w:val="StandardWeb"/>
        <w:contextualSpacing/>
        <w:rPr>
          <w:sz w:val="22"/>
          <w:szCs w:val="22"/>
        </w:rPr>
      </w:pPr>
      <w:r w:rsidRPr="002E236C">
        <w:rPr>
          <w:i/>
          <w:iCs/>
          <w:sz w:val="22"/>
          <w:szCs w:val="22"/>
        </w:rPr>
        <w:t>Fonts</w:t>
      </w:r>
      <w:r w:rsidR="005E0242">
        <w:rPr>
          <w:i/>
          <w:iCs/>
          <w:sz w:val="22"/>
          <w:szCs w:val="22"/>
        </w:rPr>
        <w:t xml:space="preserve"> and </w:t>
      </w:r>
      <w:r w:rsidRPr="002E236C">
        <w:rPr>
          <w:i/>
          <w:iCs/>
          <w:sz w:val="22"/>
          <w:szCs w:val="22"/>
        </w:rPr>
        <w:t>Orthography</w:t>
      </w:r>
      <w:r w:rsidRPr="002E236C">
        <w:rPr>
          <w:sz w:val="22"/>
          <w:szCs w:val="22"/>
        </w:rPr>
        <w:t xml:space="preserve">: </w:t>
      </w:r>
    </w:p>
    <w:p w14:paraId="5283D269" w14:textId="77777777" w:rsidR="005E0242" w:rsidRDefault="007C62D1" w:rsidP="0012203A">
      <w:pPr>
        <w:pStyle w:val="StandardWeb"/>
        <w:numPr>
          <w:ilvl w:val="0"/>
          <w:numId w:val="2"/>
        </w:numPr>
        <w:rPr>
          <w:sz w:val="22"/>
          <w:szCs w:val="22"/>
        </w:rPr>
      </w:pPr>
      <w:r w:rsidRPr="002E236C">
        <w:rPr>
          <w:sz w:val="22"/>
          <w:szCs w:val="22"/>
        </w:rPr>
        <w:t xml:space="preserve">Please use Unicode fonts, preferably </w:t>
      </w:r>
      <w:r w:rsidRPr="005E0242">
        <w:rPr>
          <w:b/>
          <w:bCs/>
          <w:sz w:val="22"/>
          <w:szCs w:val="22"/>
        </w:rPr>
        <w:t>Times New Roman</w:t>
      </w:r>
      <w:r w:rsidRPr="002E236C">
        <w:rPr>
          <w:sz w:val="22"/>
          <w:szCs w:val="22"/>
        </w:rPr>
        <w:t xml:space="preserve">. </w:t>
      </w:r>
    </w:p>
    <w:p w14:paraId="5737AB6E" w14:textId="5B4A7553" w:rsidR="0012203A" w:rsidRPr="005E0242" w:rsidRDefault="007C62D1" w:rsidP="0012203A">
      <w:pPr>
        <w:pStyle w:val="StandardWeb"/>
        <w:numPr>
          <w:ilvl w:val="0"/>
          <w:numId w:val="2"/>
        </w:numPr>
        <w:rPr>
          <w:sz w:val="22"/>
          <w:szCs w:val="22"/>
        </w:rPr>
      </w:pPr>
      <w:r w:rsidRPr="002E236C">
        <w:rPr>
          <w:sz w:val="22"/>
          <w:szCs w:val="22"/>
        </w:rPr>
        <w:t xml:space="preserve">German Language contributions follow the new German orthography according to </w:t>
      </w:r>
      <w:proofErr w:type="spellStart"/>
      <w:r w:rsidRPr="005E0242">
        <w:rPr>
          <w:sz w:val="22"/>
          <w:szCs w:val="22"/>
        </w:rPr>
        <w:t>Duden</w:t>
      </w:r>
      <w:proofErr w:type="spellEnd"/>
      <w:r w:rsidRPr="005E0242">
        <w:rPr>
          <w:sz w:val="22"/>
          <w:szCs w:val="22"/>
        </w:rPr>
        <w:t xml:space="preserve"> – Die </w:t>
      </w:r>
      <w:proofErr w:type="spellStart"/>
      <w:r w:rsidRPr="005E0242">
        <w:rPr>
          <w:sz w:val="22"/>
          <w:szCs w:val="22"/>
        </w:rPr>
        <w:t>Rechtschreibung</w:t>
      </w:r>
      <w:proofErr w:type="spellEnd"/>
      <w:r w:rsidRPr="005E0242">
        <w:rPr>
          <w:sz w:val="22"/>
          <w:szCs w:val="22"/>
        </w:rPr>
        <w:t xml:space="preserve">, English language contributions follow the Oxford Style Manual or the Chicago Manual of Style. </w:t>
      </w:r>
    </w:p>
    <w:p w14:paraId="40537A8E" w14:textId="0FDC9866" w:rsidR="0012203A" w:rsidRDefault="0012203A" w:rsidP="00AC442B">
      <w:pPr>
        <w:pStyle w:val="StandardWeb"/>
        <w:contextualSpacing/>
        <w:rPr>
          <w:sz w:val="22"/>
          <w:szCs w:val="22"/>
        </w:rPr>
      </w:pPr>
      <w:r w:rsidRPr="0012203A">
        <w:rPr>
          <w:i/>
          <w:iCs/>
          <w:sz w:val="22"/>
          <w:szCs w:val="22"/>
        </w:rPr>
        <w:t xml:space="preserve">Title, </w:t>
      </w:r>
      <w:r w:rsidR="005E0242">
        <w:rPr>
          <w:i/>
          <w:iCs/>
          <w:sz w:val="22"/>
          <w:szCs w:val="22"/>
        </w:rPr>
        <w:t xml:space="preserve">Subtitles, </w:t>
      </w:r>
      <w:r w:rsidRPr="0012203A">
        <w:rPr>
          <w:i/>
          <w:iCs/>
          <w:sz w:val="22"/>
          <w:szCs w:val="22"/>
        </w:rPr>
        <w:t>Abstract, Keywords and Author’s Details</w:t>
      </w:r>
      <w:r>
        <w:rPr>
          <w:sz w:val="22"/>
          <w:szCs w:val="22"/>
        </w:rPr>
        <w:t>:</w:t>
      </w:r>
    </w:p>
    <w:p w14:paraId="375DA6B3" w14:textId="77777777" w:rsidR="005E0242" w:rsidRDefault="005E0242" w:rsidP="005E0242">
      <w:pPr>
        <w:pStyle w:val="StandardWeb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If the article has a long </w:t>
      </w:r>
      <w:r w:rsidRPr="005E0242">
        <w:rPr>
          <w:i/>
          <w:iCs/>
          <w:sz w:val="22"/>
          <w:szCs w:val="22"/>
        </w:rPr>
        <w:t>title</w:t>
      </w:r>
      <w:r>
        <w:rPr>
          <w:sz w:val="22"/>
          <w:szCs w:val="22"/>
        </w:rPr>
        <w:t>, please state a short version for the header line.</w:t>
      </w:r>
    </w:p>
    <w:p w14:paraId="19C6E0BA" w14:textId="77777777" w:rsidR="005E0242" w:rsidRDefault="005E0242" w:rsidP="005E0242">
      <w:pPr>
        <w:pStyle w:val="StandardWeb"/>
        <w:numPr>
          <w:ilvl w:val="0"/>
          <w:numId w:val="3"/>
        </w:numPr>
        <w:rPr>
          <w:sz w:val="22"/>
          <w:szCs w:val="22"/>
        </w:rPr>
      </w:pPr>
      <w:r w:rsidRPr="002E236C">
        <w:rPr>
          <w:sz w:val="22"/>
          <w:szCs w:val="22"/>
        </w:rPr>
        <w:t xml:space="preserve">It is not possible to include footnotes in the </w:t>
      </w:r>
      <w:r w:rsidRPr="005E0242">
        <w:rPr>
          <w:i/>
          <w:iCs/>
          <w:sz w:val="22"/>
          <w:szCs w:val="22"/>
        </w:rPr>
        <w:t>title</w:t>
      </w:r>
      <w:r w:rsidRPr="002E236C">
        <w:rPr>
          <w:sz w:val="22"/>
          <w:szCs w:val="22"/>
        </w:rPr>
        <w:t xml:space="preserve"> or</w:t>
      </w:r>
      <w:r>
        <w:rPr>
          <w:sz w:val="22"/>
          <w:szCs w:val="22"/>
        </w:rPr>
        <w:t xml:space="preserve"> </w:t>
      </w:r>
      <w:r w:rsidRPr="005E0242">
        <w:rPr>
          <w:i/>
          <w:iCs/>
          <w:sz w:val="22"/>
          <w:szCs w:val="22"/>
        </w:rPr>
        <w:t>subtitles</w:t>
      </w:r>
      <w:r w:rsidRPr="002E236C">
        <w:rPr>
          <w:sz w:val="22"/>
          <w:szCs w:val="22"/>
        </w:rPr>
        <w:t>.</w:t>
      </w:r>
    </w:p>
    <w:p w14:paraId="2F46637B" w14:textId="77777777" w:rsidR="005E0242" w:rsidRDefault="007C62D1" w:rsidP="005E0242">
      <w:pPr>
        <w:pStyle w:val="StandardWeb"/>
        <w:numPr>
          <w:ilvl w:val="0"/>
          <w:numId w:val="3"/>
        </w:numPr>
        <w:rPr>
          <w:sz w:val="22"/>
          <w:szCs w:val="22"/>
        </w:rPr>
      </w:pPr>
      <w:r w:rsidRPr="002E236C">
        <w:rPr>
          <w:sz w:val="22"/>
          <w:szCs w:val="22"/>
        </w:rPr>
        <w:t xml:space="preserve">Each contribution includes an </w:t>
      </w:r>
      <w:r w:rsidRPr="002E236C">
        <w:rPr>
          <w:i/>
          <w:iCs/>
          <w:sz w:val="22"/>
          <w:szCs w:val="22"/>
        </w:rPr>
        <w:t xml:space="preserve">English abstract </w:t>
      </w:r>
      <w:r w:rsidRPr="002E236C">
        <w:rPr>
          <w:sz w:val="22"/>
          <w:szCs w:val="22"/>
        </w:rPr>
        <w:t>of approximately 80</w:t>
      </w:r>
      <w:r>
        <w:rPr>
          <w:sz w:val="22"/>
          <w:szCs w:val="22"/>
        </w:rPr>
        <w:t>–</w:t>
      </w:r>
      <w:r w:rsidRPr="002E236C">
        <w:rPr>
          <w:sz w:val="22"/>
          <w:szCs w:val="22"/>
        </w:rPr>
        <w:t>150 words</w:t>
      </w:r>
      <w:r w:rsidR="0012203A">
        <w:rPr>
          <w:sz w:val="22"/>
          <w:szCs w:val="22"/>
        </w:rPr>
        <w:t xml:space="preserve"> (8–12 lines)</w:t>
      </w:r>
      <w:r w:rsidRPr="002E236C">
        <w:rPr>
          <w:sz w:val="22"/>
          <w:szCs w:val="22"/>
        </w:rPr>
        <w:t xml:space="preserve"> as well as 3</w:t>
      </w:r>
      <w:r>
        <w:rPr>
          <w:sz w:val="22"/>
          <w:szCs w:val="22"/>
        </w:rPr>
        <w:t>–</w:t>
      </w:r>
      <w:r w:rsidRPr="002E236C">
        <w:rPr>
          <w:sz w:val="22"/>
          <w:szCs w:val="22"/>
        </w:rPr>
        <w:t xml:space="preserve">5 thematic </w:t>
      </w:r>
      <w:r w:rsidRPr="002E236C">
        <w:rPr>
          <w:i/>
          <w:iCs/>
          <w:sz w:val="22"/>
          <w:szCs w:val="22"/>
        </w:rPr>
        <w:t>keywords</w:t>
      </w:r>
      <w:r w:rsidRPr="002E236C">
        <w:rPr>
          <w:sz w:val="22"/>
          <w:szCs w:val="22"/>
        </w:rPr>
        <w:t>.</w:t>
      </w:r>
      <w:r w:rsidR="0012203A">
        <w:rPr>
          <w:sz w:val="22"/>
          <w:szCs w:val="22"/>
        </w:rPr>
        <w:t xml:space="preserve"> </w:t>
      </w:r>
    </w:p>
    <w:p w14:paraId="0FB66C2C" w14:textId="7DA7F3F1" w:rsidR="0012203A" w:rsidRDefault="0012203A" w:rsidP="005E0242">
      <w:pPr>
        <w:pStyle w:val="StandardWeb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5E0242">
        <w:rPr>
          <w:i/>
          <w:iCs/>
          <w:sz w:val="22"/>
          <w:szCs w:val="22"/>
        </w:rPr>
        <w:t>keywords</w:t>
      </w:r>
      <w:r>
        <w:rPr>
          <w:sz w:val="22"/>
          <w:szCs w:val="22"/>
        </w:rPr>
        <w:t xml:space="preserve"> should be separated from each other by commas, and end without a full stop.</w:t>
      </w:r>
    </w:p>
    <w:p w14:paraId="27921A42" w14:textId="6C601115" w:rsidR="005E0242" w:rsidRPr="005E0242" w:rsidRDefault="007C62D1" w:rsidP="005E0242">
      <w:pPr>
        <w:pStyle w:val="StandardWeb"/>
        <w:numPr>
          <w:ilvl w:val="0"/>
          <w:numId w:val="3"/>
        </w:numPr>
        <w:rPr>
          <w:sz w:val="22"/>
          <w:szCs w:val="22"/>
        </w:rPr>
      </w:pPr>
      <w:r w:rsidRPr="002E236C">
        <w:rPr>
          <w:sz w:val="22"/>
          <w:szCs w:val="22"/>
        </w:rPr>
        <w:t xml:space="preserve">The author’s name and affiliation with address and email address is listed </w:t>
      </w:r>
      <w:r w:rsidRPr="005E0242">
        <w:rPr>
          <w:b/>
          <w:bCs/>
          <w:sz w:val="22"/>
          <w:szCs w:val="22"/>
        </w:rPr>
        <w:t>at the end</w:t>
      </w:r>
      <w:r w:rsidRPr="002E236C">
        <w:rPr>
          <w:sz w:val="22"/>
          <w:szCs w:val="22"/>
        </w:rPr>
        <w:t xml:space="preserve"> of the contribution.</w:t>
      </w:r>
    </w:p>
    <w:p w14:paraId="70F98A2A" w14:textId="3C7C566E" w:rsidR="007C62D1" w:rsidRPr="002E236C" w:rsidRDefault="007C62D1" w:rsidP="007C62D1">
      <w:pPr>
        <w:pStyle w:val="StandardWeb"/>
        <w:rPr>
          <w:sz w:val="22"/>
          <w:szCs w:val="22"/>
        </w:rPr>
      </w:pPr>
      <w:r w:rsidRPr="002E236C">
        <w:rPr>
          <w:i/>
          <w:iCs/>
          <w:sz w:val="22"/>
          <w:szCs w:val="22"/>
        </w:rPr>
        <w:t>Acknowledgements</w:t>
      </w:r>
      <w:r w:rsidRPr="0099390B">
        <w:rPr>
          <w:rFonts w:hint="eastAsia"/>
          <w:iCs/>
          <w:sz w:val="22"/>
          <w:szCs w:val="22"/>
        </w:rPr>
        <w:t xml:space="preserve"> as well as </w:t>
      </w:r>
      <w:r w:rsidRPr="002E236C">
        <w:rPr>
          <w:iCs/>
          <w:sz w:val="22"/>
          <w:szCs w:val="22"/>
        </w:rPr>
        <w:t xml:space="preserve">general information, e.g., particular </w:t>
      </w:r>
      <w:r w:rsidRPr="002E236C">
        <w:rPr>
          <w:i/>
          <w:iCs/>
          <w:sz w:val="22"/>
          <w:szCs w:val="22"/>
        </w:rPr>
        <w:t>abbreviations</w:t>
      </w:r>
      <w:r w:rsidRPr="002E236C">
        <w:rPr>
          <w:iCs/>
          <w:sz w:val="22"/>
          <w:szCs w:val="22"/>
        </w:rPr>
        <w:t xml:space="preserve"> used throughout the text, </w:t>
      </w:r>
      <w:r w:rsidRPr="002E236C">
        <w:rPr>
          <w:sz w:val="22"/>
          <w:szCs w:val="22"/>
        </w:rPr>
        <w:t>are not listed in the first footnote but after the main text and before the bibliography.</w:t>
      </w:r>
    </w:p>
    <w:p w14:paraId="60BCBA28" w14:textId="77777777" w:rsidR="008C2934" w:rsidRDefault="008C2934" w:rsidP="008C2934">
      <w:pPr>
        <w:pStyle w:val="StandardWeb"/>
        <w:contextualSpacing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Bibliographic </w:t>
      </w:r>
      <w:r w:rsidR="007C62D1" w:rsidRPr="002E236C">
        <w:rPr>
          <w:i/>
          <w:iCs/>
          <w:sz w:val="22"/>
          <w:szCs w:val="22"/>
        </w:rPr>
        <w:t xml:space="preserve">Abbreviations </w:t>
      </w:r>
    </w:p>
    <w:p w14:paraId="2DA7B1DE" w14:textId="095AF904" w:rsidR="008C2934" w:rsidRDefault="008C2934" w:rsidP="008C2934">
      <w:pPr>
        <w:pStyle w:val="StandardWeb"/>
        <w:numPr>
          <w:ilvl w:val="0"/>
          <w:numId w:val="6"/>
        </w:numPr>
        <w:rPr>
          <w:sz w:val="22"/>
          <w:szCs w:val="22"/>
        </w:rPr>
      </w:pPr>
      <w:r w:rsidRPr="008C2934">
        <w:rPr>
          <w:i/>
          <w:iCs/>
          <w:sz w:val="22"/>
          <w:szCs w:val="22"/>
        </w:rPr>
        <w:t xml:space="preserve">Bibliographic </w:t>
      </w:r>
      <w:r>
        <w:rPr>
          <w:i/>
          <w:iCs/>
          <w:sz w:val="22"/>
          <w:szCs w:val="22"/>
        </w:rPr>
        <w:t>a</w:t>
      </w:r>
      <w:r w:rsidRPr="008C2934">
        <w:rPr>
          <w:i/>
          <w:iCs/>
          <w:sz w:val="22"/>
          <w:szCs w:val="22"/>
        </w:rPr>
        <w:t>bbreviations</w:t>
      </w:r>
      <w:r>
        <w:rPr>
          <w:sz w:val="22"/>
          <w:szCs w:val="22"/>
        </w:rPr>
        <w:t xml:space="preserve"> g</w:t>
      </w:r>
      <w:r w:rsidR="007C62D1" w:rsidRPr="002E236C">
        <w:rPr>
          <w:sz w:val="22"/>
          <w:szCs w:val="22"/>
        </w:rPr>
        <w:t xml:space="preserve">enerally follow those in the </w:t>
      </w:r>
      <w:proofErr w:type="spellStart"/>
      <w:r w:rsidR="007C62D1" w:rsidRPr="002E236C">
        <w:rPr>
          <w:sz w:val="22"/>
          <w:szCs w:val="22"/>
        </w:rPr>
        <w:t>Reallexikon</w:t>
      </w:r>
      <w:proofErr w:type="spellEnd"/>
      <w:r w:rsidR="007C62D1" w:rsidRPr="002E236C">
        <w:rPr>
          <w:sz w:val="22"/>
          <w:szCs w:val="22"/>
        </w:rPr>
        <w:t xml:space="preserve"> der </w:t>
      </w:r>
      <w:proofErr w:type="spellStart"/>
      <w:r w:rsidR="007C62D1" w:rsidRPr="002E236C">
        <w:rPr>
          <w:sz w:val="22"/>
          <w:szCs w:val="22"/>
        </w:rPr>
        <w:t>Assyriologie</w:t>
      </w:r>
      <w:proofErr w:type="spellEnd"/>
      <w:r w:rsidR="007C62D1" w:rsidRPr="002E236C">
        <w:rPr>
          <w:sz w:val="22"/>
          <w:szCs w:val="22"/>
        </w:rPr>
        <w:t xml:space="preserve"> und </w:t>
      </w:r>
      <w:proofErr w:type="spellStart"/>
      <w:r w:rsidR="007C62D1" w:rsidRPr="002E236C">
        <w:rPr>
          <w:sz w:val="22"/>
          <w:szCs w:val="22"/>
        </w:rPr>
        <w:t>Vorderasiatischen</w:t>
      </w:r>
      <w:proofErr w:type="spellEnd"/>
      <w:r w:rsidR="007C62D1" w:rsidRPr="002E236C">
        <w:rPr>
          <w:sz w:val="22"/>
          <w:szCs w:val="22"/>
        </w:rPr>
        <w:t xml:space="preserve"> </w:t>
      </w:r>
      <w:proofErr w:type="spellStart"/>
      <w:r w:rsidR="007C62D1" w:rsidRPr="002E236C">
        <w:rPr>
          <w:sz w:val="22"/>
          <w:szCs w:val="22"/>
        </w:rPr>
        <w:t>Archäologie</w:t>
      </w:r>
      <w:proofErr w:type="spellEnd"/>
      <w:r w:rsidR="007C62D1" w:rsidRPr="002E236C">
        <w:rPr>
          <w:sz w:val="22"/>
          <w:szCs w:val="22"/>
        </w:rPr>
        <w:t xml:space="preserve">. </w:t>
      </w:r>
    </w:p>
    <w:p w14:paraId="7C093BF7" w14:textId="702EC60A" w:rsidR="008C2934" w:rsidRDefault="007C62D1" w:rsidP="008C2934">
      <w:pPr>
        <w:pStyle w:val="StandardWeb"/>
        <w:numPr>
          <w:ilvl w:val="0"/>
          <w:numId w:val="6"/>
        </w:numPr>
        <w:rPr>
          <w:sz w:val="22"/>
          <w:szCs w:val="22"/>
        </w:rPr>
      </w:pPr>
      <w:r w:rsidRPr="002E236C">
        <w:rPr>
          <w:sz w:val="22"/>
          <w:szCs w:val="22"/>
        </w:rPr>
        <w:t xml:space="preserve">You can </w:t>
      </w:r>
      <w:r w:rsidR="008C2934">
        <w:rPr>
          <w:sz w:val="22"/>
          <w:szCs w:val="22"/>
        </w:rPr>
        <w:t xml:space="preserve">also </w:t>
      </w:r>
      <w:r w:rsidRPr="002E236C">
        <w:rPr>
          <w:sz w:val="22"/>
          <w:szCs w:val="22"/>
        </w:rPr>
        <w:t xml:space="preserve">follow </w:t>
      </w:r>
      <w:r w:rsidR="008C2934">
        <w:rPr>
          <w:sz w:val="22"/>
          <w:szCs w:val="22"/>
        </w:rPr>
        <w:t xml:space="preserve">the </w:t>
      </w:r>
      <w:r w:rsidR="008C2934" w:rsidRPr="008C2934">
        <w:rPr>
          <w:i/>
          <w:iCs/>
          <w:sz w:val="22"/>
          <w:szCs w:val="22"/>
        </w:rPr>
        <w:t>abbreviations</w:t>
      </w:r>
      <w:r w:rsidRPr="002E236C">
        <w:rPr>
          <w:sz w:val="22"/>
          <w:szCs w:val="22"/>
        </w:rPr>
        <w:t xml:space="preserve"> </w:t>
      </w:r>
      <w:r w:rsidR="008C2934">
        <w:rPr>
          <w:sz w:val="22"/>
          <w:szCs w:val="22"/>
        </w:rPr>
        <w:t xml:space="preserve">used in </w:t>
      </w:r>
      <w:r w:rsidRPr="002E236C">
        <w:rPr>
          <w:sz w:val="22"/>
          <w:szCs w:val="22"/>
        </w:rPr>
        <w:t xml:space="preserve">the following reference works: </w:t>
      </w:r>
    </w:p>
    <w:p w14:paraId="6E9F903B" w14:textId="5FFAB17E" w:rsidR="008C2934" w:rsidRDefault="007C62D1" w:rsidP="008C2934">
      <w:pPr>
        <w:pStyle w:val="StandardWeb"/>
        <w:numPr>
          <w:ilvl w:val="1"/>
          <w:numId w:val="6"/>
        </w:numPr>
        <w:rPr>
          <w:sz w:val="22"/>
          <w:szCs w:val="22"/>
        </w:rPr>
      </w:pPr>
      <w:proofErr w:type="spellStart"/>
      <w:r w:rsidRPr="002E236C">
        <w:rPr>
          <w:sz w:val="22"/>
          <w:szCs w:val="22"/>
        </w:rPr>
        <w:t>Archiv</w:t>
      </w:r>
      <w:proofErr w:type="spellEnd"/>
      <w:r w:rsidRPr="002E236C">
        <w:rPr>
          <w:sz w:val="22"/>
          <w:szCs w:val="22"/>
        </w:rPr>
        <w:t xml:space="preserve"> </w:t>
      </w:r>
      <w:proofErr w:type="spellStart"/>
      <w:r w:rsidRPr="002E236C">
        <w:rPr>
          <w:sz w:val="22"/>
          <w:szCs w:val="22"/>
        </w:rPr>
        <w:t>für</w:t>
      </w:r>
      <w:proofErr w:type="spellEnd"/>
      <w:r w:rsidRPr="002E236C">
        <w:rPr>
          <w:sz w:val="22"/>
          <w:szCs w:val="22"/>
        </w:rPr>
        <w:t xml:space="preserve"> </w:t>
      </w:r>
      <w:proofErr w:type="spellStart"/>
      <w:r w:rsidRPr="002E236C">
        <w:rPr>
          <w:sz w:val="22"/>
          <w:szCs w:val="22"/>
        </w:rPr>
        <w:t>Orientforschung</w:t>
      </w:r>
      <w:proofErr w:type="spellEnd"/>
      <w:r w:rsidRPr="002E236C">
        <w:rPr>
          <w:sz w:val="22"/>
          <w:szCs w:val="22"/>
        </w:rPr>
        <w:t xml:space="preserve">, </w:t>
      </w:r>
      <w:proofErr w:type="spellStart"/>
      <w:r w:rsidRPr="002E236C">
        <w:rPr>
          <w:sz w:val="22"/>
          <w:szCs w:val="22"/>
        </w:rPr>
        <w:t>Akkadisches</w:t>
      </w:r>
      <w:proofErr w:type="spellEnd"/>
      <w:r w:rsidRPr="002E236C">
        <w:rPr>
          <w:sz w:val="22"/>
          <w:szCs w:val="22"/>
        </w:rPr>
        <w:t xml:space="preserve"> </w:t>
      </w:r>
      <w:proofErr w:type="spellStart"/>
      <w:r w:rsidRPr="002E236C">
        <w:rPr>
          <w:sz w:val="22"/>
          <w:szCs w:val="22"/>
        </w:rPr>
        <w:t>Handwörterbuch</w:t>
      </w:r>
      <w:proofErr w:type="spellEnd"/>
      <w:r w:rsidRPr="002E236C">
        <w:rPr>
          <w:sz w:val="22"/>
          <w:szCs w:val="22"/>
        </w:rPr>
        <w:t xml:space="preserve">, Chicago Assyrian Dictionary, Chicago Hittite Dictionary, </w:t>
      </w:r>
      <w:proofErr w:type="spellStart"/>
      <w:r w:rsidRPr="002E236C">
        <w:rPr>
          <w:sz w:val="22"/>
          <w:szCs w:val="22"/>
        </w:rPr>
        <w:t>Keilschriftbibliografie</w:t>
      </w:r>
      <w:proofErr w:type="spellEnd"/>
      <w:r w:rsidRPr="002E236C">
        <w:rPr>
          <w:sz w:val="22"/>
          <w:szCs w:val="22"/>
        </w:rPr>
        <w:t xml:space="preserve"> </w:t>
      </w:r>
      <w:r w:rsidR="00920108">
        <w:rPr>
          <w:sz w:val="22"/>
          <w:szCs w:val="22"/>
        </w:rPr>
        <w:t>of</w:t>
      </w:r>
      <w:r w:rsidR="00920108" w:rsidRPr="002E236C">
        <w:rPr>
          <w:sz w:val="22"/>
          <w:szCs w:val="22"/>
        </w:rPr>
        <w:t xml:space="preserve"> </w:t>
      </w:r>
      <w:r w:rsidRPr="002E236C">
        <w:rPr>
          <w:sz w:val="22"/>
          <w:szCs w:val="22"/>
        </w:rPr>
        <w:t xml:space="preserve">Orientalia, </w:t>
      </w:r>
      <w:proofErr w:type="spellStart"/>
      <w:r w:rsidRPr="002E236C">
        <w:rPr>
          <w:sz w:val="22"/>
          <w:szCs w:val="22"/>
        </w:rPr>
        <w:t>Hethitisches</w:t>
      </w:r>
      <w:proofErr w:type="spellEnd"/>
      <w:r w:rsidRPr="002E236C">
        <w:rPr>
          <w:sz w:val="22"/>
          <w:szCs w:val="22"/>
        </w:rPr>
        <w:t xml:space="preserve"> Wörterbuch</w:t>
      </w:r>
      <w:r>
        <w:rPr>
          <w:sz w:val="22"/>
          <w:szCs w:val="22"/>
          <w:vertAlign w:val="superscript"/>
        </w:rPr>
        <w:t>2</w:t>
      </w:r>
      <w:r>
        <w:rPr>
          <w:position w:val="6"/>
          <w:sz w:val="22"/>
          <w:szCs w:val="22"/>
        </w:rPr>
        <w:t xml:space="preserve"> </w:t>
      </w:r>
      <w:r w:rsidRPr="002E236C">
        <w:rPr>
          <w:sz w:val="22"/>
          <w:szCs w:val="22"/>
        </w:rPr>
        <w:t xml:space="preserve">or </w:t>
      </w:r>
      <w:proofErr w:type="spellStart"/>
      <w:r w:rsidRPr="002E236C">
        <w:rPr>
          <w:sz w:val="22"/>
          <w:szCs w:val="22"/>
        </w:rPr>
        <w:t>Deutsches</w:t>
      </w:r>
      <w:proofErr w:type="spellEnd"/>
      <w:r w:rsidRPr="002E236C">
        <w:rPr>
          <w:sz w:val="22"/>
          <w:szCs w:val="22"/>
        </w:rPr>
        <w:t xml:space="preserve"> </w:t>
      </w:r>
      <w:proofErr w:type="spellStart"/>
      <w:r w:rsidRPr="002E236C">
        <w:rPr>
          <w:sz w:val="22"/>
          <w:szCs w:val="22"/>
        </w:rPr>
        <w:t>Archäologisches</w:t>
      </w:r>
      <w:proofErr w:type="spellEnd"/>
      <w:r w:rsidRPr="002E236C">
        <w:rPr>
          <w:sz w:val="22"/>
          <w:szCs w:val="22"/>
        </w:rPr>
        <w:t xml:space="preserve"> </w:t>
      </w:r>
      <w:proofErr w:type="spellStart"/>
      <w:r w:rsidRPr="002E236C">
        <w:rPr>
          <w:sz w:val="22"/>
          <w:szCs w:val="22"/>
        </w:rPr>
        <w:t>Institut</w:t>
      </w:r>
      <w:proofErr w:type="spellEnd"/>
      <w:r w:rsidR="008C2934">
        <w:rPr>
          <w:sz w:val="22"/>
          <w:szCs w:val="22"/>
        </w:rPr>
        <w:t>.</w:t>
      </w:r>
    </w:p>
    <w:p w14:paraId="3036691E" w14:textId="2B36C13A" w:rsidR="007C62D1" w:rsidRPr="002E236C" w:rsidRDefault="007C62D1" w:rsidP="008C2934">
      <w:pPr>
        <w:pStyle w:val="StandardWeb"/>
        <w:ind w:left="1080"/>
        <w:rPr>
          <w:sz w:val="22"/>
          <w:szCs w:val="22"/>
        </w:rPr>
      </w:pPr>
      <w:r w:rsidRPr="002E236C">
        <w:rPr>
          <w:sz w:val="22"/>
          <w:szCs w:val="22"/>
        </w:rPr>
        <w:lastRenderedPageBreak/>
        <w:t xml:space="preserve">If so, these abbreviations must be listed </w:t>
      </w:r>
      <w:r w:rsidRPr="005E0242">
        <w:rPr>
          <w:b/>
          <w:bCs/>
          <w:sz w:val="22"/>
          <w:szCs w:val="22"/>
        </w:rPr>
        <w:t xml:space="preserve">before </w:t>
      </w:r>
      <w:r w:rsidRPr="002E236C">
        <w:rPr>
          <w:sz w:val="22"/>
          <w:szCs w:val="22"/>
        </w:rPr>
        <w:t xml:space="preserve">the bibliography. </w:t>
      </w:r>
    </w:p>
    <w:p w14:paraId="3C5EA700" w14:textId="2F780B03" w:rsidR="0012203A" w:rsidRPr="008C2934" w:rsidRDefault="0012203A" w:rsidP="00AC442B">
      <w:pPr>
        <w:pStyle w:val="StandardWeb"/>
        <w:contextualSpacing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Formatting </w:t>
      </w:r>
      <w:r w:rsidR="00DB2BA0">
        <w:rPr>
          <w:i/>
          <w:iCs/>
          <w:sz w:val="22"/>
          <w:szCs w:val="22"/>
        </w:rPr>
        <w:t>Requirements</w:t>
      </w:r>
      <w:r w:rsidR="008C2934">
        <w:rPr>
          <w:sz w:val="22"/>
          <w:szCs w:val="22"/>
        </w:rPr>
        <w:t>:</w:t>
      </w:r>
    </w:p>
    <w:p w14:paraId="4F4BDC60" w14:textId="090C80EC" w:rsidR="004A5B54" w:rsidRDefault="0012203A" w:rsidP="0012203A">
      <w:pPr>
        <w:pStyle w:val="StandardWeb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Numbers should be written out </w:t>
      </w:r>
      <w:r w:rsidRPr="004E0E2E">
        <w:rPr>
          <w:b/>
          <w:bCs/>
          <w:sz w:val="22"/>
          <w:szCs w:val="22"/>
        </w:rPr>
        <w:t>in full</w:t>
      </w:r>
      <w:r>
        <w:rPr>
          <w:sz w:val="22"/>
          <w:szCs w:val="22"/>
        </w:rPr>
        <w:t>, i.e. 264–265 (not 264–5)</w:t>
      </w:r>
    </w:p>
    <w:p w14:paraId="0C3BBE62" w14:textId="0C8E6A28" w:rsidR="0012203A" w:rsidRDefault="0012203A" w:rsidP="0012203A">
      <w:pPr>
        <w:pStyle w:val="StandardWeb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from–to statements should be connected by an </w:t>
      </w:r>
      <w:proofErr w:type="spellStart"/>
      <w:r w:rsidR="004A5B54" w:rsidRPr="004E0E2E">
        <w:rPr>
          <w:b/>
          <w:bCs/>
          <w:sz w:val="22"/>
          <w:szCs w:val="22"/>
        </w:rPr>
        <w:t>en</w:t>
      </w:r>
      <w:proofErr w:type="spellEnd"/>
      <w:r w:rsidRPr="004E0E2E">
        <w:rPr>
          <w:b/>
          <w:bCs/>
          <w:sz w:val="22"/>
          <w:szCs w:val="22"/>
        </w:rPr>
        <w:t>-dash</w:t>
      </w:r>
      <w:r>
        <w:rPr>
          <w:sz w:val="22"/>
          <w:szCs w:val="22"/>
        </w:rPr>
        <w:t xml:space="preserve"> not a hyphen, i.e. 264–265 (not 264-265</w:t>
      </w:r>
      <w:r w:rsidR="00E41883">
        <w:rPr>
          <w:sz w:val="22"/>
          <w:szCs w:val="22"/>
        </w:rPr>
        <w:t>), 1998–2001</w:t>
      </w:r>
      <w:r w:rsidR="00E41883" w:rsidRPr="005A1D58">
        <w:rPr>
          <w:sz w:val="22"/>
          <w:szCs w:val="22"/>
        </w:rPr>
        <w:t>; iii 5</w:t>
      </w:r>
      <w:r w:rsidR="005A1D58" w:rsidRPr="005A1D58">
        <w:rPr>
          <w:sz w:val="22"/>
          <w:szCs w:val="22"/>
        </w:rPr>
        <w:t>′</w:t>
      </w:r>
      <w:r w:rsidR="00E41883" w:rsidRPr="005A1D58">
        <w:rPr>
          <w:sz w:val="22"/>
          <w:szCs w:val="22"/>
        </w:rPr>
        <w:t>–7</w:t>
      </w:r>
      <w:r w:rsidR="005A1D58" w:rsidRPr="005A1D58">
        <w:rPr>
          <w:sz w:val="22"/>
          <w:szCs w:val="22"/>
        </w:rPr>
        <w:t>′</w:t>
      </w:r>
      <w:r w:rsidR="00E41883">
        <w:rPr>
          <w:sz w:val="22"/>
          <w:szCs w:val="22"/>
        </w:rPr>
        <w:t xml:space="preserve"> </w:t>
      </w:r>
    </w:p>
    <w:p w14:paraId="6DB5DBDE" w14:textId="2E486E32" w:rsidR="004A5B54" w:rsidRPr="004A5B54" w:rsidRDefault="004A5B54" w:rsidP="0012203A">
      <w:pPr>
        <w:pStyle w:val="StandardWeb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In German, </w:t>
      </w:r>
      <w:r w:rsidRPr="004E0E2E">
        <w:rPr>
          <w:b/>
          <w:bCs/>
          <w:sz w:val="22"/>
          <w:szCs w:val="22"/>
        </w:rPr>
        <w:t>quotation marks</w:t>
      </w:r>
      <w:r>
        <w:rPr>
          <w:sz w:val="22"/>
          <w:szCs w:val="22"/>
        </w:rPr>
        <w:t xml:space="preserve"> should be used as follows: </w:t>
      </w:r>
      <w:r w:rsidRPr="004A5B54">
        <w:rPr>
          <w:rFonts w:asciiTheme="majorBidi" w:hAnsiTheme="majorBidi" w:cstheme="majorBidi"/>
          <w:bCs/>
          <w:sz w:val="22"/>
          <w:szCs w:val="22"/>
        </w:rPr>
        <w:t xml:space="preserve">„Der ‚Sitz </w:t>
      </w:r>
      <w:proofErr w:type="spellStart"/>
      <w:r w:rsidRPr="004A5B54">
        <w:rPr>
          <w:rFonts w:asciiTheme="majorBidi" w:hAnsiTheme="majorBidi" w:cstheme="majorBidi"/>
          <w:bCs/>
          <w:sz w:val="22"/>
          <w:szCs w:val="22"/>
        </w:rPr>
        <w:t>im</w:t>
      </w:r>
      <w:proofErr w:type="spellEnd"/>
      <w:r w:rsidRPr="004A5B54">
        <w:rPr>
          <w:rFonts w:asciiTheme="majorBidi" w:hAnsiTheme="majorBidi" w:cstheme="majorBidi"/>
          <w:bCs/>
          <w:sz w:val="22"/>
          <w:szCs w:val="22"/>
        </w:rPr>
        <w:t xml:space="preserve"> </w:t>
      </w:r>
      <w:proofErr w:type="gramStart"/>
      <w:r w:rsidRPr="004A5B54">
        <w:rPr>
          <w:rFonts w:asciiTheme="majorBidi" w:hAnsiTheme="majorBidi" w:cstheme="majorBidi"/>
          <w:bCs/>
          <w:sz w:val="22"/>
          <w:szCs w:val="22"/>
        </w:rPr>
        <w:t>Leben‘ des</w:t>
      </w:r>
      <w:proofErr w:type="gramEnd"/>
      <w:r w:rsidRPr="004A5B54">
        <w:rPr>
          <w:rFonts w:asciiTheme="majorBidi" w:hAnsiTheme="majorBidi" w:cstheme="majorBidi"/>
          <w:bCs/>
          <w:sz w:val="22"/>
          <w:szCs w:val="22"/>
        </w:rPr>
        <w:t xml:space="preserve"> </w:t>
      </w:r>
      <w:proofErr w:type="spellStart"/>
      <w:r w:rsidRPr="004A5B54">
        <w:rPr>
          <w:rFonts w:asciiTheme="majorBidi" w:hAnsiTheme="majorBidi" w:cstheme="majorBidi"/>
          <w:bCs/>
          <w:sz w:val="22"/>
          <w:szCs w:val="22"/>
        </w:rPr>
        <w:t>Textes</w:t>
      </w:r>
      <w:proofErr w:type="spellEnd"/>
      <w:r w:rsidRPr="004A5B54">
        <w:rPr>
          <w:rFonts w:asciiTheme="majorBidi" w:hAnsiTheme="majorBidi" w:cstheme="majorBidi"/>
          <w:bCs/>
          <w:sz w:val="22"/>
          <w:szCs w:val="22"/>
        </w:rPr>
        <w:t xml:space="preserve"> ...“</w:t>
      </w:r>
    </w:p>
    <w:p w14:paraId="257F1BB3" w14:textId="33E825CA" w:rsidR="004A5B54" w:rsidRPr="004A5B54" w:rsidRDefault="004A5B54" w:rsidP="0012203A">
      <w:pPr>
        <w:pStyle w:val="StandardWeb"/>
        <w:numPr>
          <w:ilvl w:val="0"/>
          <w:numId w:val="4"/>
        </w:numPr>
        <w:rPr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In English, </w:t>
      </w:r>
      <w:r w:rsidRPr="004E0E2E">
        <w:rPr>
          <w:rFonts w:asciiTheme="majorBidi" w:hAnsiTheme="majorBidi" w:cstheme="majorBidi"/>
          <w:b/>
          <w:sz w:val="22"/>
          <w:szCs w:val="22"/>
        </w:rPr>
        <w:t>quotation marks</w:t>
      </w:r>
      <w:r>
        <w:rPr>
          <w:rFonts w:asciiTheme="majorBidi" w:hAnsiTheme="majorBidi" w:cstheme="majorBidi"/>
          <w:bCs/>
          <w:sz w:val="22"/>
          <w:szCs w:val="22"/>
        </w:rPr>
        <w:t xml:space="preserve"> should be used as follows: “as it is ‘known’…”</w:t>
      </w:r>
    </w:p>
    <w:p w14:paraId="20DB61C7" w14:textId="75CAE62C" w:rsidR="004A5B54" w:rsidRPr="004E0E2E" w:rsidRDefault="004A5B54" w:rsidP="0012203A">
      <w:pPr>
        <w:pStyle w:val="StandardWeb"/>
        <w:numPr>
          <w:ilvl w:val="0"/>
          <w:numId w:val="4"/>
        </w:numPr>
        <w:rPr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There is always </w:t>
      </w:r>
      <w:r w:rsidRPr="004E0E2E">
        <w:rPr>
          <w:rFonts w:asciiTheme="majorBidi" w:hAnsiTheme="majorBidi" w:cstheme="majorBidi"/>
          <w:b/>
          <w:sz w:val="22"/>
          <w:szCs w:val="22"/>
        </w:rPr>
        <w:t>punctuation</w:t>
      </w:r>
      <w:r>
        <w:rPr>
          <w:rFonts w:asciiTheme="majorBidi" w:hAnsiTheme="majorBidi" w:cstheme="majorBidi"/>
          <w:bCs/>
          <w:sz w:val="22"/>
          <w:szCs w:val="22"/>
        </w:rPr>
        <w:t xml:space="preserve"> between two numbers, e.g. BPOA 1, 115 (instead of BPOA 1 115)</w:t>
      </w:r>
      <w:r w:rsidR="004E0E2E">
        <w:rPr>
          <w:rFonts w:asciiTheme="majorBidi" w:hAnsiTheme="majorBidi" w:cstheme="majorBidi"/>
          <w:bCs/>
          <w:sz w:val="22"/>
          <w:szCs w:val="22"/>
        </w:rPr>
        <w:t>.</w:t>
      </w:r>
    </w:p>
    <w:p w14:paraId="37A04212" w14:textId="335E609F" w:rsidR="004E0E2E" w:rsidRPr="0048471D" w:rsidRDefault="004E0E2E" w:rsidP="0012203A">
      <w:pPr>
        <w:pStyle w:val="StandardWeb"/>
        <w:numPr>
          <w:ilvl w:val="0"/>
          <w:numId w:val="4"/>
        </w:numPr>
        <w:rPr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In continuous text, </w:t>
      </w:r>
      <w:r w:rsidR="00E40494">
        <w:rPr>
          <w:rFonts w:asciiTheme="majorBidi" w:hAnsiTheme="majorBidi" w:cstheme="majorBidi"/>
          <w:bCs/>
          <w:sz w:val="22"/>
          <w:szCs w:val="22"/>
        </w:rPr>
        <w:t xml:space="preserve">the </w:t>
      </w:r>
      <w:r w:rsidR="00E40494" w:rsidRPr="004E0E2E">
        <w:rPr>
          <w:rFonts w:asciiTheme="majorBidi" w:hAnsiTheme="majorBidi" w:cstheme="majorBidi"/>
          <w:b/>
          <w:sz w:val="22"/>
          <w:szCs w:val="22"/>
        </w:rPr>
        <w:t>character spacing</w:t>
      </w:r>
      <w:r w:rsidR="00E40494">
        <w:rPr>
          <w:rFonts w:asciiTheme="majorBidi" w:hAnsiTheme="majorBidi" w:cstheme="majorBidi"/>
          <w:bCs/>
          <w:sz w:val="22"/>
          <w:szCs w:val="22"/>
        </w:rPr>
        <w:t xml:space="preserve"> of isolated </w:t>
      </w:r>
      <w:r>
        <w:rPr>
          <w:rFonts w:asciiTheme="majorBidi" w:hAnsiTheme="majorBidi" w:cstheme="majorBidi"/>
          <w:bCs/>
          <w:sz w:val="22"/>
          <w:szCs w:val="22"/>
        </w:rPr>
        <w:t xml:space="preserve">Sumerian words should be </w:t>
      </w:r>
      <w:r w:rsidR="00E40494">
        <w:rPr>
          <w:rFonts w:asciiTheme="majorBidi" w:hAnsiTheme="majorBidi" w:cstheme="majorBidi"/>
          <w:bCs/>
          <w:sz w:val="22"/>
          <w:szCs w:val="22"/>
        </w:rPr>
        <w:t xml:space="preserve">set to </w:t>
      </w:r>
      <w:r w:rsidRPr="004E0E2E">
        <w:rPr>
          <w:rFonts w:asciiTheme="majorBidi" w:hAnsiTheme="majorBidi" w:cstheme="majorBidi"/>
          <w:bCs/>
          <w:spacing w:val="20"/>
          <w:sz w:val="22"/>
          <w:szCs w:val="22"/>
        </w:rPr>
        <w:t>expanded</w:t>
      </w:r>
      <w:r>
        <w:rPr>
          <w:rFonts w:asciiTheme="majorBidi" w:hAnsiTheme="majorBidi" w:cstheme="majorBidi"/>
          <w:bCs/>
          <w:sz w:val="22"/>
          <w:szCs w:val="22"/>
        </w:rPr>
        <w:t xml:space="preserve">; Akkadian and Hittite words should be </w:t>
      </w:r>
      <w:r w:rsidRPr="004E0E2E">
        <w:rPr>
          <w:rFonts w:asciiTheme="majorBidi" w:hAnsiTheme="majorBidi" w:cstheme="majorBidi"/>
          <w:bCs/>
          <w:i/>
          <w:iCs/>
          <w:sz w:val="22"/>
          <w:szCs w:val="22"/>
        </w:rPr>
        <w:t>italic</w:t>
      </w:r>
      <w:r w:rsidR="00E40494">
        <w:rPr>
          <w:rFonts w:asciiTheme="majorBidi" w:hAnsiTheme="majorBidi" w:cstheme="majorBidi"/>
          <w:bCs/>
          <w:i/>
          <w:iCs/>
          <w:sz w:val="22"/>
          <w:szCs w:val="22"/>
        </w:rPr>
        <w:t>ized</w:t>
      </w:r>
      <w:r>
        <w:rPr>
          <w:rFonts w:asciiTheme="majorBidi" w:hAnsiTheme="majorBidi" w:cstheme="majorBidi"/>
          <w:bCs/>
          <w:sz w:val="22"/>
          <w:szCs w:val="22"/>
        </w:rPr>
        <w:t>.</w:t>
      </w:r>
    </w:p>
    <w:p w14:paraId="6DDBF8C8" w14:textId="28E8739B" w:rsidR="0048471D" w:rsidRPr="004E0E2E" w:rsidRDefault="0048471D" w:rsidP="0048471D">
      <w:pPr>
        <w:pStyle w:val="StandardWeb"/>
        <w:numPr>
          <w:ilvl w:val="0"/>
          <w:numId w:val="4"/>
        </w:numPr>
        <w:rPr>
          <w:sz w:val="22"/>
          <w:szCs w:val="22"/>
        </w:rPr>
      </w:pPr>
      <w:r w:rsidRPr="008C2934">
        <w:rPr>
          <w:rFonts w:asciiTheme="majorBidi" w:hAnsiTheme="majorBidi" w:cstheme="majorBidi"/>
          <w:bCs/>
          <w:sz w:val="22"/>
          <w:szCs w:val="22"/>
        </w:rPr>
        <w:t>Please use</w:t>
      </w:r>
      <w:r>
        <w:rPr>
          <w:rFonts w:asciiTheme="majorBidi" w:hAnsiTheme="majorBidi" w:cstheme="majorBidi"/>
          <w:b/>
          <w:sz w:val="22"/>
          <w:szCs w:val="22"/>
        </w:rPr>
        <w:t xml:space="preserve"> ′</w:t>
      </w:r>
      <w:r w:rsidRPr="004E0E2E">
        <w:rPr>
          <w:b/>
          <w:sz w:val="22"/>
          <w:szCs w:val="22"/>
        </w:rPr>
        <w:t xml:space="preserve"> (prime symbol)</w:t>
      </w:r>
      <w:r w:rsidRPr="004E0E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instead </w:t>
      </w:r>
      <w:proofErr w:type="gramStart"/>
      <w:r>
        <w:rPr>
          <w:sz w:val="22"/>
          <w:szCs w:val="22"/>
        </w:rPr>
        <w:t xml:space="preserve">of </w:t>
      </w:r>
      <w:r w:rsidRPr="004E0E2E">
        <w:rPr>
          <w:sz w:val="22"/>
          <w:szCs w:val="22"/>
        </w:rPr>
        <w:t>’</w:t>
      </w:r>
      <w:proofErr w:type="gramEnd"/>
      <w:r w:rsidRPr="004E0E2E">
        <w:rPr>
          <w:sz w:val="22"/>
          <w:szCs w:val="22"/>
        </w:rPr>
        <w:t xml:space="preserve"> </w:t>
      </w:r>
      <w:r w:rsidR="00DB2BA0">
        <w:rPr>
          <w:sz w:val="22"/>
          <w:szCs w:val="22"/>
        </w:rPr>
        <w:t xml:space="preserve">(right single quotation mark) </w:t>
      </w:r>
      <w:r w:rsidRPr="004E0E2E">
        <w:rPr>
          <w:sz w:val="22"/>
          <w:szCs w:val="22"/>
        </w:rPr>
        <w:t xml:space="preserve">to indicate uncertainty in the line number, e.g. </w:t>
      </w:r>
      <w:proofErr w:type="spellStart"/>
      <w:r w:rsidRPr="004E0E2E">
        <w:rPr>
          <w:sz w:val="22"/>
          <w:szCs w:val="22"/>
        </w:rPr>
        <w:t>KBo</w:t>
      </w:r>
      <w:proofErr w:type="spellEnd"/>
      <w:r w:rsidRPr="004E0E2E">
        <w:rPr>
          <w:sz w:val="22"/>
          <w:szCs w:val="22"/>
        </w:rPr>
        <w:t>. 1.1 Rs. iii 12</w:t>
      </w:r>
      <w:r w:rsidRPr="004E0E2E">
        <w:rPr>
          <w:rFonts w:asciiTheme="majorBidi" w:hAnsiTheme="majorBidi" w:cstheme="majorBidi"/>
          <w:bCs/>
          <w:sz w:val="22"/>
          <w:szCs w:val="22"/>
        </w:rPr>
        <w:t>′</w:t>
      </w:r>
      <w:r w:rsidRPr="004E0E2E">
        <w:rPr>
          <w:sz w:val="22"/>
          <w:szCs w:val="22"/>
        </w:rPr>
        <w:t xml:space="preserve"> instead of 12’.</w:t>
      </w:r>
    </w:p>
    <w:p w14:paraId="011DC35A" w14:textId="4293A5B3" w:rsidR="0048471D" w:rsidRPr="0048471D" w:rsidRDefault="0048471D" w:rsidP="0048471D">
      <w:pPr>
        <w:pStyle w:val="StandardWeb"/>
        <w:numPr>
          <w:ilvl w:val="0"/>
          <w:numId w:val="4"/>
        </w:numPr>
        <w:rPr>
          <w:sz w:val="22"/>
          <w:szCs w:val="22"/>
        </w:rPr>
      </w:pPr>
      <w:r w:rsidRPr="004E0E2E">
        <w:rPr>
          <w:b/>
          <w:bCs/>
          <w:sz w:val="22"/>
          <w:szCs w:val="22"/>
        </w:rPr>
        <w:t>Column numbers</w:t>
      </w:r>
      <w:r>
        <w:rPr>
          <w:sz w:val="22"/>
          <w:szCs w:val="22"/>
        </w:rPr>
        <w:t xml:space="preserve"> should be lowercase.</w:t>
      </w:r>
    </w:p>
    <w:p w14:paraId="66B7EB06" w14:textId="058FCF83" w:rsidR="008B755A" w:rsidRPr="008C2934" w:rsidRDefault="008B755A" w:rsidP="008B755A">
      <w:pPr>
        <w:pStyle w:val="StandardWeb"/>
        <w:numPr>
          <w:ilvl w:val="0"/>
          <w:numId w:val="4"/>
        </w:numPr>
        <w:rPr>
          <w:i/>
          <w:i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>Before submission, all internal links should be deleted.</w:t>
      </w:r>
    </w:p>
    <w:p w14:paraId="790787EA" w14:textId="2B4B3C92" w:rsidR="008C2934" w:rsidRPr="008C2934" w:rsidRDefault="008C2934" w:rsidP="008C2934">
      <w:pPr>
        <w:pStyle w:val="StandardWeb"/>
        <w:contextualSpacing/>
        <w:rPr>
          <w:rFonts w:asciiTheme="majorBidi" w:hAnsiTheme="majorBidi" w:cstheme="majorBidi"/>
          <w:bCs/>
          <w:i/>
          <w:iCs/>
          <w:sz w:val="22"/>
          <w:szCs w:val="22"/>
        </w:rPr>
      </w:pPr>
      <w:r w:rsidRPr="008C2934">
        <w:rPr>
          <w:rFonts w:asciiTheme="majorBidi" w:hAnsiTheme="majorBidi" w:cstheme="majorBidi"/>
          <w:bCs/>
          <w:i/>
          <w:iCs/>
          <w:sz w:val="22"/>
          <w:szCs w:val="22"/>
        </w:rPr>
        <w:t xml:space="preserve">Transliteration </w:t>
      </w:r>
      <w:r w:rsidR="00DB2BA0">
        <w:rPr>
          <w:rFonts w:asciiTheme="majorBidi" w:hAnsiTheme="majorBidi" w:cstheme="majorBidi"/>
          <w:bCs/>
          <w:i/>
          <w:iCs/>
          <w:sz w:val="22"/>
          <w:szCs w:val="22"/>
        </w:rPr>
        <w:t>C</w:t>
      </w:r>
      <w:r w:rsidR="00DB2BA0" w:rsidRPr="008C2934">
        <w:rPr>
          <w:rFonts w:asciiTheme="majorBidi" w:hAnsiTheme="majorBidi" w:cstheme="majorBidi"/>
          <w:bCs/>
          <w:i/>
          <w:iCs/>
          <w:sz w:val="22"/>
          <w:szCs w:val="22"/>
        </w:rPr>
        <w:t>onventions</w:t>
      </w:r>
      <w:r w:rsidRPr="008C2934">
        <w:rPr>
          <w:rFonts w:asciiTheme="majorBidi" w:hAnsiTheme="majorBidi" w:cstheme="majorBidi"/>
          <w:bCs/>
          <w:sz w:val="22"/>
          <w:szCs w:val="22"/>
        </w:rPr>
        <w:t>:</w:t>
      </w:r>
    </w:p>
    <w:p w14:paraId="62FBEDF9" w14:textId="3C59BF1F" w:rsidR="008C2934" w:rsidRPr="004E0E2E" w:rsidRDefault="008C2934" w:rsidP="008C2934">
      <w:pPr>
        <w:pStyle w:val="StandardWeb"/>
        <w:numPr>
          <w:ilvl w:val="0"/>
          <w:numId w:val="4"/>
        </w:numPr>
        <w:rPr>
          <w:sz w:val="22"/>
          <w:szCs w:val="22"/>
        </w:rPr>
      </w:pPr>
      <w:r w:rsidRPr="002E236C">
        <w:rPr>
          <w:sz w:val="22"/>
          <w:szCs w:val="22"/>
        </w:rPr>
        <w:t xml:space="preserve">In transliterations of entire texts or text passages, Sumerian is </w:t>
      </w:r>
      <w:r>
        <w:rPr>
          <w:sz w:val="22"/>
          <w:szCs w:val="22"/>
        </w:rPr>
        <w:t>written</w:t>
      </w:r>
      <w:r w:rsidRPr="002E236C">
        <w:rPr>
          <w:sz w:val="22"/>
          <w:szCs w:val="22"/>
        </w:rPr>
        <w:t xml:space="preserve"> in regular font,</w:t>
      </w:r>
      <w:r>
        <w:rPr>
          <w:sz w:val="22"/>
          <w:szCs w:val="22"/>
        </w:rPr>
        <w:t xml:space="preserve"> Akkadian and Hittite </w:t>
      </w:r>
      <w:r w:rsidRPr="00E40494">
        <w:rPr>
          <w:i/>
          <w:iCs/>
          <w:sz w:val="22"/>
          <w:szCs w:val="22"/>
        </w:rPr>
        <w:t>italicized</w:t>
      </w:r>
      <w:r>
        <w:rPr>
          <w:i/>
          <w:iCs/>
          <w:sz w:val="22"/>
          <w:szCs w:val="22"/>
        </w:rPr>
        <w:t>.</w:t>
      </w:r>
    </w:p>
    <w:p w14:paraId="75E54D2F" w14:textId="01588175" w:rsidR="008C2934" w:rsidRPr="008B755A" w:rsidRDefault="008C2934" w:rsidP="008C2934">
      <w:pPr>
        <w:pStyle w:val="StandardWeb"/>
        <w:numPr>
          <w:ilvl w:val="0"/>
          <w:numId w:val="4"/>
        </w:numPr>
        <w:rPr>
          <w:i/>
          <w:iCs/>
          <w:smallCap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>For Sumerograms and sign names</w:t>
      </w:r>
      <w:r w:rsidR="00F06AEE">
        <w:rPr>
          <w:rFonts w:asciiTheme="majorBidi" w:hAnsiTheme="majorBidi" w:cstheme="majorBidi"/>
          <w:bCs/>
          <w:sz w:val="22"/>
          <w:szCs w:val="22"/>
        </w:rPr>
        <w:t xml:space="preserve">, </w:t>
      </w:r>
      <w:r w:rsidRPr="004E0E2E">
        <w:rPr>
          <w:rFonts w:asciiTheme="majorBidi" w:hAnsiTheme="majorBidi" w:cstheme="majorBidi"/>
          <w:bCs/>
          <w:smallCaps/>
          <w:sz w:val="22"/>
          <w:szCs w:val="22"/>
        </w:rPr>
        <w:t>small caps</w:t>
      </w:r>
      <w:r>
        <w:rPr>
          <w:rFonts w:asciiTheme="majorBidi" w:hAnsiTheme="majorBidi" w:cstheme="majorBidi"/>
          <w:bCs/>
          <w:sz w:val="22"/>
          <w:szCs w:val="22"/>
        </w:rPr>
        <w:t xml:space="preserve"> should be used</w:t>
      </w:r>
      <w:r w:rsidR="00F06AEE">
        <w:rPr>
          <w:rFonts w:asciiTheme="majorBidi" w:hAnsiTheme="majorBidi" w:cstheme="majorBidi"/>
          <w:bCs/>
          <w:sz w:val="22"/>
          <w:szCs w:val="22"/>
        </w:rPr>
        <w:t>;</w:t>
      </w:r>
      <w:r>
        <w:rPr>
          <w:rFonts w:asciiTheme="majorBidi" w:hAnsiTheme="majorBidi" w:cstheme="majorBidi"/>
          <w:bCs/>
          <w:sz w:val="22"/>
          <w:szCs w:val="22"/>
        </w:rPr>
        <w:t xml:space="preserve"> for Akkadograms</w:t>
      </w:r>
      <w:r w:rsidR="00F06AEE">
        <w:rPr>
          <w:rFonts w:asciiTheme="majorBidi" w:hAnsiTheme="majorBidi" w:cstheme="majorBidi"/>
          <w:bCs/>
          <w:sz w:val="22"/>
          <w:szCs w:val="22"/>
        </w:rPr>
        <w:t>,</w:t>
      </w:r>
      <w:r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Pr="004E0E2E">
        <w:rPr>
          <w:rFonts w:asciiTheme="majorBidi" w:hAnsiTheme="majorBidi" w:cstheme="majorBidi"/>
          <w:bCs/>
          <w:i/>
          <w:iCs/>
          <w:smallCaps/>
          <w:sz w:val="22"/>
          <w:szCs w:val="22"/>
        </w:rPr>
        <w:t>italic small caps</w:t>
      </w:r>
      <w:r w:rsidR="00F06AEE" w:rsidRPr="00F06AEE">
        <w:rPr>
          <w:rFonts w:asciiTheme="majorBidi" w:hAnsiTheme="majorBidi" w:cstheme="majorBidi"/>
          <w:bCs/>
          <w:smallCaps/>
          <w:sz w:val="22"/>
          <w:szCs w:val="22"/>
        </w:rPr>
        <w:t>.</w:t>
      </w:r>
    </w:p>
    <w:p w14:paraId="78CEFB35" w14:textId="77777777" w:rsidR="008C2934" w:rsidRPr="008B755A" w:rsidRDefault="008C2934" w:rsidP="008C2934">
      <w:pPr>
        <w:pStyle w:val="StandardWeb"/>
        <w:numPr>
          <w:ilvl w:val="0"/>
          <w:numId w:val="4"/>
        </w:numPr>
        <w:rPr>
          <w:i/>
          <w:i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>Superscript determinatives should be lowercase.</w:t>
      </w:r>
    </w:p>
    <w:p w14:paraId="37881944" w14:textId="77777777" w:rsidR="008C2934" w:rsidRPr="008B755A" w:rsidRDefault="008C2934" w:rsidP="008C2934">
      <w:pPr>
        <w:pStyle w:val="StandardWeb"/>
        <w:numPr>
          <w:ilvl w:val="0"/>
          <w:numId w:val="4"/>
        </w:numPr>
        <w:rPr>
          <w:i/>
          <w:iCs/>
          <w:sz w:val="22"/>
          <w:szCs w:val="22"/>
        </w:rPr>
      </w:pPr>
      <w:r w:rsidRPr="008B755A">
        <w:rPr>
          <w:rFonts w:asciiTheme="majorBidi" w:hAnsiTheme="majorBidi" w:cstheme="majorBidi"/>
          <w:b/>
          <w:sz w:val="22"/>
          <w:szCs w:val="22"/>
        </w:rPr>
        <w:t>Only</w:t>
      </w:r>
      <w:r>
        <w:rPr>
          <w:rFonts w:asciiTheme="majorBidi" w:hAnsiTheme="majorBidi" w:cstheme="majorBidi"/>
          <w:b/>
          <w:sz w:val="22"/>
          <w:szCs w:val="22"/>
        </w:rPr>
        <w:t xml:space="preserve"> subscript</w:t>
      </w:r>
      <w:r w:rsidRPr="008B755A">
        <w:rPr>
          <w:rFonts w:asciiTheme="majorBidi" w:hAnsiTheme="majorBidi" w:cstheme="majorBidi"/>
          <w:b/>
          <w:sz w:val="22"/>
          <w:szCs w:val="22"/>
        </w:rPr>
        <w:t xml:space="preserve"> index numbers are used</w:t>
      </w:r>
      <w:r>
        <w:rPr>
          <w:rFonts w:asciiTheme="majorBidi" w:hAnsiTheme="majorBidi" w:cstheme="majorBidi"/>
          <w:bCs/>
          <w:sz w:val="22"/>
          <w:szCs w:val="22"/>
        </w:rPr>
        <w:t xml:space="preserve"> (Unicode and never italicized</w:t>
      </w:r>
      <w:r w:rsidRPr="008B755A">
        <w:rPr>
          <w:rFonts w:asciiTheme="majorBidi" w:hAnsiTheme="majorBidi" w:cstheme="majorBidi"/>
          <w:bCs/>
          <w:sz w:val="22"/>
          <w:szCs w:val="22"/>
        </w:rPr>
        <w:t xml:space="preserve">), e.g. (a₂ und a₃ </w:t>
      </w:r>
      <w:r>
        <w:rPr>
          <w:rFonts w:asciiTheme="majorBidi" w:hAnsiTheme="majorBidi" w:cstheme="majorBidi"/>
          <w:bCs/>
          <w:sz w:val="22"/>
          <w:szCs w:val="22"/>
        </w:rPr>
        <w:t>instead of</w:t>
      </w:r>
      <w:r w:rsidRPr="008B755A">
        <w:rPr>
          <w:rFonts w:asciiTheme="majorBidi" w:hAnsiTheme="majorBidi" w:cstheme="majorBidi"/>
          <w:bCs/>
          <w:sz w:val="22"/>
          <w:szCs w:val="22"/>
        </w:rPr>
        <w:t xml:space="preserve"> á und à).</w:t>
      </w:r>
    </w:p>
    <w:p w14:paraId="3E069989" w14:textId="005F75A6" w:rsidR="008C2934" w:rsidRPr="008C2934" w:rsidRDefault="007C62D1" w:rsidP="008C2934">
      <w:pPr>
        <w:pStyle w:val="StandardWeb"/>
        <w:contextualSpacing/>
        <w:rPr>
          <w:sz w:val="22"/>
          <w:szCs w:val="22"/>
        </w:rPr>
      </w:pPr>
      <w:r w:rsidRPr="002E236C">
        <w:rPr>
          <w:i/>
          <w:iCs/>
          <w:sz w:val="22"/>
          <w:szCs w:val="22"/>
        </w:rPr>
        <w:t xml:space="preserve">Bibliographical </w:t>
      </w:r>
      <w:r w:rsidR="00DB2BA0">
        <w:rPr>
          <w:i/>
          <w:iCs/>
          <w:sz w:val="22"/>
          <w:szCs w:val="22"/>
        </w:rPr>
        <w:t>R</w:t>
      </w:r>
      <w:r w:rsidR="00DB2BA0" w:rsidRPr="002E236C">
        <w:rPr>
          <w:i/>
          <w:iCs/>
          <w:sz w:val="22"/>
          <w:szCs w:val="22"/>
        </w:rPr>
        <w:t xml:space="preserve">eferences </w:t>
      </w:r>
      <w:r w:rsidR="008C2934">
        <w:rPr>
          <w:i/>
          <w:iCs/>
          <w:sz w:val="22"/>
          <w:szCs w:val="22"/>
        </w:rPr>
        <w:t>and Bibliography</w:t>
      </w:r>
      <w:r w:rsidR="008C2934">
        <w:rPr>
          <w:sz w:val="22"/>
          <w:szCs w:val="22"/>
        </w:rPr>
        <w:t>:</w:t>
      </w:r>
    </w:p>
    <w:p w14:paraId="3D5C8385" w14:textId="622DD97F" w:rsidR="00E40494" w:rsidRDefault="008C2934" w:rsidP="008C2934">
      <w:pPr>
        <w:pStyle w:val="StandardWeb"/>
        <w:numPr>
          <w:ilvl w:val="0"/>
          <w:numId w:val="7"/>
        </w:numPr>
        <w:contextualSpacing/>
        <w:rPr>
          <w:sz w:val="22"/>
          <w:szCs w:val="22"/>
        </w:rPr>
      </w:pPr>
      <w:r w:rsidRPr="008C2934">
        <w:rPr>
          <w:i/>
          <w:iCs/>
          <w:sz w:val="22"/>
          <w:szCs w:val="22"/>
        </w:rPr>
        <w:t>Bibliographical references</w:t>
      </w:r>
      <w:r>
        <w:rPr>
          <w:sz w:val="22"/>
          <w:szCs w:val="22"/>
        </w:rPr>
        <w:t xml:space="preserve"> f</w:t>
      </w:r>
      <w:r w:rsidR="007C62D1" w:rsidRPr="002E236C">
        <w:rPr>
          <w:sz w:val="22"/>
          <w:szCs w:val="22"/>
        </w:rPr>
        <w:t xml:space="preserve">ollow the </w:t>
      </w:r>
      <w:r w:rsidR="007C62D1" w:rsidRPr="008C2934">
        <w:rPr>
          <w:b/>
          <w:bCs/>
          <w:sz w:val="22"/>
          <w:szCs w:val="22"/>
        </w:rPr>
        <w:t>Author-Date</w:t>
      </w:r>
      <w:r>
        <w:rPr>
          <w:sz w:val="22"/>
          <w:szCs w:val="22"/>
        </w:rPr>
        <w:t xml:space="preserve"> format and refer to a </w:t>
      </w:r>
      <w:r w:rsidRPr="008C2934">
        <w:rPr>
          <w:i/>
          <w:iCs/>
          <w:sz w:val="22"/>
          <w:szCs w:val="22"/>
        </w:rPr>
        <w:t>Bibliography</w:t>
      </w:r>
      <w:r>
        <w:rPr>
          <w:sz w:val="22"/>
          <w:szCs w:val="22"/>
        </w:rPr>
        <w:t>.</w:t>
      </w:r>
    </w:p>
    <w:p w14:paraId="595D31E6" w14:textId="77777777" w:rsidR="00E40494" w:rsidRDefault="007C62D1" w:rsidP="008C2934">
      <w:pPr>
        <w:pStyle w:val="StandardWeb"/>
        <w:numPr>
          <w:ilvl w:val="0"/>
          <w:numId w:val="5"/>
        </w:numPr>
        <w:contextualSpacing/>
        <w:rPr>
          <w:sz w:val="22"/>
          <w:szCs w:val="22"/>
        </w:rPr>
      </w:pPr>
      <w:r w:rsidRPr="002E236C">
        <w:rPr>
          <w:sz w:val="22"/>
          <w:szCs w:val="22"/>
        </w:rPr>
        <w:t xml:space="preserve">References </w:t>
      </w:r>
      <w:r w:rsidRPr="00A838C1">
        <w:rPr>
          <w:b/>
          <w:bCs/>
          <w:sz w:val="22"/>
          <w:szCs w:val="22"/>
        </w:rPr>
        <w:t>within the text</w:t>
      </w:r>
      <w:r w:rsidRPr="002E236C">
        <w:rPr>
          <w:sz w:val="22"/>
          <w:szCs w:val="22"/>
        </w:rPr>
        <w:t xml:space="preserve"> include the name of the author(s), followed by </w:t>
      </w:r>
      <w:r w:rsidRPr="00A838C1">
        <w:rPr>
          <w:b/>
          <w:bCs/>
          <w:sz w:val="22"/>
          <w:szCs w:val="22"/>
        </w:rPr>
        <w:t>year: page</w:t>
      </w:r>
      <w:r w:rsidRPr="002E236C">
        <w:rPr>
          <w:sz w:val="22"/>
          <w:szCs w:val="22"/>
        </w:rPr>
        <w:t xml:space="preserve"> number in parentheses, e.g., </w:t>
      </w:r>
      <w:proofErr w:type="spellStart"/>
      <w:r w:rsidRPr="002E236C">
        <w:rPr>
          <w:sz w:val="22"/>
          <w:szCs w:val="22"/>
        </w:rPr>
        <w:t>Güterbock</w:t>
      </w:r>
      <w:proofErr w:type="spellEnd"/>
      <w:r w:rsidRPr="002E236C">
        <w:rPr>
          <w:sz w:val="22"/>
          <w:szCs w:val="22"/>
        </w:rPr>
        <w:t xml:space="preserve"> (1973: 235) or </w:t>
      </w:r>
      <w:proofErr w:type="spellStart"/>
      <w:r w:rsidRPr="002E236C">
        <w:rPr>
          <w:sz w:val="22"/>
          <w:szCs w:val="22"/>
        </w:rPr>
        <w:t>Reculeau</w:t>
      </w:r>
      <w:proofErr w:type="spellEnd"/>
      <w:r w:rsidRPr="002E236C">
        <w:rPr>
          <w:sz w:val="22"/>
          <w:szCs w:val="22"/>
        </w:rPr>
        <w:t xml:space="preserve">/Feller (2012: 13). </w:t>
      </w:r>
    </w:p>
    <w:p w14:paraId="0B0093F5" w14:textId="310E094F" w:rsidR="00E40494" w:rsidRDefault="007C62D1" w:rsidP="00E40494">
      <w:pPr>
        <w:pStyle w:val="StandardWeb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In footnotes</w:t>
      </w:r>
      <w:r w:rsidR="00A838C1">
        <w:rPr>
          <w:sz w:val="22"/>
          <w:szCs w:val="22"/>
        </w:rPr>
        <w:t>,</w:t>
      </w:r>
      <w:r>
        <w:rPr>
          <w:sz w:val="22"/>
          <w:szCs w:val="22"/>
        </w:rPr>
        <w:t xml:space="preserve"> par</w:t>
      </w:r>
      <w:r w:rsidR="008C2934">
        <w:rPr>
          <w:sz w:val="22"/>
          <w:szCs w:val="22"/>
        </w:rPr>
        <w:t>e</w:t>
      </w:r>
      <w:r>
        <w:rPr>
          <w:sz w:val="22"/>
          <w:szCs w:val="22"/>
        </w:rPr>
        <w:t>ntheses are required</w:t>
      </w:r>
      <w:r w:rsidR="00A838C1">
        <w:rPr>
          <w:sz w:val="22"/>
          <w:szCs w:val="22"/>
        </w:rPr>
        <w:t xml:space="preserve"> </w:t>
      </w:r>
      <w:r w:rsidR="00A838C1" w:rsidRPr="00A838C1">
        <w:rPr>
          <w:b/>
          <w:bCs/>
          <w:sz w:val="22"/>
          <w:szCs w:val="22"/>
        </w:rPr>
        <w:t>only</w:t>
      </w:r>
      <w:r w:rsidRPr="00A838C1">
        <w:rPr>
          <w:b/>
          <w:bCs/>
          <w:sz w:val="22"/>
          <w:szCs w:val="22"/>
        </w:rPr>
        <w:t xml:space="preserve"> if the reference is embedded in a complete sentence</w:t>
      </w:r>
      <w:r>
        <w:rPr>
          <w:sz w:val="22"/>
          <w:szCs w:val="22"/>
        </w:rPr>
        <w:t xml:space="preserve">. </w:t>
      </w:r>
    </w:p>
    <w:p w14:paraId="326B611E" w14:textId="6FE5A641" w:rsidR="007C62D1" w:rsidRDefault="00A838C1" w:rsidP="00E40494">
      <w:pPr>
        <w:pStyle w:val="StandardWeb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For in-text references</w:t>
      </w:r>
      <w:r w:rsidR="008C2934">
        <w:rPr>
          <w:sz w:val="22"/>
          <w:szCs w:val="22"/>
        </w:rPr>
        <w:t xml:space="preserve">, </w:t>
      </w:r>
      <w:r>
        <w:rPr>
          <w:sz w:val="22"/>
          <w:szCs w:val="22"/>
        </w:rPr>
        <w:t>p</w:t>
      </w:r>
      <w:r w:rsidR="007C62D1" w:rsidRPr="002E236C">
        <w:rPr>
          <w:sz w:val="22"/>
          <w:szCs w:val="22"/>
        </w:rPr>
        <w:t xml:space="preserve">lease </w:t>
      </w:r>
      <w:r>
        <w:rPr>
          <w:sz w:val="22"/>
          <w:szCs w:val="22"/>
        </w:rPr>
        <w:t>refer to</w:t>
      </w:r>
      <w:r w:rsidR="007C62D1" w:rsidRPr="002E236C">
        <w:rPr>
          <w:sz w:val="22"/>
          <w:szCs w:val="22"/>
        </w:rPr>
        <w:t xml:space="preserve"> authors</w:t>
      </w:r>
      <w:r>
        <w:rPr>
          <w:sz w:val="22"/>
          <w:szCs w:val="22"/>
        </w:rPr>
        <w:t xml:space="preserve"> by</w:t>
      </w:r>
      <w:r w:rsidR="007C62D1" w:rsidRPr="002E236C">
        <w:rPr>
          <w:sz w:val="22"/>
          <w:szCs w:val="22"/>
        </w:rPr>
        <w:t xml:space="preserve"> </w:t>
      </w:r>
      <w:r w:rsidR="007C62D1" w:rsidRPr="008C2934">
        <w:rPr>
          <w:b/>
          <w:bCs/>
          <w:sz w:val="22"/>
          <w:szCs w:val="22"/>
        </w:rPr>
        <w:t>family names</w:t>
      </w:r>
      <w:r w:rsidRPr="008C2934">
        <w:rPr>
          <w:b/>
          <w:bCs/>
          <w:sz w:val="22"/>
          <w:szCs w:val="22"/>
        </w:rPr>
        <w:t xml:space="preserve"> only</w:t>
      </w:r>
      <w:r w:rsidR="007C62D1" w:rsidRPr="002E236C">
        <w:rPr>
          <w:sz w:val="22"/>
          <w:szCs w:val="22"/>
        </w:rPr>
        <w:t xml:space="preserve"> and indicate page numbers </w:t>
      </w:r>
      <w:r w:rsidR="007C62D1" w:rsidRPr="008C2934">
        <w:rPr>
          <w:b/>
          <w:bCs/>
          <w:sz w:val="22"/>
          <w:szCs w:val="22"/>
        </w:rPr>
        <w:t>in full</w:t>
      </w:r>
      <w:r w:rsidR="007C62D1" w:rsidRPr="002E236C">
        <w:rPr>
          <w:sz w:val="22"/>
          <w:szCs w:val="22"/>
        </w:rPr>
        <w:t xml:space="preserve">, e.g., 264–285 rather than 264–85. You </w:t>
      </w:r>
      <w:r>
        <w:rPr>
          <w:sz w:val="22"/>
          <w:szCs w:val="22"/>
        </w:rPr>
        <w:t>may</w:t>
      </w:r>
      <w:r w:rsidR="007C62D1" w:rsidRPr="002E236C">
        <w:rPr>
          <w:sz w:val="22"/>
          <w:szCs w:val="22"/>
        </w:rPr>
        <w:t xml:space="preserve"> use f. for the following page, but not for several following pages (ff.).</w:t>
      </w:r>
    </w:p>
    <w:p w14:paraId="783EE0FA" w14:textId="110CDD43" w:rsidR="005537A5" w:rsidRDefault="005537A5" w:rsidP="00E40494">
      <w:pPr>
        <w:pStyle w:val="StandardWeb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Names like de Martino, von Soden or Van De Miero</w:t>
      </w:r>
      <w:r w:rsidR="008C2934">
        <w:rPr>
          <w:sz w:val="22"/>
          <w:szCs w:val="22"/>
        </w:rPr>
        <w:t>o</w:t>
      </w:r>
      <w:r>
        <w:rPr>
          <w:sz w:val="22"/>
          <w:szCs w:val="22"/>
        </w:rPr>
        <w:t xml:space="preserve">p should appear in the bibliography as they are written in the main text. They should be </w:t>
      </w:r>
      <w:r w:rsidRPr="008C2934">
        <w:rPr>
          <w:b/>
          <w:bCs/>
          <w:sz w:val="22"/>
          <w:szCs w:val="22"/>
        </w:rPr>
        <w:t>alphabetized according to de, von and Van De</w:t>
      </w:r>
      <w:r>
        <w:rPr>
          <w:sz w:val="22"/>
          <w:szCs w:val="22"/>
        </w:rPr>
        <w:t>.</w:t>
      </w:r>
    </w:p>
    <w:p w14:paraId="2D5C562B" w14:textId="2B2A74C6" w:rsidR="005537A5" w:rsidRDefault="005537A5" w:rsidP="00E40494">
      <w:pPr>
        <w:pStyle w:val="StandardWeb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In English titles, the first letter of all words apart from prepositions, articles and conjunctions should be in upper case (“</w:t>
      </w:r>
      <w:r w:rsidRPr="00510D1D">
        <w:rPr>
          <w:b/>
          <w:bCs/>
          <w:sz w:val="22"/>
          <w:szCs w:val="22"/>
        </w:rPr>
        <w:t>Title Case</w:t>
      </w:r>
      <w:r>
        <w:rPr>
          <w:sz w:val="22"/>
          <w:szCs w:val="22"/>
        </w:rPr>
        <w:t>”), regardless of whether they are written in upper or lower case in the original publication.</w:t>
      </w:r>
    </w:p>
    <w:p w14:paraId="34F6D94D" w14:textId="69311527" w:rsidR="005537A5" w:rsidRDefault="00510D1D" w:rsidP="00E40494">
      <w:pPr>
        <w:pStyle w:val="StandardWeb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With respect </w:t>
      </w:r>
      <w:r w:rsidRPr="00510D1D">
        <w:rPr>
          <w:sz w:val="22"/>
          <w:szCs w:val="22"/>
        </w:rPr>
        <w:t xml:space="preserve">to </w:t>
      </w:r>
      <w:r w:rsidRPr="00510D1D">
        <w:rPr>
          <w:b/>
          <w:bCs/>
          <w:sz w:val="22"/>
          <w:szCs w:val="22"/>
        </w:rPr>
        <w:t>volume numbers</w:t>
      </w:r>
      <w:r>
        <w:rPr>
          <w:sz w:val="22"/>
          <w:szCs w:val="22"/>
        </w:rPr>
        <w:t>, p</w:t>
      </w:r>
      <w:r w:rsidR="005537A5">
        <w:rPr>
          <w:sz w:val="22"/>
          <w:szCs w:val="22"/>
        </w:rPr>
        <w:t xml:space="preserve">lease avoid using </w:t>
      </w:r>
      <w:r w:rsidR="00DB2BA0">
        <w:rPr>
          <w:sz w:val="22"/>
          <w:szCs w:val="22"/>
        </w:rPr>
        <w:t>R</w:t>
      </w:r>
      <w:r w:rsidR="005537A5">
        <w:rPr>
          <w:sz w:val="22"/>
          <w:szCs w:val="22"/>
        </w:rPr>
        <w:t>oman</w:t>
      </w:r>
      <w:r>
        <w:rPr>
          <w:sz w:val="22"/>
          <w:szCs w:val="22"/>
        </w:rPr>
        <w:t xml:space="preserve"> numerals</w:t>
      </w:r>
      <w:r w:rsidR="005537A5">
        <w:rPr>
          <w:sz w:val="22"/>
          <w:szCs w:val="22"/>
        </w:rPr>
        <w:t>; for journal volumes please include only the volume number (not the issue number).</w:t>
      </w:r>
    </w:p>
    <w:p w14:paraId="1A7B6AF5" w14:textId="76389623" w:rsidR="005537A5" w:rsidRDefault="00510D1D" w:rsidP="00E40494">
      <w:pPr>
        <w:pStyle w:val="StandardWeb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Regarding a publication with</w:t>
      </w:r>
      <w:r w:rsidR="005537A5">
        <w:rPr>
          <w:sz w:val="22"/>
          <w:szCs w:val="22"/>
        </w:rPr>
        <w:t xml:space="preserve"> </w:t>
      </w:r>
      <w:r w:rsidR="005537A5" w:rsidRPr="00510D1D">
        <w:rPr>
          <w:b/>
          <w:bCs/>
          <w:sz w:val="22"/>
          <w:szCs w:val="22"/>
        </w:rPr>
        <w:t>more than two</w:t>
      </w:r>
      <w:r w:rsidR="005537A5">
        <w:rPr>
          <w:sz w:val="22"/>
          <w:szCs w:val="22"/>
        </w:rPr>
        <w:t xml:space="preserve"> authors or editors, only the first author/editor</w:t>
      </w:r>
      <w:r>
        <w:rPr>
          <w:sz w:val="22"/>
          <w:szCs w:val="22"/>
        </w:rPr>
        <w:t xml:space="preserve"> is named in the text, followed by et al.</w:t>
      </w:r>
      <w:r w:rsidR="005537A5">
        <w:rPr>
          <w:sz w:val="22"/>
          <w:szCs w:val="22"/>
        </w:rPr>
        <w:t xml:space="preserve">; </w:t>
      </w:r>
      <w:r>
        <w:rPr>
          <w:sz w:val="22"/>
          <w:szCs w:val="22"/>
        </w:rPr>
        <w:t>i</w:t>
      </w:r>
      <w:r w:rsidR="005537A5">
        <w:rPr>
          <w:sz w:val="22"/>
          <w:szCs w:val="22"/>
        </w:rPr>
        <w:t xml:space="preserve">n the corresponding bibliographic entry, the names of </w:t>
      </w:r>
      <w:r w:rsidR="005537A5" w:rsidRPr="00510D1D">
        <w:rPr>
          <w:i/>
          <w:iCs/>
          <w:sz w:val="22"/>
          <w:szCs w:val="22"/>
        </w:rPr>
        <w:t>all</w:t>
      </w:r>
      <w:r w:rsidR="005537A5">
        <w:rPr>
          <w:sz w:val="22"/>
          <w:szCs w:val="22"/>
        </w:rPr>
        <w:t xml:space="preserve"> authors and editors should be included.</w:t>
      </w:r>
    </w:p>
    <w:p w14:paraId="6239A0AA" w14:textId="241F285F" w:rsidR="00510D1D" w:rsidRDefault="00510D1D" w:rsidP="00510D1D">
      <w:pPr>
        <w:pStyle w:val="StandardWeb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Additional information and the place of publication should be </w:t>
      </w:r>
      <w:r w:rsidRPr="00510D1D">
        <w:rPr>
          <w:b/>
          <w:bCs/>
          <w:sz w:val="22"/>
          <w:szCs w:val="22"/>
        </w:rPr>
        <w:t xml:space="preserve">in the language </w:t>
      </w:r>
      <w:r>
        <w:rPr>
          <w:b/>
          <w:bCs/>
          <w:sz w:val="22"/>
          <w:szCs w:val="22"/>
        </w:rPr>
        <w:t>in which</w:t>
      </w:r>
      <w:r w:rsidRPr="00510D1D">
        <w:rPr>
          <w:b/>
          <w:bCs/>
          <w:sz w:val="22"/>
          <w:szCs w:val="22"/>
        </w:rPr>
        <w:t xml:space="preserve"> the </w:t>
      </w:r>
      <w:r>
        <w:rPr>
          <w:b/>
          <w:bCs/>
          <w:sz w:val="22"/>
          <w:szCs w:val="22"/>
        </w:rPr>
        <w:t>contribution is written</w:t>
      </w:r>
      <w:r>
        <w:rPr>
          <w:sz w:val="22"/>
          <w:szCs w:val="22"/>
        </w:rPr>
        <w:t>, not the language of the work cited.</w:t>
      </w:r>
    </w:p>
    <w:p w14:paraId="68333516" w14:textId="1B056DAF" w:rsidR="008C2934" w:rsidRPr="008C2934" w:rsidRDefault="008C2934" w:rsidP="008C2934">
      <w:pPr>
        <w:pStyle w:val="StandardWeb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All </w:t>
      </w:r>
      <w:r w:rsidR="00235EAE">
        <w:rPr>
          <w:sz w:val="22"/>
          <w:szCs w:val="22"/>
        </w:rPr>
        <w:t xml:space="preserve">references to websites </w:t>
      </w:r>
      <w:r>
        <w:rPr>
          <w:sz w:val="22"/>
          <w:szCs w:val="22"/>
        </w:rPr>
        <w:t>should include a last-access date.</w:t>
      </w:r>
    </w:p>
    <w:p w14:paraId="5C797EBC" w14:textId="25BB8843" w:rsidR="007C62D1" w:rsidRPr="002E236C" w:rsidRDefault="007C62D1" w:rsidP="007C62D1">
      <w:pPr>
        <w:pStyle w:val="StandardWeb"/>
        <w:rPr>
          <w:sz w:val="22"/>
          <w:szCs w:val="22"/>
        </w:rPr>
      </w:pPr>
      <w:r w:rsidRPr="002E236C">
        <w:rPr>
          <w:sz w:val="22"/>
          <w:szCs w:val="22"/>
        </w:rPr>
        <w:t xml:space="preserve">In the bibliography, </w:t>
      </w:r>
      <w:r w:rsidR="001F50CA">
        <w:rPr>
          <w:sz w:val="22"/>
          <w:szCs w:val="22"/>
        </w:rPr>
        <w:t xml:space="preserve">the </w:t>
      </w:r>
      <w:r w:rsidR="00510D1D">
        <w:rPr>
          <w:sz w:val="22"/>
          <w:szCs w:val="22"/>
        </w:rPr>
        <w:t xml:space="preserve">formatting of </w:t>
      </w:r>
      <w:r w:rsidR="001F50CA">
        <w:rPr>
          <w:sz w:val="22"/>
          <w:szCs w:val="22"/>
        </w:rPr>
        <w:t xml:space="preserve">individual </w:t>
      </w:r>
      <w:r w:rsidR="00A838C1">
        <w:rPr>
          <w:iCs/>
          <w:sz w:val="22"/>
          <w:szCs w:val="22"/>
        </w:rPr>
        <w:t xml:space="preserve">entries should </w:t>
      </w:r>
      <w:r w:rsidR="001F50CA">
        <w:rPr>
          <w:iCs/>
          <w:sz w:val="22"/>
          <w:szCs w:val="22"/>
        </w:rPr>
        <w:t>correspond to</w:t>
      </w:r>
      <w:r w:rsidRPr="0099390B">
        <w:rPr>
          <w:rFonts w:hint="eastAsia"/>
          <w:iCs/>
          <w:sz w:val="22"/>
          <w:szCs w:val="22"/>
        </w:rPr>
        <w:t xml:space="preserve"> </w:t>
      </w:r>
      <w:r w:rsidR="00510D1D">
        <w:rPr>
          <w:sz w:val="22"/>
          <w:szCs w:val="22"/>
        </w:rPr>
        <w:t>the</w:t>
      </w:r>
      <w:r w:rsidRPr="002E236C">
        <w:rPr>
          <w:sz w:val="22"/>
          <w:szCs w:val="22"/>
        </w:rPr>
        <w:t xml:space="preserve"> following examples: </w:t>
      </w:r>
    </w:p>
    <w:p w14:paraId="72D20EC3" w14:textId="23001DD1" w:rsidR="00510D1D" w:rsidRDefault="00510D1D" w:rsidP="007C62D1">
      <w:pPr>
        <w:pStyle w:val="StandardWeb"/>
        <w:spacing w:before="0" w:beforeAutospacing="0" w:after="0" w:afterAutospacing="0"/>
        <w:ind w:left="284" w:hanging="284"/>
        <w:rPr>
          <w:rFonts w:asciiTheme="majorBidi" w:hAnsiTheme="majorBidi" w:cstheme="majorBidi"/>
          <w:sz w:val="22"/>
          <w:szCs w:val="22"/>
          <w:lang w:val="fr-FR"/>
        </w:rPr>
      </w:pPr>
      <w:r w:rsidRPr="004617D1">
        <w:rPr>
          <w:rFonts w:asciiTheme="majorBidi" w:hAnsiTheme="majorBidi" w:cstheme="majorBidi"/>
          <w:sz w:val="22"/>
          <w:szCs w:val="22"/>
          <w:lang w:val="fr-FR"/>
        </w:rPr>
        <w:t>Attinger, P. (2023</w:t>
      </w:r>
      <w:proofErr w:type="gramStart"/>
      <w:r w:rsidRPr="004617D1">
        <w:rPr>
          <w:rFonts w:asciiTheme="majorBidi" w:hAnsiTheme="majorBidi" w:cstheme="majorBidi"/>
          <w:sz w:val="22"/>
          <w:szCs w:val="22"/>
          <w:lang w:val="fr-FR"/>
        </w:rPr>
        <w:t>):</w:t>
      </w:r>
      <w:proofErr w:type="gramEnd"/>
      <w:r w:rsidRPr="004617D1">
        <w:rPr>
          <w:rFonts w:asciiTheme="majorBidi" w:hAnsiTheme="majorBidi" w:cstheme="majorBidi"/>
          <w:sz w:val="22"/>
          <w:szCs w:val="22"/>
          <w:lang w:val="fr-FR"/>
        </w:rPr>
        <w:t xml:space="preserve"> Glossaire sumérien-français, principalement des textes littéraires </w:t>
      </w:r>
      <w:proofErr w:type="spellStart"/>
      <w:r w:rsidRPr="004617D1">
        <w:rPr>
          <w:rFonts w:asciiTheme="majorBidi" w:hAnsiTheme="majorBidi" w:cstheme="majorBidi"/>
          <w:sz w:val="22"/>
          <w:szCs w:val="22"/>
          <w:lang w:val="fr-FR"/>
        </w:rPr>
        <w:t>paléobabyloniens</w:t>
      </w:r>
      <w:proofErr w:type="spellEnd"/>
      <w:r w:rsidRPr="004617D1">
        <w:rPr>
          <w:rFonts w:asciiTheme="majorBidi" w:hAnsiTheme="majorBidi" w:cstheme="majorBidi"/>
          <w:sz w:val="22"/>
          <w:szCs w:val="22"/>
          <w:lang w:val="fr-FR"/>
        </w:rPr>
        <w:t xml:space="preserve">. Deuxième </w:t>
      </w:r>
      <w:proofErr w:type="spellStart"/>
      <w:r w:rsidRPr="004617D1">
        <w:rPr>
          <w:rFonts w:asciiTheme="majorBidi" w:hAnsiTheme="majorBidi" w:cstheme="majorBidi"/>
          <w:sz w:val="22"/>
          <w:szCs w:val="22"/>
          <w:lang w:val="x-none"/>
        </w:rPr>
        <w:t>é</w:t>
      </w:r>
      <w:r w:rsidRPr="004617D1">
        <w:rPr>
          <w:rFonts w:asciiTheme="majorBidi" w:hAnsiTheme="majorBidi" w:cstheme="majorBidi"/>
          <w:sz w:val="22"/>
          <w:szCs w:val="22"/>
          <w:lang w:val="fr-FR"/>
        </w:rPr>
        <w:t>dition</w:t>
      </w:r>
      <w:proofErr w:type="spellEnd"/>
      <w:r w:rsidRPr="004617D1">
        <w:rPr>
          <w:rFonts w:asciiTheme="majorBidi" w:hAnsiTheme="majorBidi" w:cstheme="majorBidi"/>
          <w:sz w:val="22"/>
          <w:szCs w:val="22"/>
          <w:lang w:val="fr-FR"/>
        </w:rPr>
        <w:t xml:space="preserve">, revue et augmentée, </w:t>
      </w:r>
      <w:hyperlink r:id="rId5" w:history="1">
        <w:r w:rsidRPr="004617D1">
          <w:rPr>
            <w:rStyle w:val="Hyperlink"/>
            <w:rFonts w:asciiTheme="majorBidi" w:hAnsiTheme="majorBidi" w:cstheme="majorBidi"/>
            <w:sz w:val="22"/>
            <w:szCs w:val="22"/>
            <w:lang w:val="nl-NL"/>
          </w:rPr>
          <w:t>https://zenodo.org/records/8369441</w:t>
        </w:r>
      </w:hyperlink>
      <w:r w:rsidRPr="004617D1">
        <w:rPr>
          <w:rFonts w:asciiTheme="majorBidi" w:hAnsiTheme="majorBidi" w:cstheme="majorBidi"/>
          <w:sz w:val="22"/>
          <w:szCs w:val="22"/>
          <w:lang w:val="fr-FR"/>
        </w:rPr>
        <w:t xml:space="preserve"> (</w:t>
      </w:r>
      <w:r w:rsidRPr="004617D1">
        <w:rPr>
          <w:rFonts w:asciiTheme="majorBidi" w:hAnsiTheme="majorBidi" w:cstheme="majorBidi"/>
          <w:sz w:val="22"/>
          <w:szCs w:val="22"/>
        </w:rPr>
        <w:t>last access 13 February 2024</w:t>
      </w:r>
      <w:r w:rsidRPr="004617D1">
        <w:rPr>
          <w:rFonts w:asciiTheme="majorBidi" w:hAnsiTheme="majorBidi" w:cstheme="majorBidi"/>
          <w:sz w:val="22"/>
          <w:szCs w:val="22"/>
          <w:lang w:val="fr-FR"/>
        </w:rPr>
        <w:t>).</w:t>
      </w:r>
    </w:p>
    <w:p w14:paraId="3BFFCD09" w14:textId="1703409A" w:rsidR="007C62D1" w:rsidRPr="00A160B3" w:rsidRDefault="007C62D1" w:rsidP="007C62D1">
      <w:pPr>
        <w:pStyle w:val="StandardWeb"/>
        <w:spacing w:before="0" w:beforeAutospacing="0" w:after="0" w:afterAutospacing="0"/>
        <w:ind w:left="284" w:hanging="284"/>
        <w:rPr>
          <w:sz w:val="22"/>
          <w:szCs w:val="22"/>
          <w:lang w:val="de-DE"/>
        </w:rPr>
      </w:pPr>
      <w:proofErr w:type="spellStart"/>
      <w:r w:rsidRPr="002E236C">
        <w:rPr>
          <w:sz w:val="22"/>
          <w:szCs w:val="22"/>
        </w:rPr>
        <w:t>Donbaz</w:t>
      </w:r>
      <w:proofErr w:type="spellEnd"/>
      <w:r w:rsidRPr="002E236C">
        <w:rPr>
          <w:sz w:val="22"/>
          <w:szCs w:val="22"/>
        </w:rPr>
        <w:t xml:space="preserve">, V. (2004a): Some Remarkable Contracts of 1-B Period </w:t>
      </w:r>
      <w:proofErr w:type="spellStart"/>
      <w:r w:rsidRPr="002E236C">
        <w:rPr>
          <w:sz w:val="22"/>
          <w:szCs w:val="22"/>
        </w:rPr>
        <w:t>Kültepe</w:t>
      </w:r>
      <w:proofErr w:type="spellEnd"/>
      <w:r w:rsidRPr="002E236C">
        <w:rPr>
          <w:sz w:val="22"/>
          <w:szCs w:val="22"/>
        </w:rPr>
        <w:t xml:space="preserve"> Tablets III. </w:t>
      </w:r>
      <w:r w:rsidRPr="00A160B3">
        <w:rPr>
          <w:sz w:val="22"/>
          <w:szCs w:val="22"/>
          <w:lang w:val="de-DE"/>
        </w:rPr>
        <w:t xml:space="preserve">In: D. </w:t>
      </w:r>
      <w:proofErr w:type="spellStart"/>
      <w:r w:rsidRPr="00A160B3">
        <w:rPr>
          <w:sz w:val="22"/>
          <w:szCs w:val="22"/>
          <w:lang w:val="de-DE"/>
        </w:rPr>
        <w:t>Groddek</w:t>
      </w:r>
      <w:proofErr w:type="spellEnd"/>
      <w:r w:rsidRPr="00A160B3">
        <w:rPr>
          <w:sz w:val="22"/>
          <w:szCs w:val="22"/>
          <w:lang w:val="de-DE"/>
        </w:rPr>
        <w:t xml:space="preserve">/S. </w:t>
      </w:r>
      <w:proofErr w:type="spellStart"/>
      <w:r w:rsidRPr="00A160B3">
        <w:rPr>
          <w:sz w:val="22"/>
          <w:szCs w:val="22"/>
          <w:lang w:val="de-DE"/>
        </w:rPr>
        <w:t>Rößle</w:t>
      </w:r>
      <w:proofErr w:type="spellEnd"/>
      <w:r w:rsidRPr="00A160B3">
        <w:rPr>
          <w:sz w:val="22"/>
          <w:szCs w:val="22"/>
          <w:lang w:val="de-DE"/>
        </w:rPr>
        <w:t xml:space="preserve"> (</w:t>
      </w:r>
      <w:proofErr w:type="spellStart"/>
      <w:r w:rsidRPr="00A160B3">
        <w:rPr>
          <w:sz w:val="22"/>
          <w:szCs w:val="22"/>
          <w:lang w:val="de-DE"/>
        </w:rPr>
        <w:t>ed</w:t>
      </w:r>
      <w:proofErr w:type="spellEnd"/>
      <w:r w:rsidRPr="00A160B3">
        <w:rPr>
          <w:sz w:val="22"/>
          <w:szCs w:val="22"/>
          <w:lang w:val="de-DE"/>
        </w:rPr>
        <w:t xml:space="preserve">.), </w:t>
      </w:r>
      <w:proofErr w:type="spellStart"/>
      <w:r w:rsidRPr="00A160B3">
        <w:rPr>
          <w:sz w:val="22"/>
          <w:szCs w:val="22"/>
          <w:lang w:val="de-DE"/>
        </w:rPr>
        <w:t>Šarnikzel</w:t>
      </w:r>
      <w:proofErr w:type="spellEnd"/>
      <w:r w:rsidRPr="00A160B3">
        <w:rPr>
          <w:sz w:val="22"/>
          <w:szCs w:val="22"/>
          <w:lang w:val="de-DE"/>
        </w:rPr>
        <w:t xml:space="preserve">. </w:t>
      </w:r>
      <w:proofErr w:type="spellStart"/>
      <w:r w:rsidRPr="00A160B3">
        <w:rPr>
          <w:sz w:val="22"/>
          <w:szCs w:val="22"/>
          <w:lang w:val="de-DE"/>
        </w:rPr>
        <w:t>Hethitologische</w:t>
      </w:r>
      <w:proofErr w:type="spellEnd"/>
      <w:r w:rsidRPr="00A160B3">
        <w:rPr>
          <w:sz w:val="22"/>
          <w:szCs w:val="22"/>
          <w:lang w:val="de-DE"/>
        </w:rPr>
        <w:t xml:space="preserve"> Studien zum Gedenken an Emil </w:t>
      </w:r>
      <w:proofErr w:type="spellStart"/>
      <w:r w:rsidRPr="00A160B3">
        <w:rPr>
          <w:sz w:val="22"/>
          <w:szCs w:val="22"/>
          <w:lang w:val="de-DE"/>
        </w:rPr>
        <w:t>Orgetorix</w:t>
      </w:r>
      <w:proofErr w:type="spellEnd"/>
      <w:r w:rsidRPr="00A160B3">
        <w:rPr>
          <w:sz w:val="22"/>
          <w:szCs w:val="22"/>
          <w:lang w:val="de-DE"/>
        </w:rPr>
        <w:t xml:space="preserve"> Forrer (DBH 10), Dresden, 271–284. </w:t>
      </w:r>
    </w:p>
    <w:p w14:paraId="5F69AAD5" w14:textId="77777777" w:rsidR="007C62D1" w:rsidRPr="002E236C" w:rsidRDefault="007C62D1" w:rsidP="007C62D1">
      <w:pPr>
        <w:pStyle w:val="StandardWeb"/>
        <w:spacing w:before="0" w:beforeAutospacing="0" w:after="0" w:afterAutospacing="0"/>
        <w:ind w:left="284" w:hanging="284"/>
        <w:rPr>
          <w:sz w:val="22"/>
          <w:szCs w:val="22"/>
        </w:rPr>
      </w:pPr>
      <w:proofErr w:type="spellStart"/>
      <w:r w:rsidRPr="002E236C">
        <w:rPr>
          <w:sz w:val="22"/>
          <w:szCs w:val="22"/>
        </w:rPr>
        <w:t>Donbaz</w:t>
      </w:r>
      <w:proofErr w:type="spellEnd"/>
      <w:r w:rsidRPr="002E236C">
        <w:rPr>
          <w:sz w:val="22"/>
          <w:szCs w:val="22"/>
        </w:rPr>
        <w:t xml:space="preserve">, V. (2004b): Some Old Assyrian Texts with Rare Terminology. In: J.G. </w:t>
      </w:r>
      <w:proofErr w:type="spellStart"/>
      <w:r w:rsidRPr="002E236C">
        <w:rPr>
          <w:sz w:val="22"/>
          <w:szCs w:val="22"/>
        </w:rPr>
        <w:t>Dercksen</w:t>
      </w:r>
      <w:proofErr w:type="spellEnd"/>
      <w:r w:rsidRPr="002E236C">
        <w:rPr>
          <w:sz w:val="22"/>
          <w:szCs w:val="22"/>
        </w:rPr>
        <w:t xml:space="preserve"> (ed.), Assyria and Beyond. Studies Presented to Mogens Trolle Larsen (PIHANS 100), Leiden, 179–190. </w:t>
      </w:r>
    </w:p>
    <w:p w14:paraId="73CBA20A" w14:textId="77777777" w:rsidR="007C62D1" w:rsidRPr="00510D1D" w:rsidRDefault="007C62D1" w:rsidP="00510D1D">
      <w:pPr>
        <w:pStyle w:val="StandardWeb"/>
        <w:spacing w:before="0" w:beforeAutospacing="0" w:after="0" w:afterAutospacing="0"/>
        <w:ind w:left="288" w:hanging="288"/>
        <w:contextualSpacing/>
        <w:rPr>
          <w:sz w:val="22"/>
          <w:szCs w:val="22"/>
        </w:rPr>
      </w:pPr>
      <w:proofErr w:type="spellStart"/>
      <w:r w:rsidRPr="00510D1D">
        <w:rPr>
          <w:sz w:val="22"/>
          <w:szCs w:val="22"/>
        </w:rPr>
        <w:t>Güterbock</w:t>
      </w:r>
      <w:proofErr w:type="spellEnd"/>
      <w:r w:rsidRPr="00510D1D">
        <w:rPr>
          <w:sz w:val="22"/>
          <w:szCs w:val="22"/>
        </w:rPr>
        <w:t xml:space="preserve">, H.G. (1973): Hittite Hieroglyphic Seal Impressions from </w:t>
      </w:r>
      <w:proofErr w:type="spellStart"/>
      <w:r w:rsidRPr="00510D1D">
        <w:rPr>
          <w:sz w:val="22"/>
          <w:szCs w:val="22"/>
        </w:rPr>
        <w:t>Korucutepe</w:t>
      </w:r>
      <w:proofErr w:type="spellEnd"/>
      <w:r w:rsidRPr="00510D1D">
        <w:rPr>
          <w:sz w:val="22"/>
          <w:szCs w:val="22"/>
        </w:rPr>
        <w:t>, JNES 32, 135–147.</w:t>
      </w:r>
    </w:p>
    <w:p w14:paraId="2D3C377B" w14:textId="77777777" w:rsidR="00510D1D" w:rsidRPr="00510D1D" w:rsidRDefault="00510D1D" w:rsidP="00510D1D">
      <w:pPr>
        <w:spacing w:after="0"/>
        <w:ind w:left="288" w:hanging="288"/>
        <w:contextualSpacing/>
        <w:rPr>
          <w:rFonts w:ascii="Times New Roman" w:hAnsi="Times New Roman" w:cs="Times New Roman"/>
        </w:rPr>
      </w:pPr>
      <w:r w:rsidRPr="00510D1D">
        <w:rPr>
          <w:rFonts w:ascii="Times New Roman" w:hAnsi="Times New Roman" w:cs="Times New Roman"/>
        </w:rPr>
        <w:t xml:space="preserve">Krebernik, M. (1984): Die Beschwörungen aus </w:t>
      </w:r>
      <w:proofErr w:type="spellStart"/>
      <w:r w:rsidRPr="00510D1D">
        <w:rPr>
          <w:rFonts w:ascii="Times New Roman" w:hAnsi="Times New Roman" w:cs="Times New Roman"/>
        </w:rPr>
        <w:t>Fara</w:t>
      </w:r>
      <w:proofErr w:type="spellEnd"/>
      <w:r w:rsidRPr="00510D1D">
        <w:rPr>
          <w:rFonts w:ascii="Times New Roman" w:hAnsi="Times New Roman" w:cs="Times New Roman"/>
        </w:rPr>
        <w:t xml:space="preserve"> und </w:t>
      </w:r>
      <w:proofErr w:type="spellStart"/>
      <w:r w:rsidRPr="00510D1D">
        <w:rPr>
          <w:rFonts w:ascii="Times New Roman" w:hAnsi="Times New Roman" w:cs="Times New Roman"/>
        </w:rPr>
        <w:t>Ebla</w:t>
      </w:r>
      <w:proofErr w:type="spellEnd"/>
      <w:r w:rsidRPr="00510D1D">
        <w:rPr>
          <w:rFonts w:ascii="Times New Roman" w:hAnsi="Times New Roman" w:cs="Times New Roman"/>
        </w:rPr>
        <w:t>: Untersuchungen zur ältesten keilschriftlichen Beschwörungsliteratur (TSO 2), Hildesheim – Zürich – New York.</w:t>
      </w:r>
    </w:p>
    <w:p w14:paraId="661452B7" w14:textId="364C6E9C" w:rsidR="007C62D1" w:rsidRPr="00510D1D" w:rsidRDefault="007C62D1" w:rsidP="00510D1D">
      <w:pPr>
        <w:spacing w:after="0"/>
        <w:ind w:left="288" w:hanging="288"/>
        <w:contextualSpacing/>
        <w:rPr>
          <w:rFonts w:ascii="Times New Roman" w:hAnsi="Times New Roman" w:cs="Times New Roman"/>
        </w:rPr>
      </w:pPr>
      <w:proofErr w:type="spellStart"/>
      <w:r w:rsidRPr="00510D1D">
        <w:rPr>
          <w:rFonts w:ascii="Times New Roman" w:hAnsi="Times New Roman" w:cs="Times New Roman"/>
        </w:rPr>
        <w:t>Kühne</w:t>
      </w:r>
      <w:proofErr w:type="spellEnd"/>
      <w:r w:rsidRPr="00510D1D">
        <w:rPr>
          <w:rFonts w:ascii="Times New Roman" w:hAnsi="Times New Roman" w:cs="Times New Roman"/>
        </w:rPr>
        <w:t xml:space="preserve">, C./H. Otten (1971): Der </w:t>
      </w:r>
      <w:proofErr w:type="spellStart"/>
      <w:r w:rsidRPr="00510D1D">
        <w:rPr>
          <w:rFonts w:ascii="Times New Roman" w:hAnsi="Times New Roman" w:cs="Times New Roman"/>
        </w:rPr>
        <w:t>Šaušgamuwa-Vertrag</w:t>
      </w:r>
      <w:proofErr w:type="spellEnd"/>
      <w:r w:rsidRPr="00510D1D">
        <w:rPr>
          <w:rFonts w:ascii="Times New Roman" w:hAnsi="Times New Roman" w:cs="Times New Roman"/>
        </w:rPr>
        <w:t xml:space="preserve"> (</w:t>
      </w:r>
      <w:proofErr w:type="spellStart"/>
      <w:r w:rsidRPr="00510D1D">
        <w:rPr>
          <w:rFonts w:ascii="Times New Roman" w:hAnsi="Times New Roman" w:cs="Times New Roman"/>
        </w:rPr>
        <w:t>StBoT</w:t>
      </w:r>
      <w:proofErr w:type="spellEnd"/>
      <w:r w:rsidRPr="00510D1D">
        <w:rPr>
          <w:rFonts w:ascii="Times New Roman" w:hAnsi="Times New Roman" w:cs="Times New Roman"/>
        </w:rPr>
        <w:t xml:space="preserve"> 16), Wiesbaden.</w:t>
      </w:r>
    </w:p>
    <w:p w14:paraId="34B624B3" w14:textId="77777777" w:rsidR="007C62D1" w:rsidRPr="00510D1D" w:rsidRDefault="007C62D1" w:rsidP="00510D1D">
      <w:pPr>
        <w:pStyle w:val="StandardWeb"/>
        <w:spacing w:before="0" w:beforeAutospacing="0" w:after="0" w:afterAutospacing="0"/>
        <w:ind w:left="288" w:hanging="288"/>
        <w:contextualSpacing/>
        <w:rPr>
          <w:sz w:val="22"/>
          <w:szCs w:val="22"/>
          <w:lang w:val="de-DE"/>
        </w:rPr>
      </w:pPr>
      <w:proofErr w:type="spellStart"/>
      <w:r w:rsidRPr="00510D1D">
        <w:rPr>
          <w:sz w:val="22"/>
          <w:szCs w:val="22"/>
          <w:lang w:val="de-DE"/>
        </w:rPr>
        <w:t>Llop-Radua</w:t>
      </w:r>
      <w:proofErr w:type="spellEnd"/>
      <w:r w:rsidRPr="00510D1D">
        <w:rPr>
          <w:sz w:val="22"/>
          <w:szCs w:val="22"/>
          <w:lang w:val="de-DE"/>
        </w:rPr>
        <w:t xml:space="preserve">̀, J. (2010): </w:t>
      </w:r>
      <w:proofErr w:type="spellStart"/>
      <w:r w:rsidRPr="00510D1D">
        <w:rPr>
          <w:sz w:val="22"/>
          <w:szCs w:val="22"/>
          <w:lang w:val="de-DE"/>
        </w:rPr>
        <w:t>Rez</w:t>
      </w:r>
      <w:proofErr w:type="spellEnd"/>
      <w:r w:rsidRPr="00510D1D">
        <w:rPr>
          <w:sz w:val="22"/>
          <w:szCs w:val="22"/>
          <w:lang w:val="de-DE"/>
        </w:rPr>
        <w:t xml:space="preserve">. zu H. Freydank/B. Feller, Mittelassyrische Rechtsurkunden und Verwaltungstexte VIII (WVDOG 119), Wiesbaden 2007, </w:t>
      </w:r>
      <w:proofErr w:type="spellStart"/>
      <w:r w:rsidRPr="00510D1D">
        <w:rPr>
          <w:sz w:val="22"/>
          <w:szCs w:val="22"/>
          <w:lang w:val="de-DE"/>
        </w:rPr>
        <w:t>BiOr</w:t>
      </w:r>
      <w:proofErr w:type="spellEnd"/>
      <w:r w:rsidRPr="00510D1D">
        <w:rPr>
          <w:sz w:val="22"/>
          <w:szCs w:val="22"/>
          <w:lang w:val="de-DE"/>
        </w:rPr>
        <w:t>. 72, 349–353.</w:t>
      </w:r>
    </w:p>
    <w:p w14:paraId="4AAAC849" w14:textId="77777777" w:rsidR="007C62D1" w:rsidRPr="00A160B3" w:rsidRDefault="007C62D1" w:rsidP="00510D1D">
      <w:pPr>
        <w:pStyle w:val="StandardWeb"/>
        <w:spacing w:before="0" w:beforeAutospacing="0" w:after="0" w:afterAutospacing="0"/>
        <w:ind w:left="288" w:hanging="288"/>
        <w:contextualSpacing/>
        <w:rPr>
          <w:sz w:val="22"/>
          <w:szCs w:val="22"/>
          <w:lang w:val="de-DE"/>
        </w:rPr>
      </w:pPr>
      <w:proofErr w:type="spellStart"/>
      <w:r w:rsidRPr="00510D1D">
        <w:rPr>
          <w:sz w:val="22"/>
          <w:szCs w:val="22"/>
          <w:lang w:val="de-DE"/>
        </w:rPr>
        <w:t>Röllig</w:t>
      </w:r>
      <w:proofErr w:type="spellEnd"/>
      <w:r w:rsidRPr="00510D1D">
        <w:rPr>
          <w:sz w:val="22"/>
          <w:szCs w:val="22"/>
          <w:lang w:val="de-DE"/>
        </w:rPr>
        <w:t>, W. (2008): Land</w:t>
      </w:r>
      <w:r w:rsidRPr="00A160B3">
        <w:rPr>
          <w:sz w:val="22"/>
          <w:szCs w:val="22"/>
          <w:lang w:val="de-DE"/>
        </w:rPr>
        <w:t xml:space="preserve">- und Viehwirtschaft am Unteren </w:t>
      </w:r>
      <w:proofErr w:type="spellStart"/>
      <w:r w:rsidRPr="00A160B3">
        <w:rPr>
          <w:sz w:val="22"/>
          <w:szCs w:val="22"/>
          <w:lang w:val="de-DE"/>
        </w:rPr>
        <w:t>Ḫābūr</w:t>
      </w:r>
      <w:proofErr w:type="spellEnd"/>
      <w:r w:rsidRPr="00A160B3">
        <w:rPr>
          <w:sz w:val="22"/>
          <w:szCs w:val="22"/>
          <w:lang w:val="de-DE"/>
        </w:rPr>
        <w:t xml:space="preserve"> in mittelassyrischer Zeit (BATSH 9), Wiesbaden.</w:t>
      </w:r>
    </w:p>
    <w:p w14:paraId="14D26985" w14:textId="77777777" w:rsidR="007C62D1" w:rsidRPr="002E236C" w:rsidRDefault="007C62D1" w:rsidP="007C62D1">
      <w:pPr>
        <w:pStyle w:val="StandardWeb"/>
        <w:spacing w:before="0" w:beforeAutospacing="0"/>
        <w:ind w:left="284" w:hanging="284"/>
        <w:rPr>
          <w:sz w:val="22"/>
          <w:szCs w:val="22"/>
        </w:rPr>
      </w:pPr>
      <w:r w:rsidRPr="002E236C">
        <w:rPr>
          <w:sz w:val="22"/>
          <w:szCs w:val="22"/>
        </w:rPr>
        <w:t>Singer, I. (1999): A Political History of Ugarit. In: W.G.E. Watson/N. Wyatt (ed.), Handbook of Ugaritic Studies (</w:t>
      </w:r>
      <w:proofErr w:type="spellStart"/>
      <w:r w:rsidRPr="002E236C">
        <w:rPr>
          <w:sz w:val="22"/>
          <w:szCs w:val="22"/>
        </w:rPr>
        <w:t>HdOr</w:t>
      </w:r>
      <w:proofErr w:type="spellEnd"/>
      <w:r w:rsidRPr="002E236C">
        <w:rPr>
          <w:sz w:val="22"/>
          <w:szCs w:val="22"/>
        </w:rPr>
        <w:t xml:space="preserve">. </w:t>
      </w:r>
      <w:r>
        <w:rPr>
          <w:sz w:val="22"/>
          <w:szCs w:val="22"/>
        </w:rPr>
        <w:t>1</w:t>
      </w:r>
      <w:r w:rsidRPr="002E236C">
        <w:rPr>
          <w:sz w:val="22"/>
          <w:szCs w:val="22"/>
        </w:rPr>
        <w:t xml:space="preserve">/39), Leiden – Boston – </w:t>
      </w:r>
      <w:proofErr w:type="spellStart"/>
      <w:r w:rsidRPr="002E236C">
        <w:rPr>
          <w:sz w:val="22"/>
          <w:szCs w:val="22"/>
        </w:rPr>
        <w:t>Köln</w:t>
      </w:r>
      <w:proofErr w:type="spellEnd"/>
      <w:r w:rsidRPr="002E236C">
        <w:rPr>
          <w:sz w:val="22"/>
          <w:szCs w:val="22"/>
        </w:rPr>
        <w:t xml:space="preserve">, 603–733. </w:t>
      </w:r>
    </w:p>
    <w:p w14:paraId="2F524B75" w14:textId="52BD381E" w:rsidR="008C2934" w:rsidRDefault="007C62D1" w:rsidP="008C2934">
      <w:pPr>
        <w:pStyle w:val="StandardWeb"/>
        <w:contextualSpacing/>
        <w:rPr>
          <w:sz w:val="22"/>
          <w:szCs w:val="22"/>
        </w:rPr>
      </w:pPr>
      <w:r w:rsidRPr="0099390B">
        <w:rPr>
          <w:i/>
          <w:sz w:val="22"/>
          <w:szCs w:val="22"/>
        </w:rPr>
        <w:t xml:space="preserve">Proper </w:t>
      </w:r>
      <w:r w:rsidR="008C2934">
        <w:rPr>
          <w:i/>
          <w:sz w:val="22"/>
          <w:szCs w:val="22"/>
        </w:rPr>
        <w:t>N</w:t>
      </w:r>
      <w:r w:rsidRPr="0099390B">
        <w:rPr>
          <w:i/>
          <w:sz w:val="22"/>
          <w:szCs w:val="22"/>
        </w:rPr>
        <w:t>ames</w:t>
      </w:r>
      <w:r w:rsidRPr="002E236C">
        <w:rPr>
          <w:sz w:val="22"/>
          <w:szCs w:val="22"/>
        </w:rPr>
        <w:t>:</w:t>
      </w:r>
    </w:p>
    <w:p w14:paraId="1F89F097" w14:textId="77777777" w:rsidR="008C2934" w:rsidRDefault="007C62D1" w:rsidP="008C2934">
      <w:pPr>
        <w:pStyle w:val="StandardWeb"/>
        <w:numPr>
          <w:ilvl w:val="0"/>
          <w:numId w:val="8"/>
        </w:numPr>
        <w:rPr>
          <w:sz w:val="22"/>
          <w:szCs w:val="22"/>
        </w:rPr>
      </w:pPr>
      <w:r w:rsidRPr="008C2934">
        <w:rPr>
          <w:b/>
          <w:bCs/>
          <w:sz w:val="22"/>
          <w:szCs w:val="22"/>
        </w:rPr>
        <w:t>Place names</w:t>
      </w:r>
      <w:r w:rsidRPr="002E236C">
        <w:rPr>
          <w:sz w:val="22"/>
          <w:szCs w:val="22"/>
        </w:rPr>
        <w:t xml:space="preserve"> follow the trans</w:t>
      </w:r>
      <w:r w:rsidR="008C2934">
        <w:rPr>
          <w:sz w:val="22"/>
          <w:szCs w:val="22"/>
        </w:rPr>
        <w:t>criptions</w:t>
      </w:r>
      <w:r w:rsidRPr="002E236C">
        <w:rPr>
          <w:sz w:val="22"/>
          <w:szCs w:val="22"/>
        </w:rPr>
        <w:t xml:space="preserve"> of the </w:t>
      </w:r>
      <w:proofErr w:type="spellStart"/>
      <w:r w:rsidRPr="002E236C">
        <w:rPr>
          <w:sz w:val="22"/>
          <w:szCs w:val="22"/>
        </w:rPr>
        <w:t>Tübinger</w:t>
      </w:r>
      <w:proofErr w:type="spellEnd"/>
      <w:r w:rsidRPr="002E236C">
        <w:rPr>
          <w:sz w:val="22"/>
          <w:szCs w:val="22"/>
        </w:rPr>
        <w:t xml:space="preserve"> Atlas des </w:t>
      </w:r>
      <w:proofErr w:type="spellStart"/>
      <w:r w:rsidRPr="002E236C">
        <w:rPr>
          <w:sz w:val="22"/>
          <w:szCs w:val="22"/>
        </w:rPr>
        <w:t>Vorderen</w:t>
      </w:r>
      <w:proofErr w:type="spellEnd"/>
      <w:r w:rsidRPr="002E236C">
        <w:rPr>
          <w:sz w:val="22"/>
          <w:szCs w:val="22"/>
        </w:rPr>
        <w:t xml:space="preserve"> Orients (TAVO)</w:t>
      </w:r>
      <w:r w:rsidR="008C2934">
        <w:rPr>
          <w:sz w:val="22"/>
          <w:szCs w:val="22"/>
        </w:rPr>
        <w:t>.</w:t>
      </w:r>
    </w:p>
    <w:p w14:paraId="47A2DF94" w14:textId="77777777" w:rsidR="008C2934" w:rsidRDefault="008C2934" w:rsidP="008C2934">
      <w:pPr>
        <w:pStyle w:val="StandardWeb"/>
        <w:numPr>
          <w:ilvl w:val="0"/>
          <w:numId w:val="8"/>
        </w:numPr>
        <w:rPr>
          <w:sz w:val="22"/>
          <w:szCs w:val="22"/>
        </w:rPr>
      </w:pPr>
      <w:r w:rsidRPr="008C2934">
        <w:rPr>
          <w:b/>
          <w:bCs/>
          <w:sz w:val="22"/>
          <w:szCs w:val="22"/>
        </w:rPr>
        <w:t>P</w:t>
      </w:r>
      <w:r w:rsidR="007C62D1" w:rsidRPr="008C2934">
        <w:rPr>
          <w:b/>
          <w:bCs/>
          <w:sz w:val="22"/>
          <w:szCs w:val="22"/>
        </w:rPr>
        <w:t>ersonal names and names of deities</w:t>
      </w:r>
      <w:r w:rsidR="007C62D1" w:rsidRPr="008C2934">
        <w:rPr>
          <w:sz w:val="22"/>
          <w:szCs w:val="22"/>
        </w:rPr>
        <w:t xml:space="preserve"> follow general rules of Assyriology/Hittitology (e.g., </w:t>
      </w:r>
      <w:proofErr w:type="spellStart"/>
      <w:r w:rsidR="007C62D1" w:rsidRPr="008C2934">
        <w:rPr>
          <w:sz w:val="22"/>
          <w:szCs w:val="22"/>
        </w:rPr>
        <w:t>Reallexikon</w:t>
      </w:r>
      <w:proofErr w:type="spellEnd"/>
      <w:r w:rsidR="007C62D1" w:rsidRPr="008C2934">
        <w:rPr>
          <w:sz w:val="22"/>
          <w:szCs w:val="22"/>
        </w:rPr>
        <w:t xml:space="preserve"> der </w:t>
      </w:r>
      <w:proofErr w:type="spellStart"/>
      <w:r w:rsidR="007C62D1" w:rsidRPr="008C2934">
        <w:rPr>
          <w:sz w:val="22"/>
          <w:szCs w:val="22"/>
        </w:rPr>
        <w:t>Assyriologie</w:t>
      </w:r>
      <w:proofErr w:type="spellEnd"/>
      <w:r w:rsidR="007C62D1" w:rsidRPr="008C2934">
        <w:rPr>
          <w:sz w:val="22"/>
          <w:szCs w:val="22"/>
        </w:rPr>
        <w:t xml:space="preserve"> und </w:t>
      </w:r>
      <w:proofErr w:type="spellStart"/>
      <w:r w:rsidR="007C62D1" w:rsidRPr="008C2934">
        <w:rPr>
          <w:sz w:val="22"/>
          <w:szCs w:val="22"/>
        </w:rPr>
        <w:t>Vorderasiatischen</w:t>
      </w:r>
      <w:proofErr w:type="spellEnd"/>
      <w:r w:rsidR="007C62D1" w:rsidRPr="008C2934">
        <w:rPr>
          <w:sz w:val="22"/>
          <w:szCs w:val="22"/>
        </w:rPr>
        <w:t xml:space="preserve"> </w:t>
      </w:r>
      <w:proofErr w:type="spellStart"/>
      <w:r w:rsidR="007C62D1" w:rsidRPr="008C2934">
        <w:rPr>
          <w:sz w:val="22"/>
          <w:szCs w:val="22"/>
        </w:rPr>
        <w:t>Archäologie</w:t>
      </w:r>
      <w:proofErr w:type="spellEnd"/>
      <w:r w:rsidR="007C62D1" w:rsidRPr="008C2934">
        <w:rPr>
          <w:sz w:val="22"/>
          <w:szCs w:val="22"/>
        </w:rPr>
        <w:t>).</w:t>
      </w:r>
    </w:p>
    <w:p w14:paraId="57AD7402" w14:textId="4E6811A6" w:rsidR="007C62D1" w:rsidRPr="008C2934" w:rsidRDefault="007C62D1" w:rsidP="008C2934">
      <w:pPr>
        <w:pStyle w:val="StandardWeb"/>
        <w:numPr>
          <w:ilvl w:val="0"/>
          <w:numId w:val="8"/>
        </w:numPr>
        <w:rPr>
          <w:sz w:val="22"/>
          <w:szCs w:val="22"/>
        </w:rPr>
      </w:pPr>
      <w:r w:rsidRPr="008C2934">
        <w:rPr>
          <w:sz w:val="22"/>
          <w:szCs w:val="22"/>
        </w:rPr>
        <w:t xml:space="preserve">If common/simplified spellings exist, they can be provided in parentheses at the first mention: e.g., </w:t>
      </w:r>
      <w:proofErr w:type="spellStart"/>
      <w:r w:rsidRPr="008C2934">
        <w:rPr>
          <w:sz w:val="22"/>
          <w:szCs w:val="22"/>
        </w:rPr>
        <w:t>Salmānu-ašarēd</w:t>
      </w:r>
      <w:proofErr w:type="spellEnd"/>
      <w:r w:rsidRPr="008C2934">
        <w:rPr>
          <w:sz w:val="22"/>
          <w:szCs w:val="22"/>
        </w:rPr>
        <w:t xml:space="preserve"> (</w:t>
      </w:r>
      <w:proofErr w:type="spellStart"/>
      <w:r w:rsidRPr="008C2934">
        <w:rPr>
          <w:sz w:val="22"/>
          <w:szCs w:val="22"/>
        </w:rPr>
        <w:t>Shalmanaser</w:t>
      </w:r>
      <w:proofErr w:type="spellEnd"/>
      <w:r w:rsidRPr="008C2934">
        <w:rPr>
          <w:sz w:val="22"/>
          <w:szCs w:val="22"/>
        </w:rPr>
        <w:t>/</w:t>
      </w:r>
      <w:proofErr w:type="spellStart"/>
      <w:r w:rsidRPr="008C2934">
        <w:rPr>
          <w:sz w:val="22"/>
          <w:szCs w:val="22"/>
        </w:rPr>
        <w:t>Salmanassar</w:t>
      </w:r>
      <w:proofErr w:type="spellEnd"/>
      <w:r w:rsidRPr="008C2934">
        <w:rPr>
          <w:sz w:val="22"/>
          <w:szCs w:val="22"/>
        </w:rPr>
        <w:t>).</w:t>
      </w:r>
    </w:p>
    <w:p w14:paraId="1221A255" w14:textId="77777777" w:rsidR="00E93F08" w:rsidRPr="007C62D1" w:rsidRDefault="00E93F08">
      <w:pPr>
        <w:rPr>
          <w:lang w:val="en-GB"/>
        </w:rPr>
      </w:pPr>
    </w:p>
    <w:sectPr w:rsidR="00E93F08" w:rsidRPr="007C62D1" w:rsidSect="00E57C5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19E"/>
    <w:multiLevelType w:val="hybridMultilevel"/>
    <w:tmpl w:val="7DD4C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6C5B"/>
    <w:multiLevelType w:val="hybridMultilevel"/>
    <w:tmpl w:val="500A0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97021"/>
    <w:multiLevelType w:val="hybridMultilevel"/>
    <w:tmpl w:val="CE1EF4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B0D64"/>
    <w:multiLevelType w:val="hybridMultilevel"/>
    <w:tmpl w:val="F362B5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60168"/>
    <w:multiLevelType w:val="hybridMultilevel"/>
    <w:tmpl w:val="4694F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81857"/>
    <w:multiLevelType w:val="hybridMultilevel"/>
    <w:tmpl w:val="018A8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36466"/>
    <w:multiLevelType w:val="hybridMultilevel"/>
    <w:tmpl w:val="C96A99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10D6C"/>
    <w:multiLevelType w:val="hybridMultilevel"/>
    <w:tmpl w:val="257096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83380">
    <w:abstractNumId w:val="4"/>
  </w:num>
  <w:num w:numId="2" w16cid:durableId="440419572">
    <w:abstractNumId w:val="0"/>
  </w:num>
  <w:num w:numId="3" w16cid:durableId="1991980158">
    <w:abstractNumId w:val="1"/>
  </w:num>
  <w:num w:numId="4" w16cid:durableId="420417489">
    <w:abstractNumId w:val="7"/>
  </w:num>
  <w:num w:numId="5" w16cid:durableId="59716356">
    <w:abstractNumId w:val="5"/>
  </w:num>
  <w:num w:numId="6" w16cid:durableId="1718623402">
    <w:abstractNumId w:val="6"/>
  </w:num>
  <w:num w:numId="7" w16cid:durableId="33623828">
    <w:abstractNumId w:val="2"/>
  </w:num>
  <w:num w:numId="8" w16cid:durableId="465512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D1"/>
    <w:rsid w:val="000431F9"/>
    <w:rsid w:val="0012203A"/>
    <w:rsid w:val="001F50CA"/>
    <w:rsid w:val="00235EAE"/>
    <w:rsid w:val="0048471D"/>
    <w:rsid w:val="004A5B54"/>
    <w:rsid w:val="004D4FDB"/>
    <w:rsid w:val="004E0E2E"/>
    <w:rsid w:val="00510D1D"/>
    <w:rsid w:val="00524A50"/>
    <w:rsid w:val="005537A5"/>
    <w:rsid w:val="005A1D58"/>
    <w:rsid w:val="005E0242"/>
    <w:rsid w:val="0065283F"/>
    <w:rsid w:val="00680B8D"/>
    <w:rsid w:val="007C62D1"/>
    <w:rsid w:val="008B755A"/>
    <w:rsid w:val="008C2934"/>
    <w:rsid w:val="008E3791"/>
    <w:rsid w:val="00920108"/>
    <w:rsid w:val="00A838C1"/>
    <w:rsid w:val="00AC442B"/>
    <w:rsid w:val="00D3254C"/>
    <w:rsid w:val="00DB2BA0"/>
    <w:rsid w:val="00DC6136"/>
    <w:rsid w:val="00E30844"/>
    <w:rsid w:val="00E40494"/>
    <w:rsid w:val="00E41883"/>
    <w:rsid w:val="00E57C53"/>
    <w:rsid w:val="00E80CB9"/>
    <w:rsid w:val="00E93F08"/>
    <w:rsid w:val="00F0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9EB4E"/>
  <w15:chartTrackingRefBased/>
  <w15:docId w15:val="{4852BED9-555F-4EB1-954D-6494C1E9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C62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GB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510D1D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920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nodo.org/records/83694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1009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Frazer, Mary</dc:creator>
  <cp:keywords/>
  <dc:description/>
  <cp:lastModifiedBy>sabine ecklin</cp:lastModifiedBy>
  <cp:revision>3</cp:revision>
  <cp:lastPrinted>2024-04-15T11:58:00Z</cp:lastPrinted>
  <dcterms:created xsi:type="dcterms:W3CDTF">2024-05-13T14:56:00Z</dcterms:created>
  <dcterms:modified xsi:type="dcterms:W3CDTF">2024-05-13T14:56:00Z</dcterms:modified>
</cp:coreProperties>
</file>