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742" w:rsidRPr="00453128" w:rsidRDefault="00A35742" w:rsidP="00A35742">
      <w:pPr>
        <w:pStyle w:val="ListParagraph"/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53128">
        <w:rPr>
          <w:rFonts w:ascii="Times New Roman" w:hAnsi="Times New Roman" w:cs="Times New Roman"/>
          <w:b/>
          <w:sz w:val="26"/>
          <w:szCs w:val="26"/>
          <w:u w:val="single"/>
        </w:rPr>
        <w:t>Supplementary/Supporting Figures (Not for the Main body of Manuscript)</w:t>
      </w:r>
    </w:p>
    <w:p w:rsidR="005832E5" w:rsidRDefault="005832E5" w:rsidP="00A35742"/>
    <w:p w:rsidR="00EB6FEC" w:rsidRDefault="00EB6FEC" w:rsidP="00EB6FEC">
      <w:pPr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425013AA" wp14:editId="150F31FC">
            <wp:extent cx="4591878" cy="2027582"/>
            <wp:effectExtent l="0" t="0" r="0" b="0"/>
            <wp:docPr id="10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878" cy="2027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FEC" w:rsidRDefault="00EB6FEC" w:rsidP="00EB6FEC">
      <w:pPr>
        <w:ind w:firstLine="720"/>
        <w:jc w:val="center"/>
      </w:pPr>
      <w:r>
        <w:rPr>
          <w:noProof/>
        </w:rPr>
        <w:drawing>
          <wp:inline distT="0" distB="0" distL="0" distR="0" wp14:anchorId="02FD4021" wp14:editId="4891F294">
            <wp:extent cx="4615692" cy="1948070"/>
            <wp:effectExtent l="0" t="0" r="0" b="0"/>
            <wp:docPr id="10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1530" cy="1950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FEC" w:rsidRDefault="00EB6FEC" w:rsidP="00EB6FEC">
      <w:pPr>
        <w:ind w:firstLine="720"/>
        <w:jc w:val="center"/>
      </w:pPr>
    </w:p>
    <w:p w:rsidR="00EB6FEC" w:rsidRPr="00F72BAA" w:rsidRDefault="00EB6FEC" w:rsidP="00EB6FEC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Fig. S1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72BAA">
        <w:rPr>
          <w:rFonts w:ascii="Times New Roman" w:hAnsi="Times New Roman" w:cs="Times New Roman"/>
          <w:sz w:val="24"/>
          <w:szCs w:val="24"/>
        </w:rPr>
        <w:t>Energy Dispersive X-</w:t>
      </w:r>
      <w:proofErr w:type="gramStart"/>
      <w:r w:rsidRPr="00F72BAA">
        <w:rPr>
          <w:rFonts w:ascii="Times New Roman" w:hAnsi="Times New Roman" w:cs="Times New Roman"/>
          <w:sz w:val="24"/>
          <w:szCs w:val="24"/>
        </w:rPr>
        <w:t>Ray</w:t>
      </w:r>
      <w:r w:rsidRPr="00CA2D37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Pr="00F72BAA">
        <w:rPr>
          <w:rFonts w:ascii="Times New Roman" w:hAnsi="Times New Roman" w:cs="Times New Roman"/>
          <w:sz w:val="24"/>
          <w:szCs w:val="24"/>
        </w:rPr>
        <w:t>f</w:t>
      </w:r>
      <w:proofErr w:type="gramEnd"/>
      <w:r>
        <w:rPr>
          <w:rFonts w:ascii="Times New Roman" w:hAnsi="Times New Roman" w:cs="Times New Roman"/>
          <w:sz w:val="24"/>
          <w:szCs w:val="24"/>
        </w:rPr>
        <w:t>: (A) KMRHC, (B)TY Dye Loaded KMRHC.</w:t>
      </w:r>
    </w:p>
    <w:p w:rsidR="00EB6FEC" w:rsidRDefault="00EB6FEC" w:rsidP="00A35742"/>
    <w:p w:rsidR="00901C2A" w:rsidRPr="004C4BE0" w:rsidRDefault="00901C2A" w:rsidP="00901C2A">
      <w:pPr>
        <w:autoSpaceDE w:val="0"/>
        <w:autoSpaceDN w:val="0"/>
        <w:adjustRightInd w:val="0"/>
        <w:spacing w:before="240" w:after="16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1C2A" w:rsidRDefault="00901C2A" w:rsidP="00901C2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356C7">
        <w:rPr>
          <w:rFonts w:ascii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 wp14:anchorId="06AEB39E" wp14:editId="772D65B3">
            <wp:extent cx="4572000" cy="2743200"/>
            <wp:effectExtent l="19050" t="0" r="19050" b="0"/>
            <wp:docPr id="11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01C2A" w:rsidRPr="00AE3A1B" w:rsidRDefault="00901C2A" w:rsidP="00901C2A">
      <w:pPr>
        <w:autoSpaceDE w:val="0"/>
        <w:autoSpaceDN w:val="0"/>
        <w:adjustRightInd w:val="0"/>
        <w:spacing w:before="240" w:after="1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Fig. </w:t>
      </w:r>
      <w:r>
        <w:rPr>
          <w:rFonts w:ascii="Times New Roman" w:hAnsi="Times New Roman" w:cs="Times New Roman"/>
          <w:b/>
          <w:bCs/>
          <w:sz w:val="24"/>
          <w:szCs w:val="24"/>
        </w:rPr>
        <w:t>S2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E3A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AE3A1B">
        <w:rPr>
          <w:rFonts w:ascii="Times New Roman" w:hAnsi="Times New Roman" w:cs="Times New Roman"/>
          <w:bCs/>
          <w:sz w:val="24"/>
          <w:szCs w:val="24"/>
        </w:rPr>
        <w:t>Effect of initial dye concentration on the adsorption capacity of DB and TY dyes on K</w:t>
      </w:r>
      <w:r w:rsidRPr="00AE3A1B">
        <w:rPr>
          <w:rFonts w:ascii="Times New Roman" w:hAnsi="Times New Roman" w:cs="Times New Roman"/>
          <w:color w:val="000000"/>
          <w:sz w:val="24"/>
          <w:szCs w:val="24"/>
        </w:rPr>
        <w:t>MRHC-adsorbent from aqueous media.</w:t>
      </w:r>
      <w:proofErr w:type="gramEnd"/>
      <w:r w:rsidRPr="00AE3A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3A1B">
        <w:rPr>
          <w:rFonts w:ascii="Times New Roman" w:hAnsi="Times New Roman" w:cs="Times New Roman"/>
          <w:bCs/>
          <w:sz w:val="24"/>
          <w:szCs w:val="24"/>
        </w:rPr>
        <w:t>Experimental conditions: contact time = 40 min, T = 303K, Adsorbent concentration = 2.5g/L, pH = 7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06314C" w:rsidRDefault="0006314C" w:rsidP="0006314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06314C" w:rsidRDefault="0006314C" w:rsidP="0006314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356C7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338C61E6" wp14:editId="2B9473DF">
            <wp:extent cx="4572000" cy="2743200"/>
            <wp:effectExtent l="0" t="0" r="0" b="0"/>
            <wp:docPr id="15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6314C" w:rsidRPr="00AE3A1B" w:rsidRDefault="0006314C" w:rsidP="0006314C">
      <w:pPr>
        <w:autoSpaceDE w:val="0"/>
        <w:autoSpaceDN w:val="0"/>
        <w:adjustRightInd w:val="0"/>
        <w:spacing w:before="240" w:after="1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Fig.S3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E3A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3A1B">
        <w:rPr>
          <w:rFonts w:ascii="Times New Roman" w:hAnsi="Times New Roman" w:cs="Times New Roman"/>
          <w:bCs/>
          <w:sz w:val="24"/>
          <w:szCs w:val="24"/>
        </w:rPr>
        <w:t>Effect of initial dye concentration on the %adsorption of DB and TY dyes on K</w:t>
      </w:r>
      <w:r w:rsidRPr="00AE3A1B">
        <w:rPr>
          <w:rFonts w:ascii="Times New Roman" w:hAnsi="Times New Roman" w:cs="Times New Roman"/>
          <w:color w:val="000000"/>
          <w:sz w:val="24"/>
          <w:szCs w:val="24"/>
        </w:rPr>
        <w:t xml:space="preserve">MRHC-adsorbents from aqueous media. </w:t>
      </w:r>
      <w:r w:rsidRPr="00AE3A1B">
        <w:rPr>
          <w:rFonts w:ascii="Times New Roman" w:hAnsi="Times New Roman" w:cs="Times New Roman"/>
          <w:bCs/>
          <w:sz w:val="24"/>
          <w:szCs w:val="24"/>
        </w:rPr>
        <w:t>Experimental conditions: contact time = 40 min, T = 303K, Adsorbent concentration = 2.5g/L, pH = 7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06314C" w:rsidRDefault="0006314C" w:rsidP="0006314C">
      <w:pPr>
        <w:autoSpaceDE w:val="0"/>
        <w:autoSpaceDN w:val="0"/>
        <w:adjustRightInd w:val="0"/>
        <w:spacing w:before="240" w:after="160"/>
        <w:rPr>
          <w:rFonts w:ascii="Times New Roman" w:hAnsi="Times New Roman" w:cs="Times New Roman"/>
          <w:bCs/>
          <w:sz w:val="24"/>
          <w:szCs w:val="24"/>
        </w:rPr>
      </w:pPr>
    </w:p>
    <w:p w:rsidR="00901C2A" w:rsidRDefault="00901C2A" w:rsidP="0006314C">
      <w:pPr>
        <w:autoSpaceDE w:val="0"/>
        <w:autoSpaceDN w:val="0"/>
        <w:adjustRightInd w:val="0"/>
        <w:spacing w:before="240" w:after="160"/>
        <w:rPr>
          <w:rFonts w:ascii="Times New Roman" w:hAnsi="Times New Roman" w:cs="Times New Roman"/>
          <w:bCs/>
          <w:sz w:val="24"/>
          <w:szCs w:val="24"/>
        </w:rPr>
      </w:pPr>
    </w:p>
    <w:p w:rsidR="00901C2A" w:rsidRDefault="00901C2A" w:rsidP="00901C2A">
      <w:pPr>
        <w:autoSpaceDE w:val="0"/>
        <w:autoSpaceDN w:val="0"/>
        <w:adjustRightInd w:val="0"/>
        <w:spacing w:before="240" w:after="16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1C2A" w:rsidRDefault="00901C2A" w:rsidP="00901C2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356C7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3FB66979" wp14:editId="53F92C56">
            <wp:extent cx="4572000" cy="2800350"/>
            <wp:effectExtent l="19050" t="0" r="19050" b="0"/>
            <wp:docPr id="6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01C2A" w:rsidRDefault="00901C2A" w:rsidP="00901C2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Fig. </w:t>
      </w:r>
      <w:r>
        <w:rPr>
          <w:rFonts w:ascii="Times New Roman" w:hAnsi="Times New Roman" w:cs="Times New Roman"/>
          <w:b/>
          <w:bCs/>
          <w:sz w:val="24"/>
          <w:szCs w:val="24"/>
        </w:rPr>
        <w:t>S4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gramStart"/>
      <w:r w:rsidRPr="0010782C">
        <w:rPr>
          <w:rFonts w:ascii="Times New Roman" w:hAnsi="Times New Roman" w:cs="Times New Roman"/>
          <w:bCs/>
          <w:sz w:val="24"/>
          <w:szCs w:val="24"/>
        </w:rPr>
        <w:t>Effect of contact time on the adsorption capacity (mg/g) of DB and TY dyes on K</w:t>
      </w:r>
      <w:r w:rsidRPr="0010782C">
        <w:rPr>
          <w:rFonts w:ascii="Times New Roman" w:hAnsi="Times New Roman" w:cs="Times New Roman"/>
          <w:color w:val="000000"/>
          <w:sz w:val="24"/>
          <w:szCs w:val="24"/>
        </w:rPr>
        <w:t>MRHC-adsorbent form aqueous media.</w:t>
      </w:r>
      <w:proofErr w:type="gramEnd"/>
      <w:r w:rsidRPr="001078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0782C">
        <w:rPr>
          <w:rFonts w:ascii="Times New Roman" w:hAnsi="Times New Roman" w:cs="Times New Roman"/>
          <w:bCs/>
          <w:sz w:val="24"/>
          <w:szCs w:val="24"/>
        </w:rPr>
        <w:t>Experimental conditions: Adsorbent concentration = 2.5g/L, T = 303K, Initial dye concentration = 80mg/L, pH = 7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ab/>
      </w:r>
    </w:p>
    <w:p w:rsidR="00901C2A" w:rsidRDefault="00901C2A" w:rsidP="0006314C">
      <w:pPr>
        <w:autoSpaceDE w:val="0"/>
        <w:autoSpaceDN w:val="0"/>
        <w:adjustRightInd w:val="0"/>
        <w:spacing w:before="240" w:after="160"/>
        <w:rPr>
          <w:rFonts w:ascii="Times New Roman" w:hAnsi="Times New Roman" w:cs="Times New Roman"/>
          <w:bCs/>
          <w:sz w:val="24"/>
          <w:szCs w:val="24"/>
        </w:rPr>
      </w:pPr>
    </w:p>
    <w:p w:rsidR="00901C2A" w:rsidRPr="0011339C" w:rsidRDefault="00901C2A" w:rsidP="00901C2A">
      <w:pPr>
        <w:tabs>
          <w:tab w:val="left" w:pos="2854"/>
        </w:tabs>
        <w:autoSpaceDE w:val="0"/>
        <w:autoSpaceDN w:val="0"/>
        <w:adjustRightInd w:val="0"/>
        <w:spacing w:before="240" w:after="160"/>
        <w:rPr>
          <w:rFonts w:ascii="Times New Roman" w:hAnsi="Times New Roman" w:cs="Times New Roman"/>
          <w:color w:val="000000"/>
          <w:sz w:val="24"/>
          <w:szCs w:val="24"/>
        </w:rPr>
      </w:pPr>
    </w:p>
    <w:p w:rsidR="00901C2A" w:rsidRDefault="00901C2A" w:rsidP="00901C2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356C7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54A45B4B" wp14:editId="404F4003">
            <wp:extent cx="4572000" cy="2743200"/>
            <wp:effectExtent l="0" t="0" r="0" b="0"/>
            <wp:docPr id="7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01C2A" w:rsidRDefault="00901C2A" w:rsidP="00901C2A">
      <w:pPr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2E0F7F">
        <w:rPr>
          <w:rFonts w:ascii="Times New Roman" w:hAnsi="Times New Roman" w:cs="Times New Roman"/>
          <w:b/>
          <w:color w:val="000000"/>
          <w:sz w:val="24"/>
          <w:szCs w:val="24"/>
        </w:rPr>
        <w:t>Fig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proofErr w:type="gramEnd"/>
      <w:r w:rsidRPr="002E0F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S5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E0F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2E0F7F">
        <w:rPr>
          <w:rFonts w:ascii="Times New Roman" w:hAnsi="Times New Roman" w:cs="Times New Roman"/>
          <w:bCs/>
          <w:sz w:val="24"/>
          <w:szCs w:val="24"/>
        </w:rPr>
        <w:t>Effect of contact time on the %adsorption of DB and TY dyes on K</w:t>
      </w:r>
      <w:r w:rsidRPr="002E0F7F">
        <w:rPr>
          <w:rFonts w:ascii="Times New Roman" w:hAnsi="Times New Roman" w:cs="Times New Roman"/>
          <w:color w:val="000000"/>
          <w:sz w:val="24"/>
          <w:szCs w:val="24"/>
        </w:rPr>
        <w:t>MRHC-adsorbents form aqueous media.</w:t>
      </w:r>
      <w:proofErr w:type="gramEnd"/>
      <w:r w:rsidRPr="002E0F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0F7F">
        <w:rPr>
          <w:rFonts w:ascii="Times New Roman" w:hAnsi="Times New Roman" w:cs="Times New Roman"/>
          <w:bCs/>
          <w:sz w:val="24"/>
          <w:szCs w:val="24"/>
        </w:rPr>
        <w:t>Experimental conditions: Adsorbent concentration = 2.5g/L, T = 303K, Initial dye concentration = 80mg/L, pH = 7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DF50E4" w:rsidRDefault="00DF50E4" w:rsidP="00DF50E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62EDC">
        <w:rPr>
          <w:rFonts w:ascii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 wp14:anchorId="2F1AE7E9" wp14:editId="363F982F">
            <wp:extent cx="4572000" cy="2743200"/>
            <wp:effectExtent l="0" t="0" r="0" b="0"/>
            <wp:docPr id="1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F50E4" w:rsidRDefault="00DF50E4" w:rsidP="00DF50E4">
      <w:pPr>
        <w:autoSpaceDE w:val="0"/>
        <w:autoSpaceDN w:val="0"/>
        <w:adjustRightInd w:val="0"/>
        <w:spacing w:before="240" w:after="1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Fig. </w:t>
      </w:r>
      <w:r>
        <w:rPr>
          <w:rFonts w:ascii="Times New Roman" w:hAnsi="Times New Roman" w:cs="Times New Roman"/>
          <w:b/>
          <w:bCs/>
          <w:sz w:val="24"/>
          <w:szCs w:val="24"/>
        </w:rPr>
        <w:t>S6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E11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5E1187">
        <w:rPr>
          <w:rFonts w:ascii="Times New Roman" w:hAnsi="Times New Roman" w:cs="Times New Roman"/>
          <w:bCs/>
          <w:sz w:val="24"/>
          <w:szCs w:val="24"/>
        </w:rPr>
        <w:t>Effect of pH on the adsorption capacity of DB and TY dyes on K</w:t>
      </w:r>
      <w:r w:rsidRPr="005E1187">
        <w:rPr>
          <w:rFonts w:ascii="Times New Roman" w:hAnsi="Times New Roman" w:cs="Times New Roman"/>
          <w:color w:val="000000"/>
          <w:sz w:val="24"/>
          <w:szCs w:val="24"/>
        </w:rPr>
        <w:t>MRHC-adsorbent from aqueous media.</w:t>
      </w:r>
      <w:proofErr w:type="gramEnd"/>
      <w:r w:rsidRPr="005E11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E1187">
        <w:rPr>
          <w:rFonts w:ascii="Times New Roman" w:hAnsi="Times New Roman" w:cs="Times New Roman"/>
          <w:bCs/>
          <w:sz w:val="24"/>
          <w:szCs w:val="24"/>
        </w:rPr>
        <w:t>Experimental conditions: contact time = 40 min, T = 303K, Adsorbent concentration = 2.5g/L, C</w:t>
      </w:r>
      <w:r w:rsidRPr="005E1187">
        <w:rPr>
          <w:rFonts w:ascii="Times New Roman" w:hAnsi="Times New Roman" w:cs="Times New Roman"/>
          <w:bCs/>
          <w:sz w:val="24"/>
          <w:szCs w:val="24"/>
          <w:vertAlign w:val="subscript"/>
        </w:rPr>
        <w:t>0</w:t>
      </w:r>
      <w:r w:rsidRPr="005E1187">
        <w:rPr>
          <w:rFonts w:ascii="Times New Roman" w:hAnsi="Times New Roman" w:cs="Times New Roman"/>
          <w:bCs/>
          <w:sz w:val="24"/>
          <w:szCs w:val="24"/>
        </w:rPr>
        <w:t xml:space="preserve"> = 80 mg/L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901C2A" w:rsidRPr="005E1187" w:rsidRDefault="00901C2A" w:rsidP="0006314C">
      <w:pPr>
        <w:autoSpaceDE w:val="0"/>
        <w:autoSpaceDN w:val="0"/>
        <w:adjustRightInd w:val="0"/>
        <w:spacing w:before="240" w:after="160"/>
        <w:rPr>
          <w:rFonts w:ascii="Times New Roman" w:hAnsi="Times New Roman" w:cs="Times New Roman"/>
          <w:bCs/>
          <w:sz w:val="24"/>
          <w:szCs w:val="24"/>
        </w:rPr>
      </w:pPr>
    </w:p>
    <w:p w:rsidR="0006314C" w:rsidRDefault="0006314C" w:rsidP="0006314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62EDC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3AD03C0D" wp14:editId="619C962A">
            <wp:extent cx="4572000" cy="2743200"/>
            <wp:effectExtent l="0" t="0" r="0" b="0"/>
            <wp:docPr id="1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06314C" w:rsidRPr="0024204A" w:rsidRDefault="0006314C" w:rsidP="0006314C">
      <w:pPr>
        <w:autoSpaceDE w:val="0"/>
        <w:autoSpaceDN w:val="0"/>
        <w:adjustRightInd w:val="0"/>
        <w:spacing w:before="240" w:after="160"/>
        <w:rPr>
          <w:rFonts w:ascii="Times New Roman" w:hAnsi="Times New Roman" w:cs="Times New Roman"/>
          <w:bCs/>
          <w:sz w:val="24"/>
          <w:szCs w:val="24"/>
        </w:rPr>
      </w:pPr>
      <w:r w:rsidRPr="0024204A">
        <w:rPr>
          <w:rFonts w:ascii="Times New Roman" w:hAnsi="Times New Roman" w:cs="Times New Roman"/>
          <w:b/>
          <w:bCs/>
          <w:sz w:val="24"/>
          <w:szCs w:val="24"/>
        </w:rPr>
        <w:t>Fig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420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01C2A">
        <w:rPr>
          <w:rFonts w:ascii="Times New Roman" w:hAnsi="Times New Roman" w:cs="Times New Roman"/>
          <w:b/>
          <w:bCs/>
          <w:sz w:val="24"/>
          <w:szCs w:val="24"/>
        </w:rPr>
        <w:t>S7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420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24204A">
        <w:rPr>
          <w:rFonts w:ascii="Times New Roman" w:hAnsi="Times New Roman" w:cs="Times New Roman"/>
          <w:bCs/>
          <w:sz w:val="24"/>
          <w:szCs w:val="24"/>
        </w:rPr>
        <w:t>Effect of pH on the %adsorption of DB, and TY dyes on K</w:t>
      </w:r>
      <w:r w:rsidRPr="0024204A">
        <w:rPr>
          <w:rFonts w:ascii="Times New Roman" w:hAnsi="Times New Roman" w:cs="Times New Roman"/>
          <w:color w:val="000000"/>
          <w:sz w:val="24"/>
          <w:szCs w:val="24"/>
        </w:rPr>
        <w:t>MRHC-adsorbents from aqueous solution.</w:t>
      </w:r>
      <w:proofErr w:type="gramEnd"/>
      <w:r w:rsidRPr="002420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204A">
        <w:rPr>
          <w:rFonts w:ascii="Times New Roman" w:hAnsi="Times New Roman" w:cs="Times New Roman"/>
          <w:bCs/>
          <w:sz w:val="24"/>
          <w:szCs w:val="24"/>
        </w:rPr>
        <w:t>Experimental condition: contact time = 40 min, T = 303K, Adsorbent concentration = 2.5g/L, C</w:t>
      </w:r>
      <w:r w:rsidRPr="0024204A">
        <w:rPr>
          <w:rFonts w:ascii="Times New Roman" w:hAnsi="Times New Roman" w:cs="Times New Roman"/>
          <w:bCs/>
          <w:sz w:val="24"/>
          <w:szCs w:val="24"/>
          <w:vertAlign w:val="subscript"/>
        </w:rPr>
        <w:t>0</w:t>
      </w:r>
      <w:r w:rsidRPr="0024204A">
        <w:rPr>
          <w:rFonts w:ascii="Times New Roman" w:hAnsi="Times New Roman" w:cs="Times New Roman"/>
          <w:bCs/>
          <w:sz w:val="24"/>
          <w:szCs w:val="24"/>
        </w:rPr>
        <w:t>=80 mg/L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06314C" w:rsidRDefault="0006314C" w:rsidP="0006314C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6314C" w:rsidRDefault="0006314C" w:rsidP="0006314C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6314C" w:rsidRDefault="0006314C" w:rsidP="0006314C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2EDC">
        <w:rPr>
          <w:rFonts w:ascii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 wp14:anchorId="7749ACB5" wp14:editId="60739F7A">
            <wp:extent cx="4572000" cy="2743200"/>
            <wp:effectExtent l="19050" t="0" r="19050" b="0"/>
            <wp:docPr id="2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06314C" w:rsidRDefault="0006314C" w:rsidP="0006314C">
      <w:pPr>
        <w:autoSpaceDE w:val="0"/>
        <w:autoSpaceDN w:val="0"/>
        <w:adjustRightInd w:val="0"/>
        <w:spacing w:before="240" w:after="160"/>
        <w:rPr>
          <w:rFonts w:ascii="Times New Roman" w:hAnsi="Times New Roman" w:cs="Times New Roman"/>
          <w:bCs/>
          <w:sz w:val="24"/>
          <w:szCs w:val="24"/>
        </w:rPr>
      </w:pPr>
      <w:r w:rsidRPr="00960134">
        <w:rPr>
          <w:rFonts w:ascii="Times New Roman" w:hAnsi="Times New Roman" w:cs="Times New Roman"/>
          <w:b/>
          <w:bCs/>
          <w:sz w:val="24"/>
          <w:szCs w:val="24"/>
        </w:rPr>
        <w:t>Fig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601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F50E4">
        <w:rPr>
          <w:rFonts w:ascii="Times New Roman" w:hAnsi="Times New Roman" w:cs="Times New Roman"/>
          <w:b/>
          <w:bCs/>
          <w:sz w:val="24"/>
          <w:szCs w:val="24"/>
        </w:rPr>
        <w:t>S8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601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960134">
        <w:rPr>
          <w:rFonts w:ascii="Times New Roman" w:hAnsi="Times New Roman" w:cs="Times New Roman"/>
          <w:bCs/>
          <w:sz w:val="24"/>
          <w:szCs w:val="24"/>
        </w:rPr>
        <w:t>Effect of temperature on the adsorption capacity of DB and TY dyes on K</w:t>
      </w:r>
      <w:r w:rsidRPr="00960134">
        <w:rPr>
          <w:rFonts w:ascii="Times New Roman" w:hAnsi="Times New Roman" w:cs="Times New Roman"/>
          <w:color w:val="000000"/>
          <w:sz w:val="24"/>
          <w:szCs w:val="24"/>
        </w:rPr>
        <w:t>MRHC-adsorbent.</w:t>
      </w:r>
      <w:proofErr w:type="gramEnd"/>
      <w:r w:rsidRPr="009601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0134">
        <w:rPr>
          <w:rFonts w:ascii="Times New Roman" w:hAnsi="Times New Roman" w:cs="Times New Roman"/>
          <w:bCs/>
          <w:sz w:val="24"/>
          <w:szCs w:val="24"/>
        </w:rPr>
        <w:t xml:space="preserve">Experimental conditions: pH=7, contact time = 40 min, </w:t>
      </w:r>
      <w:r>
        <w:rPr>
          <w:rFonts w:ascii="Times New Roman" w:hAnsi="Times New Roman" w:cs="Times New Roman"/>
          <w:bCs/>
          <w:sz w:val="24"/>
          <w:szCs w:val="24"/>
        </w:rPr>
        <w:t>Adsorbent dose</w:t>
      </w:r>
      <w:r w:rsidRPr="00960134">
        <w:rPr>
          <w:rFonts w:ascii="Times New Roman" w:hAnsi="Times New Roman" w:cs="Times New Roman"/>
          <w:bCs/>
          <w:sz w:val="24"/>
          <w:szCs w:val="24"/>
        </w:rPr>
        <w:t xml:space="preserve"> = 2.5g/L, C</w:t>
      </w:r>
      <w:r w:rsidRPr="00960134">
        <w:rPr>
          <w:rFonts w:ascii="Times New Roman" w:hAnsi="Times New Roman" w:cs="Times New Roman"/>
          <w:bCs/>
          <w:sz w:val="24"/>
          <w:szCs w:val="24"/>
          <w:vertAlign w:val="subscript"/>
        </w:rPr>
        <w:t>0</w:t>
      </w:r>
      <w:r w:rsidRPr="00960134">
        <w:rPr>
          <w:rFonts w:ascii="Times New Roman" w:hAnsi="Times New Roman" w:cs="Times New Roman"/>
          <w:bCs/>
          <w:sz w:val="24"/>
          <w:szCs w:val="24"/>
        </w:rPr>
        <w:t>=80 mg/L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06314C" w:rsidRPr="00960134" w:rsidRDefault="0006314C" w:rsidP="0006314C">
      <w:pPr>
        <w:autoSpaceDE w:val="0"/>
        <w:autoSpaceDN w:val="0"/>
        <w:adjustRightInd w:val="0"/>
        <w:spacing w:before="240" w:after="160"/>
        <w:rPr>
          <w:rFonts w:ascii="Times New Roman" w:hAnsi="Times New Roman" w:cs="Times New Roman"/>
          <w:bCs/>
          <w:sz w:val="24"/>
          <w:szCs w:val="24"/>
        </w:rPr>
      </w:pPr>
    </w:p>
    <w:p w:rsidR="00DF50E4" w:rsidRDefault="00DF50E4" w:rsidP="00DF50E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F50E4" w:rsidRPr="007E2CBF" w:rsidRDefault="00DF50E4" w:rsidP="00DF50E4">
      <w:pPr>
        <w:tabs>
          <w:tab w:val="left" w:pos="3023"/>
        </w:tabs>
        <w:autoSpaceDE w:val="0"/>
        <w:autoSpaceDN w:val="0"/>
        <w:adjustRightInd w:val="0"/>
        <w:spacing w:before="240" w:after="160"/>
        <w:rPr>
          <w:bCs/>
        </w:rPr>
      </w:pPr>
      <w:r>
        <w:rPr>
          <w:bCs/>
        </w:rPr>
        <w:tab/>
      </w:r>
    </w:p>
    <w:p w:rsidR="00DF50E4" w:rsidRDefault="00DF50E4" w:rsidP="00DF50E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62EDC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4469451E" wp14:editId="158D5C1A">
            <wp:extent cx="4572000" cy="2743200"/>
            <wp:effectExtent l="0" t="0" r="0" b="0"/>
            <wp:docPr id="2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DF50E4" w:rsidRPr="00230BCB" w:rsidRDefault="00DF50E4" w:rsidP="00DF50E4">
      <w:pPr>
        <w:autoSpaceDE w:val="0"/>
        <w:autoSpaceDN w:val="0"/>
        <w:adjustRightInd w:val="0"/>
        <w:spacing w:before="240" w:after="160"/>
        <w:rPr>
          <w:rFonts w:ascii="Times New Roman" w:hAnsi="Times New Roman" w:cs="Times New Roman"/>
          <w:bCs/>
          <w:sz w:val="24"/>
          <w:szCs w:val="24"/>
        </w:rPr>
      </w:pPr>
      <w:r w:rsidRPr="00230BCB">
        <w:rPr>
          <w:rFonts w:ascii="Times New Roman" w:hAnsi="Times New Roman" w:cs="Times New Roman"/>
          <w:b/>
          <w:bCs/>
          <w:sz w:val="24"/>
          <w:szCs w:val="24"/>
        </w:rPr>
        <w:t>Fig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S9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30B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230BCB">
        <w:rPr>
          <w:rFonts w:ascii="Times New Roman" w:hAnsi="Times New Roman" w:cs="Times New Roman"/>
          <w:bCs/>
          <w:sz w:val="24"/>
          <w:szCs w:val="24"/>
        </w:rPr>
        <w:t>Effect of temperature on the %adsorption of DB and TY on K</w:t>
      </w:r>
      <w:r w:rsidRPr="00230BCB">
        <w:rPr>
          <w:rFonts w:ascii="Times New Roman" w:hAnsi="Times New Roman" w:cs="Times New Roman"/>
          <w:color w:val="000000"/>
          <w:sz w:val="24"/>
          <w:szCs w:val="24"/>
        </w:rPr>
        <w:t>MRHC-adsorbent from aqueous media.</w:t>
      </w:r>
      <w:proofErr w:type="gramEnd"/>
      <w:r w:rsidRPr="00230B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0BCB">
        <w:rPr>
          <w:rFonts w:ascii="Times New Roman" w:hAnsi="Times New Roman" w:cs="Times New Roman"/>
          <w:bCs/>
          <w:sz w:val="24"/>
          <w:szCs w:val="24"/>
        </w:rPr>
        <w:t xml:space="preserve">Experimental condition: pH=7, contact time = 40 min Adsorbent concentration = 2.5g/L, </w:t>
      </w:r>
      <w:r>
        <w:rPr>
          <w:rFonts w:ascii="Times New Roman" w:hAnsi="Times New Roman" w:cs="Times New Roman"/>
          <w:bCs/>
          <w:sz w:val="24"/>
          <w:szCs w:val="24"/>
        </w:rPr>
        <w:t>initial dye concentration</w:t>
      </w:r>
      <w:r w:rsidRPr="00230BCB">
        <w:rPr>
          <w:rFonts w:ascii="Times New Roman" w:hAnsi="Times New Roman" w:cs="Times New Roman"/>
          <w:bCs/>
          <w:sz w:val="24"/>
          <w:szCs w:val="24"/>
        </w:rPr>
        <w:t xml:space="preserve"> = 80 mg/L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DF50E4" w:rsidRPr="000A3340" w:rsidRDefault="00DF50E4" w:rsidP="00DF50E4">
      <w:pPr>
        <w:autoSpaceDE w:val="0"/>
        <w:autoSpaceDN w:val="0"/>
        <w:adjustRightInd w:val="0"/>
        <w:spacing w:before="240" w:after="1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F50E4" w:rsidRPr="002837E6" w:rsidRDefault="00DF50E4" w:rsidP="00DF50E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F50E4" w:rsidRDefault="00DF50E4" w:rsidP="00DF50E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33F85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39F25CE2" wp14:editId="21E227FD">
            <wp:extent cx="2577740" cy="2356021"/>
            <wp:effectExtent l="19050" t="0" r="13060" b="6179"/>
            <wp:docPr id="24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0A3340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7C24DF3C" wp14:editId="2D950832">
            <wp:extent cx="2582786" cy="2364259"/>
            <wp:effectExtent l="19050" t="0" r="27064" b="0"/>
            <wp:docPr id="3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DF50E4" w:rsidRPr="00E158AD" w:rsidRDefault="00DF50E4" w:rsidP="00DF50E4">
      <w:pPr>
        <w:autoSpaceDE w:val="0"/>
        <w:autoSpaceDN w:val="0"/>
        <w:adjustRightInd w:val="0"/>
        <w:spacing w:before="240" w:after="16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Fig.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S10</w:t>
      </w:r>
      <w:r w:rsidRPr="00E158AD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E158AD">
        <w:rPr>
          <w:rFonts w:ascii="Times New Roman" w:hAnsi="Times New Roman" w:cs="Times New Roman"/>
          <w:bCs/>
          <w:sz w:val="24"/>
          <w:szCs w:val="24"/>
        </w:rPr>
        <w:t>Temki</w:t>
      </w:r>
      <w:r>
        <w:rPr>
          <w:rFonts w:ascii="Times New Roman" w:hAnsi="Times New Roman" w:cs="Times New Roman"/>
          <w:bCs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Adsorption Isotherms model for the adsorption of</w:t>
      </w:r>
      <w:r w:rsidRPr="00E158AD">
        <w:rPr>
          <w:rFonts w:ascii="Times New Roman" w:hAnsi="Times New Roman" w:cs="Times New Roman"/>
          <w:bCs/>
          <w:sz w:val="24"/>
          <w:szCs w:val="24"/>
        </w:rPr>
        <w:t xml:space="preserve"> (A) DB (B) TY</w:t>
      </w:r>
      <w:r>
        <w:rPr>
          <w:rFonts w:ascii="Times New Roman" w:hAnsi="Times New Roman" w:cs="Times New Roman"/>
          <w:bCs/>
          <w:sz w:val="24"/>
          <w:szCs w:val="24"/>
        </w:rPr>
        <w:t xml:space="preserve"> on KMRHC.</w:t>
      </w:r>
    </w:p>
    <w:p w:rsidR="00DF50E4" w:rsidRDefault="00DF50E4" w:rsidP="00DF50E4">
      <w:pPr>
        <w:autoSpaceDE w:val="0"/>
        <w:autoSpaceDN w:val="0"/>
        <w:adjustRightInd w:val="0"/>
        <w:spacing w:before="240" w:after="160"/>
        <w:rPr>
          <w:rFonts w:ascii="Times New Roman" w:hAnsi="Times New Roman" w:cs="Times New Roman"/>
          <w:bCs/>
          <w:sz w:val="24"/>
          <w:szCs w:val="24"/>
        </w:rPr>
      </w:pPr>
    </w:p>
    <w:p w:rsidR="00DF50E4" w:rsidRDefault="00DF50E4" w:rsidP="00DF50E4">
      <w:pPr>
        <w:autoSpaceDE w:val="0"/>
        <w:autoSpaceDN w:val="0"/>
        <w:adjustRightInd w:val="0"/>
        <w:spacing w:before="240" w:after="160"/>
        <w:rPr>
          <w:rFonts w:ascii="Times New Roman" w:hAnsi="Times New Roman" w:cs="Times New Roman"/>
          <w:bCs/>
          <w:sz w:val="24"/>
          <w:szCs w:val="24"/>
        </w:rPr>
      </w:pPr>
    </w:p>
    <w:p w:rsidR="00DF50E4" w:rsidRDefault="00DF50E4" w:rsidP="00DF50E4">
      <w:pPr>
        <w:autoSpaceDE w:val="0"/>
        <w:autoSpaceDN w:val="0"/>
        <w:adjustRightInd w:val="0"/>
        <w:spacing w:before="240" w:after="160"/>
        <w:rPr>
          <w:rFonts w:ascii="Times New Roman" w:hAnsi="Times New Roman" w:cs="Times New Roman"/>
          <w:bCs/>
          <w:sz w:val="24"/>
          <w:szCs w:val="24"/>
        </w:rPr>
      </w:pPr>
    </w:p>
    <w:p w:rsidR="0006314C" w:rsidRPr="00A35742" w:rsidRDefault="0006314C" w:rsidP="00A35742">
      <w:bookmarkStart w:id="0" w:name="_GoBack"/>
      <w:bookmarkEnd w:id="0"/>
    </w:p>
    <w:sectPr w:rsidR="0006314C" w:rsidRPr="00A35742" w:rsidSect="005F4C6D"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AF9" w:rsidRDefault="00673AF9">
      <w:pPr>
        <w:spacing w:after="0" w:line="240" w:lineRule="auto"/>
      </w:pPr>
      <w:r>
        <w:separator/>
      </w:r>
    </w:p>
  </w:endnote>
  <w:endnote w:type="continuationSeparator" w:id="0">
    <w:p w:rsidR="00673AF9" w:rsidRDefault="00673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55856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E2F63" w:rsidRDefault="008D353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50E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E2F63" w:rsidRDefault="00673A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AF9" w:rsidRDefault="00673AF9">
      <w:pPr>
        <w:spacing w:after="0" w:line="240" w:lineRule="auto"/>
      </w:pPr>
      <w:r>
        <w:separator/>
      </w:r>
    </w:p>
  </w:footnote>
  <w:footnote w:type="continuationSeparator" w:id="0">
    <w:p w:rsidR="00673AF9" w:rsidRDefault="00673A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53E"/>
    <w:rsid w:val="00024518"/>
    <w:rsid w:val="0006314C"/>
    <w:rsid w:val="00081BDB"/>
    <w:rsid w:val="000C577F"/>
    <w:rsid w:val="000C7D99"/>
    <w:rsid w:val="00192A4C"/>
    <w:rsid w:val="002139C8"/>
    <w:rsid w:val="002A0B04"/>
    <w:rsid w:val="002A0C92"/>
    <w:rsid w:val="002D4331"/>
    <w:rsid w:val="00330C37"/>
    <w:rsid w:val="00355750"/>
    <w:rsid w:val="00432DB8"/>
    <w:rsid w:val="00435A08"/>
    <w:rsid w:val="00453128"/>
    <w:rsid w:val="004A446D"/>
    <w:rsid w:val="0050662F"/>
    <w:rsid w:val="005832E5"/>
    <w:rsid w:val="00640477"/>
    <w:rsid w:val="006714B2"/>
    <w:rsid w:val="00673AF9"/>
    <w:rsid w:val="006C2EF4"/>
    <w:rsid w:val="006D0656"/>
    <w:rsid w:val="007D1821"/>
    <w:rsid w:val="00825F63"/>
    <w:rsid w:val="00841A26"/>
    <w:rsid w:val="008D353E"/>
    <w:rsid w:val="00901C2A"/>
    <w:rsid w:val="009E3CDB"/>
    <w:rsid w:val="00A35742"/>
    <w:rsid w:val="00A36CC5"/>
    <w:rsid w:val="00A6237B"/>
    <w:rsid w:val="00AC546D"/>
    <w:rsid w:val="00AF5A33"/>
    <w:rsid w:val="00B20FBD"/>
    <w:rsid w:val="00BA2ADD"/>
    <w:rsid w:val="00BA741C"/>
    <w:rsid w:val="00BF7322"/>
    <w:rsid w:val="00CF6D32"/>
    <w:rsid w:val="00D02001"/>
    <w:rsid w:val="00D774CE"/>
    <w:rsid w:val="00DC3E5D"/>
    <w:rsid w:val="00DE2E7C"/>
    <w:rsid w:val="00DF50E4"/>
    <w:rsid w:val="00E03FE0"/>
    <w:rsid w:val="00E243AB"/>
    <w:rsid w:val="00E57472"/>
    <w:rsid w:val="00EB6FEC"/>
    <w:rsid w:val="00EC1EDC"/>
    <w:rsid w:val="00F4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5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353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D35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53E"/>
  </w:style>
  <w:style w:type="paragraph" w:styleId="BalloonText">
    <w:name w:val="Balloon Text"/>
    <w:basedOn w:val="Normal"/>
    <w:link w:val="BalloonTextChar"/>
    <w:uiPriority w:val="99"/>
    <w:semiHidden/>
    <w:unhideWhenUsed/>
    <w:rsid w:val="00CF6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D32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741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A741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5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353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D35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53E"/>
  </w:style>
  <w:style w:type="paragraph" w:styleId="BalloonText">
    <w:name w:val="Balloon Text"/>
    <w:basedOn w:val="Normal"/>
    <w:link w:val="BalloonTextChar"/>
    <w:uiPriority w:val="99"/>
    <w:semiHidden/>
    <w:unhideWhenUsed/>
    <w:rsid w:val="00CF6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D32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741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A741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" Type="http://schemas.microsoft.com/office/2007/relationships/stylesWithEffects" Target="stylesWithEffects.xml"/><Relationship Id="rId16" Type="http://schemas.openxmlformats.org/officeDocument/2006/relationships/chart" Target="charts/chart8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ata\abdul%20malik\direct%20blue%20on%20KMRHC\KMRHC\DB%20TY%20OG%20on%20KMRHC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ata\abdul%20malik\direct%20blue%20on%20KMRHC\KMRHC\DB%20TY%20OG%20on%20KMRHC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ata\abdul%20malik\direct%20blue%20on%20KMRHC\KMRHC\DB%20TY%20OG%20on%20KMRHC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ata\abdul%20malik\direct%20blue%20on%20KMRHC\KMRHC\DB%20TY%20OG%20on%20KMRHC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ata\abdul%20malik\direct%20blue%20on%20KMRHC\KMRHC\DB%20TY%20OG%20on%20KMRHC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ata\abdul%20malik\direct%20blue%20on%20KMRHC\KMRHC\DB%20TY%20OG%20on%20KMRHC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ata\abdul%20malik\direct%20blue%20on%20KMRHC\KMRHC\DB%20TY%20OG%20on%20KMRHC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ata\abdul%20malik\direct%20blue%20on%20KMRHC\KMRHC\DB%20TY%20OG%20on%20KMRHC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ata\abdul%20malik\direct%20blue%20on%20KMRHC\KMRHC\DB%20TY%20OG%20on%20KMRHC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ata\abdul%20malik\direct%20blue%20on%20KMRHC\KMRHC\DB%20TY%20OG%20on%20KMRHC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DB</c:v>
          </c:tx>
          <c:invertIfNegative val="0"/>
          <c:cat>
            <c:numRef>
              <c:f>Sheet1!$B$89:$B$94</c:f>
              <c:numCache>
                <c:formatCode>General</c:formatCode>
                <c:ptCount val="6"/>
                <c:pt idx="0">
                  <c:v>20</c:v>
                </c:pt>
                <c:pt idx="1">
                  <c:v>40</c:v>
                </c:pt>
                <c:pt idx="2">
                  <c:v>60</c:v>
                </c:pt>
                <c:pt idx="3">
                  <c:v>80</c:v>
                </c:pt>
                <c:pt idx="4">
                  <c:v>100</c:v>
                </c:pt>
                <c:pt idx="5">
                  <c:v>120</c:v>
                </c:pt>
              </c:numCache>
            </c:numRef>
          </c:cat>
          <c:val>
            <c:numRef>
              <c:f>Sheet1!$C$89:$C$94</c:f>
              <c:numCache>
                <c:formatCode>General</c:formatCode>
                <c:ptCount val="6"/>
                <c:pt idx="0">
                  <c:v>7.64</c:v>
                </c:pt>
                <c:pt idx="1">
                  <c:v>14.9</c:v>
                </c:pt>
                <c:pt idx="2">
                  <c:v>22.4</c:v>
                </c:pt>
                <c:pt idx="3">
                  <c:v>28.8</c:v>
                </c:pt>
                <c:pt idx="4">
                  <c:v>34.700000000000003</c:v>
                </c:pt>
                <c:pt idx="5">
                  <c:v>40.1</c:v>
                </c:pt>
              </c:numCache>
            </c:numRef>
          </c:val>
        </c:ser>
        <c:ser>
          <c:idx val="1"/>
          <c:order val="1"/>
          <c:tx>
            <c:v>TY</c:v>
          </c:tx>
          <c:invertIfNegative val="0"/>
          <c:cat>
            <c:numRef>
              <c:f>Sheet1!$B$89:$B$94</c:f>
              <c:numCache>
                <c:formatCode>General</c:formatCode>
                <c:ptCount val="6"/>
                <c:pt idx="0">
                  <c:v>20</c:v>
                </c:pt>
                <c:pt idx="1">
                  <c:v>40</c:v>
                </c:pt>
                <c:pt idx="2">
                  <c:v>60</c:v>
                </c:pt>
                <c:pt idx="3">
                  <c:v>80</c:v>
                </c:pt>
                <c:pt idx="4">
                  <c:v>100</c:v>
                </c:pt>
                <c:pt idx="5">
                  <c:v>120</c:v>
                </c:pt>
              </c:numCache>
            </c:numRef>
          </c:cat>
          <c:val>
            <c:numRef>
              <c:f>Sheet1!$D$89:$D$94</c:f>
              <c:numCache>
                <c:formatCode>General</c:formatCode>
                <c:ptCount val="6"/>
                <c:pt idx="0">
                  <c:v>7.3599999999999985</c:v>
                </c:pt>
                <c:pt idx="1">
                  <c:v>14.28</c:v>
                </c:pt>
                <c:pt idx="2">
                  <c:v>21.2</c:v>
                </c:pt>
                <c:pt idx="3">
                  <c:v>27.6</c:v>
                </c:pt>
                <c:pt idx="4">
                  <c:v>33.9</c:v>
                </c:pt>
                <c:pt idx="5">
                  <c:v>39.300000000000004</c:v>
                </c:pt>
              </c:numCache>
            </c:numRef>
          </c:val>
        </c:ser>
        <c:ser>
          <c:idx val="2"/>
          <c:order val="2"/>
          <c:tx>
            <c:v>OG</c:v>
          </c:tx>
          <c:invertIfNegative val="0"/>
          <c:cat>
            <c:numRef>
              <c:f>Sheet1!$B$89:$B$94</c:f>
              <c:numCache>
                <c:formatCode>General</c:formatCode>
                <c:ptCount val="6"/>
                <c:pt idx="0">
                  <c:v>20</c:v>
                </c:pt>
                <c:pt idx="1">
                  <c:v>40</c:v>
                </c:pt>
                <c:pt idx="2">
                  <c:v>60</c:v>
                </c:pt>
                <c:pt idx="3">
                  <c:v>80</c:v>
                </c:pt>
                <c:pt idx="4">
                  <c:v>100</c:v>
                </c:pt>
                <c:pt idx="5">
                  <c:v>120</c:v>
                </c:pt>
              </c:numCache>
            </c:numRef>
          </c:cat>
          <c:val>
            <c:numRef>
              <c:f>Sheet1!$E$89:$E$94</c:f>
              <c:numCache>
                <c:formatCode>General</c:formatCode>
                <c:ptCount val="6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6862720"/>
        <c:axId val="136873088"/>
      </c:barChart>
      <c:catAx>
        <c:axId val="13686272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Concentration (mg/L)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36873088"/>
        <c:crosses val="autoZero"/>
        <c:auto val="1"/>
        <c:lblAlgn val="ctr"/>
        <c:lblOffset val="100"/>
        <c:noMultiLvlLbl val="0"/>
      </c:catAx>
      <c:valAx>
        <c:axId val="136873088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Adsorption capacity (mg/g)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36862720"/>
        <c:crosses val="autoZero"/>
        <c:crossBetween val="between"/>
      </c:valAx>
    </c:plotArea>
    <c:legend>
      <c:legendPos val="r"/>
      <c:legendEntry>
        <c:idx val="2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400"/>
              <a:t>B</a:t>
            </a:r>
          </a:p>
        </c:rich>
      </c:tx>
      <c:layout>
        <c:manualLayout>
          <c:xMode val="edge"/>
          <c:yMode val="edge"/>
          <c:x val="0.11076759747032855"/>
          <c:y val="3.2407616931985885E-2"/>
        </c:manualLayout>
      </c:layout>
      <c:overlay val="0"/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trendline>
            <c:trendlineType val="linear"/>
            <c:dispRSqr val="1"/>
            <c:dispEq val="1"/>
            <c:trendlineLbl>
              <c:layout>
                <c:manualLayout>
                  <c:x val="-2.6024715660542441E-2"/>
                  <c:y val="-0.37295202682998491"/>
                </c:manualLayout>
              </c:layout>
              <c:numFmt formatCode="General" sourceLinked="0"/>
            </c:trendlineLbl>
          </c:trendline>
          <c:xVal>
            <c:numRef>
              <c:f>Sheet1!$B$438:$B$442</c:f>
              <c:numCache>
                <c:formatCode>General</c:formatCode>
                <c:ptCount val="5"/>
                <c:pt idx="0">
                  <c:v>1.462</c:v>
                </c:pt>
                <c:pt idx="1">
                  <c:v>1.3220000000000001</c:v>
                </c:pt>
                <c:pt idx="2">
                  <c:v>1.1459999999999844</c:v>
                </c:pt>
                <c:pt idx="3">
                  <c:v>1.0409999999999857</c:v>
                </c:pt>
                <c:pt idx="4">
                  <c:v>0.95400000000000063</c:v>
                </c:pt>
              </c:numCache>
            </c:numRef>
          </c:xVal>
          <c:yVal>
            <c:numRef>
              <c:f>Sheet1!$C$438:$C$442</c:f>
              <c:numCache>
                <c:formatCode>General</c:formatCode>
                <c:ptCount val="5"/>
                <c:pt idx="0">
                  <c:v>20.399999999999999</c:v>
                </c:pt>
                <c:pt idx="1">
                  <c:v>23.6</c:v>
                </c:pt>
                <c:pt idx="2">
                  <c:v>26.4</c:v>
                </c:pt>
                <c:pt idx="3">
                  <c:v>27.6</c:v>
                </c:pt>
                <c:pt idx="4">
                  <c:v>28.4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45917440"/>
        <c:axId val="145919360"/>
      </c:scatterChart>
      <c:valAx>
        <c:axId val="145917440"/>
        <c:scaling>
          <c:orientation val="minMax"/>
          <c:min val="0.9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logCe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45919360"/>
        <c:crosses val="autoZero"/>
        <c:crossBetween val="midCat"/>
      </c:valAx>
      <c:valAx>
        <c:axId val="145919360"/>
        <c:scaling>
          <c:orientation val="minMax"/>
          <c:min val="18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qe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45917440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scatterChart>
        <c:scatterStyle val="smoothMarker"/>
        <c:varyColors val="0"/>
        <c:ser>
          <c:idx val="0"/>
          <c:order val="0"/>
          <c:tx>
            <c:v>DB</c:v>
          </c:tx>
          <c:xVal>
            <c:numRef>
              <c:f>Sheet1!$B$116:$B$121</c:f>
              <c:numCache>
                <c:formatCode>General</c:formatCode>
                <c:ptCount val="6"/>
                <c:pt idx="0">
                  <c:v>20</c:v>
                </c:pt>
                <c:pt idx="1">
                  <c:v>40</c:v>
                </c:pt>
                <c:pt idx="2">
                  <c:v>60</c:v>
                </c:pt>
                <c:pt idx="3">
                  <c:v>80</c:v>
                </c:pt>
                <c:pt idx="4">
                  <c:v>100</c:v>
                </c:pt>
                <c:pt idx="5">
                  <c:v>120</c:v>
                </c:pt>
              </c:numCache>
            </c:numRef>
          </c:xVal>
          <c:yVal>
            <c:numRef>
              <c:f>Sheet1!$C$116:$C$121</c:f>
              <c:numCache>
                <c:formatCode>General</c:formatCode>
                <c:ptCount val="6"/>
                <c:pt idx="0">
                  <c:v>95.5</c:v>
                </c:pt>
                <c:pt idx="1">
                  <c:v>93.5</c:v>
                </c:pt>
                <c:pt idx="2">
                  <c:v>91.8</c:v>
                </c:pt>
                <c:pt idx="3">
                  <c:v>90</c:v>
                </c:pt>
                <c:pt idx="4">
                  <c:v>86.8</c:v>
                </c:pt>
                <c:pt idx="5">
                  <c:v>83.5</c:v>
                </c:pt>
              </c:numCache>
            </c:numRef>
          </c:yVal>
          <c:smooth val="1"/>
        </c:ser>
        <c:ser>
          <c:idx val="1"/>
          <c:order val="1"/>
          <c:tx>
            <c:v>TY</c:v>
          </c:tx>
          <c:xVal>
            <c:numRef>
              <c:f>Sheet1!$B$116:$B$121</c:f>
              <c:numCache>
                <c:formatCode>General</c:formatCode>
                <c:ptCount val="6"/>
                <c:pt idx="0">
                  <c:v>20</c:v>
                </c:pt>
                <c:pt idx="1">
                  <c:v>40</c:v>
                </c:pt>
                <c:pt idx="2">
                  <c:v>60</c:v>
                </c:pt>
                <c:pt idx="3">
                  <c:v>80</c:v>
                </c:pt>
                <c:pt idx="4">
                  <c:v>100</c:v>
                </c:pt>
                <c:pt idx="5">
                  <c:v>120</c:v>
                </c:pt>
              </c:numCache>
            </c:numRef>
          </c:xVal>
          <c:yVal>
            <c:numRef>
              <c:f>Sheet1!$D$116:$D$121</c:f>
              <c:numCache>
                <c:formatCode>General</c:formatCode>
                <c:ptCount val="6"/>
                <c:pt idx="0">
                  <c:v>92</c:v>
                </c:pt>
                <c:pt idx="1">
                  <c:v>89.2</c:v>
                </c:pt>
                <c:pt idx="2">
                  <c:v>88.3</c:v>
                </c:pt>
                <c:pt idx="3">
                  <c:v>86.2</c:v>
                </c:pt>
                <c:pt idx="4">
                  <c:v>84.8</c:v>
                </c:pt>
                <c:pt idx="5">
                  <c:v>82</c:v>
                </c:pt>
              </c:numCache>
            </c:numRef>
          </c:yVal>
          <c:smooth val="1"/>
        </c:ser>
        <c:ser>
          <c:idx val="2"/>
          <c:order val="2"/>
          <c:tx>
            <c:v>OG</c:v>
          </c:tx>
          <c:xVal>
            <c:numRef>
              <c:f>Sheet1!$B$116:$B$121</c:f>
              <c:numCache>
                <c:formatCode>General</c:formatCode>
                <c:ptCount val="6"/>
                <c:pt idx="0">
                  <c:v>20</c:v>
                </c:pt>
                <c:pt idx="1">
                  <c:v>40</c:v>
                </c:pt>
                <c:pt idx="2">
                  <c:v>60</c:v>
                </c:pt>
                <c:pt idx="3">
                  <c:v>80</c:v>
                </c:pt>
                <c:pt idx="4">
                  <c:v>100</c:v>
                </c:pt>
                <c:pt idx="5">
                  <c:v>120</c:v>
                </c:pt>
              </c:numCache>
            </c:numRef>
          </c:xVal>
          <c:yVal>
            <c:numRef>
              <c:f>Sheet1!$E$116:$E$121</c:f>
              <c:numCache>
                <c:formatCode>General</c:formatCode>
                <c:ptCount val="6"/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36899584"/>
        <c:axId val="136901760"/>
      </c:scatterChart>
      <c:valAx>
        <c:axId val="13689958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Concentration (mg/L)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36901760"/>
        <c:crosses val="autoZero"/>
        <c:crossBetween val="midCat"/>
      </c:valAx>
      <c:valAx>
        <c:axId val="136901760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% Dye adsorbed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36899584"/>
        <c:crosses val="autoZero"/>
        <c:crossBetween val="midCat"/>
      </c:valAx>
    </c:plotArea>
    <c:legend>
      <c:legendPos val="r"/>
      <c:legendEntry>
        <c:idx val="2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DB</c:v>
          </c:tx>
          <c:invertIfNegative val="0"/>
          <c:cat>
            <c:numRef>
              <c:f>Sheet1!$B$3:$B$8</c:f>
              <c:numCache>
                <c:formatCode>General</c:formatCode>
                <c:ptCount val="6"/>
                <c:pt idx="0">
                  <c:v>0</c:v>
                </c:pt>
                <c:pt idx="1">
                  <c:v>10</c:v>
                </c:pt>
                <c:pt idx="2">
                  <c:v>20</c:v>
                </c:pt>
                <c:pt idx="3">
                  <c:v>30</c:v>
                </c:pt>
                <c:pt idx="4">
                  <c:v>40</c:v>
                </c:pt>
                <c:pt idx="5">
                  <c:v>50</c:v>
                </c:pt>
              </c:numCache>
            </c:numRef>
          </c:cat>
          <c:val>
            <c:numRef>
              <c:f>Sheet1!$C$3:$C$8</c:f>
              <c:numCache>
                <c:formatCode>General</c:formatCode>
                <c:ptCount val="6"/>
                <c:pt idx="0">
                  <c:v>0</c:v>
                </c:pt>
                <c:pt idx="1">
                  <c:v>22.8</c:v>
                </c:pt>
                <c:pt idx="2">
                  <c:v>25.6</c:v>
                </c:pt>
                <c:pt idx="3">
                  <c:v>27.6</c:v>
                </c:pt>
                <c:pt idx="4">
                  <c:v>28.8</c:v>
                </c:pt>
                <c:pt idx="5">
                  <c:v>29.2</c:v>
                </c:pt>
              </c:numCache>
            </c:numRef>
          </c:val>
        </c:ser>
        <c:ser>
          <c:idx val="1"/>
          <c:order val="1"/>
          <c:tx>
            <c:v>TY</c:v>
          </c:tx>
          <c:invertIfNegative val="0"/>
          <c:cat>
            <c:numRef>
              <c:f>Sheet1!$B$3:$B$8</c:f>
              <c:numCache>
                <c:formatCode>General</c:formatCode>
                <c:ptCount val="6"/>
                <c:pt idx="0">
                  <c:v>0</c:v>
                </c:pt>
                <c:pt idx="1">
                  <c:v>10</c:v>
                </c:pt>
                <c:pt idx="2">
                  <c:v>20</c:v>
                </c:pt>
                <c:pt idx="3">
                  <c:v>30</c:v>
                </c:pt>
                <c:pt idx="4">
                  <c:v>40</c:v>
                </c:pt>
                <c:pt idx="5">
                  <c:v>50</c:v>
                </c:pt>
              </c:numCache>
            </c:numRef>
          </c:cat>
          <c:val>
            <c:numRef>
              <c:f>Sheet1!$D$3:$D$8</c:f>
              <c:numCache>
                <c:formatCode>General</c:formatCode>
                <c:ptCount val="6"/>
                <c:pt idx="0">
                  <c:v>0</c:v>
                </c:pt>
                <c:pt idx="1">
                  <c:v>20.399999999999999</c:v>
                </c:pt>
                <c:pt idx="2">
                  <c:v>23.6</c:v>
                </c:pt>
                <c:pt idx="3">
                  <c:v>26.4</c:v>
                </c:pt>
                <c:pt idx="4">
                  <c:v>27.6</c:v>
                </c:pt>
                <c:pt idx="5">
                  <c:v>28.4</c:v>
                </c:pt>
              </c:numCache>
            </c:numRef>
          </c:val>
        </c:ser>
        <c:ser>
          <c:idx val="2"/>
          <c:order val="2"/>
          <c:invertIfNegative val="0"/>
          <c:cat>
            <c:numRef>
              <c:f>Sheet1!$B$3:$B$8</c:f>
              <c:numCache>
                <c:formatCode>General</c:formatCode>
                <c:ptCount val="6"/>
                <c:pt idx="0">
                  <c:v>0</c:v>
                </c:pt>
                <c:pt idx="1">
                  <c:v>10</c:v>
                </c:pt>
                <c:pt idx="2">
                  <c:v>20</c:v>
                </c:pt>
                <c:pt idx="3">
                  <c:v>30</c:v>
                </c:pt>
                <c:pt idx="4">
                  <c:v>40</c:v>
                </c:pt>
                <c:pt idx="5">
                  <c:v>50</c:v>
                </c:pt>
              </c:numCache>
            </c:numRef>
          </c:cat>
          <c:val>
            <c:numRef>
              <c:f>Sheet1!$E$3:$E$8</c:f>
              <c:numCache>
                <c:formatCode>General</c:formatCode>
                <c:ptCount val="6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7354240"/>
        <c:axId val="137356416"/>
      </c:barChart>
      <c:catAx>
        <c:axId val="13735424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time (min)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37356416"/>
        <c:crosses val="autoZero"/>
        <c:auto val="1"/>
        <c:lblAlgn val="ctr"/>
        <c:lblOffset val="100"/>
        <c:noMultiLvlLbl val="0"/>
      </c:catAx>
      <c:valAx>
        <c:axId val="137356416"/>
        <c:scaling>
          <c:orientation val="minMax"/>
          <c:min val="18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adsorption capacity (qe)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37354240"/>
        <c:crosses val="autoZero"/>
        <c:crossBetween val="between"/>
      </c:valAx>
    </c:plotArea>
    <c:legend>
      <c:legendPos val="r"/>
      <c:legendEntry>
        <c:idx val="2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scatterChart>
        <c:scatterStyle val="smoothMarker"/>
        <c:varyColors val="0"/>
        <c:ser>
          <c:idx val="0"/>
          <c:order val="0"/>
          <c:tx>
            <c:v>DB</c:v>
          </c:tx>
          <c:xVal>
            <c:numRef>
              <c:f>Sheet1!$A$24:$A$29</c:f>
              <c:numCache>
                <c:formatCode>General</c:formatCode>
                <c:ptCount val="6"/>
                <c:pt idx="0">
                  <c:v>0</c:v>
                </c:pt>
                <c:pt idx="1">
                  <c:v>10</c:v>
                </c:pt>
                <c:pt idx="2">
                  <c:v>20</c:v>
                </c:pt>
                <c:pt idx="3">
                  <c:v>30</c:v>
                </c:pt>
                <c:pt idx="4">
                  <c:v>40</c:v>
                </c:pt>
                <c:pt idx="5">
                  <c:v>50</c:v>
                </c:pt>
              </c:numCache>
            </c:numRef>
          </c:xVal>
          <c:yVal>
            <c:numRef>
              <c:f>Sheet1!$B$24:$B$29</c:f>
              <c:numCache>
                <c:formatCode>General</c:formatCode>
                <c:ptCount val="6"/>
                <c:pt idx="0">
                  <c:v>0</c:v>
                </c:pt>
                <c:pt idx="1">
                  <c:v>71.2</c:v>
                </c:pt>
                <c:pt idx="2">
                  <c:v>80</c:v>
                </c:pt>
                <c:pt idx="3">
                  <c:v>86.2</c:v>
                </c:pt>
                <c:pt idx="4">
                  <c:v>90</c:v>
                </c:pt>
                <c:pt idx="5">
                  <c:v>91.2</c:v>
                </c:pt>
              </c:numCache>
            </c:numRef>
          </c:yVal>
          <c:smooth val="1"/>
        </c:ser>
        <c:ser>
          <c:idx val="1"/>
          <c:order val="1"/>
          <c:tx>
            <c:v>TY</c:v>
          </c:tx>
          <c:xVal>
            <c:numRef>
              <c:f>Sheet1!$A$24:$A$29</c:f>
              <c:numCache>
                <c:formatCode>General</c:formatCode>
                <c:ptCount val="6"/>
                <c:pt idx="0">
                  <c:v>0</c:v>
                </c:pt>
                <c:pt idx="1">
                  <c:v>10</c:v>
                </c:pt>
                <c:pt idx="2">
                  <c:v>20</c:v>
                </c:pt>
                <c:pt idx="3">
                  <c:v>30</c:v>
                </c:pt>
                <c:pt idx="4">
                  <c:v>40</c:v>
                </c:pt>
                <c:pt idx="5">
                  <c:v>50</c:v>
                </c:pt>
              </c:numCache>
            </c:numRef>
          </c:xVal>
          <c:yVal>
            <c:numRef>
              <c:f>Sheet1!$C$24:$C$29</c:f>
              <c:numCache>
                <c:formatCode>General</c:formatCode>
                <c:ptCount val="6"/>
                <c:pt idx="0">
                  <c:v>0</c:v>
                </c:pt>
                <c:pt idx="1">
                  <c:v>63.7</c:v>
                </c:pt>
                <c:pt idx="2">
                  <c:v>73.7</c:v>
                </c:pt>
                <c:pt idx="3">
                  <c:v>82.5</c:v>
                </c:pt>
                <c:pt idx="4">
                  <c:v>86.2</c:v>
                </c:pt>
                <c:pt idx="5">
                  <c:v>88.7</c:v>
                </c:pt>
              </c:numCache>
            </c:numRef>
          </c:yVal>
          <c:smooth val="1"/>
        </c:ser>
        <c:ser>
          <c:idx val="2"/>
          <c:order val="2"/>
          <c:tx>
            <c:v>OG</c:v>
          </c:tx>
          <c:xVal>
            <c:numRef>
              <c:f>Sheet1!$A$24:$A$29</c:f>
              <c:numCache>
                <c:formatCode>General</c:formatCode>
                <c:ptCount val="6"/>
                <c:pt idx="0">
                  <c:v>0</c:v>
                </c:pt>
                <c:pt idx="1">
                  <c:v>10</c:v>
                </c:pt>
                <c:pt idx="2">
                  <c:v>20</c:v>
                </c:pt>
                <c:pt idx="3">
                  <c:v>30</c:v>
                </c:pt>
                <c:pt idx="4">
                  <c:v>40</c:v>
                </c:pt>
                <c:pt idx="5">
                  <c:v>50</c:v>
                </c:pt>
              </c:numCache>
            </c:numRef>
          </c:xVal>
          <c:yVal>
            <c:numRef>
              <c:f>Sheet1!$D$24:$D$29</c:f>
              <c:numCache>
                <c:formatCode>General</c:formatCode>
                <c:ptCount val="6"/>
                <c:pt idx="0">
                  <c:v>0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39205632"/>
        <c:axId val="140747904"/>
      </c:scatterChart>
      <c:valAx>
        <c:axId val="13920563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Time (min)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40747904"/>
        <c:crosses val="autoZero"/>
        <c:crossBetween val="midCat"/>
      </c:valAx>
      <c:valAx>
        <c:axId val="140747904"/>
        <c:scaling>
          <c:orientation val="minMax"/>
          <c:min val="0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% Dye adsorbed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39205632"/>
        <c:crosses val="autoZero"/>
        <c:crossBetween val="midCat"/>
      </c:valAx>
    </c:plotArea>
    <c:legend>
      <c:legendPos val="r"/>
      <c:legendEntry>
        <c:idx val="2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DB</c:v>
          </c:tx>
          <c:invertIfNegative val="0"/>
          <c:cat>
            <c:numRef>
              <c:f>Sheet1!$B$135:$B$139</c:f>
              <c:numCache>
                <c:formatCode>General</c:formatCode>
                <c:ptCount val="5"/>
                <c:pt idx="0">
                  <c:v>2</c:v>
                </c:pt>
                <c:pt idx="1">
                  <c:v>4</c:v>
                </c:pt>
                <c:pt idx="2">
                  <c:v>6</c:v>
                </c:pt>
                <c:pt idx="3">
                  <c:v>8</c:v>
                </c:pt>
                <c:pt idx="4">
                  <c:v>10</c:v>
                </c:pt>
              </c:numCache>
            </c:numRef>
          </c:cat>
          <c:val>
            <c:numRef>
              <c:f>Sheet1!$C$135:$C$139</c:f>
              <c:numCache>
                <c:formatCode>General</c:formatCode>
                <c:ptCount val="5"/>
                <c:pt idx="0">
                  <c:v>28.7</c:v>
                </c:pt>
                <c:pt idx="1">
                  <c:v>30.9</c:v>
                </c:pt>
                <c:pt idx="2">
                  <c:v>29.2</c:v>
                </c:pt>
                <c:pt idx="3">
                  <c:v>27.6</c:v>
                </c:pt>
                <c:pt idx="4">
                  <c:v>24.6</c:v>
                </c:pt>
              </c:numCache>
            </c:numRef>
          </c:val>
        </c:ser>
        <c:ser>
          <c:idx val="1"/>
          <c:order val="1"/>
          <c:tx>
            <c:v>TY</c:v>
          </c:tx>
          <c:invertIfNegative val="0"/>
          <c:cat>
            <c:numRef>
              <c:f>Sheet1!$B$135:$B$139</c:f>
              <c:numCache>
                <c:formatCode>General</c:formatCode>
                <c:ptCount val="5"/>
                <c:pt idx="0">
                  <c:v>2</c:v>
                </c:pt>
                <c:pt idx="1">
                  <c:v>4</c:v>
                </c:pt>
                <c:pt idx="2">
                  <c:v>6</c:v>
                </c:pt>
                <c:pt idx="3">
                  <c:v>8</c:v>
                </c:pt>
                <c:pt idx="4">
                  <c:v>10</c:v>
                </c:pt>
              </c:numCache>
            </c:numRef>
          </c:cat>
          <c:val>
            <c:numRef>
              <c:f>Sheet1!$D$135:$D$139</c:f>
              <c:numCache>
                <c:formatCode>General</c:formatCode>
                <c:ptCount val="5"/>
                <c:pt idx="0">
                  <c:v>27.08</c:v>
                </c:pt>
                <c:pt idx="1">
                  <c:v>28.6</c:v>
                </c:pt>
                <c:pt idx="2">
                  <c:v>28.4</c:v>
                </c:pt>
                <c:pt idx="3">
                  <c:v>26.4</c:v>
                </c:pt>
                <c:pt idx="4">
                  <c:v>23.8</c:v>
                </c:pt>
              </c:numCache>
            </c:numRef>
          </c:val>
        </c:ser>
        <c:ser>
          <c:idx val="2"/>
          <c:order val="2"/>
          <c:tx>
            <c:v>OG</c:v>
          </c:tx>
          <c:invertIfNegative val="0"/>
          <c:cat>
            <c:numRef>
              <c:f>Sheet1!$B$135:$B$139</c:f>
              <c:numCache>
                <c:formatCode>General</c:formatCode>
                <c:ptCount val="5"/>
                <c:pt idx="0">
                  <c:v>2</c:v>
                </c:pt>
                <c:pt idx="1">
                  <c:v>4</c:v>
                </c:pt>
                <c:pt idx="2">
                  <c:v>6</c:v>
                </c:pt>
                <c:pt idx="3">
                  <c:v>8</c:v>
                </c:pt>
                <c:pt idx="4">
                  <c:v>10</c:v>
                </c:pt>
              </c:numCache>
            </c:numRef>
          </c:cat>
          <c:val>
            <c:numRef>
              <c:f>Sheet1!$E$135:$E$139</c:f>
              <c:numCache>
                <c:formatCode>General</c:formatCode>
                <c:ptCount val="5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4542720"/>
        <c:axId val="144553088"/>
      </c:barChart>
      <c:catAx>
        <c:axId val="14454272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pH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44553088"/>
        <c:crosses val="autoZero"/>
        <c:auto val="1"/>
        <c:lblAlgn val="ctr"/>
        <c:lblOffset val="100"/>
        <c:noMultiLvlLbl val="0"/>
      </c:catAx>
      <c:valAx>
        <c:axId val="144553088"/>
        <c:scaling>
          <c:orientation val="minMax"/>
          <c:min val="22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Adsorption capacity (mg/g)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44542720"/>
        <c:crosses val="autoZero"/>
        <c:crossBetween val="between"/>
      </c:valAx>
    </c:plotArea>
    <c:legend>
      <c:legendPos val="r"/>
      <c:legendEntry>
        <c:idx val="2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scatterChart>
        <c:scatterStyle val="smoothMarker"/>
        <c:varyColors val="0"/>
        <c:ser>
          <c:idx val="0"/>
          <c:order val="0"/>
          <c:tx>
            <c:v>DB</c:v>
          </c:tx>
          <c:xVal>
            <c:numRef>
              <c:f>Sheet1!$B$155:$B$159</c:f>
              <c:numCache>
                <c:formatCode>General</c:formatCode>
                <c:ptCount val="5"/>
                <c:pt idx="0">
                  <c:v>2</c:v>
                </c:pt>
                <c:pt idx="1">
                  <c:v>4</c:v>
                </c:pt>
                <c:pt idx="2">
                  <c:v>6</c:v>
                </c:pt>
                <c:pt idx="3">
                  <c:v>8</c:v>
                </c:pt>
                <c:pt idx="4">
                  <c:v>10</c:v>
                </c:pt>
              </c:numCache>
            </c:numRef>
          </c:xVal>
          <c:yVal>
            <c:numRef>
              <c:f>Sheet1!$C$155:$C$159</c:f>
              <c:numCache>
                <c:formatCode>General</c:formatCode>
                <c:ptCount val="5"/>
                <c:pt idx="0">
                  <c:v>88.9</c:v>
                </c:pt>
                <c:pt idx="1">
                  <c:v>96.6</c:v>
                </c:pt>
                <c:pt idx="2">
                  <c:v>91.2</c:v>
                </c:pt>
                <c:pt idx="3">
                  <c:v>86.2</c:v>
                </c:pt>
                <c:pt idx="4">
                  <c:v>75.7</c:v>
                </c:pt>
              </c:numCache>
            </c:numRef>
          </c:yVal>
          <c:smooth val="1"/>
        </c:ser>
        <c:ser>
          <c:idx val="1"/>
          <c:order val="1"/>
          <c:tx>
            <c:v>TY</c:v>
          </c:tx>
          <c:xVal>
            <c:numRef>
              <c:f>Sheet1!$B$155:$B$159</c:f>
              <c:numCache>
                <c:formatCode>General</c:formatCode>
                <c:ptCount val="5"/>
                <c:pt idx="0">
                  <c:v>2</c:v>
                </c:pt>
                <c:pt idx="1">
                  <c:v>4</c:v>
                </c:pt>
                <c:pt idx="2">
                  <c:v>6</c:v>
                </c:pt>
                <c:pt idx="3">
                  <c:v>8</c:v>
                </c:pt>
                <c:pt idx="4">
                  <c:v>10</c:v>
                </c:pt>
              </c:numCache>
            </c:numRef>
          </c:xVal>
          <c:yVal>
            <c:numRef>
              <c:f>Sheet1!$D$155:$D$159</c:f>
              <c:numCache>
                <c:formatCode>General</c:formatCode>
                <c:ptCount val="5"/>
                <c:pt idx="0">
                  <c:v>84.6</c:v>
                </c:pt>
                <c:pt idx="1">
                  <c:v>89.3</c:v>
                </c:pt>
                <c:pt idx="2">
                  <c:v>88.7</c:v>
                </c:pt>
                <c:pt idx="3">
                  <c:v>82.6</c:v>
                </c:pt>
                <c:pt idx="4">
                  <c:v>74.3</c:v>
                </c:pt>
              </c:numCache>
            </c:numRef>
          </c:yVal>
          <c:smooth val="1"/>
        </c:ser>
        <c:ser>
          <c:idx val="2"/>
          <c:order val="2"/>
          <c:tx>
            <c:v>OG</c:v>
          </c:tx>
          <c:xVal>
            <c:numRef>
              <c:f>Sheet1!$B$155:$B$159</c:f>
              <c:numCache>
                <c:formatCode>General</c:formatCode>
                <c:ptCount val="5"/>
                <c:pt idx="0">
                  <c:v>2</c:v>
                </c:pt>
                <c:pt idx="1">
                  <c:v>4</c:v>
                </c:pt>
                <c:pt idx="2">
                  <c:v>6</c:v>
                </c:pt>
                <c:pt idx="3">
                  <c:v>8</c:v>
                </c:pt>
                <c:pt idx="4">
                  <c:v>10</c:v>
                </c:pt>
              </c:numCache>
            </c:numRef>
          </c:xVal>
          <c:yVal>
            <c:numRef>
              <c:f>Sheet1!$E$155:$E$159</c:f>
              <c:numCache>
                <c:formatCode>General</c:formatCode>
                <c:ptCount val="5"/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44714752"/>
        <c:axId val="144716928"/>
      </c:scatterChart>
      <c:valAx>
        <c:axId val="14471475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pH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44716928"/>
        <c:crosses val="autoZero"/>
        <c:crossBetween val="midCat"/>
      </c:valAx>
      <c:valAx>
        <c:axId val="144716928"/>
        <c:scaling>
          <c:orientation val="minMax"/>
          <c:min val="65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% Dye adsorption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44714752"/>
        <c:crosses val="autoZero"/>
        <c:crossBetween val="midCat"/>
      </c:valAx>
    </c:plotArea>
    <c:legend>
      <c:legendPos val="r"/>
      <c:legendEntry>
        <c:idx val="2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DB</c:v>
          </c:tx>
          <c:invertIfNegative val="0"/>
          <c:cat>
            <c:numRef>
              <c:f>Sheet1!$B$178:$B$182</c:f>
              <c:numCache>
                <c:formatCode>General</c:formatCode>
                <c:ptCount val="5"/>
                <c:pt idx="0">
                  <c:v>303</c:v>
                </c:pt>
                <c:pt idx="1">
                  <c:v>313</c:v>
                </c:pt>
                <c:pt idx="2">
                  <c:v>323</c:v>
                </c:pt>
                <c:pt idx="3">
                  <c:v>333</c:v>
                </c:pt>
                <c:pt idx="4">
                  <c:v>343</c:v>
                </c:pt>
              </c:numCache>
            </c:numRef>
          </c:cat>
          <c:val>
            <c:numRef>
              <c:f>Sheet1!$C$178:$C$182</c:f>
              <c:numCache>
                <c:formatCode>General</c:formatCode>
                <c:ptCount val="5"/>
                <c:pt idx="0">
                  <c:v>28.8</c:v>
                </c:pt>
                <c:pt idx="1">
                  <c:v>27.919999999999987</c:v>
                </c:pt>
                <c:pt idx="2">
                  <c:v>25.56</c:v>
                </c:pt>
                <c:pt idx="3">
                  <c:v>22.56</c:v>
                </c:pt>
                <c:pt idx="4">
                  <c:v>18.32</c:v>
                </c:pt>
              </c:numCache>
            </c:numRef>
          </c:val>
        </c:ser>
        <c:ser>
          <c:idx val="1"/>
          <c:order val="1"/>
          <c:tx>
            <c:v>TY</c:v>
          </c:tx>
          <c:invertIfNegative val="0"/>
          <c:cat>
            <c:numRef>
              <c:f>Sheet1!$B$178:$B$182</c:f>
              <c:numCache>
                <c:formatCode>General</c:formatCode>
                <c:ptCount val="5"/>
                <c:pt idx="0">
                  <c:v>303</c:v>
                </c:pt>
                <c:pt idx="1">
                  <c:v>313</c:v>
                </c:pt>
                <c:pt idx="2">
                  <c:v>323</c:v>
                </c:pt>
                <c:pt idx="3">
                  <c:v>333</c:v>
                </c:pt>
                <c:pt idx="4">
                  <c:v>343</c:v>
                </c:pt>
              </c:numCache>
            </c:numRef>
          </c:cat>
          <c:val>
            <c:numRef>
              <c:f>Sheet1!$D$178:$D$182</c:f>
              <c:numCache>
                <c:formatCode>General</c:formatCode>
                <c:ptCount val="5"/>
                <c:pt idx="0">
                  <c:v>27.6</c:v>
                </c:pt>
                <c:pt idx="1">
                  <c:v>26.4</c:v>
                </c:pt>
                <c:pt idx="2">
                  <c:v>23.6</c:v>
                </c:pt>
                <c:pt idx="3">
                  <c:v>20.959999999999987</c:v>
                </c:pt>
                <c:pt idx="4">
                  <c:v>16.32</c:v>
                </c:pt>
              </c:numCache>
            </c:numRef>
          </c:val>
        </c:ser>
        <c:ser>
          <c:idx val="2"/>
          <c:order val="2"/>
          <c:tx>
            <c:v>OG</c:v>
          </c:tx>
          <c:invertIfNegative val="0"/>
          <c:cat>
            <c:numRef>
              <c:f>Sheet1!$B$178:$B$182</c:f>
              <c:numCache>
                <c:formatCode>General</c:formatCode>
                <c:ptCount val="5"/>
                <c:pt idx="0">
                  <c:v>303</c:v>
                </c:pt>
                <c:pt idx="1">
                  <c:v>313</c:v>
                </c:pt>
                <c:pt idx="2">
                  <c:v>323</c:v>
                </c:pt>
                <c:pt idx="3">
                  <c:v>333</c:v>
                </c:pt>
                <c:pt idx="4">
                  <c:v>343</c:v>
                </c:pt>
              </c:numCache>
            </c:numRef>
          </c:cat>
          <c:val>
            <c:numRef>
              <c:f>Sheet1!$E$178:$E$182</c:f>
              <c:numCache>
                <c:formatCode>General</c:formatCode>
                <c:ptCount val="5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4727040"/>
        <c:axId val="144737408"/>
      </c:barChart>
      <c:catAx>
        <c:axId val="14472704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Temperature (K)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44737408"/>
        <c:crosses val="autoZero"/>
        <c:auto val="1"/>
        <c:lblAlgn val="ctr"/>
        <c:lblOffset val="100"/>
        <c:noMultiLvlLbl val="0"/>
      </c:catAx>
      <c:valAx>
        <c:axId val="144737408"/>
        <c:scaling>
          <c:orientation val="minMax"/>
          <c:min val="14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adsorption capacity (mg/g)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44727040"/>
        <c:crosses val="autoZero"/>
        <c:crossBetween val="between"/>
      </c:valAx>
    </c:plotArea>
    <c:legend>
      <c:legendPos val="r"/>
      <c:legendEntry>
        <c:idx val="2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scatterChart>
        <c:scatterStyle val="smoothMarker"/>
        <c:varyColors val="0"/>
        <c:ser>
          <c:idx val="0"/>
          <c:order val="0"/>
          <c:tx>
            <c:v>DB</c:v>
          </c:tx>
          <c:xVal>
            <c:numRef>
              <c:f>Sheet1!$B$199:$B$203</c:f>
              <c:numCache>
                <c:formatCode>General</c:formatCode>
                <c:ptCount val="5"/>
                <c:pt idx="0">
                  <c:v>303</c:v>
                </c:pt>
                <c:pt idx="1">
                  <c:v>313</c:v>
                </c:pt>
                <c:pt idx="2">
                  <c:v>323</c:v>
                </c:pt>
                <c:pt idx="3">
                  <c:v>333</c:v>
                </c:pt>
                <c:pt idx="4">
                  <c:v>343</c:v>
                </c:pt>
              </c:numCache>
            </c:numRef>
          </c:xVal>
          <c:yVal>
            <c:numRef>
              <c:f>Sheet1!$C$199:$C$203</c:f>
              <c:numCache>
                <c:formatCode>General</c:formatCode>
                <c:ptCount val="5"/>
                <c:pt idx="0">
                  <c:v>90</c:v>
                </c:pt>
                <c:pt idx="1">
                  <c:v>87.3</c:v>
                </c:pt>
                <c:pt idx="2">
                  <c:v>79.8</c:v>
                </c:pt>
                <c:pt idx="3">
                  <c:v>70.5</c:v>
                </c:pt>
                <c:pt idx="4">
                  <c:v>57.3</c:v>
                </c:pt>
              </c:numCache>
            </c:numRef>
          </c:yVal>
          <c:smooth val="1"/>
        </c:ser>
        <c:ser>
          <c:idx val="1"/>
          <c:order val="1"/>
          <c:tx>
            <c:v>TY</c:v>
          </c:tx>
          <c:xVal>
            <c:numRef>
              <c:f>Sheet1!$B$199:$B$203</c:f>
              <c:numCache>
                <c:formatCode>General</c:formatCode>
                <c:ptCount val="5"/>
                <c:pt idx="0">
                  <c:v>303</c:v>
                </c:pt>
                <c:pt idx="1">
                  <c:v>313</c:v>
                </c:pt>
                <c:pt idx="2">
                  <c:v>323</c:v>
                </c:pt>
                <c:pt idx="3">
                  <c:v>333</c:v>
                </c:pt>
                <c:pt idx="4">
                  <c:v>343</c:v>
                </c:pt>
              </c:numCache>
            </c:numRef>
          </c:xVal>
          <c:yVal>
            <c:numRef>
              <c:f>Sheet1!$D$199:$D$203</c:f>
              <c:numCache>
                <c:formatCode>General</c:formatCode>
                <c:ptCount val="5"/>
                <c:pt idx="0">
                  <c:v>86.2</c:v>
                </c:pt>
                <c:pt idx="1">
                  <c:v>82.6</c:v>
                </c:pt>
                <c:pt idx="2">
                  <c:v>73.7</c:v>
                </c:pt>
                <c:pt idx="3">
                  <c:v>65.5</c:v>
                </c:pt>
                <c:pt idx="4">
                  <c:v>51</c:v>
                </c:pt>
              </c:numCache>
            </c:numRef>
          </c:yVal>
          <c:smooth val="1"/>
        </c:ser>
        <c:ser>
          <c:idx val="2"/>
          <c:order val="2"/>
          <c:tx>
            <c:v>OG</c:v>
          </c:tx>
          <c:xVal>
            <c:numRef>
              <c:f>Sheet1!$B$199:$B$203</c:f>
              <c:numCache>
                <c:formatCode>General</c:formatCode>
                <c:ptCount val="5"/>
                <c:pt idx="0">
                  <c:v>303</c:v>
                </c:pt>
                <c:pt idx="1">
                  <c:v>313</c:v>
                </c:pt>
                <c:pt idx="2">
                  <c:v>323</c:v>
                </c:pt>
                <c:pt idx="3">
                  <c:v>333</c:v>
                </c:pt>
                <c:pt idx="4">
                  <c:v>343</c:v>
                </c:pt>
              </c:numCache>
            </c:numRef>
          </c:xVal>
          <c:yVal>
            <c:numRef>
              <c:f>Sheet1!$E$199:$E$203</c:f>
              <c:numCache>
                <c:formatCode>General</c:formatCode>
                <c:ptCount val="5"/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44763904"/>
        <c:axId val="145380480"/>
      </c:scatterChart>
      <c:valAx>
        <c:axId val="14476390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Temperature (K)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45380480"/>
        <c:crosses val="autoZero"/>
        <c:crossBetween val="midCat"/>
      </c:valAx>
      <c:valAx>
        <c:axId val="145380480"/>
        <c:scaling>
          <c:orientation val="minMax"/>
          <c:min val="40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% Dye adsorbed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44763904"/>
        <c:crosses val="autoZero"/>
        <c:crossBetween val="midCat"/>
      </c:valAx>
    </c:plotArea>
    <c:legend>
      <c:legendPos val="r"/>
      <c:legendEntry>
        <c:idx val="2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400"/>
              <a:t>A</a:t>
            </a:r>
          </a:p>
        </c:rich>
      </c:tx>
      <c:layout>
        <c:manualLayout>
          <c:xMode val="edge"/>
          <c:yMode val="edge"/>
          <c:x val="0.13121766899880538"/>
          <c:y val="3.2407407407408093E-2"/>
        </c:manualLayout>
      </c:layout>
      <c:overlay val="0"/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trendline>
            <c:trendlineType val="linear"/>
            <c:dispRSqr val="1"/>
            <c:dispEq val="1"/>
            <c:trendlineLbl>
              <c:layout>
                <c:manualLayout>
                  <c:x val="-8.424453193350831E-2"/>
                  <c:y val="-0.35691200058326455"/>
                </c:manualLayout>
              </c:layout>
              <c:numFmt formatCode="General" sourceLinked="0"/>
            </c:trendlineLbl>
          </c:trendline>
          <c:xVal>
            <c:numRef>
              <c:f>Sheet1!$B$376:$B$380</c:f>
              <c:numCache>
                <c:formatCode>General</c:formatCode>
                <c:ptCount val="5"/>
                <c:pt idx="0">
                  <c:v>1.36</c:v>
                </c:pt>
                <c:pt idx="1">
                  <c:v>1.2</c:v>
                </c:pt>
                <c:pt idx="2">
                  <c:v>1.04</c:v>
                </c:pt>
                <c:pt idx="3">
                  <c:v>0.9</c:v>
                </c:pt>
                <c:pt idx="4">
                  <c:v>0.84000000000000064</c:v>
                </c:pt>
              </c:numCache>
            </c:numRef>
          </c:xVal>
          <c:yVal>
            <c:numRef>
              <c:f>Sheet1!$C$376:$C$380</c:f>
              <c:numCache>
                <c:formatCode>General</c:formatCode>
                <c:ptCount val="5"/>
                <c:pt idx="0">
                  <c:v>22.8</c:v>
                </c:pt>
                <c:pt idx="1">
                  <c:v>25.6</c:v>
                </c:pt>
                <c:pt idx="2">
                  <c:v>27.6</c:v>
                </c:pt>
                <c:pt idx="3">
                  <c:v>28.8</c:v>
                </c:pt>
                <c:pt idx="4">
                  <c:v>29.2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45406208"/>
        <c:axId val="145416576"/>
      </c:scatterChart>
      <c:valAx>
        <c:axId val="145406208"/>
        <c:scaling>
          <c:orientation val="minMax"/>
          <c:min val="0.8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logCe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45416576"/>
        <c:crosses val="autoZero"/>
        <c:crossBetween val="midCat"/>
      </c:valAx>
      <c:valAx>
        <c:axId val="145416576"/>
        <c:scaling>
          <c:orientation val="minMax"/>
          <c:min val="20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qe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45406208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6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43</cp:revision>
  <dcterms:created xsi:type="dcterms:W3CDTF">2018-10-11T13:33:00Z</dcterms:created>
  <dcterms:modified xsi:type="dcterms:W3CDTF">2019-04-23T14:58:00Z</dcterms:modified>
</cp:coreProperties>
</file>