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CED0" w14:textId="7DFBF2FA" w:rsidR="00E3246A" w:rsidRPr="00F951D1" w:rsidRDefault="00E3246A" w:rsidP="00F951D1">
      <w:pPr>
        <w:pStyle w:val="pb-2"/>
        <w:spacing w:before="0" w:beforeAutospacing="0" w:after="0" w:afterAutospacing="0" w:line="360" w:lineRule="auto"/>
        <w:rPr>
          <w:b/>
          <w:bCs/>
        </w:rPr>
      </w:pPr>
      <w:r w:rsidRPr="00F951D1">
        <w:rPr>
          <w:b/>
          <w:bCs/>
        </w:rPr>
        <w:t xml:space="preserve">Unveiling of the novel </w:t>
      </w:r>
      <w:r w:rsidRPr="00F951D1">
        <w:rPr>
          <w:b/>
          <w:shd w:val="clear" w:color="auto" w:fill="FFFFFF"/>
        </w:rPr>
        <w:t>benzothiazole derived thiazolidinone derivatives</w:t>
      </w:r>
      <w:r w:rsidRPr="00F951D1">
        <w:rPr>
          <w:b/>
          <w:bCs/>
        </w:rPr>
        <w:t>:  In vitro and in silico insights to design a promising agent for anti-Alzheimer’s disease</w:t>
      </w:r>
    </w:p>
    <w:p w14:paraId="6885BCE7" w14:textId="77777777" w:rsidR="00E3246A" w:rsidRPr="00F951D1" w:rsidRDefault="00E3246A" w:rsidP="00F951D1">
      <w:pPr>
        <w:spacing w:after="0" w:line="360" w:lineRule="auto"/>
        <w:jc w:val="both"/>
        <w:rPr>
          <w:rFonts w:ascii="Times New Roman" w:hAnsi="Times New Roman" w:cs="Times New Roman"/>
          <w:b/>
          <w:sz w:val="24"/>
          <w:szCs w:val="24"/>
        </w:rPr>
      </w:pPr>
      <w:r w:rsidRPr="00F951D1">
        <w:rPr>
          <w:rFonts w:ascii="Times New Roman" w:hAnsi="Times New Roman" w:cs="Times New Roman"/>
          <w:bCs/>
          <w:sz w:val="24"/>
          <w:szCs w:val="24"/>
        </w:rPr>
        <w:t>Yousaf Khan</w:t>
      </w:r>
      <w:r w:rsidRPr="00F951D1">
        <w:rPr>
          <w:rFonts w:ascii="Times New Roman" w:hAnsi="Times New Roman" w:cs="Times New Roman"/>
          <w:bCs/>
          <w:sz w:val="24"/>
          <w:szCs w:val="24"/>
          <w:vertAlign w:val="superscript"/>
        </w:rPr>
        <w:t>1</w:t>
      </w:r>
      <w:r w:rsidRPr="00F951D1">
        <w:rPr>
          <w:rFonts w:ascii="Times New Roman" w:hAnsi="Times New Roman" w:cs="Times New Roman"/>
          <w:bCs/>
          <w:sz w:val="24"/>
          <w:szCs w:val="24"/>
        </w:rPr>
        <w:t>, Anila Mukhtiar</w:t>
      </w:r>
      <w:r w:rsidRPr="00F951D1">
        <w:rPr>
          <w:rFonts w:ascii="Times New Roman" w:hAnsi="Times New Roman" w:cs="Times New Roman"/>
          <w:bCs/>
          <w:sz w:val="24"/>
          <w:szCs w:val="24"/>
          <w:vertAlign w:val="superscript"/>
        </w:rPr>
        <w:t>1</w:t>
      </w:r>
      <w:r w:rsidRPr="00F951D1">
        <w:rPr>
          <w:rFonts w:ascii="Times New Roman" w:hAnsi="Times New Roman" w:cs="Times New Roman"/>
          <w:bCs/>
          <w:sz w:val="24"/>
          <w:szCs w:val="24"/>
        </w:rPr>
        <w:t>, Hina Sarfraz</w:t>
      </w:r>
      <w:r w:rsidRPr="00F951D1">
        <w:rPr>
          <w:rFonts w:ascii="Times New Roman" w:hAnsi="Times New Roman" w:cs="Times New Roman"/>
          <w:bCs/>
          <w:sz w:val="24"/>
          <w:szCs w:val="24"/>
          <w:vertAlign w:val="superscript"/>
        </w:rPr>
        <w:t>1</w:t>
      </w:r>
      <w:r w:rsidRPr="00F951D1">
        <w:rPr>
          <w:rFonts w:ascii="Times New Roman" w:hAnsi="Times New Roman" w:cs="Times New Roman"/>
          <w:bCs/>
          <w:sz w:val="24"/>
          <w:szCs w:val="24"/>
        </w:rPr>
        <w:t>, Shoaib Khan</w:t>
      </w:r>
      <w:r w:rsidRPr="00F951D1">
        <w:rPr>
          <w:rFonts w:ascii="Times New Roman" w:hAnsi="Times New Roman" w:cs="Times New Roman"/>
          <w:bCs/>
          <w:sz w:val="24"/>
          <w:szCs w:val="24"/>
          <w:vertAlign w:val="superscript"/>
        </w:rPr>
        <w:t>2</w:t>
      </w:r>
      <w:r w:rsidRPr="00F951D1">
        <w:rPr>
          <w:rFonts w:ascii="Times New Roman" w:hAnsi="Times New Roman" w:cs="Times New Roman"/>
          <w:bCs/>
          <w:sz w:val="24"/>
          <w:szCs w:val="24"/>
        </w:rPr>
        <w:t>,</w:t>
      </w:r>
      <w:r w:rsidRPr="00F951D1">
        <w:rPr>
          <w:rStyle w:val="Hyperlink"/>
          <w:rFonts w:ascii="Times New Roman" w:eastAsia="Times New Roman" w:hAnsi="Times New Roman" w:cs="Times New Roman"/>
          <w:color w:val="auto"/>
          <w:sz w:val="24"/>
          <w:szCs w:val="24"/>
          <w:u w:val="none"/>
        </w:rPr>
        <w:t xml:space="preserve"> Rafaqat Hussain</w:t>
      </w:r>
      <w:r w:rsidRPr="00F951D1">
        <w:rPr>
          <w:rStyle w:val="Hyperlink"/>
          <w:rFonts w:ascii="Times New Roman" w:eastAsia="Times New Roman" w:hAnsi="Times New Roman" w:cs="Times New Roman"/>
          <w:color w:val="auto"/>
          <w:sz w:val="24"/>
          <w:szCs w:val="24"/>
          <w:u w:val="none"/>
          <w:vertAlign w:val="superscript"/>
        </w:rPr>
        <w:t>3</w:t>
      </w:r>
      <w:r w:rsidRPr="00F951D1">
        <w:rPr>
          <w:rStyle w:val="Hyperlink"/>
          <w:rFonts w:ascii="Times New Roman" w:eastAsia="Times New Roman" w:hAnsi="Times New Roman" w:cs="Times New Roman"/>
          <w:color w:val="auto"/>
          <w:sz w:val="24"/>
          <w:szCs w:val="24"/>
          <w:u w:val="none"/>
        </w:rPr>
        <w:t xml:space="preserve">, </w:t>
      </w:r>
      <w:r w:rsidRPr="00F951D1">
        <w:rPr>
          <w:rFonts w:ascii="Times New Roman" w:eastAsia="Times New Roman" w:hAnsi="Times New Roman" w:cs="Times New Roman"/>
          <w:sz w:val="24"/>
          <w:szCs w:val="24"/>
        </w:rPr>
        <w:t>Mujeeb Ul Naeem</w:t>
      </w:r>
      <w:r w:rsidRPr="00F951D1">
        <w:rPr>
          <w:rFonts w:ascii="Times New Roman" w:hAnsi="Times New Roman" w:cs="Times New Roman"/>
          <w:sz w:val="24"/>
          <w:szCs w:val="24"/>
          <w:vertAlign w:val="superscript"/>
        </w:rPr>
        <w:t>4</w:t>
      </w:r>
      <w:r w:rsidRPr="00F951D1">
        <w:rPr>
          <w:rStyle w:val="Hyperlink"/>
          <w:rFonts w:ascii="Times New Roman" w:eastAsia="Times New Roman" w:hAnsi="Times New Roman" w:cs="Times New Roman"/>
          <w:color w:val="auto"/>
          <w:sz w:val="24"/>
          <w:szCs w:val="24"/>
          <w:u w:val="none"/>
        </w:rPr>
        <w:t>, Abdul Sattar</w:t>
      </w:r>
      <w:r w:rsidRPr="00F951D1">
        <w:rPr>
          <w:rStyle w:val="Hyperlink"/>
          <w:rFonts w:ascii="Times New Roman" w:eastAsia="Times New Roman" w:hAnsi="Times New Roman" w:cs="Times New Roman"/>
          <w:color w:val="auto"/>
          <w:sz w:val="24"/>
          <w:szCs w:val="24"/>
          <w:u w:val="none"/>
          <w:vertAlign w:val="superscript"/>
        </w:rPr>
        <w:t>1</w:t>
      </w:r>
      <w:r w:rsidRPr="00F951D1">
        <w:rPr>
          <w:rFonts w:ascii="Times New Roman" w:hAnsi="Times New Roman" w:cs="Times New Roman"/>
          <w:bCs/>
          <w:sz w:val="24"/>
          <w:szCs w:val="24"/>
        </w:rPr>
        <w:t>, Tariq Aziz</w:t>
      </w:r>
      <w:r w:rsidRPr="00F951D1">
        <w:rPr>
          <w:rFonts w:ascii="Times New Roman" w:hAnsi="Times New Roman" w:cs="Times New Roman"/>
          <w:bCs/>
          <w:sz w:val="24"/>
          <w:szCs w:val="24"/>
          <w:vertAlign w:val="superscript"/>
        </w:rPr>
        <w:t>5</w:t>
      </w:r>
      <w:r w:rsidRPr="00F951D1">
        <w:rPr>
          <w:rFonts w:ascii="Times New Roman" w:hAnsi="Times New Roman" w:cs="Times New Roman"/>
          <w:bCs/>
          <w:sz w:val="24"/>
          <w:szCs w:val="24"/>
        </w:rPr>
        <w:t>, Zia Ur Rehman Panezai</w:t>
      </w:r>
      <w:r w:rsidRPr="00F951D1">
        <w:rPr>
          <w:rFonts w:ascii="Times New Roman" w:hAnsi="Times New Roman" w:cs="Times New Roman"/>
          <w:bCs/>
          <w:sz w:val="24"/>
          <w:szCs w:val="24"/>
          <w:vertAlign w:val="superscript"/>
        </w:rPr>
        <w:t>6</w:t>
      </w:r>
      <w:r w:rsidRPr="00F951D1">
        <w:rPr>
          <w:rFonts w:ascii="Times New Roman" w:hAnsi="Times New Roman" w:cs="Times New Roman"/>
          <w:bCs/>
          <w:sz w:val="24"/>
          <w:szCs w:val="24"/>
        </w:rPr>
        <w:t>,</w:t>
      </w:r>
      <w:r w:rsidRPr="00F951D1">
        <w:rPr>
          <w:rFonts w:ascii="Times New Roman" w:hAnsi="Times New Roman" w:cs="Times New Roman"/>
          <w:b/>
          <w:sz w:val="24"/>
          <w:szCs w:val="24"/>
        </w:rPr>
        <w:t xml:space="preserve"> </w:t>
      </w:r>
      <w:r w:rsidRPr="00F951D1">
        <w:rPr>
          <w:rStyle w:val="Hyperlink"/>
          <w:rFonts w:ascii="Times New Roman" w:eastAsia="Times New Roman" w:hAnsi="Times New Roman" w:cs="Times New Roman"/>
          <w:color w:val="auto"/>
          <w:sz w:val="24"/>
          <w:szCs w:val="24"/>
          <w:u w:val="none"/>
        </w:rPr>
        <w:t>Abdullah F Alasmari</w:t>
      </w:r>
      <w:r w:rsidRPr="00F951D1">
        <w:rPr>
          <w:rStyle w:val="Hyperlink"/>
          <w:rFonts w:ascii="Times New Roman" w:eastAsia="Times New Roman" w:hAnsi="Times New Roman" w:cs="Times New Roman"/>
          <w:color w:val="auto"/>
          <w:sz w:val="24"/>
          <w:szCs w:val="24"/>
          <w:u w:val="none"/>
          <w:vertAlign w:val="superscript"/>
        </w:rPr>
        <w:t>7</w:t>
      </w:r>
      <w:r w:rsidRPr="00F951D1">
        <w:rPr>
          <w:rStyle w:val="Hyperlink"/>
          <w:rFonts w:ascii="Times New Roman" w:eastAsia="Times New Roman" w:hAnsi="Times New Roman" w:cs="Times New Roman"/>
          <w:color w:val="auto"/>
          <w:sz w:val="24"/>
          <w:szCs w:val="24"/>
          <w:u w:val="none"/>
        </w:rPr>
        <w:t>, Farwa Jabbir</w:t>
      </w:r>
      <w:r w:rsidRPr="00F951D1">
        <w:rPr>
          <w:rStyle w:val="Hyperlink"/>
          <w:rFonts w:ascii="Times New Roman" w:eastAsia="Times New Roman" w:hAnsi="Times New Roman" w:cs="Times New Roman"/>
          <w:color w:val="auto"/>
          <w:sz w:val="24"/>
          <w:szCs w:val="24"/>
          <w:u w:val="none"/>
          <w:vertAlign w:val="superscript"/>
        </w:rPr>
        <w:t>8</w:t>
      </w:r>
    </w:p>
    <w:p w14:paraId="6DACE4B9"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eastAsia="Calibri" w:hAnsi="Times New Roman" w:cs="Times New Roman"/>
          <w:i/>
          <w:sz w:val="24"/>
          <w:szCs w:val="24"/>
          <w:vertAlign w:val="superscript"/>
          <w:lang w:val="fr-FR"/>
        </w:rPr>
        <w:t>1</w:t>
      </w:r>
      <w:r w:rsidRPr="00F951D1">
        <w:rPr>
          <w:rFonts w:ascii="Times New Roman" w:hAnsi="Times New Roman" w:cs="Times New Roman"/>
          <w:bCs/>
          <w:i/>
          <w:sz w:val="24"/>
          <w:szCs w:val="24"/>
          <w:lang w:val="fr-FR"/>
        </w:rPr>
        <w:t xml:space="preserve"> </w:t>
      </w:r>
      <w:r w:rsidRPr="00F951D1">
        <w:rPr>
          <w:rFonts w:ascii="Times New Roman" w:hAnsi="Times New Roman" w:cs="Times New Roman"/>
          <w:i/>
          <w:iCs/>
          <w:sz w:val="24"/>
          <w:szCs w:val="24"/>
          <w:lang w:val="fr-FR"/>
        </w:rPr>
        <w:t>Department of Chemistry, COMSATS University Islamabad campus-45550, Islamabad, Pakistan.</w:t>
      </w:r>
    </w:p>
    <w:p w14:paraId="1CCF823F"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eastAsia="Calibri" w:hAnsi="Times New Roman" w:cs="Times New Roman"/>
          <w:i/>
          <w:sz w:val="24"/>
          <w:szCs w:val="24"/>
          <w:vertAlign w:val="superscript"/>
          <w:lang w:val="fr-FR"/>
        </w:rPr>
        <w:t>2</w:t>
      </w:r>
      <w:r w:rsidRPr="00F951D1">
        <w:rPr>
          <w:rFonts w:ascii="Times New Roman" w:hAnsi="Times New Roman" w:cs="Times New Roman"/>
          <w:bCs/>
          <w:i/>
          <w:sz w:val="24"/>
          <w:szCs w:val="24"/>
          <w:lang w:val="fr-FR"/>
        </w:rPr>
        <w:t xml:space="preserve"> </w:t>
      </w:r>
      <w:r w:rsidRPr="00F951D1">
        <w:rPr>
          <w:rFonts w:ascii="Times New Roman" w:hAnsi="Times New Roman" w:cs="Times New Roman"/>
          <w:i/>
          <w:iCs/>
          <w:sz w:val="24"/>
          <w:szCs w:val="24"/>
          <w:lang w:val="fr-FR"/>
        </w:rPr>
        <w:t>Department of Chemistry, Abbottabad University of Science and Technology, Abbottabad, Pakistan.</w:t>
      </w:r>
    </w:p>
    <w:p w14:paraId="5FC47A3C"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hAnsi="Times New Roman" w:cs="Times New Roman"/>
          <w:i/>
          <w:iCs/>
          <w:sz w:val="24"/>
          <w:szCs w:val="24"/>
          <w:vertAlign w:val="superscript"/>
          <w:lang w:val="fr-FR"/>
        </w:rPr>
        <w:t xml:space="preserve">3 </w:t>
      </w:r>
      <w:r w:rsidRPr="00F951D1">
        <w:rPr>
          <w:rFonts w:ascii="Times New Roman" w:hAnsi="Times New Roman" w:cs="Times New Roman"/>
          <w:i/>
          <w:iCs/>
          <w:sz w:val="24"/>
          <w:szCs w:val="24"/>
          <w:lang w:val="fr-FR"/>
        </w:rPr>
        <w:t>Department of Chemsitry, Hazara University Mansehra, Pakistan</w:t>
      </w:r>
    </w:p>
    <w:p w14:paraId="0F92375A"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hAnsi="Times New Roman" w:cs="Times New Roman"/>
          <w:i/>
          <w:iCs/>
          <w:sz w:val="24"/>
          <w:szCs w:val="24"/>
          <w:vertAlign w:val="superscript"/>
          <w:lang w:val="fr-FR"/>
        </w:rPr>
        <w:t xml:space="preserve">4 </w:t>
      </w:r>
      <w:r w:rsidRPr="00F951D1">
        <w:rPr>
          <w:rFonts w:ascii="Times New Roman" w:hAnsi="Times New Roman" w:cs="Times New Roman"/>
          <w:sz w:val="24"/>
          <w:szCs w:val="24"/>
          <w:vertAlign w:val="superscript"/>
        </w:rPr>
        <w:t xml:space="preserve"> </w:t>
      </w:r>
      <w:r w:rsidRPr="00F951D1">
        <w:rPr>
          <w:rFonts w:ascii="Times New Roman" w:hAnsi="Times New Roman" w:cs="Times New Roman"/>
          <w:i/>
          <w:iCs/>
          <w:sz w:val="24"/>
          <w:szCs w:val="24"/>
        </w:rPr>
        <w:t>Life Sciences Department, Abasyn University, Islamabad, Pakistan.</w:t>
      </w:r>
    </w:p>
    <w:p w14:paraId="77622C38"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hAnsi="Times New Roman" w:cs="Times New Roman"/>
          <w:i/>
          <w:iCs/>
          <w:sz w:val="24"/>
          <w:szCs w:val="24"/>
          <w:vertAlign w:val="superscript"/>
          <w:lang w:val="fr-FR"/>
        </w:rPr>
        <w:t>5</w:t>
      </w:r>
      <w:r w:rsidRPr="00F951D1">
        <w:rPr>
          <w:rFonts w:ascii="Times New Roman" w:hAnsi="Times New Roman" w:cs="Times New Roman"/>
          <w:i/>
          <w:iCs/>
          <w:sz w:val="24"/>
          <w:szCs w:val="24"/>
          <w:lang w:val="fr-FR"/>
        </w:rPr>
        <w:t xml:space="preserve"> Laboratory of Animal Health Food Hygiene and Quality, Department of Agriculture University of Ioannina Arta 47132 Greece</w:t>
      </w:r>
    </w:p>
    <w:p w14:paraId="0C4746D9" w14:textId="77777777" w:rsidR="00E3246A" w:rsidRPr="00F951D1" w:rsidRDefault="00E3246A" w:rsidP="00F951D1">
      <w:pPr>
        <w:spacing w:after="0" w:line="360" w:lineRule="auto"/>
        <w:jc w:val="both"/>
        <w:rPr>
          <w:rFonts w:ascii="Times New Roman" w:hAnsi="Times New Roman" w:cs="Times New Roman"/>
          <w:i/>
          <w:iCs/>
          <w:sz w:val="24"/>
          <w:szCs w:val="24"/>
          <w:lang w:val="fr-FR"/>
        </w:rPr>
      </w:pPr>
      <w:r w:rsidRPr="00F951D1">
        <w:rPr>
          <w:rFonts w:ascii="Times New Roman" w:hAnsi="Times New Roman" w:cs="Times New Roman"/>
          <w:i/>
          <w:iCs/>
          <w:sz w:val="24"/>
          <w:szCs w:val="24"/>
          <w:vertAlign w:val="superscript"/>
          <w:lang w:val="fr-FR"/>
        </w:rPr>
        <w:t xml:space="preserve">6 </w:t>
      </w:r>
      <w:r w:rsidRPr="00F951D1">
        <w:rPr>
          <w:rFonts w:ascii="Times New Roman" w:hAnsi="Times New Roman" w:cs="Times New Roman"/>
          <w:i/>
          <w:iCs/>
          <w:sz w:val="24"/>
          <w:szCs w:val="24"/>
          <w:lang w:val="fr-FR"/>
        </w:rPr>
        <w:t xml:space="preserve">Department of Environmental Sciences, Baluchistan University of Science and Technology Engineering &amp; Management Sciences, Quetta, Baluchistan, Pakistan. </w:t>
      </w:r>
    </w:p>
    <w:p w14:paraId="2575B8E4" w14:textId="77777777" w:rsidR="00E3246A" w:rsidRPr="00F951D1" w:rsidRDefault="00E3246A" w:rsidP="00F951D1">
      <w:pPr>
        <w:spacing w:after="0" w:line="360" w:lineRule="auto"/>
        <w:rPr>
          <w:rFonts w:ascii="Times New Roman" w:hAnsi="Times New Roman" w:cs="Times New Roman"/>
          <w:i/>
          <w:iCs/>
          <w:sz w:val="24"/>
          <w:szCs w:val="24"/>
        </w:rPr>
      </w:pPr>
    </w:p>
    <w:p w14:paraId="3042D64D" w14:textId="77777777" w:rsidR="00E3246A" w:rsidRPr="00F951D1" w:rsidRDefault="00E3246A" w:rsidP="00F951D1">
      <w:pPr>
        <w:spacing w:after="0" w:line="360" w:lineRule="auto"/>
        <w:rPr>
          <w:rFonts w:ascii="Times New Roman" w:hAnsi="Times New Roman" w:cs="Times New Roman"/>
          <w:i/>
          <w:iCs/>
          <w:sz w:val="24"/>
          <w:szCs w:val="24"/>
        </w:rPr>
      </w:pPr>
      <w:r w:rsidRPr="00F951D1">
        <w:rPr>
          <w:rFonts w:ascii="Times New Roman" w:hAnsi="Times New Roman" w:cs="Times New Roman"/>
          <w:i/>
          <w:iCs/>
          <w:sz w:val="24"/>
          <w:szCs w:val="24"/>
          <w:vertAlign w:val="superscript"/>
        </w:rPr>
        <w:t xml:space="preserve">7 </w:t>
      </w:r>
      <w:r w:rsidRPr="00F951D1">
        <w:rPr>
          <w:rFonts w:ascii="Times New Roman" w:hAnsi="Times New Roman" w:cs="Times New Roman"/>
          <w:i/>
          <w:iCs/>
          <w:sz w:val="24"/>
          <w:szCs w:val="24"/>
        </w:rPr>
        <w:t>Department of Pharmacology and Toxicology, College of Pharmacy, King Saud University Riyadh Saudi Arabia</w:t>
      </w:r>
    </w:p>
    <w:p w14:paraId="0F2408CA" w14:textId="77777777" w:rsidR="00E3246A" w:rsidRPr="00F951D1" w:rsidRDefault="00E3246A" w:rsidP="00F951D1">
      <w:pPr>
        <w:spacing w:after="0" w:line="360" w:lineRule="auto"/>
        <w:rPr>
          <w:rFonts w:ascii="Times New Roman" w:hAnsi="Times New Roman" w:cs="Times New Roman"/>
          <w:i/>
          <w:iCs/>
          <w:sz w:val="24"/>
          <w:szCs w:val="24"/>
        </w:rPr>
      </w:pPr>
      <w:r w:rsidRPr="00F951D1">
        <w:rPr>
          <w:rFonts w:ascii="Times New Roman" w:hAnsi="Times New Roman" w:cs="Times New Roman"/>
          <w:i/>
          <w:iCs/>
          <w:sz w:val="24"/>
          <w:szCs w:val="24"/>
          <w:vertAlign w:val="superscript"/>
        </w:rPr>
        <w:t xml:space="preserve">8 </w:t>
      </w:r>
      <w:r w:rsidRPr="00F951D1">
        <w:rPr>
          <w:rFonts w:ascii="Times New Roman" w:hAnsi="Times New Roman" w:cs="Times New Roman"/>
          <w:i/>
          <w:iCs/>
          <w:sz w:val="24"/>
          <w:szCs w:val="24"/>
        </w:rPr>
        <w:t>Department of Biotechnology, University of Sarghoda, Punjab Pakistan</w:t>
      </w:r>
    </w:p>
    <w:p w14:paraId="7471E56D" w14:textId="77777777" w:rsidR="00E3246A" w:rsidRPr="00F951D1" w:rsidRDefault="00E3246A" w:rsidP="00F951D1">
      <w:pPr>
        <w:spacing w:after="0" w:line="360" w:lineRule="auto"/>
        <w:jc w:val="both"/>
        <w:rPr>
          <w:rFonts w:ascii="Times New Roman" w:hAnsi="Times New Roman" w:cs="Times New Roman"/>
          <w:bCs/>
          <w:i/>
          <w:sz w:val="24"/>
          <w:szCs w:val="24"/>
          <w:lang w:val="en-GB"/>
        </w:rPr>
      </w:pPr>
    </w:p>
    <w:p w14:paraId="507B81B4" w14:textId="77777777" w:rsidR="00E3246A" w:rsidRPr="00F951D1" w:rsidRDefault="00E3246A" w:rsidP="00F951D1">
      <w:pPr>
        <w:pStyle w:val="MDPI16affiliation"/>
        <w:pBdr>
          <w:bottom w:val="single" w:sz="6" w:space="1" w:color="auto"/>
        </w:pBdr>
        <w:spacing w:line="360" w:lineRule="auto"/>
        <w:ind w:left="0"/>
        <w:jc w:val="both"/>
        <w:rPr>
          <w:rFonts w:ascii="Times New Roman" w:hAnsi="Times New Roman"/>
          <w:b/>
          <w:bCs/>
          <w:iCs/>
          <w:color w:val="auto"/>
          <w:kern w:val="32"/>
          <w:sz w:val="24"/>
          <w:szCs w:val="24"/>
          <w:lang w:val="en-GB"/>
        </w:rPr>
      </w:pPr>
      <w:r w:rsidRPr="00F951D1">
        <w:rPr>
          <w:rFonts w:ascii="Times New Roman" w:hAnsi="Times New Roman"/>
          <w:b/>
          <w:bCs/>
          <w:iCs/>
          <w:color w:val="auto"/>
          <w:kern w:val="32"/>
          <w:sz w:val="24"/>
          <w:szCs w:val="24"/>
          <w:lang w:val="en-GB"/>
        </w:rPr>
        <w:t xml:space="preserve">  *</w:t>
      </w:r>
      <w:r w:rsidRPr="00F951D1">
        <w:rPr>
          <w:rFonts w:ascii="Times New Roman" w:hAnsi="Times New Roman"/>
          <w:bCs/>
          <w:iCs/>
          <w:color w:val="auto"/>
          <w:kern w:val="32"/>
          <w:sz w:val="24"/>
          <w:szCs w:val="24"/>
          <w:lang w:val="en-GB"/>
        </w:rPr>
        <w:t xml:space="preserve">Correspondence: </w:t>
      </w:r>
      <w:hyperlink r:id="rId5" w:history="1">
        <w:r w:rsidRPr="00F951D1">
          <w:rPr>
            <w:rStyle w:val="Hyperlink"/>
            <w:rFonts w:ascii="Times New Roman" w:hAnsi="Times New Roman"/>
            <w:sz w:val="24"/>
            <w:szCs w:val="24"/>
          </w:rPr>
          <w:t>yousaf7n@gmail.com</w:t>
        </w:r>
      </w:hyperlink>
      <w:r w:rsidRPr="00F951D1">
        <w:rPr>
          <w:rFonts w:ascii="Times New Roman" w:hAnsi="Times New Roman"/>
          <w:color w:val="auto"/>
          <w:sz w:val="24"/>
          <w:szCs w:val="24"/>
        </w:rPr>
        <w:t xml:space="preserve">  (Y.K) </w:t>
      </w:r>
    </w:p>
    <w:p w14:paraId="1B057F28" w14:textId="77777777" w:rsidR="00B87ACD" w:rsidRDefault="00B87ACD" w:rsidP="00F951D1">
      <w:pPr>
        <w:spacing w:after="0" w:line="360" w:lineRule="auto"/>
        <w:jc w:val="both"/>
        <w:rPr>
          <w:rFonts w:ascii="Times New Roman" w:hAnsi="Times New Roman" w:cs="Times New Roman"/>
          <w:b/>
          <w:sz w:val="24"/>
          <w:szCs w:val="24"/>
        </w:rPr>
      </w:pPr>
    </w:p>
    <w:p w14:paraId="290EE3FD" w14:textId="35991BC1" w:rsidR="00B87ACD"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670" w:dyaOrig="2575" w14:anchorId="6FAC0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29pt" o:ole="">
            <v:imagedata r:id="rId6" o:title=""/>
          </v:shape>
          <o:OLEObject Type="Embed" ProgID="ChemDraw_x64.Document.6.0" ShapeID="_x0000_i1025" DrawAspect="Content" ObjectID="_1803227667" r:id="rId7"/>
        </w:object>
      </w:r>
    </w:p>
    <w:p w14:paraId="73E6C4C2" w14:textId="2024A0DB" w:rsidR="00FF5B37" w:rsidRPr="00E316CE" w:rsidRDefault="00FF5B37"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I-1</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-3</w:t>
      </w:r>
      <w:r w:rsidRPr="00E316CE">
        <w:rPr>
          <w:rFonts w:ascii="Times New Roman" w:hAnsi="Times New Roman" w:cs="Times New Roman"/>
          <w:sz w:val="24"/>
          <w:szCs w:val="24"/>
        </w:rPr>
        <w:t xml:space="preserve"> against AChE and BuChE</w:t>
      </w:r>
    </w:p>
    <w:p w14:paraId="4106807D" w14:textId="0A87F1B1" w:rsidR="00B87ACD"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667" w:dyaOrig="2573" w14:anchorId="698ABD2A">
          <v:shape id="_x0000_i1026" type="#_x0000_t75" style="width:183.5pt;height:128.5pt" o:ole="">
            <v:imagedata r:id="rId8" o:title=""/>
          </v:shape>
          <o:OLEObject Type="Embed" ProgID="ChemDraw_x64.Document.6.0" ShapeID="_x0000_i1026" DrawAspect="Content" ObjectID="_1803227668" r:id="rId9"/>
        </w:object>
      </w:r>
    </w:p>
    <w:p w14:paraId="301A38E9" w14:textId="55573810" w:rsidR="00FF5B37" w:rsidRPr="00E316CE" w:rsidRDefault="00FF5B37"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I-2</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-4</w:t>
      </w:r>
      <w:r w:rsidRPr="00E316CE">
        <w:rPr>
          <w:rFonts w:ascii="Times New Roman" w:hAnsi="Times New Roman" w:cs="Times New Roman"/>
          <w:sz w:val="24"/>
          <w:szCs w:val="24"/>
        </w:rPr>
        <w:t xml:space="preserve"> against AChE and BuChE</w:t>
      </w:r>
    </w:p>
    <w:p w14:paraId="00B80EBE" w14:textId="77777777" w:rsidR="00FF5B37" w:rsidRPr="00E316CE" w:rsidRDefault="00FF5B37" w:rsidP="00E316CE">
      <w:pPr>
        <w:spacing w:after="0" w:line="360" w:lineRule="auto"/>
        <w:jc w:val="center"/>
        <w:rPr>
          <w:rFonts w:ascii="Times New Roman" w:hAnsi="Times New Roman" w:cs="Times New Roman"/>
        </w:rPr>
      </w:pPr>
    </w:p>
    <w:p w14:paraId="29AD0A1D" w14:textId="77777777" w:rsidR="00AD255D" w:rsidRPr="00E316CE" w:rsidRDefault="00AD255D" w:rsidP="00E316CE">
      <w:pPr>
        <w:spacing w:after="0" w:line="360" w:lineRule="auto"/>
        <w:jc w:val="center"/>
        <w:rPr>
          <w:rFonts w:ascii="Times New Roman" w:hAnsi="Times New Roman" w:cs="Times New Roman"/>
        </w:rPr>
      </w:pPr>
    </w:p>
    <w:p w14:paraId="68A9EAB9" w14:textId="5C20D963" w:rsidR="00AD255D"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473" w:dyaOrig="2595" w14:anchorId="6BF61F6F">
          <v:shape id="_x0000_i1027" type="#_x0000_t75" style="width:173.5pt;height:130pt" o:ole="">
            <v:imagedata r:id="rId10" o:title=""/>
          </v:shape>
          <o:OLEObject Type="Embed" ProgID="ChemDraw_x64.Document.6.0" ShapeID="_x0000_i1027" DrawAspect="Content" ObjectID="_1803227669" r:id="rId11"/>
        </w:object>
      </w:r>
    </w:p>
    <w:p w14:paraId="039BC70A" w14:textId="3B4027FE" w:rsidR="00FF5B37" w:rsidRPr="00E316CE" w:rsidRDefault="00FF5B37"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I-3</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-5</w:t>
      </w:r>
      <w:r w:rsidRPr="00E316CE">
        <w:rPr>
          <w:rFonts w:ascii="Times New Roman" w:hAnsi="Times New Roman" w:cs="Times New Roman"/>
          <w:sz w:val="24"/>
          <w:szCs w:val="24"/>
        </w:rPr>
        <w:t xml:space="preserve"> against AChE and BuChE</w:t>
      </w:r>
    </w:p>
    <w:p w14:paraId="6338582E" w14:textId="77777777" w:rsidR="00FF5B37" w:rsidRPr="00E316CE" w:rsidRDefault="00FF5B37" w:rsidP="00E316CE">
      <w:pPr>
        <w:spacing w:after="0" w:line="360" w:lineRule="auto"/>
        <w:jc w:val="center"/>
        <w:rPr>
          <w:rFonts w:ascii="Times New Roman" w:hAnsi="Times New Roman" w:cs="Times New Roman"/>
        </w:rPr>
      </w:pPr>
    </w:p>
    <w:p w14:paraId="762CBB0D" w14:textId="6CDC5713" w:rsidR="00FF5B37"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635" w:dyaOrig="2585" w14:anchorId="2436FEDE">
          <v:shape id="_x0000_i1028" type="#_x0000_t75" style="width:182pt;height:129.5pt" o:ole="">
            <v:imagedata r:id="rId12" o:title=""/>
          </v:shape>
          <o:OLEObject Type="Embed" ProgID="ChemDraw_x64.Document.6.0" ShapeID="_x0000_i1028" DrawAspect="Content" ObjectID="_1803227670" r:id="rId13"/>
        </w:object>
      </w:r>
    </w:p>
    <w:p w14:paraId="7E4AAEF1" w14:textId="3DA77EAF" w:rsidR="00FF5B37" w:rsidRPr="00E316CE" w:rsidRDefault="00FF5B37"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I-4</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-7</w:t>
      </w:r>
      <w:r w:rsidRPr="00E316CE">
        <w:rPr>
          <w:rFonts w:ascii="Times New Roman" w:hAnsi="Times New Roman" w:cs="Times New Roman"/>
          <w:sz w:val="24"/>
          <w:szCs w:val="24"/>
        </w:rPr>
        <w:t xml:space="preserve"> against AChE and BuChE</w:t>
      </w:r>
    </w:p>
    <w:p w14:paraId="03736DDF" w14:textId="77777777" w:rsidR="00FF5B37" w:rsidRPr="00E316CE" w:rsidRDefault="00FF5B37" w:rsidP="00E316CE">
      <w:pPr>
        <w:spacing w:after="0" w:line="360" w:lineRule="auto"/>
        <w:jc w:val="center"/>
        <w:rPr>
          <w:rFonts w:ascii="Times New Roman" w:hAnsi="Times New Roman" w:cs="Times New Roman"/>
        </w:rPr>
      </w:pPr>
    </w:p>
    <w:p w14:paraId="71EB0D03" w14:textId="57B8D874" w:rsidR="00FF5B37"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471" w:dyaOrig="2595" w14:anchorId="1427D8E7">
          <v:shape id="_x0000_i1029" type="#_x0000_t75" style="width:173.5pt;height:130pt" o:ole="">
            <v:imagedata r:id="rId14" o:title=""/>
          </v:shape>
          <o:OLEObject Type="Embed" ProgID="ChemDraw_x64.Document.6.0" ShapeID="_x0000_i1029" DrawAspect="Content" ObjectID="_1803227671" r:id="rId15"/>
        </w:object>
      </w:r>
    </w:p>
    <w:p w14:paraId="3C977F8E" w14:textId="3ACE5888" w:rsidR="00D37C4B" w:rsidRPr="00E316CE" w:rsidRDefault="00D37C4B"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I-5</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-14</w:t>
      </w:r>
      <w:r w:rsidRPr="00E316CE">
        <w:rPr>
          <w:rFonts w:ascii="Times New Roman" w:hAnsi="Times New Roman" w:cs="Times New Roman"/>
          <w:sz w:val="24"/>
          <w:szCs w:val="24"/>
        </w:rPr>
        <w:t xml:space="preserve"> against AChE and BuChE</w:t>
      </w:r>
    </w:p>
    <w:p w14:paraId="76ABEC5C" w14:textId="77777777" w:rsidR="00D37C4B" w:rsidRPr="00E316CE" w:rsidRDefault="00D37C4B" w:rsidP="00E316CE">
      <w:pPr>
        <w:spacing w:after="0" w:line="360" w:lineRule="auto"/>
        <w:jc w:val="center"/>
        <w:rPr>
          <w:rFonts w:ascii="Times New Roman" w:hAnsi="Times New Roman" w:cs="Times New Roman"/>
        </w:rPr>
      </w:pPr>
    </w:p>
    <w:p w14:paraId="2252F8FD" w14:textId="77777777" w:rsidR="00AD255D" w:rsidRPr="00E316CE" w:rsidRDefault="00AD255D" w:rsidP="00E316CE">
      <w:pPr>
        <w:spacing w:after="0" w:line="360" w:lineRule="auto"/>
        <w:jc w:val="center"/>
        <w:rPr>
          <w:rFonts w:ascii="Times New Roman" w:hAnsi="Times New Roman" w:cs="Times New Roman"/>
          <w:b/>
          <w:sz w:val="24"/>
          <w:szCs w:val="24"/>
        </w:rPr>
      </w:pPr>
    </w:p>
    <w:p w14:paraId="1A838411" w14:textId="2C2B75F2" w:rsidR="00B87ACD" w:rsidRPr="00E316CE" w:rsidRDefault="00FF5B37" w:rsidP="00E316CE">
      <w:pPr>
        <w:spacing w:after="0" w:line="360" w:lineRule="auto"/>
        <w:jc w:val="center"/>
        <w:rPr>
          <w:rFonts w:ascii="Times New Roman" w:hAnsi="Times New Roman" w:cs="Times New Roman"/>
        </w:rPr>
      </w:pPr>
      <w:r w:rsidRPr="00E316CE">
        <w:rPr>
          <w:rFonts w:ascii="Times New Roman" w:hAnsi="Times New Roman" w:cs="Times New Roman"/>
        </w:rPr>
        <w:object w:dxaOrig="3701" w:dyaOrig="2575" w14:anchorId="20E5D50F">
          <v:shape id="_x0000_i1030" type="#_x0000_t75" style="width:185pt;height:129pt" o:ole="">
            <v:imagedata r:id="rId16" o:title=""/>
          </v:shape>
          <o:OLEObject Type="Embed" ProgID="ChemDraw_x64.Document.6.0" ShapeID="_x0000_i1030" DrawAspect="Content" ObjectID="_1803227672" r:id="rId17"/>
        </w:object>
      </w:r>
    </w:p>
    <w:p w14:paraId="4EB63AED" w14:textId="2E671761" w:rsidR="00B87ACD" w:rsidRPr="00E316CE" w:rsidRDefault="00D37C4B" w:rsidP="00E316CE">
      <w:pPr>
        <w:spacing w:after="0" w:line="360" w:lineRule="auto"/>
        <w:jc w:val="center"/>
        <w:rPr>
          <w:rFonts w:ascii="Times New Roman" w:hAnsi="Times New Roman" w:cs="Times New Roman"/>
          <w:sz w:val="24"/>
          <w:szCs w:val="24"/>
        </w:rPr>
      </w:pPr>
      <w:r w:rsidRPr="00E316CE">
        <w:rPr>
          <w:rFonts w:ascii="Times New Roman" w:hAnsi="Times New Roman" w:cs="Times New Roman"/>
          <w:b/>
          <w:bCs/>
          <w:sz w:val="24"/>
          <w:szCs w:val="24"/>
        </w:rPr>
        <w:t>Figure I-6</w:t>
      </w:r>
      <w:r w:rsidRPr="00E316CE">
        <w:rPr>
          <w:rFonts w:ascii="Times New Roman" w:hAnsi="Times New Roman" w:cs="Times New Roman"/>
          <w:sz w:val="24"/>
          <w:szCs w:val="24"/>
        </w:rPr>
        <w:t>. SAR of compound</w:t>
      </w:r>
      <w:r w:rsidRPr="00E316CE">
        <w:rPr>
          <w:rFonts w:ascii="Times New Roman" w:hAnsi="Times New Roman" w:cs="Times New Roman"/>
          <w:b/>
          <w:bCs/>
          <w:sz w:val="24"/>
          <w:szCs w:val="24"/>
        </w:rPr>
        <w:t>-1</w:t>
      </w:r>
      <w:r w:rsidRPr="00E316CE">
        <w:rPr>
          <w:rFonts w:ascii="Times New Roman" w:hAnsi="Times New Roman" w:cs="Times New Roman"/>
          <w:sz w:val="24"/>
          <w:szCs w:val="24"/>
        </w:rPr>
        <w:t xml:space="preserve"> against AChE and BuChE</w:t>
      </w:r>
    </w:p>
    <w:p w14:paraId="38AF364B" w14:textId="77777777" w:rsidR="00D37C4B" w:rsidRPr="00D37C4B" w:rsidRDefault="00D37C4B" w:rsidP="00F951D1">
      <w:pPr>
        <w:spacing w:after="0" w:line="360" w:lineRule="auto"/>
        <w:jc w:val="both"/>
        <w:rPr>
          <w:rFonts w:ascii="Times New Roman" w:hAnsi="Times New Roman" w:cs="Times New Roman"/>
          <w:sz w:val="24"/>
          <w:szCs w:val="24"/>
        </w:rPr>
      </w:pPr>
    </w:p>
    <w:p w14:paraId="226A2BF8" w14:textId="77777777" w:rsidR="00B87889" w:rsidRPr="00F951D1" w:rsidRDefault="00B87889" w:rsidP="00F951D1">
      <w:pPr>
        <w:spacing w:after="0" w:line="360" w:lineRule="auto"/>
        <w:jc w:val="both"/>
        <w:rPr>
          <w:rFonts w:ascii="Times New Roman" w:hAnsi="Times New Roman" w:cs="Times New Roman"/>
          <w:b/>
          <w:bCs/>
          <w:sz w:val="24"/>
          <w:szCs w:val="24"/>
        </w:rPr>
      </w:pPr>
      <w:r w:rsidRPr="00F951D1">
        <w:rPr>
          <w:rFonts w:ascii="Times New Roman" w:hAnsi="Times New Roman" w:cs="Times New Roman"/>
          <w:b/>
          <w:bCs/>
          <w:sz w:val="24"/>
          <w:szCs w:val="24"/>
        </w:rPr>
        <w:t>S1. Docking Protocol</w:t>
      </w:r>
    </w:p>
    <w:p w14:paraId="521A0435" w14:textId="4DD15E38" w:rsidR="00B87889" w:rsidRPr="00F951D1" w:rsidRDefault="00B87889" w:rsidP="00F951D1">
      <w:pPr>
        <w:spacing w:after="0" w:line="360" w:lineRule="auto"/>
        <w:jc w:val="both"/>
        <w:rPr>
          <w:rFonts w:ascii="Times New Roman" w:hAnsi="Times New Roman" w:cs="Times New Roman"/>
          <w:sz w:val="24"/>
          <w:szCs w:val="24"/>
        </w:rPr>
      </w:pPr>
      <w:r w:rsidRPr="00F951D1">
        <w:rPr>
          <w:rFonts w:ascii="Times New Roman" w:hAnsi="Times New Roman" w:cs="Times New Roman"/>
          <w:sz w:val="24"/>
          <w:szCs w:val="24"/>
        </w:rPr>
        <w:t>Molecular docking analysis was performed to elucidate the binding interactions between thiazolidinone based thiadiazole scaffold (</w:t>
      </w:r>
      <w:r w:rsidRPr="00F951D1">
        <w:rPr>
          <w:rFonts w:ascii="Times New Roman" w:hAnsi="Times New Roman" w:cs="Times New Roman"/>
          <w:b/>
          <w:bCs/>
          <w:sz w:val="24"/>
          <w:szCs w:val="24"/>
        </w:rPr>
        <w:t>1-16</w:t>
      </w:r>
      <w:r w:rsidRPr="00F951D1">
        <w:rPr>
          <w:rFonts w:ascii="Times New Roman" w:hAnsi="Times New Roman" w:cs="Times New Roman"/>
          <w:sz w:val="24"/>
          <w:szCs w:val="24"/>
        </w:rPr>
        <w:t xml:space="preserve">) and the active residues of acetylcholinesterase (AChE) and butyrylcholinesterase (BChE) using AutoDock. The initial structural geometries of </w:t>
      </w:r>
      <w:r w:rsidR="0067705A" w:rsidRPr="00F951D1">
        <w:rPr>
          <w:rFonts w:ascii="Times New Roman" w:hAnsi="Times New Roman" w:cs="Times New Roman"/>
          <w:b/>
          <w:sz w:val="24"/>
          <w:szCs w:val="24"/>
        </w:rPr>
        <w:t xml:space="preserve">Acetylcholinesterase (PDB ID 4BDT) </w:t>
      </w:r>
      <w:r w:rsidRPr="00F951D1">
        <w:rPr>
          <w:rFonts w:ascii="Times New Roman" w:hAnsi="Times New Roman" w:cs="Times New Roman"/>
          <w:sz w:val="24"/>
          <w:szCs w:val="24"/>
        </w:rPr>
        <w:t xml:space="preserve">and </w:t>
      </w:r>
      <w:r w:rsidR="0067705A" w:rsidRPr="00F951D1">
        <w:rPr>
          <w:rFonts w:ascii="Times New Roman" w:hAnsi="Times New Roman" w:cs="Times New Roman"/>
          <w:b/>
          <w:sz w:val="24"/>
          <w:szCs w:val="24"/>
        </w:rPr>
        <w:t>Butyrylcholinesterase (PDB ID 5LKR)</w:t>
      </w:r>
      <w:r w:rsidRPr="00F951D1">
        <w:rPr>
          <w:rFonts w:ascii="Times New Roman" w:hAnsi="Times New Roman" w:cs="Times New Roman"/>
          <w:sz w:val="24"/>
          <w:szCs w:val="24"/>
        </w:rPr>
        <w:t xml:space="preserve"> were obtained from the RCSB Protein Data Bank. The co-crystallized receptor-ligand complexes were utilized to identify the active binding sites of both enzymes, ensuring precise docking simulations. To validate the docking protocol, a re-docking experiment was performed using donepezil as a reference ligand, which successfully reproduced its binding pose within the active site. The resulting root mean square deviation (RMSD) value of 0.63 Å confirmed the accuracy and reliability of the docking methodology. This was accomplished using the Merck Molecular Force Field 94 (MMFF94) at level 44. The PDB files generated from MMFF94 optimizations were subsequently used to refine the molecular geometries of the synthesized derivatives. To </w:t>
      </w:r>
      <w:r w:rsidRPr="00F951D1">
        <w:rPr>
          <w:rFonts w:ascii="Times New Roman" w:hAnsi="Times New Roman" w:cs="Times New Roman"/>
          <w:sz w:val="24"/>
          <w:szCs w:val="24"/>
        </w:rPr>
        <w:lastRenderedPageBreak/>
        <w:t>predict the binding affinities and preferred conformations of the original ligand and its structurally modified derivatives, the Lamarckian Genetic Algorithm (LGA) was employed, with a total of 500 independent docking runs. This approach enabled a comprehensive exploration of potential ligand-receptor interactions, facilitating a deeper understanding of their inhibitory potential against AChE and BChE.</w:t>
      </w:r>
    </w:p>
    <w:p w14:paraId="04BEE251" w14:textId="77777777" w:rsidR="00AD20C3" w:rsidRPr="00F951D1" w:rsidRDefault="00155A9A" w:rsidP="00F951D1">
      <w:pPr>
        <w:spacing w:after="0" w:line="360" w:lineRule="auto"/>
        <w:jc w:val="both"/>
        <w:rPr>
          <w:rStyle w:val="Strong"/>
          <w:rFonts w:ascii="Times New Roman" w:hAnsi="Times New Roman" w:cs="Times New Roman"/>
          <w:b w:val="0"/>
          <w:bCs w:val="0"/>
          <w:sz w:val="24"/>
          <w:szCs w:val="24"/>
        </w:rPr>
      </w:pPr>
      <w:r w:rsidRPr="00F951D1">
        <w:rPr>
          <w:rFonts w:ascii="Times New Roman" w:hAnsi="Times New Roman" w:cs="Times New Roman"/>
          <w:b/>
          <w:bCs/>
          <w:sz w:val="24"/>
          <w:szCs w:val="24"/>
        </w:rPr>
        <w:t xml:space="preserve">S2. </w:t>
      </w:r>
      <w:r w:rsidR="00AD20C3" w:rsidRPr="00F951D1">
        <w:rPr>
          <w:rStyle w:val="Strong"/>
          <w:rFonts w:ascii="Times New Roman" w:hAnsi="Times New Roman" w:cs="Times New Roman"/>
          <w:sz w:val="24"/>
          <w:szCs w:val="24"/>
        </w:rPr>
        <w:t>ADMET Prediction Profile of Synthesized Analogues</w:t>
      </w:r>
    </w:p>
    <w:p w14:paraId="611ECC4F" w14:textId="1A22F945" w:rsidR="00AD20C3" w:rsidRPr="00F951D1" w:rsidRDefault="00AD20C3" w:rsidP="00F951D1">
      <w:pPr>
        <w:spacing w:after="0" w:line="360" w:lineRule="auto"/>
        <w:jc w:val="both"/>
        <w:rPr>
          <w:rFonts w:ascii="Times New Roman" w:hAnsi="Times New Roman" w:cs="Times New Roman"/>
          <w:sz w:val="24"/>
          <w:szCs w:val="24"/>
        </w:rPr>
      </w:pPr>
      <w:r w:rsidRPr="00F951D1">
        <w:rPr>
          <w:rFonts w:ascii="Times New Roman" w:hAnsi="Times New Roman" w:cs="Times New Roman"/>
          <w:sz w:val="24"/>
          <w:szCs w:val="24"/>
        </w:rPr>
        <w:t xml:space="preserve">A key objective of this study was to evaluate the </w:t>
      </w:r>
      <w:r w:rsidRPr="00F951D1">
        <w:rPr>
          <w:rStyle w:val="Strong"/>
          <w:rFonts w:ascii="Times New Roman" w:hAnsi="Times New Roman" w:cs="Times New Roman"/>
          <w:b w:val="0"/>
          <w:bCs w:val="0"/>
          <w:sz w:val="24"/>
          <w:szCs w:val="24"/>
        </w:rPr>
        <w:t>Absorption, Distribution, Metabolism, Excretion, and Toxicity (ADMET)</w:t>
      </w:r>
      <w:r w:rsidRPr="00F951D1">
        <w:rPr>
          <w:rFonts w:ascii="Times New Roman" w:hAnsi="Times New Roman" w:cs="Times New Roman"/>
          <w:sz w:val="24"/>
          <w:szCs w:val="24"/>
        </w:rPr>
        <w:t xml:space="preserve"> properties of the synthesized drug compounds, following the methodology reported outlined protocols. The pharmacokinetic and toxicity assessments were conducted for analogues </w:t>
      </w:r>
      <w:r w:rsidRPr="00F951D1">
        <w:rPr>
          <w:rFonts w:ascii="Times New Roman" w:hAnsi="Times New Roman" w:cs="Times New Roman"/>
          <w:b/>
          <w:bCs/>
          <w:sz w:val="24"/>
          <w:szCs w:val="24"/>
        </w:rPr>
        <w:t>3</w:t>
      </w:r>
      <w:r w:rsidRPr="00F951D1">
        <w:rPr>
          <w:rStyle w:val="Strong"/>
          <w:rFonts w:ascii="Times New Roman" w:hAnsi="Times New Roman" w:cs="Times New Roman"/>
          <w:sz w:val="24"/>
          <w:szCs w:val="24"/>
        </w:rPr>
        <w:t xml:space="preserve">, 4, 5, </w:t>
      </w:r>
      <w:r w:rsidRPr="00F951D1">
        <w:rPr>
          <w:rStyle w:val="Strong"/>
          <w:rFonts w:ascii="Times New Roman" w:hAnsi="Times New Roman" w:cs="Times New Roman"/>
          <w:b w:val="0"/>
          <w:bCs w:val="0"/>
          <w:sz w:val="24"/>
          <w:szCs w:val="24"/>
        </w:rPr>
        <w:t>and</w:t>
      </w:r>
      <w:r w:rsidRPr="00F951D1">
        <w:rPr>
          <w:rStyle w:val="Strong"/>
          <w:rFonts w:ascii="Times New Roman" w:hAnsi="Times New Roman" w:cs="Times New Roman"/>
          <w:sz w:val="24"/>
          <w:szCs w:val="24"/>
        </w:rPr>
        <w:t xml:space="preserve"> 7</w:t>
      </w:r>
      <w:r w:rsidRPr="00F951D1">
        <w:rPr>
          <w:rFonts w:ascii="Times New Roman" w:hAnsi="Times New Roman" w:cs="Times New Roman"/>
          <w:sz w:val="24"/>
          <w:szCs w:val="24"/>
        </w:rPr>
        <w:t xml:space="preserve"> providing valuable insights into their drug-like characteristics. The results of these analyses, encompassing all ADMET parameters, are visually represented in </w:t>
      </w:r>
      <w:r w:rsidRPr="00F951D1">
        <w:rPr>
          <w:rStyle w:val="Strong"/>
          <w:rFonts w:ascii="Times New Roman" w:hAnsi="Times New Roman" w:cs="Times New Roman"/>
          <w:sz w:val="24"/>
          <w:szCs w:val="24"/>
        </w:rPr>
        <w:t>Table-3</w:t>
      </w:r>
      <w:r w:rsidRPr="00F951D1">
        <w:rPr>
          <w:rFonts w:ascii="Times New Roman" w:hAnsi="Times New Roman" w:cs="Times New Roman"/>
          <w:sz w:val="24"/>
          <w:szCs w:val="24"/>
        </w:rPr>
        <w:t>, offering a comprehensive overview of their predicted pharmacological behavior.</w:t>
      </w:r>
    </w:p>
    <w:p w14:paraId="6E3944F1" w14:textId="77777777" w:rsidR="00B84D2D" w:rsidRPr="00F951D1" w:rsidRDefault="00B84D2D" w:rsidP="00F951D1">
      <w:pPr>
        <w:spacing w:after="0" w:line="360" w:lineRule="auto"/>
        <w:jc w:val="both"/>
        <w:rPr>
          <w:rFonts w:ascii="Times New Roman" w:hAnsi="Times New Roman" w:cs="Times New Roman"/>
          <w:sz w:val="24"/>
          <w:szCs w:val="24"/>
        </w:rPr>
      </w:pPr>
    </w:p>
    <w:p w14:paraId="083D2282" w14:textId="01655A76" w:rsidR="00EE6EFF" w:rsidRPr="00334A2A" w:rsidRDefault="00EE6EFF" w:rsidP="00F951D1">
      <w:pPr>
        <w:spacing w:after="0" w:line="360" w:lineRule="auto"/>
        <w:jc w:val="both"/>
        <w:rPr>
          <w:rFonts w:ascii="Times New Roman" w:eastAsia="Times New Roman" w:hAnsi="Times New Roman" w:cs="Times New Roman"/>
          <w:color w:val="000000"/>
          <w:sz w:val="24"/>
          <w:szCs w:val="24"/>
          <w:shd w:val="clear" w:color="auto" w:fill="FFFFFF"/>
          <w:lang w:eastAsia="de-DE" w:bidi="en-US"/>
          <w14:ligatures w14:val="none"/>
        </w:rPr>
      </w:pPr>
      <w:r w:rsidRPr="00334A2A">
        <w:rPr>
          <w:rFonts w:ascii="Times New Roman" w:hAnsi="Times New Roman" w:cs="Times New Roman"/>
          <w:b/>
          <w:bCs/>
          <w:sz w:val="24"/>
          <w:szCs w:val="24"/>
        </w:rPr>
        <w:t>References</w:t>
      </w:r>
      <w:r w:rsidR="00B84D2D" w:rsidRPr="00334A2A">
        <w:rPr>
          <w:rFonts w:ascii="Times New Roman" w:eastAsia="Times New Roman" w:hAnsi="Times New Roman" w:cs="Times New Roman"/>
          <w:color w:val="000000"/>
          <w:sz w:val="24"/>
          <w:szCs w:val="24"/>
          <w:shd w:val="clear" w:color="auto" w:fill="FFFFFF"/>
          <w:lang w:eastAsia="de-DE" w:bidi="en-US"/>
          <w14:ligatures w14:val="none"/>
        </w:rPr>
        <w:t xml:space="preserve"> </w:t>
      </w:r>
    </w:p>
    <w:p w14:paraId="270B5C97" w14:textId="77777777" w:rsidR="00F951D1" w:rsidRPr="00F951D1" w:rsidRDefault="00F951D1" w:rsidP="00F951D1">
      <w:pPr>
        <w:pStyle w:val="MDPI71References"/>
        <w:numPr>
          <w:ilvl w:val="0"/>
          <w:numId w:val="7"/>
        </w:numPr>
        <w:spacing w:line="360" w:lineRule="auto"/>
        <w:rPr>
          <w:rFonts w:ascii="Times New Roman" w:hAnsi="Times New Roman"/>
          <w:sz w:val="24"/>
          <w:szCs w:val="24"/>
          <w:shd w:val="clear" w:color="auto" w:fill="FFFFFF"/>
        </w:rPr>
      </w:pPr>
      <w:r w:rsidRPr="00F951D1">
        <w:rPr>
          <w:rFonts w:ascii="Times New Roman" w:hAnsi="Times New Roman"/>
          <w:sz w:val="24"/>
          <w:szCs w:val="24"/>
          <w:shd w:val="clear" w:color="auto" w:fill="FFFFFF"/>
        </w:rPr>
        <w:t>Khan, Y.; Iqbal, S.; Shah, M.; Maalik, A.; Hussain, R.; Khan, S.; Khan, I.; Pashameah, R.A.; Alzahrani, E.; Farouk, A.E.; Alahmdi, M.I. New quinoline-based triazole hybrid analogs as effective inhibitors of α-amylase and α-glucosidase: Preparation, in vitro evaluation, and molecular docking along with in silico studies</w:t>
      </w:r>
      <w:r w:rsidRPr="00F951D1">
        <w:rPr>
          <w:rFonts w:ascii="Times New Roman" w:hAnsi="Times New Roman"/>
          <w:i/>
          <w:iCs/>
          <w:sz w:val="24"/>
          <w:szCs w:val="24"/>
          <w:shd w:val="clear" w:color="auto" w:fill="FFFFFF"/>
        </w:rPr>
        <w:t>. Frontiers in Chemistry</w:t>
      </w:r>
      <w:r w:rsidRPr="00F951D1">
        <w:rPr>
          <w:rFonts w:ascii="Times New Roman" w:hAnsi="Times New Roman"/>
          <w:sz w:val="24"/>
          <w:szCs w:val="24"/>
          <w:shd w:val="clear" w:color="auto" w:fill="FFFFFF"/>
        </w:rPr>
        <w:t xml:space="preserve">. </w:t>
      </w:r>
      <w:r w:rsidRPr="00F951D1">
        <w:rPr>
          <w:rFonts w:ascii="Times New Roman" w:hAnsi="Times New Roman"/>
          <w:b/>
          <w:bCs/>
          <w:sz w:val="24"/>
          <w:szCs w:val="24"/>
          <w:shd w:val="clear" w:color="auto" w:fill="FFFFFF"/>
        </w:rPr>
        <w:t>2022</w:t>
      </w:r>
      <w:r w:rsidRPr="00F951D1">
        <w:rPr>
          <w:rFonts w:ascii="Times New Roman" w:hAnsi="Times New Roman"/>
          <w:sz w:val="24"/>
          <w:szCs w:val="24"/>
          <w:shd w:val="clear" w:color="auto" w:fill="FFFFFF"/>
        </w:rPr>
        <w:t>, 10, 995820.</w:t>
      </w:r>
    </w:p>
    <w:p w14:paraId="79EBC1C0" w14:textId="77777777" w:rsidR="00F951D1" w:rsidRPr="00F951D1" w:rsidRDefault="00F951D1" w:rsidP="00F951D1">
      <w:pPr>
        <w:pStyle w:val="MDPI71References"/>
        <w:numPr>
          <w:ilvl w:val="0"/>
          <w:numId w:val="7"/>
        </w:numPr>
        <w:spacing w:line="360" w:lineRule="auto"/>
        <w:rPr>
          <w:rFonts w:ascii="Times New Roman" w:hAnsi="Times New Roman"/>
          <w:sz w:val="24"/>
          <w:szCs w:val="24"/>
          <w:shd w:val="clear" w:color="auto" w:fill="FFFFFF"/>
        </w:rPr>
      </w:pPr>
      <w:r w:rsidRPr="00F951D1">
        <w:rPr>
          <w:rFonts w:ascii="Times New Roman" w:hAnsi="Times New Roman"/>
          <w:sz w:val="24"/>
          <w:szCs w:val="24"/>
          <w:shd w:val="clear" w:color="auto" w:fill="FFFFFF"/>
        </w:rPr>
        <w:t xml:space="preserve">Khan, Y.; Rehman, W.; Hussain, R.; Khan, S.; Malik, A.; Khan, M.; Liaqat, A.; Rasheed, L.; Begum, F.; Fazil, S.; Khan, I. New biologically potent benzimidazole‐based‐triazole derivatives as acetylcholinesterase and butyrylcholinesterase inhibitors along with molecular docking study. </w:t>
      </w:r>
      <w:r w:rsidRPr="00F951D1">
        <w:rPr>
          <w:rFonts w:ascii="Times New Roman" w:hAnsi="Times New Roman"/>
          <w:i/>
          <w:iCs/>
          <w:sz w:val="24"/>
          <w:szCs w:val="24"/>
          <w:shd w:val="clear" w:color="auto" w:fill="FFFFFF"/>
        </w:rPr>
        <w:t>Journal of Heterocyclic Chemistry</w:t>
      </w:r>
      <w:r w:rsidRPr="00F951D1">
        <w:rPr>
          <w:rFonts w:ascii="Times New Roman" w:hAnsi="Times New Roman"/>
          <w:sz w:val="24"/>
          <w:szCs w:val="24"/>
          <w:shd w:val="clear" w:color="auto" w:fill="FFFFFF"/>
        </w:rPr>
        <w:t xml:space="preserve">. </w:t>
      </w:r>
      <w:r w:rsidRPr="00F951D1">
        <w:rPr>
          <w:rFonts w:ascii="Times New Roman" w:hAnsi="Times New Roman"/>
          <w:b/>
          <w:bCs/>
          <w:sz w:val="24"/>
          <w:szCs w:val="24"/>
          <w:shd w:val="clear" w:color="auto" w:fill="FFFFFF"/>
        </w:rPr>
        <w:t>2022</w:t>
      </w:r>
      <w:r w:rsidRPr="00F951D1">
        <w:rPr>
          <w:rFonts w:ascii="Times New Roman" w:hAnsi="Times New Roman"/>
          <w:sz w:val="24"/>
          <w:szCs w:val="24"/>
          <w:shd w:val="clear" w:color="auto" w:fill="FFFFFF"/>
        </w:rPr>
        <w:t>, 59, 2225–2239.</w:t>
      </w:r>
    </w:p>
    <w:p w14:paraId="6474EC17" w14:textId="77777777" w:rsidR="00F951D1" w:rsidRPr="00F951D1" w:rsidRDefault="00F951D1" w:rsidP="00F951D1">
      <w:pPr>
        <w:pStyle w:val="MDPI71References"/>
        <w:numPr>
          <w:ilvl w:val="0"/>
          <w:numId w:val="7"/>
        </w:numPr>
        <w:spacing w:line="360" w:lineRule="auto"/>
        <w:rPr>
          <w:rFonts w:ascii="Times New Roman" w:hAnsi="Times New Roman"/>
          <w:sz w:val="24"/>
          <w:szCs w:val="24"/>
          <w:shd w:val="clear" w:color="auto" w:fill="FFFFFF"/>
        </w:rPr>
      </w:pPr>
      <w:r w:rsidRPr="00F951D1">
        <w:rPr>
          <w:rFonts w:ascii="Times New Roman" w:hAnsi="Times New Roman"/>
          <w:sz w:val="24"/>
          <w:szCs w:val="24"/>
          <w:shd w:val="clear" w:color="auto" w:fill="FFFFFF"/>
        </w:rPr>
        <w:t>Khan, S.; Rehman, W.; Rahim, F.; Hussain, R.; Obaidullah, A.</w:t>
      </w:r>
      <w:r w:rsidRPr="00F951D1">
        <w:rPr>
          <w:rFonts w:ascii="Times New Roman" w:hAnsi="Times New Roman"/>
          <w:i/>
          <w:iCs/>
          <w:sz w:val="24"/>
          <w:szCs w:val="24"/>
          <w:shd w:val="clear" w:color="auto" w:fill="FFFFFF"/>
        </w:rPr>
        <w:t>J</w:t>
      </w:r>
      <w:r w:rsidRPr="00F951D1">
        <w:rPr>
          <w:rFonts w:ascii="Times New Roman" w:hAnsi="Times New Roman"/>
          <w:sz w:val="24"/>
          <w:szCs w:val="24"/>
          <w:shd w:val="clear" w:color="auto" w:fill="FFFFFF"/>
        </w:rPr>
        <w:t xml:space="preserve">.; Alotaibi, H.F.; Alanazi, M.M.; Khan, M.U.; Khan, Y. Bis-indole based triazine derivatives: Synthesis, characterization, in vitro β-glucuronidase anti-cancer and anti-bacterial evaluation along with in silico molecular docking and ADME analysis. </w:t>
      </w:r>
      <w:r w:rsidRPr="00F951D1">
        <w:rPr>
          <w:rFonts w:ascii="Times New Roman" w:hAnsi="Times New Roman"/>
          <w:i/>
          <w:iCs/>
          <w:sz w:val="24"/>
          <w:szCs w:val="24"/>
          <w:shd w:val="clear" w:color="auto" w:fill="FFFFFF"/>
        </w:rPr>
        <w:t>Arabian Journal of Chemistry</w:t>
      </w:r>
      <w:r w:rsidRPr="00F951D1">
        <w:rPr>
          <w:rFonts w:ascii="Times New Roman" w:hAnsi="Times New Roman"/>
          <w:sz w:val="24"/>
          <w:szCs w:val="24"/>
          <w:shd w:val="clear" w:color="auto" w:fill="FFFFFF"/>
        </w:rPr>
        <w:t xml:space="preserve">, </w:t>
      </w:r>
      <w:r w:rsidRPr="00F951D1">
        <w:rPr>
          <w:rFonts w:ascii="Times New Roman" w:hAnsi="Times New Roman"/>
          <w:b/>
          <w:bCs/>
          <w:sz w:val="24"/>
          <w:szCs w:val="24"/>
          <w:shd w:val="clear" w:color="auto" w:fill="FFFFFF"/>
        </w:rPr>
        <w:t>2023</w:t>
      </w:r>
      <w:r w:rsidRPr="00F951D1">
        <w:rPr>
          <w:rFonts w:ascii="Times New Roman" w:hAnsi="Times New Roman"/>
          <w:sz w:val="24"/>
          <w:szCs w:val="24"/>
          <w:shd w:val="clear" w:color="auto" w:fill="FFFFFF"/>
        </w:rPr>
        <w:t>, 16(8), 104970.</w:t>
      </w:r>
    </w:p>
    <w:p w14:paraId="74922C9B" w14:textId="77777777" w:rsidR="00F951D1" w:rsidRPr="00F951D1" w:rsidRDefault="00F951D1" w:rsidP="00F951D1">
      <w:pPr>
        <w:pStyle w:val="MDPI71References"/>
        <w:numPr>
          <w:ilvl w:val="0"/>
          <w:numId w:val="7"/>
        </w:numPr>
        <w:spacing w:line="360" w:lineRule="auto"/>
        <w:rPr>
          <w:rFonts w:ascii="Times New Roman" w:hAnsi="Times New Roman"/>
          <w:sz w:val="24"/>
          <w:szCs w:val="24"/>
          <w:shd w:val="clear" w:color="auto" w:fill="FFFFFF"/>
        </w:rPr>
      </w:pPr>
      <w:r w:rsidRPr="00F951D1">
        <w:rPr>
          <w:rFonts w:ascii="Times New Roman" w:hAnsi="Times New Roman"/>
          <w:sz w:val="24"/>
          <w:szCs w:val="24"/>
          <w:shd w:val="clear" w:color="auto" w:fill="FFFFFF"/>
        </w:rPr>
        <w:lastRenderedPageBreak/>
        <w:t xml:space="preserve">Anwar, S.; Rehman, W.; Hussain, R.; Khan, S.; Alanazi, M.M.; Alsaif, N.A.; Khan, Y.; Iqbal, S.; Naz, A.; Hashmi, M.A. Investigation of Novel Benzoxazole-Oxadiazole Derivatives as Effective Anti-Alzheimer’s Agents: In Vitro and In Silico Approaches. </w:t>
      </w:r>
      <w:r w:rsidRPr="00F951D1">
        <w:rPr>
          <w:rFonts w:ascii="Times New Roman" w:hAnsi="Times New Roman"/>
          <w:i/>
          <w:iCs/>
          <w:sz w:val="24"/>
          <w:szCs w:val="24"/>
          <w:shd w:val="clear" w:color="auto" w:fill="FFFFFF"/>
        </w:rPr>
        <w:t>Pharmaceuticals.</w:t>
      </w:r>
      <w:r w:rsidRPr="00F951D1">
        <w:rPr>
          <w:rFonts w:ascii="Times New Roman" w:hAnsi="Times New Roman"/>
          <w:sz w:val="24"/>
          <w:szCs w:val="24"/>
          <w:shd w:val="clear" w:color="auto" w:fill="FFFFFF"/>
        </w:rPr>
        <w:t xml:space="preserve"> </w:t>
      </w:r>
      <w:r w:rsidRPr="00F951D1">
        <w:rPr>
          <w:rFonts w:ascii="Times New Roman" w:hAnsi="Times New Roman"/>
          <w:b/>
          <w:bCs/>
          <w:sz w:val="24"/>
          <w:szCs w:val="24"/>
          <w:shd w:val="clear" w:color="auto" w:fill="FFFFFF"/>
        </w:rPr>
        <w:t>2023</w:t>
      </w:r>
      <w:r w:rsidRPr="00F951D1">
        <w:rPr>
          <w:rFonts w:ascii="Times New Roman" w:hAnsi="Times New Roman"/>
          <w:sz w:val="24"/>
          <w:szCs w:val="24"/>
          <w:shd w:val="clear" w:color="auto" w:fill="FFFFFF"/>
        </w:rPr>
        <w:t>, 16(7), 909.</w:t>
      </w:r>
    </w:p>
    <w:p w14:paraId="5D4BF082" w14:textId="77777777" w:rsidR="006E6D81" w:rsidRPr="00F951D1" w:rsidRDefault="006E6D81" w:rsidP="00F951D1">
      <w:pPr>
        <w:spacing w:after="0" w:line="360" w:lineRule="auto"/>
        <w:jc w:val="both"/>
        <w:rPr>
          <w:rFonts w:ascii="Times New Roman" w:hAnsi="Times New Roman" w:cs="Times New Roman"/>
          <w:sz w:val="24"/>
          <w:szCs w:val="24"/>
        </w:rPr>
      </w:pPr>
    </w:p>
    <w:p w14:paraId="564915D8" w14:textId="77777777" w:rsidR="00EE6EFF" w:rsidRPr="00F951D1" w:rsidRDefault="00EE6EFF" w:rsidP="00F951D1">
      <w:pPr>
        <w:spacing w:after="0" w:line="360" w:lineRule="auto"/>
        <w:jc w:val="both"/>
        <w:rPr>
          <w:rFonts w:ascii="Times New Roman" w:hAnsi="Times New Roman" w:cs="Times New Roman"/>
          <w:b/>
          <w:bCs/>
          <w:sz w:val="24"/>
          <w:szCs w:val="24"/>
        </w:rPr>
      </w:pPr>
    </w:p>
    <w:p w14:paraId="63C007C9" w14:textId="77777777" w:rsidR="00AD20C3" w:rsidRPr="00F951D1" w:rsidRDefault="00AD20C3" w:rsidP="00F951D1">
      <w:pPr>
        <w:spacing w:after="0" w:line="360" w:lineRule="auto"/>
        <w:jc w:val="both"/>
        <w:rPr>
          <w:rFonts w:ascii="Times New Roman" w:hAnsi="Times New Roman" w:cs="Times New Roman"/>
          <w:b/>
          <w:bCs/>
          <w:sz w:val="24"/>
          <w:szCs w:val="24"/>
        </w:rPr>
      </w:pPr>
    </w:p>
    <w:p w14:paraId="5B69B7CC" w14:textId="77777777" w:rsidR="00155A9A" w:rsidRPr="00F951D1" w:rsidRDefault="00155A9A" w:rsidP="00F951D1">
      <w:pPr>
        <w:spacing w:after="0" w:line="360" w:lineRule="auto"/>
        <w:jc w:val="both"/>
        <w:rPr>
          <w:rFonts w:ascii="Times New Roman" w:hAnsi="Times New Roman" w:cs="Times New Roman"/>
          <w:sz w:val="24"/>
          <w:szCs w:val="24"/>
        </w:rPr>
      </w:pPr>
    </w:p>
    <w:p w14:paraId="4D452DDE" w14:textId="77777777" w:rsidR="00B87889" w:rsidRPr="00F951D1" w:rsidRDefault="00B87889" w:rsidP="00F951D1">
      <w:pPr>
        <w:spacing w:after="0" w:line="360" w:lineRule="auto"/>
        <w:jc w:val="both"/>
        <w:rPr>
          <w:rFonts w:ascii="Times New Roman" w:hAnsi="Times New Roman" w:cs="Times New Roman"/>
          <w:sz w:val="24"/>
          <w:szCs w:val="24"/>
        </w:rPr>
      </w:pPr>
    </w:p>
    <w:sectPr w:rsidR="00B87889" w:rsidRPr="00F951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FC7"/>
    <w:multiLevelType w:val="multilevel"/>
    <w:tmpl w:val="35D6C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1F60FA"/>
    <w:multiLevelType w:val="multilevel"/>
    <w:tmpl w:val="B35EA2B0"/>
    <w:lvl w:ilvl="0">
      <w:start w:val="1"/>
      <w:numFmt w:val="decimal"/>
      <w:lvlText w:val="%1"/>
      <w:lvlJc w:val="left"/>
      <w:pPr>
        <w:ind w:left="432" w:hanging="432"/>
      </w:pPr>
    </w:lvl>
    <w:lvl w:ilvl="1">
      <w:start w:val="1"/>
      <w:numFmt w:val="decimal"/>
      <w:lvlText w:val="%1.%2"/>
      <w:lvlJc w:val="left"/>
      <w:pPr>
        <w:ind w:left="576" w:hanging="576"/>
      </w:pPr>
      <w:rPr>
        <w:color w:val="auto"/>
        <w:vertAlign w:val="baseline"/>
      </w:rPr>
    </w:lvl>
    <w:lvl w:ilvl="2">
      <w:start w:val="1"/>
      <w:numFmt w:val="decimal"/>
      <w:lvlText w:val="%1.%2.%3"/>
      <w:lvlJc w:val="left"/>
      <w:pPr>
        <w:ind w:left="1170" w:hanging="720"/>
      </w:pPr>
      <w:rPr>
        <w:b/>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11AC3"/>
    <w:multiLevelType w:val="multilevel"/>
    <w:tmpl w:val="E4263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21F7BB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BB1053"/>
    <w:multiLevelType w:val="multilevel"/>
    <w:tmpl w:val="F4E82F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0012E46"/>
    <w:multiLevelType w:val="hybridMultilevel"/>
    <w:tmpl w:val="7946DCD0"/>
    <w:lvl w:ilvl="0" w:tplc="5C06B1C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116773">
    <w:abstractNumId w:val="5"/>
  </w:num>
  <w:num w:numId="2" w16cid:durableId="460005264">
    <w:abstractNumId w:val="3"/>
  </w:num>
  <w:num w:numId="3" w16cid:durableId="1084452016">
    <w:abstractNumId w:val="1"/>
  </w:num>
  <w:num w:numId="4" w16cid:durableId="394936088">
    <w:abstractNumId w:val="1"/>
  </w:num>
  <w:num w:numId="5" w16cid:durableId="779491618">
    <w:abstractNumId w:val="4"/>
  </w:num>
  <w:num w:numId="6" w16cid:durableId="1510023090">
    <w:abstractNumId w:val="0"/>
  </w:num>
  <w:num w:numId="7" w16cid:durableId="1154878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9864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M0NzcxNDUyNzYyMzRU0lEKTi0uzszPAykwrAUAQs602iwAAAA="/>
  </w:docVars>
  <w:rsids>
    <w:rsidRoot w:val="00E3246A"/>
    <w:rsid w:val="00022815"/>
    <w:rsid w:val="000F5764"/>
    <w:rsid w:val="00155A9A"/>
    <w:rsid w:val="00204104"/>
    <w:rsid w:val="002B2DD8"/>
    <w:rsid w:val="00334A2A"/>
    <w:rsid w:val="003D0FD1"/>
    <w:rsid w:val="005635A0"/>
    <w:rsid w:val="0066768C"/>
    <w:rsid w:val="0067705A"/>
    <w:rsid w:val="00691C7D"/>
    <w:rsid w:val="006E6D81"/>
    <w:rsid w:val="009A21D8"/>
    <w:rsid w:val="00A005DB"/>
    <w:rsid w:val="00AD20C3"/>
    <w:rsid w:val="00AD255D"/>
    <w:rsid w:val="00AE3371"/>
    <w:rsid w:val="00B575C9"/>
    <w:rsid w:val="00B84D2D"/>
    <w:rsid w:val="00B87889"/>
    <w:rsid w:val="00B87ACD"/>
    <w:rsid w:val="00BA5E4B"/>
    <w:rsid w:val="00BD4A81"/>
    <w:rsid w:val="00D34262"/>
    <w:rsid w:val="00D37C4B"/>
    <w:rsid w:val="00D66DAF"/>
    <w:rsid w:val="00E316CE"/>
    <w:rsid w:val="00E3246A"/>
    <w:rsid w:val="00E879BC"/>
    <w:rsid w:val="00EE6EFF"/>
    <w:rsid w:val="00F951D1"/>
    <w:rsid w:val="00FF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A3956"/>
  <w15:chartTrackingRefBased/>
  <w15:docId w15:val="{622BFA0B-7BCF-4616-93C8-13136E66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46A"/>
    <w:pPr>
      <w:spacing w:after="200" w:line="276" w:lineRule="auto"/>
    </w:pPr>
    <w:rPr>
      <w:rFonts w:eastAsiaTheme="minorEastAsia"/>
      <w:kern w:val="0"/>
    </w:rPr>
  </w:style>
  <w:style w:type="paragraph" w:styleId="Heading1">
    <w:name w:val="heading 1"/>
    <w:basedOn w:val="Normal"/>
    <w:next w:val="Normal"/>
    <w:link w:val="Heading1Char"/>
    <w:autoRedefine/>
    <w:uiPriority w:val="9"/>
    <w:qFormat/>
    <w:rsid w:val="00A005DB"/>
    <w:pPr>
      <w:keepNext/>
      <w:keepLines/>
      <w:numPr>
        <w:numId w:val="5"/>
      </w:numPr>
      <w:spacing w:before="240" w:after="0" w:line="259"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005DB"/>
    <w:pPr>
      <w:keepNext/>
      <w:keepLines/>
      <w:numPr>
        <w:ilvl w:val="1"/>
        <w:numId w:val="5"/>
      </w:numPr>
      <w:spacing w:before="40" w:after="0" w:line="259"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05DB"/>
    <w:pPr>
      <w:keepNext/>
      <w:keepLines/>
      <w:numPr>
        <w:ilvl w:val="2"/>
        <w:numId w:val="6"/>
      </w:numPr>
      <w:spacing w:before="40" w:after="0" w:line="259" w:lineRule="auto"/>
      <w:ind w:left="720"/>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5635A0"/>
    <w:pPr>
      <w:keepNext/>
      <w:keepLines/>
      <w:numPr>
        <w:ilvl w:val="3"/>
        <w:numId w:val="5"/>
      </w:numPr>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E3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5D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005DB"/>
    <w:rPr>
      <w:rFonts w:ascii="Times New Roman" w:eastAsiaTheme="majorEastAsia" w:hAnsi="Times New Roman" w:cstheme="majorBidi"/>
      <w:b/>
      <w:sz w:val="24"/>
      <w:szCs w:val="26"/>
    </w:rPr>
  </w:style>
  <w:style w:type="paragraph" w:styleId="Title">
    <w:name w:val="Title"/>
    <w:basedOn w:val="Normal"/>
    <w:link w:val="TitleChar"/>
    <w:uiPriority w:val="10"/>
    <w:qFormat/>
    <w:rsid w:val="005635A0"/>
    <w:pPr>
      <w:widowControl w:val="0"/>
      <w:autoSpaceDE w:val="0"/>
      <w:autoSpaceDN w:val="0"/>
      <w:spacing w:after="0"/>
      <w:ind w:right="294"/>
      <w:jc w:val="center"/>
    </w:pPr>
    <w:rPr>
      <w:rFonts w:eastAsia="Arial" w:cs="Arial"/>
      <w:b/>
      <w:bCs/>
      <w:sz w:val="32"/>
      <w:szCs w:val="36"/>
    </w:rPr>
  </w:style>
  <w:style w:type="character" w:customStyle="1" w:styleId="TitleChar">
    <w:name w:val="Title Char"/>
    <w:basedOn w:val="DefaultParagraphFont"/>
    <w:link w:val="Title"/>
    <w:uiPriority w:val="10"/>
    <w:rsid w:val="005635A0"/>
    <w:rPr>
      <w:rFonts w:ascii="Times New Roman" w:eastAsia="Arial" w:hAnsi="Times New Roman" w:cs="Arial"/>
      <w:b/>
      <w:bCs/>
      <w:sz w:val="32"/>
      <w:szCs w:val="36"/>
    </w:rPr>
  </w:style>
  <w:style w:type="paragraph" w:customStyle="1" w:styleId="Heading30">
    <w:name w:val="Heading 3."/>
    <w:basedOn w:val="Normal"/>
    <w:next w:val="Normal"/>
    <w:link w:val="Heading3Char0"/>
    <w:autoRedefine/>
    <w:qFormat/>
    <w:rsid w:val="000F5764"/>
    <w:rPr>
      <w:b/>
      <w:color w:val="000000" w:themeColor="text1"/>
    </w:rPr>
  </w:style>
  <w:style w:type="character" w:customStyle="1" w:styleId="Heading3Char0">
    <w:name w:val="Heading 3. Char"/>
    <w:basedOn w:val="DefaultParagraphFont"/>
    <w:link w:val="Heading30"/>
    <w:rsid w:val="000F5764"/>
    <w:rPr>
      <w:rFonts w:ascii="Times New Roman" w:hAnsi="Times New Roman"/>
      <w:b/>
      <w:color w:val="000000" w:themeColor="text1"/>
      <w:sz w:val="24"/>
    </w:rPr>
  </w:style>
  <w:style w:type="character" w:customStyle="1" w:styleId="Heading3Char">
    <w:name w:val="Heading 3 Char"/>
    <w:basedOn w:val="DefaultParagraphFont"/>
    <w:link w:val="Heading3"/>
    <w:uiPriority w:val="9"/>
    <w:rsid w:val="00A005DB"/>
    <w:rPr>
      <w:rFonts w:ascii="Times New Roman" w:eastAsiaTheme="majorEastAsia" w:hAnsi="Times New Roman" w:cstheme="majorBidi"/>
      <w:b/>
      <w:sz w:val="24"/>
      <w:szCs w:val="24"/>
    </w:rPr>
  </w:style>
  <w:style w:type="paragraph" w:styleId="ListParagraph">
    <w:name w:val="List Paragraph"/>
    <w:basedOn w:val="Normal"/>
    <w:autoRedefine/>
    <w:uiPriority w:val="1"/>
    <w:qFormat/>
    <w:rsid w:val="000F5764"/>
    <w:pPr>
      <w:ind w:left="720"/>
      <w:contextualSpacing/>
    </w:pPr>
  </w:style>
  <w:style w:type="character" w:customStyle="1" w:styleId="Heading4Char">
    <w:name w:val="Heading 4 Char"/>
    <w:basedOn w:val="DefaultParagraphFont"/>
    <w:link w:val="Heading4"/>
    <w:uiPriority w:val="9"/>
    <w:semiHidden/>
    <w:rsid w:val="000F5764"/>
    <w:rPr>
      <w:rFonts w:asciiTheme="majorHAnsi" w:eastAsiaTheme="majorEastAsia" w:hAnsiTheme="majorHAnsi" w:cstheme="majorBidi"/>
      <w:i/>
      <w:iCs/>
      <w:sz w:val="24"/>
    </w:rPr>
  </w:style>
  <w:style w:type="paragraph" w:styleId="Caption">
    <w:name w:val="caption"/>
    <w:basedOn w:val="Normal"/>
    <w:next w:val="Normal"/>
    <w:autoRedefine/>
    <w:uiPriority w:val="35"/>
    <w:unhideWhenUsed/>
    <w:qFormat/>
    <w:rsid w:val="005635A0"/>
    <w:pPr>
      <w:spacing w:line="240" w:lineRule="auto"/>
      <w:jc w:val="center"/>
    </w:pPr>
    <w:rPr>
      <w:i/>
      <w:iCs/>
      <w:szCs w:val="18"/>
    </w:rPr>
  </w:style>
  <w:style w:type="paragraph" w:styleId="TOCHeading">
    <w:name w:val="TOC Heading"/>
    <w:basedOn w:val="Heading1"/>
    <w:next w:val="Normal"/>
    <w:autoRedefine/>
    <w:uiPriority w:val="39"/>
    <w:unhideWhenUsed/>
    <w:qFormat/>
    <w:rsid w:val="00A005DB"/>
    <w:pPr>
      <w:numPr>
        <w:numId w:val="0"/>
      </w:numPr>
      <w:spacing w:line="360" w:lineRule="auto"/>
      <w:jc w:val="both"/>
      <w:outlineLvl w:val="9"/>
    </w:pPr>
  </w:style>
  <w:style w:type="character" w:customStyle="1" w:styleId="Heading5Char">
    <w:name w:val="Heading 5 Char"/>
    <w:basedOn w:val="DefaultParagraphFont"/>
    <w:link w:val="Heading5"/>
    <w:uiPriority w:val="9"/>
    <w:semiHidden/>
    <w:rsid w:val="00E3246A"/>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E3246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3246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3246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3246A"/>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E3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46A"/>
    <w:pPr>
      <w:spacing w:before="160"/>
      <w:jc w:val="center"/>
    </w:pPr>
    <w:rPr>
      <w:i/>
      <w:iCs/>
      <w:color w:val="404040" w:themeColor="text1" w:themeTint="BF"/>
    </w:rPr>
  </w:style>
  <w:style w:type="character" w:customStyle="1" w:styleId="QuoteChar">
    <w:name w:val="Quote Char"/>
    <w:basedOn w:val="DefaultParagraphFont"/>
    <w:link w:val="Quote"/>
    <w:uiPriority w:val="29"/>
    <w:rsid w:val="00E3246A"/>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E3246A"/>
    <w:rPr>
      <w:i/>
      <w:iCs/>
      <w:color w:val="0F4761" w:themeColor="accent1" w:themeShade="BF"/>
    </w:rPr>
  </w:style>
  <w:style w:type="paragraph" w:styleId="IntenseQuote">
    <w:name w:val="Intense Quote"/>
    <w:basedOn w:val="Normal"/>
    <w:next w:val="Normal"/>
    <w:link w:val="IntenseQuoteChar"/>
    <w:uiPriority w:val="30"/>
    <w:qFormat/>
    <w:rsid w:val="00E3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46A"/>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E3246A"/>
    <w:rPr>
      <w:b/>
      <w:bCs/>
      <w:smallCaps/>
      <w:color w:val="0F4761" w:themeColor="accent1" w:themeShade="BF"/>
      <w:spacing w:val="5"/>
    </w:rPr>
  </w:style>
  <w:style w:type="character" w:styleId="Hyperlink">
    <w:name w:val="Hyperlink"/>
    <w:basedOn w:val="DefaultParagraphFont"/>
    <w:uiPriority w:val="99"/>
    <w:unhideWhenUsed/>
    <w:qFormat/>
    <w:rsid w:val="00E3246A"/>
    <w:rPr>
      <w:color w:val="467886" w:themeColor="hyperlink"/>
      <w:u w:val="single"/>
    </w:rPr>
  </w:style>
  <w:style w:type="paragraph" w:customStyle="1" w:styleId="pb-2">
    <w:name w:val="pb-2"/>
    <w:basedOn w:val="Normal"/>
    <w:qFormat/>
    <w:rsid w:val="00E324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16affiliation">
    <w:name w:val="MDPI_1.6_affiliation"/>
    <w:qFormat/>
    <w:rsid w:val="00E3246A"/>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rPr>
  </w:style>
  <w:style w:type="paragraph" w:customStyle="1" w:styleId="MDPI21heading1">
    <w:name w:val="MDPI_2.1_heading1"/>
    <w:qFormat/>
    <w:rsid w:val="00B8788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styleId="Strong">
    <w:name w:val="Strong"/>
    <w:basedOn w:val="DefaultParagraphFont"/>
    <w:uiPriority w:val="22"/>
    <w:qFormat/>
    <w:rsid w:val="00B87889"/>
    <w:rPr>
      <w:b/>
      <w:bCs/>
    </w:rPr>
  </w:style>
  <w:style w:type="paragraph" w:styleId="NormalWeb">
    <w:name w:val="Normal (Web)"/>
    <w:basedOn w:val="Normal"/>
    <w:uiPriority w:val="99"/>
    <w:semiHidden/>
    <w:unhideWhenUsed/>
    <w:rsid w:val="00B878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71References">
    <w:name w:val="MDPI_7.1_References"/>
    <w:qFormat/>
    <w:rsid w:val="00F951D1"/>
    <w:pPr>
      <w:numPr>
        <w:numId w:val="8"/>
      </w:numPr>
      <w:adjustRightInd w:val="0"/>
      <w:snapToGrid w:val="0"/>
      <w:spacing w:after="0" w:line="228" w:lineRule="auto"/>
      <w:jc w:val="both"/>
    </w:pPr>
    <w:rPr>
      <w:rFonts w:ascii="Palatino Linotype" w:eastAsia="Times New Roman" w:hAnsi="Palatino Linotype" w:cs="Times New Roman"/>
      <w:color w:val="000000"/>
      <w:kern w:val="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78742">
      <w:bodyDiv w:val="1"/>
      <w:marLeft w:val="0"/>
      <w:marRight w:val="0"/>
      <w:marTop w:val="0"/>
      <w:marBottom w:val="0"/>
      <w:divBdr>
        <w:top w:val="none" w:sz="0" w:space="0" w:color="auto"/>
        <w:left w:val="none" w:sz="0" w:space="0" w:color="auto"/>
        <w:bottom w:val="none" w:sz="0" w:space="0" w:color="auto"/>
        <w:right w:val="none" w:sz="0" w:space="0" w:color="auto"/>
      </w:divBdr>
    </w:div>
    <w:div w:id="2114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yousaf7n@gmail.com" TargetMode="External"/><Relationship Id="rId15" Type="http://schemas.openxmlformats.org/officeDocument/2006/relationships/oleObject" Target="embeddings/oleObject5.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713</Words>
  <Characters>4554</Characters>
  <Application>Microsoft Office Word</Application>
  <DocSecurity>0</DocSecurity>
  <Lines>96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YOUSAF KHAN</dc:creator>
  <cp:keywords/>
  <dc:description/>
  <cp:lastModifiedBy>YOUSAF KHAN</cp:lastModifiedBy>
  <cp:revision>29</cp:revision>
  <dcterms:created xsi:type="dcterms:W3CDTF">2025-03-03T14:09:00Z</dcterms:created>
  <dcterms:modified xsi:type="dcterms:W3CDTF">2025-03-11T14:37:00Z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edc9adb7-79f5-4e4b-bdbd-10dd0f0e52df</vt:lpwstr>
  </property>
</Properties>
</file>