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36" w:rsidRDefault="00815B36" w:rsidP="00815B36">
      <w:pPr>
        <w:spacing w:after="0" w:line="240" w:lineRule="auto"/>
        <w:ind w:right="1700"/>
        <w:jc w:val="both"/>
        <w:rPr>
          <w:rFonts w:cs="Times New Roman"/>
          <w:b/>
          <w:lang w:val="en-US"/>
        </w:rPr>
      </w:pPr>
    </w:p>
    <w:p w:rsidR="00815B36" w:rsidRDefault="00815B36" w:rsidP="00815B36">
      <w:pPr>
        <w:spacing w:after="0" w:line="240" w:lineRule="auto"/>
        <w:ind w:left="1701" w:right="1700"/>
        <w:jc w:val="both"/>
        <w:rPr>
          <w:rFonts w:cs="Times New Roman"/>
          <w:b/>
          <w:lang w:val="en-US"/>
        </w:rPr>
      </w:pPr>
    </w:p>
    <w:p w:rsidR="00815B36" w:rsidRPr="00147358" w:rsidRDefault="00815B36" w:rsidP="00815B36">
      <w:pPr>
        <w:spacing w:after="0" w:line="240" w:lineRule="auto"/>
        <w:ind w:left="1701" w:right="1700"/>
        <w:jc w:val="both"/>
        <w:rPr>
          <w:rFonts w:cs="Times New Roman"/>
          <w:lang w:val="en-US"/>
        </w:rPr>
      </w:pPr>
      <w:r w:rsidRPr="00147358">
        <w:rPr>
          <w:rFonts w:cs="Times New Roman"/>
          <w:b/>
          <w:lang w:val="en-US"/>
        </w:rPr>
        <w:t xml:space="preserve">Table 1. </w:t>
      </w:r>
      <w:r w:rsidRPr="00147358">
        <w:rPr>
          <w:rFonts w:cs="Times New Roman"/>
          <w:lang w:val="en-US"/>
        </w:rPr>
        <w:t xml:space="preserve">Elution programs applied for the HPLC analyses with the two columns: the </w:t>
      </w:r>
      <w:proofErr w:type="spellStart"/>
      <w:r w:rsidRPr="00147358">
        <w:rPr>
          <w:rFonts w:cs="Times New Roman"/>
          <w:i/>
          <w:lang w:val="en-US"/>
        </w:rPr>
        <w:t>Lepidium</w:t>
      </w:r>
      <w:proofErr w:type="spellEnd"/>
      <w:r w:rsidRPr="00147358">
        <w:rPr>
          <w:rFonts w:cs="Times New Roman"/>
          <w:i/>
          <w:lang w:val="en-US"/>
        </w:rPr>
        <w:t xml:space="preserve"> </w:t>
      </w:r>
      <w:proofErr w:type="spellStart"/>
      <w:r w:rsidRPr="00147358">
        <w:rPr>
          <w:rFonts w:cs="Times New Roman"/>
          <w:i/>
          <w:lang w:val="en-US"/>
        </w:rPr>
        <w:t>meyenii</w:t>
      </w:r>
      <w:proofErr w:type="spellEnd"/>
      <w:r w:rsidRPr="00147358">
        <w:rPr>
          <w:rFonts w:cs="Times New Roman"/>
          <w:i/>
          <w:lang w:val="en-US"/>
        </w:rPr>
        <w:t xml:space="preserve"> </w:t>
      </w:r>
      <w:r w:rsidRPr="00147358">
        <w:rPr>
          <w:rFonts w:cs="Times New Roman"/>
          <w:lang w:val="en-US"/>
        </w:rPr>
        <w:t>water extract (W) was on</w:t>
      </w:r>
      <w:r w:rsidRPr="00147358">
        <w:rPr>
          <w:rFonts w:cs="Times New Roman"/>
          <w:b/>
          <w:lang w:val="en-US"/>
        </w:rPr>
        <w:t xml:space="preserve"> </w:t>
      </w:r>
      <w:proofErr w:type="spellStart"/>
      <w:r w:rsidRPr="00147358">
        <w:rPr>
          <w:rFonts w:cs="Times New Roman"/>
          <w:lang w:val="en-US"/>
        </w:rPr>
        <w:t>Kinetex</w:t>
      </w:r>
      <w:proofErr w:type="spellEnd"/>
      <w:r w:rsidRPr="00147358">
        <w:rPr>
          <w:rFonts w:cs="Times New Roman"/>
          <w:lang w:val="en-US"/>
        </w:rPr>
        <w:t xml:space="preserve"> HILIC  and the </w:t>
      </w:r>
      <w:proofErr w:type="spellStart"/>
      <w:r w:rsidRPr="00147358">
        <w:rPr>
          <w:rFonts w:cs="Times New Roman"/>
          <w:lang w:val="en-US"/>
        </w:rPr>
        <w:t>acetonitrile</w:t>
      </w:r>
      <w:proofErr w:type="spellEnd"/>
      <w:r w:rsidRPr="00147358">
        <w:rPr>
          <w:rFonts w:cs="Times New Roman"/>
          <w:lang w:val="en-US"/>
        </w:rPr>
        <w:t xml:space="preserve">/methanol (AM) extract </w:t>
      </w:r>
      <w:r>
        <w:rPr>
          <w:rFonts w:cs="Times New Roman"/>
          <w:lang w:val="en-US"/>
        </w:rPr>
        <w:t>was on Gemini C18</w:t>
      </w:r>
    </w:p>
    <w:tbl>
      <w:tblPr>
        <w:tblStyle w:val="Grigliatabella"/>
        <w:tblpPr w:leftFromText="141" w:rightFromText="141" w:vertAnchor="page" w:horzAnchor="page" w:tblpXSpec="center" w:tblpY="3196"/>
        <w:tblW w:w="0" w:type="auto"/>
        <w:tblLook w:val="04A0"/>
      </w:tblPr>
      <w:tblGrid>
        <w:gridCol w:w="1545"/>
        <w:gridCol w:w="1545"/>
        <w:gridCol w:w="1545"/>
        <w:gridCol w:w="1545"/>
      </w:tblGrid>
      <w:tr w:rsidR="00815B36" w:rsidRPr="00147358" w:rsidTr="00EB222A">
        <w:trPr>
          <w:trHeight w:val="444"/>
        </w:trPr>
        <w:tc>
          <w:tcPr>
            <w:tcW w:w="309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b/>
                <w:lang w:val="en-US"/>
              </w:rPr>
            </w:pPr>
            <w:r w:rsidRPr="00147358">
              <w:rPr>
                <w:rFonts w:cs="Times New Roman"/>
                <w:b/>
                <w:lang w:val="en-US"/>
              </w:rPr>
              <w:t>Gemini C18</w:t>
            </w:r>
          </w:p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(Flow rate 300 µL min</w:t>
            </w:r>
            <w:r w:rsidRPr="00147358">
              <w:rPr>
                <w:rFonts w:cs="Times New Roman"/>
                <w:vertAlign w:val="superscript"/>
                <w:lang w:val="en-US"/>
              </w:rPr>
              <w:t>-1</w:t>
            </w:r>
            <w:r w:rsidRPr="00147358">
              <w:rPr>
                <w:rFonts w:cs="Times New Roman"/>
                <w:lang w:val="en-US"/>
              </w:rPr>
              <w:t>)</w:t>
            </w:r>
          </w:p>
          <w:p w:rsidR="00815B36" w:rsidRPr="00147358" w:rsidRDefault="00815B36" w:rsidP="00EB222A">
            <w:pPr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3090" w:type="dxa"/>
            <w:gridSpan w:val="2"/>
            <w:tcBorders>
              <w:left w:val="double" w:sz="12" w:space="0" w:color="auto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b/>
                <w:lang w:val="en-US"/>
              </w:rPr>
            </w:pPr>
            <w:proofErr w:type="spellStart"/>
            <w:r w:rsidRPr="00147358">
              <w:rPr>
                <w:rFonts w:cs="Times New Roman"/>
                <w:b/>
                <w:lang w:val="en-US"/>
              </w:rPr>
              <w:t>Kinetex</w:t>
            </w:r>
            <w:proofErr w:type="spellEnd"/>
            <w:r w:rsidRPr="00147358">
              <w:rPr>
                <w:rFonts w:cs="Times New Roman"/>
                <w:b/>
                <w:lang w:val="en-US"/>
              </w:rPr>
              <w:t xml:space="preserve"> HILIC</w:t>
            </w:r>
          </w:p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(Flow rate 250 µL min</w:t>
            </w:r>
            <w:r w:rsidRPr="00147358">
              <w:rPr>
                <w:rFonts w:cs="Times New Roman"/>
                <w:vertAlign w:val="superscript"/>
                <w:lang w:val="en-US"/>
              </w:rPr>
              <w:t>-1</w:t>
            </w:r>
            <w:r w:rsidRPr="00147358">
              <w:rPr>
                <w:rFonts w:cs="Times New Roman"/>
                <w:lang w:val="en-US"/>
              </w:rPr>
              <w:t>)</w:t>
            </w:r>
          </w:p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815B36" w:rsidRPr="00147358" w:rsidTr="00EB222A">
        <w:trPr>
          <w:trHeight w:val="395"/>
        </w:trPr>
        <w:tc>
          <w:tcPr>
            <w:tcW w:w="1545" w:type="dxa"/>
            <w:tcBorders>
              <w:lef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Time (min)</w:t>
            </w:r>
          </w:p>
        </w:tc>
        <w:tc>
          <w:tcPr>
            <w:tcW w:w="1545" w:type="dxa"/>
            <w:tcBorders>
              <w:righ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% B</w:t>
            </w:r>
          </w:p>
        </w:tc>
        <w:tc>
          <w:tcPr>
            <w:tcW w:w="1545" w:type="dxa"/>
            <w:tcBorders>
              <w:left w:val="double" w:sz="12" w:space="0" w:color="auto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Time (min)</w:t>
            </w:r>
          </w:p>
        </w:tc>
        <w:tc>
          <w:tcPr>
            <w:tcW w:w="1545" w:type="dxa"/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% B</w:t>
            </w:r>
          </w:p>
        </w:tc>
      </w:tr>
      <w:tr w:rsidR="00815B36" w:rsidRPr="00147358" w:rsidTr="00EB222A">
        <w:trPr>
          <w:trHeight w:val="429"/>
        </w:trPr>
        <w:tc>
          <w:tcPr>
            <w:tcW w:w="1545" w:type="dxa"/>
            <w:tcBorders>
              <w:lef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0</w:t>
            </w:r>
          </w:p>
        </w:tc>
        <w:tc>
          <w:tcPr>
            <w:tcW w:w="1545" w:type="dxa"/>
            <w:tcBorders>
              <w:righ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5</w:t>
            </w:r>
          </w:p>
        </w:tc>
        <w:tc>
          <w:tcPr>
            <w:tcW w:w="1545" w:type="dxa"/>
            <w:tcBorders>
              <w:left w:val="double" w:sz="12" w:space="0" w:color="auto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0</w:t>
            </w:r>
          </w:p>
        </w:tc>
        <w:tc>
          <w:tcPr>
            <w:tcW w:w="1545" w:type="dxa"/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100</w:t>
            </w:r>
          </w:p>
        </w:tc>
      </w:tr>
      <w:tr w:rsidR="00815B36" w:rsidRPr="00147358" w:rsidTr="00EB222A">
        <w:trPr>
          <w:trHeight w:val="407"/>
        </w:trPr>
        <w:tc>
          <w:tcPr>
            <w:tcW w:w="1545" w:type="dxa"/>
            <w:tcBorders>
              <w:lef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25</w:t>
            </w:r>
          </w:p>
        </w:tc>
        <w:tc>
          <w:tcPr>
            <w:tcW w:w="1545" w:type="dxa"/>
            <w:tcBorders>
              <w:righ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35</w:t>
            </w:r>
          </w:p>
        </w:tc>
        <w:tc>
          <w:tcPr>
            <w:tcW w:w="1545" w:type="dxa"/>
            <w:tcBorders>
              <w:left w:val="double" w:sz="12" w:space="0" w:color="auto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5</w:t>
            </w:r>
          </w:p>
        </w:tc>
        <w:tc>
          <w:tcPr>
            <w:tcW w:w="1545" w:type="dxa"/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100</w:t>
            </w:r>
          </w:p>
        </w:tc>
      </w:tr>
      <w:tr w:rsidR="00815B36" w:rsidRPr="00147358" w:rsidTr="00EB222A">
        <w:trPr>
          <w:trHeight w:val="412"/>
        </w:trPr>
        <w:tc>
          <w:tcPr>
            <w:tcW w:w="1545" w:type="dxa"/>
            <w:tcBorders>
              <w:lef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35</w:t>
            </w:r>
          </w:p>
        </w:tc>
        <w:tc>
          <w:tcPr>
            <w:tcW w:w="1545" w:type="dxa"/>
            <w:tcBorders>
              <w:righ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50</w:t>
            </w:r>
          </w:p>
        </w:tc>
        <w:tc>
          <w:tcPr>
            <w:tcW w:w="1545" w:type="dxa"/>
            <w:tcBorders>
              <w:left w:val="double" w:sz="12" w:space="0" w:color="auto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10</w:t>
            </w:r>
          </w:p>
        </w:tc>
        <w:tc>
          <w:tcPr>
            <w:tcW w:w="1545" w:type="dxa"/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50</w:t>
            </w:r>
          </w:p>
        </w:tc>
      </w:tr>
      <w:tr w:rsidR="00815B36" w:rsidRPr="00147358" w:rsidTr="00EB222A">
        <w:trPr>
          <w:trHeight w:val="419"/>
        </w:trPr>
        <w:tc>
          <w:tcPr>
            <w:tcW w:w="1545" w:type="dxa"/>
            <w:tcBorders>
              <w:lef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40</w:t>
            </w:r>
          </w:p>
        </w:tc>
        <w:tc>
          <w:tcPr>
            <w:tcW w:w="1545" w:type="dxa"/>
            <w:tcBorders>
              <w:righ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100</w:t>
            </w:r>
          </w:p>
        </w:tc>
        <w:tc>
          <w:tcPr>
            <w:tcW w:w="1545" w:type="dxa"/>
            <w:tcBorders>
              <w:left w:val="double" w:sz="12" w:space="0" w:color="auto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14</w:t>
            </w:r>
          </w:p>
        </w:tc>
        <w:tc>
          <w:tcPr>
            <w:tcW w:w="1545" w:type="dxa"/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60</w:t>
            </w:r>
          </w:p>
        </w:tc>
      </w:tr>
      <w:tr w:rsidR="00815B36" w:rsidRPr="00147358" w:rsidTr="00EB222A">
        <w:trPr>
          <w:trHeight w:val="410"/>
        </w:trPr>
        <w:tc>
          <w:tcPr>
            <w:tcW w:w="1545" w:type="dxa"/>
            <w:tcBorders>
              <w:lef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50</w:t>
            </w:r>
          </w:p>
        </w:tc>
        <w:tc>
          <w:tcPr>
            <w:tcW w:w="1545" w:type="dxa"/>
            <w:tcBorders>
              <w:right w:val="single" w:sz="4" w:space="0" w:color="000000" w:themeColor="text1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100</w:t>
            </w:r>
          </w:p>
        </w:tc>
        <w:tc>
          <w:tcPr>
            <w:tcW w:w="1545" w:type="dxa"/>
            <w:tcBorders>
              <w:left w:val="double" w:sz="12" w:space="0" w:color="auto"/>
            </w:tcBorders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17</w:t>
            </w:r>
          </w:p>
        </w:tc>
        <w:tc>
          <w:tcPr>
            <w:tcW w:w="1545" w:type="dxa"/>
            <w:vAlign w:val="center"/>
          </w:tcPr>
          <w:p w:rsidR="00815B36" w:rsidRPr="00147358" w:rsidRDefault="00815B36" w:rsidP="00EB222A">
            <w:pPr>
              <w:jc w:val="center"/>
              <w:rPr>
                <w:rFonts w:cs="Times New Roman"/>
                <w:lang w:val="en-US"/>
              </w:rPr>
            </w:pPr>
            <w:r w:rsidRPr="00147358">
              <w:rPr>
                <w:rFonts w:cs="Times New Roman"/>
                <w:lang w:val="en-US"/>
              </w:rPr>
              <w:t>60</w:t>
            </w:r>
          </w:p>
        </w:tc>
      </w:tr>
    </w:tbl>
    <w:p w:rsidR="00815B36" w:rsidRDefault="00815B36" w:rsidP="00815B36">
      <w:pPr>
        <w:spacing w:after="0" w:line="240" w:lineRule="auto"/>
        <w:ind w:right="4224"/>
        <w:jc w:val="both"/>
        <w:rPr>
          <w:rFonts w:cs="Times New Roman"/>
          <w:lang w:val="en-US"/>
        </w:rPr>
      </w:pPr>
    </w:p>
    <w:p w:rsidR="00815B36" w:rsidRPr="00147358" w:rsidRDefault="00815B36" w:rsidP="00815B36">
      <w:pPr>
        <w:spacing w:after="0" w:line="240" w:lineRule="auto"/>
        <w:ind w:left="4253" w:right="4224"/>
        <w:jc w:val="both"/>
        <w:rPr>
          <w:rFonts w:cs="Times New Roman"/>
          <w:lang w:val="en-US"/>
        </w:rPr>
      </w:pPr>
    </w:p>
    <w:p w:rsidR="00815B36" w:rsidRPr="00147358" w:rsidRDefault="00815B36" w:rsidP="00815B36">
      <w:pPr>
        <w:ind w:left="4253" w:right="4222"/>
        <w:jc w:val="both"/>
        <w:rPr>
          <w:lang w:val="en-US"/>
        </w:rPr>
      </w:pPr>
    </w:p>
    <w:p w:rsidR="00815B36" w:rsidRPr="00147358" w:rsidRDefault="00815B36" w:rsidP="00815B36">
      <w:pPr>
        <w:spacing w:after="0" w:line="480" w:lineRule="auto"/>
        <w:jc w:val="both"/>
        <w:rPr>
          <w:rFonts w:cs="Times New Roman"/>
          <w:lang w:val="en-US"/>
        </w:rPr>
      </w:pPr>
    </w:p>
    <w:p w:rsidR="00815B36" w:rsidRPr="00147358" w:rsidRDefault="00815B36" w:rsidP="00815B36">
      <w:pPr>
        <w:spacing w:after="0" w:line="480" w:lineRule="auto"/>
        <w:jc w:val="both"/>
        <w:rPr>
          <w:rFonts w:cs="Times New Roman"/>
        </w:rPr>
      </w:pPr>
    </w:p>
    <w:p w:rsidR="00815B36" w:rsidRPr="00147358" w:rsidRDefault="00815B36" w:rsidP="00815B36">
      <w:pPr>
        <w:spacing w:after="0" w:line="480" w:lineRule="auto"/>
        <w:jc w:val="both"/>
        <w:rPr>
          <w:rFonts w:cs="Times New Roman"/>
        </w:rPr>
      </w:pPr>
    </w:p>
    <w:p w:rsidR="00815B36" w:rsidRPr="00147358" w:rsidRDefault="00815B36" w:rsidP="00815B36">
      <w:pPr>
        <w:spacing w:after="0" w:line="480" w:lineRule="auto"/>
        <w:jc w:val="both"/>
        <w:rPr>
          <w:rFonts w:cs="Times New Roman"/>
        </w:rPr>
      </w:pPr>
    </w:p>
    <w:p w:rsidR="00815B36" w:rsidRPr="00147358" w:rsidRDefault="00815B36" w:rsidP="00815B36">
      <w:pPr>
        <w:spacing w:after="0" w:line="480" w:lineRule="auto"/>
        <w:jc w:val="both"/>
        <w:rPr>
          <w:rFonts w:cs="Times New Roman"/>
        </w:rPr>
      </w:pPr>
    </w:p>
    <w:p w:rsidR="00815B36" w:rsidRPr="00147358" w:rsidRDefault="00815B36" w:rsidP="00815B36">
      <w:pPr>
        <w:spacing w:after="0" w:line="480" w:lineRule="auto"/>
        <w:jc w:val="both"/>
        <w:rPr>
          <w:rFonts w:cs="Times New Roman"/>
        </w:rPr>
      </w:pPr>
    </w:p>
    <w:p w:rsidR="00815B36" w:rsidRPr="00147358" w:rsidRDefault="00815B36" w:rsidP="00815B36">
      <w:pPr>
        <w:spacing w:after="0" w:line="480" w:lineRule="auto"/>
        <w:jc w:val="both"/>
        <w:rPr>
          <w:rFonts w:cs="Times New Roman"/>
        </w:rPr>
      </w:pPr>
    </w:p>
    <w:p w:rsidR="00815B36" w:rsidRPr="00147358" w:rsidRDefault="00815B36" w:rsidP="00815B36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="Times New Roman"/>
          <w:b/>
          <w:lang w:val="en-US" w:eastAsia="it-IT"/>
        </w:rPr>
      </w:pPr>
      <w:r>
        <w:rPr>
          <w:rFonts w:eastAsia="Times New Roman" w:cs="Times New Roman"/>
          <w:b/>
          <w:lang w:val="en-US" w:eastAsia="it-IT"/>
        </w:rPr>
        <w:t xml:space="preserve">Supplementary </w:t>
      </w:r>
      <w:r w:rsidRPr="00147358">
        <w:rPr>
          <w:rFonts w:eastAsia="Times New Roman" w:cs="Times New Roman"/>
          <w:b/>
          <w:lang w:val="en-US" w:eastAsia="it-IT"/>
        </w:rPr>
        <w:t>Figure legends</w:t>
      </w:r>
    </w:p>
    <w:p w:rsidR="00815B36" w:rsidRPr="00147358" w:rsidRDefault="00815B36" w:rsidP="00815B36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="Times New Roman"/>
          <w:lang w:val="en-US" w:eastAsia="it-IT"/>
        </w:rPr>
      </w:pPr>
      <w:r>
        <w:rPr>
          <w:rFonts w:eastAsia="Times New Roman" w:cs="Times New Roman"/>
          <w:b/>
          <w:lang w:eastAsia="it-IT"/>
        </w:rPr>
        <w:t xml:space="preserve">Supplementary </w:t>
      </w:r>
      <w:r w:rsidRPr="00147358">
        <w:rPr>
          <w:rFonts w:eastAsia="Times New Roman" w:cs="Times New Roman"/>
          <w:b/>
          <w:lang w:eastAsia="it-IT"/>
        </w:rPr>
        <w:t xml:space="preserve">Figure </w:t>
      </w:r>
      <w:r>
        <w:rPr>
          <w:rFonts w:eastAsia="Times New Roman" w:cs="Times New Roman"/>
          <w:b/>
          <w:lang w:eastAsia="it-IT"/>
        </w:rPr>
        <w:t>S</w:t>
      </w:r>
      <w:r w:rsidRPr="00147358">
        <w:rPr>
          <w:rFonts w:eastAsia="Times New Roman" w:cs="Times New Roman"/>
          <w:b/>
          <w:lang w:eastAsia="it-IT"/>
        </w:rPr>
        <w:t xml:space="preserve">1. </w:t>
      </w:r>
      <w:r w:rsidRPr="00147358">
        <w:rPr>
          <w:rFonts w:eastAsia="Times New Roman" w:cs="Times New Roman"/>
          <w:lang w:eastAsia="it-IT"/>
        </w:rPr>
        <w:t>Chromatography. a) base peak chromatogram (m z</w:t>
      </w:r>
      <w:r w:rsidRPr="00147358">
        <w:rPr>
          <w:rFonts w:eastAsia="Times New Roman" w:cs="Times New Roman"/>
          <w:vertAlign w:val="superscript"/>
          <w:lang w:eastAsia="it-IT"/>
        </w:rPr>
        <w:t>-1</w:t>
      </w:r>
      <w:r w:rsidRPr="00147358">
        <w:rPr>
          <w:rFonts w:eastAsia="Times New Roman" w:cs="Times New Roman"/>
          <w:lang w:eastAsia="it-IT"/>
        </w:rPr>
        <w:t xml:space="preserve"> 300-450) of the AM extract in positive ion mode. b) extracted ion profiles for some of </w:t>
      </w:r>
      <w:proofErr w:type="spellStart"/>
      <w:r w:rsidRPr="00147358">
        <w:rPr>
          <w:rFonts w:eastAsia="Times New Roman" w:cs="Times New Roman"/>
          <w:lang w:eastAsia="it-IT"/>
        </w:rPr>
        <w:t>macamides</w:t>
      </w:r>
      <w:proofErr w:type="spellEnd"/>
      <w:r w:rsidRPr="00147358">
        <w:rPr>
          <w:rFonts w:eastAsia="Times New Roman" w:cs="Times New Roman"/>
          <w:lang w:eastAsia="it-IT"/>
        </w:rPr>
        <w:t xml:space="preserve"> detected in the AM extract in positive ion mode. All the profiles are the sum of [M+H]</w:t>
      </w:r>
      <w:r w:rsidRPr="00147358">
        <w:rPr>
          <w:rFonts w:eastAsia="Times New Roman" w:cs="Times New Roman"/>
          <w:vertAlign w:val="superscript"/>
          <w:lang w:eastAsia="it-IT"/>
        </w:rPr>
        <w:t>+</w:t>
      </w:r>
      <w:r w:rsidRPr="00147358">
        <w:rPr>
          <w:rFonts w:eastAsia="Times New Roman" w:cs="Times New Roman"/>
          <w:lang w:eastAsia="it-IT"/>
        </w:rPr>
        <w:t xml:space="preserve"> and [</w:t>
      </w:r>
      <w:proofErr w:type="spellStart"/>
      <w:r w:rsidRPr="00147358">
        <w:rPr>
          <w:rFonts w:eastAsia="Times New Roman" w:cs="Times New Roman"/>
          <w:lang w:eastAsia="it-IT"/>
        </w:rPr>
        <w:t>M+Na</w:t>
      </w:r>
      <w:proofErr w:type="spellEnd"/>
      <w:r w:rsidRPr="00147358">
        <w:rPr>
          <w:rFonts w:eastAsia="Times New Roman" w:cs="Times New Roman"/>
          <w:lang w:eastAsia="it-IT"/>
        </w:rPr>
        <w:t>]</w:t>
      </w:r>
      <w:r w:rsidRPr="00147358">
        <w:rPr>
          <w:rFonts w:eastAsia="Times New Roman" w:cs="Times New Roman"/>
          <w:vertAlign w:val="superscript"/>
          <w:lang w:eastAsia="it-IT"/>
        </w:rPr>
        <w:t xml:space="preserve">+ </w:t>
      </w:r>
      <w:r w:rsidRPr="00147358">
        <w:rPr>
          <w:rFonts w:eastAsia="Times New Roman" w:cs="Times New Roman"/>
          <w:lang w:eastAsia="it-IT"/>
        </w:rPr>
        <w:t>ion intensities, with the exception of  the species at 370 m z</w:t>
      </w:r>
      <w:r w:rsidRPr="00147358">
        <w:rPr>
          <w:rFonts w:eastAsia="Times New Roman" w:cs="Times New Roman"/>
          <w:vertAlign w:val="superscript"/>
          <w:lang w:eastAsia="it-IT"/>
        </w:rPr>
        <w:t>-1</w:t>
      </w:r>
      <w:r w:rsidRPr="00147358">
        <w:rPr>
          <w:rFonts w:eastAsia="Times New Roman" w:cs="Times New Roman"/>
          <w:lang w:eastAsia="it-IT"/>
        </w:rPr>
        <w:t xml:space="preserve"> and 374 m z</w:t>
      </w:r>
      <w:r w:rsidRPr="00147358">
        <w:rPr>
          <w:rFonts w:eastAsia="Times New Roman" w:cs="Times New Roman"/>
          <w:vertAlign w:val="superscript"/>
          <w:lang w:eastAsia="it-IT"/>
        </w:rPr>
        <w:t>-1</w:t>
      </w:r>
      <w:r w:rsidRPr="00147358">
        <w:rPr>
          <w:rFonts w:eastAsia="Times New Roman" w:cs="Times New Roman"/>
          <w:lang w:eastAsia="it-IT"/>
        </w:rPr>
        <w:t xml:space="preserve"> for which the [</w:t>
      </w:r>
      <w:proofErr w:type="spellStart"/>
      <w:r w:rsidRPr="00147358">
        <w:rPr>
          <w:rFonts w:eastAsia="Times New Roman" w:cs="Times New Roman"/>
          <w:lang w:eastAsia="it-IT"/>
        </w:rPr>
        <w:t>M+Na</w:t>
      </w:r>
      <w:proofErr w:type="spellEnd"/>
      <w:r w:rsidRPr="00147358">
        <w:rPr>
          <w:rFonts w:eastAsia="Times New Roman" w:cs="Times New Roman"/>
          <w:lang w:eastAsia="it-IT"/>
        </w:rPr>
        <w:t>]</w:t>
      </w:r>
      <w:r w:rsidRPr="00147358">
        <w:rPr>
          <w:rFonts w:eastAsia="Times New Roman" w:cs="Times New Roman"/>
          <w:vertAlign w:val="superscript"/>
          <w:lang w:eastAsia="it-IT"/>
        </w:rPr>
        <w:t>+</w:t>
      </w:r>
      <w:r w:rsidRPr="00147358">
        <w:rPr>
          <w:rFonts w:eastAsia="Times New Roman" w:cs="Times New Roman"/>
          <w:lang w:eastAsia="it-IT"/>
        </w:rPr>
        <w:t xml:space="preserve"> intensity was negligible.</w:t>
      </w:r>
    </w:p>
    <w:p w:rsidR="00815B36" w:rsidRPr="00147358" w:rsidRDefault="00815B36" w:rsidP="00815B36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="Times New Roman"/>
          <w:b/>
          <w:bCs/>
          <w:lang w:eastAsia="it-IT"/>
        </w:rPr>
      </w:pPr>
    </w:p>
    <w:p w:rsidR="00815B36" w:rsidRPr="00147358" w:rsidRDefault="00815B36" w:rsidP="00815B36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/>
          <w:lang w:val="en-US"/>
        </w:rPr>
      </w:pPr>
      <w:r>
        <w:rPr>
          <w:rFonts w:eastAsia="Times New Roman" w:cs="Times New Roman"/>
          <w:b/>
          <w:bCs/>
          <w:lang w:eastAsia="it-IT"/>
        </w:rPr>
        <w:t xml:space="preserve">Supplementary </w:t>
      </w:r>
      <w:r w:rsidRPr="00147358">
        <w:rPr>
          <w:rFonts w:eastAsia="Times New Roman" w:cs="Times New Roman"/>
          <w:b/>
          <w:bCs/>
          <w:lang w:eastAsia="it-IT"/>
        </w:rPr>
        <w:t xml:space="preserve">Figure </w:t>
      </w:r>
      <w:r>
        <w:rPr>
          <w:rFonts w:eastAsia="Times New Roman" w:cs="Times New Roman"/>
          <w:b/>
          <w:bCs/>
          <w:lang w:eastAsia="it-IT"/>
        </w:rPr>
        <w:t>S</w:t>
      </w:r>
      <w:r w:rsidRPr="00147358">
        <w:rPr>
          <w:rFonts w:eastAsia="Times New Roman" w:cs="Times New Roman"/>
          <w:b/>
          <w:bCs/>
          <w:lang w:eastAsia="it-IT"/>
        </w:rPr>
        <w:t>2.</w:t>
      </w:r>
      <w:r w:rsidRPr="00147358">
        <w:rPr>
          <w:rFonts w:eastAsia="Times New Roman" w:cs="Times New Roman"/>
          <w:lang w:eastAsia="it-IT"/>
        </w:rPr>
        <w:t xml:space="preserve"> AM extract: a) profile at 330 nm and UV-Vis spectra of the </w:t>
      </w:r>
      <w:r w:rsidRPr="00147358">
        <w:rPr>
          <w:rFonts w:eastAsia="Times New Roman" w:cs="Times New Roman"/>
          <w:b/>
          <w:bCs/>
          <w:lang w:eastAsia="it-IT"/>
        </w:rPr>
        <w:t>1-4</w:t>
      </w:r>
      <w:r w:rsidRPr="00147358">
        <w:rPr>
          <w:rFonts w:eastAsia="Times New Roman" w:cs="Times New Roman"/>
          <w:lang w:eastAsia="it-IT"/>
        </w:rPr>
        <w:t xml:space="preserve"> unknown compounds; b) </w:t>
      </w:r>
      <w:r w:rsidRPr="00147358">
        <w:rPr>
          <w:rFonts w:eastAsia="Times New Roman"/>
          <w:lang w:val="en-US"/>
        </w:rPr>
        <w:t xml:space="preserve"> base peak chromatogram in positive ion mode and the extract ion profiles of the </w:t>
      </w:r>
      <w:r w:rsidRPr="00147358">
        <w:rPr>
          <w:rFonts w:eastAsia="Times New Roman"/>
          <w:b/>
          <w:bCs/>
          <w:lang w:val="en-US"/>
        </w:rPr>
        <w:t xml:space="preserve">3 </w:t>
      </w:r>
      <w:r w:rsidRPr="00147358">
        <w:rPr>
          <w:rFonts w:eastAsia="Times New Roman"/>
          <w:lang w:val="en-US"/>
        </w:rPr>
        <w:t xml:space="preserve">and </w:t>
      </w:r>
      <w:r w:rsidRPr="00147358">
        <w:rPr>
          <w:rFonts w:eastAsia="Times New Roman"/>
          <w:b/>
          <w:bCs/>
          <w:lang w:val="en-US"/>
        </w:rPr>
        <w:t xml:space="preserve">4 </w:t>
      </w:r>
      <w:r w:rsidRPr="00147358">
        <w:rPr>
          <w:rFonts w:eastAsia="Times New Roman"/>
          <w:lang w:val="en-US"/>
        </w:rPr>
        <w:t xml:space="preserve">unknown </w:t>
      </w:r>
      <w:proofErr w:type="spellStart"/>
      <w:r w:rsidRPr="00147358">
        <w:rPr>
          <w:rFonts w:eastAsia="Times New Roman"/>
          <w:lang w:val="en-US"/>
        </w:rPr>
        <w:t>analytes</w:t>
      </w:r>
      <w:proofErr w:type="spellEnd"/>
      <w:r w:rsidRPr="00147358">
        <w:rPr>
          <w:rFonts w:eastAsia="Times New Roman"/>
          <w:lang w:val="en-US"/>
        </w:rPr>
        <w:t xml:space="preserve"> reported as sum of [M+H]</w:t>
      </w:r>
      <w:r w:rsidRPr="00147358">
        <w:rPr>
          <w:rFonts w:eastAsia="Times New Roman"/>
          <w:vertAlign w:val="superscript"/>
          <w:lang w:val="en-US"/>
        </w:rPr>
        <w:t>+</w:t>
      </w:r>
      <w:r w:rsidRPr="00147358">
        <w:rPr>
          <w:rFonts w:eastAsia="Times New Roman"/>
          <w:lang w:val="en-US"/>
        </w:rPr>
        <w:t xml:space="preserve"> and [</w:t>
      </w:r>
      <w:proofErr w:type="spellStart"/>
      <w:r w:rsidRPr="00147358">
        <w:rPr>
          <w:rFonts w:eastAsia="Times New Roman"/>
          <w:lang w:val="en-US"/>
        </w:rPr>
        <w:t>M+Na</w:t>
      </w:r>
      <w:proofErr w:type="spellEnd"/>
      <w:r w:rsidRPr="00147358">
        <w:rPr>
          <w:rFonts w:eastAsia="Times New Roman"/>
          <w:lang w:val="en-US"/>
        </w:rPr>
        <w:t>]</w:t>
      </w:r>
      <w:r w:rsidRPr="00147358">
        <w:rPr>
          <w:rFonts w:eastAsia="Times New Roman"/>
          <w:vertAlign w:val="superscript"/>
          <w:lang w:val="en-US"/>
        </w:rPr>
        <w:t xml:space="preserve">+ </w:t>
      </w:r>
      <w:r w:rsidRPr="00147358">
        <w:rPr>
          <w:rFonts w:eastAsia="Times New Roman"/>
          <w:lang w:val="en-US"/>
        </w:rPr>
        <w:t>species.</w:t>
      </w:r>
    </w:p>
    <w:p w:rsidR="00C82657" w:rsidRPr="00815B36" w:rsidRDefault="00C82657">
      <w:pPr>
        <w:rPr>
          <w:lang w:val="en-US"/>
        </w:rPr>
      </w:pPr>
    </w:p>
    <w:sectPr w:rsidR="00C82657" w:rsidRPr="00815B36" w:rsidSect="00C826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283"/>
  <w:characterSpacingControl w:val="doNotCompress"/>
  <w:compat/>
  <w:rsids>
    <w:rsidRoot w:val="006F734C"/>
    <w:rsid w:val="003076A2"/>
    <w:rsid w:val="006F734C"/>
    <w:rsid w:val="00815520"/>
    <w:rsid w:val="00815B36"/>
    <w:rsid w:val="008D5DBE"/>
    <w:rsid w:val="00C8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5B36"/>
    <w:rPr>
      <w:rFonts w:ascii="Times New Roman" w:eastAsia="Calibri" w:hAnsi="Times New Roman" w:cs="Cambria Math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5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</dc:creator>
  <cp:lastModifiedBy>lorenzo</cp:lastModifiedBy>
  <cp:revision>2</cp:revision>
  <dcterms:created xsi:type="dcterms:W3CDTF">2017-06-28T13:36:00Z</dcterms:created>
  <dcterms:modified xsi:type="dcterms:W3CDTF">2017-06-28T13:40:00Z</dcterms:modified>
</cp:coreProperties>
</file>