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44" w:rsidRPr="005B587A" w:rsidRDefault="00176D44" w:rsidP="00176D44">
      <w:pPr>
        <w:pStyle w:val="a"/>
        <w:wordWrap/>
        <w:spacing w:line="480" w:lineRule="auto"/>
        <w:rPr>
          <w:rFonts w:ascii="Arial" w:eastAsia="GulimChe" w:hAnsi="Arial" w:cs="Arial"/>
          <w:color w:val="000000" w:themeColor="text1"/>
          <w:sz w:val="24"/>
          <w:szCs w:val="24"/>
        </w:rPr>
      </w:pPr>
    </w:p>
    <w:p w:rsidR="00176D44" w:rsidRPr="005B587A" w:rsidRDefault="00176D44" w:rsidP="00176D44">
      <w:pPr>
        <w:pStyle w:val="a"/>
        <w:wordWrap/>
        <w:spacing w:line="480" w:lineRule="auto"/>
        <w:rPr>
          <w:rFonts w:ascii="Arial" w:eastAsia="GulimChe" w:hAnsi="Arial" w:cs="Arial"/>
          <w:bCs/>
          <w:color w:val="000000" w:themeColor="text1"/>
          <w:sz w:val="24"/>
          <w:szCs w:val="24"/>
        </w:rPr>
      </w:pPr>
      <w:r w:rsidRPr="005B587A">
        <w:rPr>
          <w:rFonts w:ascii="Arial" w:eastAsia="GulimChe" w:hAnsi="Arial" w:cs="Arial"/>
          <w:bCs/>
          <w:color w:val="000000" w:themeColor="text1"/>
          <w:sz w:val="24"/>
          <w:szCs w:val="24"/>
        </w:rPr>
        <w:t>Supplementary Section</w:t>
      </w:r>
    </w:p>
    <w:p w:rsidR="00176D44" w:rsidRPr="005B587A" w:rsidRDefault="00176D44" w:rsidP="00176D44">
      <w:pPr>
        <w:pStyle w:val="a"/>
        <w:wordWrap/>
        <w:spacing w:line="480" w:lineRule="auto"/>
        <w:rPr>
          <w:rFonts w:ascii="Arial" w:eastAsia="GulimChe" w:hAnsi="Arial" w:cs="Arial"/>
          <w:bCs/>
          <w:color w:val="000000" w:themeColor="text1"/>
          <w:sz w:val="24"/>
          <w:szCs w:val="24"/>
        </w:rPr>
      </w:pPr>
      <w:r w:rsidRPr="005B587A">
        <w:rPr>
          <w:rFonts w:ascii="Arial" w:eastAsia="GulimChe" w:hAnsi="Arial" w:cs="Arial"/>
          <w:bCs/>
          <w:color w:val="000000" w:themeColor="text1"/>
          <w:sz w:val="24"/>
          <w:szCs w:val="24"/>
        </w:rPr>
        <w:t>Experimental</w:t>
      </w:r>
    </w:p>
    <w:p w:rsidR="00176D44" w:rsidRPr="005B587A" w:rsidRDefault="00176D44" w:rsidP="00176D44">
      <w:pPr>
        <w:adjustRightInd w:val="0"/>
        <w:spacing w:after="0" w:line="480" w:lineRule="auto"/>
        <w:rPr>
          <w:rFonts w:ascii="Arial" w:eastAsia="TimesNewRomanPS-BoldMT" w:hAnsi="Arial" w:cs="Arial"/>
          <w:color w:val="000000" w:themeColor="text1"/>
          <w:sz w:val="24"/>
          <w:szCs w:val="24"/>
        </w:rPr>
      </w:pPr>
      <w:r w:rsidRPr="005B587A">
        <w:rPr>
          <w:rFonts w:ascii="Arial" w:hAnsi="Arial" w:cs="Arial"/>
          <w:color w:val="000000" w:themeColor="text1"/>
          <w:sz w:val="24"/>
          <w:szCs w:val="24"/>
        </w:rPr>
        <w:t>MTS (3-(4</w:t>
      </w:r>
      <w:proofErr w:type="gramStart"/>
      <w:r w:rsidRPr="005B587A">
        <w:rPr>
          <w:rFonts w:ascii="Arial" w:hAnsi="Arial" w:cs="Arial"/>
          <w:color w:val="000000" w:themeColor="text1"/>
          <w:sz w:val="24"/>
          <w:szCs w:val="24"/>
        </w:rPr>
        <w:t>,5</w:t>
      </w:r>
      <w:proofErr w:type="gramEnd"/>
      <w:r w:rsidRPr="005B587A">
        <w:rPr>
          <w:rFonts w:ascii="Arial" w:hAnsi="Arial" w:cs="Arial"/>
          <w:color w:val="000000" w:themeColor="text1"/>
          <w:sz w:val="24"/>
          <w:szCs w:val="24"/>
        </w:rPr>
        <w:t xml:space="preserve">-dimethylthiazol-2-yl)-5-(3-carboxymethoxyphenyl)-2-(4-sulfophenyl)-2H </w:t>
      </w:r>
      <w:proofErr w:type="spellStart"/>
      <w:r w:rsidRPr="005B587A">
        <w:rPr>
          <w:rFonts w:ascii="Arial" w:hAnsi="Arial" w:cs="Arial"/>
          <w:color w:val="000000" w:themeColor="text1"/>
          <w:sz w:val="24"/>
          <w:szCs w:val="24"/>
        </w:rPr>
        <w:t>tetrazolium</w:t>
      </w:r>
      <w:proofErr w:type="spellEnd"/>
      <w:r w:rsidRPr="005B587A">
        <w:rPr>
          <w:rFonts w:ascii="Arial" w:hAnsi="Arial" w:cs="Arial"/>
          <w:color w:val="000000" w:themeColor="text1"/>
          <w:sz w:val="24"/>
          <w:szCs w:val="24"/>
        </w:rPr>
        <w:t xml:space="preserve">) Assay in 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>B16/F10 Melanoma Cells</w:t>
      </w:r>
    </w:p>
    <w:p w:rsidR="00176D44" w:rsidRPr="005B587A" w:rsidRDefault="00176D44" w:rsidP="00176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Arial" w:eastAsia="TimesNewRomanPSMT" w:hAnsi="Arial" w:cs="Arial"/>
          <w:color w:val="000000" w:themeColor="text1"/>
          <w:sz w:val="24"/>
          <w:szCs w:val="24"/>
        </w:rPr>
      </w:pPr>
      <w:r w:rsidRPr="005B587A">
        <w:rPr>
          <w:rFonts w:ascii="Arial" w:eastAsia="TimesNewRomanPSMT" w:hAnsi="Arial" w:cs="Arial"/>
          <w:color w:val="000000" w:themeColor="text1"/>
          <w:sz w:val="24"/>
          <w:szCs w:val="24"/>
        </w:rPr>
        <w:t>The cells were seeded in a 96-well (2 × 10</w:t>
      </w:r>
      <w:r w:rsidRPr="005B587A">
        <w:rPr>
          <w:rFonts w:ascii="Arial" w:eastAsia="TimesNewRomanPSMT" w:hAnsi="Arial" w:cs="Arial"/>
          <w:color w:val="000000" w:themeColor="text1"/>
          <w:sz w:val="24"/>
          <w:szCs w:val="24"/>
          <w:vertAlign w:val="superscript"/>
        </w:rPr>
        <w:t xml:space="preserve">4 </w:t>
      </w:r>
      <w:r w:rsidRPr="005B587A">
        <w:rPr>
          <w:rFonts w:ascii="Arial" w:eastAsia="TimesNewRomanPSMT" w:hAnsi="Arial" w:cs="Arial"/>
          <w:color w:val="000000" w:themeColor="text1"/>
          <w:sz w:val="24"/>
          <w:szCs w:val="24"/>
        </w:rPr>
        <w:t xml:space="preserve">cells/well) and treated with different doses of ECF for 24 h. After incubation, 20 </w:t>
      </w:r>
      <w:proofErr w:type="spellStart"/>
      <w:r w:rsidRPr="005B587A">
        <w:rPr>
          <w:rFonts w:ascii="Arial" w:eastAsia="TimesNewRomanPSMT" w:hAnsi="Arial" w:cs="Arial"/>
          <w:color w:val="000000" w:themeColor="text1"/>
          <w:sz w:val="24"/>
          <w:szCs w:val="24"/>
        </w:rPr>
        <w:t>μL</w:t>
      </w:r>
      <w:proofErr w:type="spellEnd"/>
      <w:r w:rsidRPr="005B587A">
        <w:rPr>
          <w:rFonts w:ascii="Arial" w:eastAsia="TimesNewRomanPSMT" w:hAnsi="Arial" w:cs="Arial"/>
          <w:color w:val="000000" w:themeColor="text1"/>
          <w:sz w:val="24"/>
          <w:szCs w:val="24"/>
        </w:rPr>
        <w:t xml:space="preserve"> of the MTS working solution (2 mg/mL in PBS) was added to each well and incubated at 37 °C for 4 h. Absorbance at 490 nm was measured using a </w:t>
      </w:r>
      <w:proofErr w:type="spellStart"/>
      <w:r w:rsidRPr="005B587A">
        <w:rPr>
          <w:rFonts w:ascii="Arial" w:eastAsia="TimesNewRomanPSMT" w:hAnsi="Arial" w:cs="Arial"/>
          <w:color w:val="000000" w:themeColor="text1"/>
          <w:sz w:val="24"/>
          <w:szCs w:val="24"/>
        </w:rPr>
        <w:t>microplate</w:t>
      </w:r>
      <w:proofErr w:type="spellEnd"/>
      <w:r w:rsidRPr="005B587A">
        <w:rPr>
          <w:rFonts w:ascii="Arial" w:eastAsia="TimesNewRomanPSMT" w:hAnsi="Arial" w:cs="Arial"/>
          <w:color w:val="000000" w:themeColor="text1"/>
          <w:sz w:val="24"/>
          <w:szCs w:val="24"/>
        </w:rPr>
        <w:t xml:space="preserve"> reader and cell viability was determined as the percentage of MTS reduction, assuming the absorbance of control cells as 100 %.</w:t>
      </w:r>
    </w:p>
    <w:p w:rsidR="00176D44" w:rsidRPr="005B587A" w:rsidRDefault="00176D44" w:rsidP="00176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76D44" w:rsidRPr="005B587A" w:rsidRDefault="00176D44" w:rsidP="00176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proofErr w:type="spellStart"/>
      <w:r w:rsidRPr="005B587A">
        <w:rPr>
          <w:rFonts w:ascii="Arial" w:hAnsi="Arial" w:cs="Arial"/>
          <w:iCs/>
          <w:color w:val="000000" w:themeColor="text1"/>
          <w:sz w:val="24"/>
          <w:szCs w:val="24"/>
        </w:rPr>
        <w:t>Tyrosinase</w:t>
      </w:r>
      <w:proofErr w:type="spellEnd"/>
      <w:r w:rsidRPr="005B587A">
        <w:rPr>
          <w:rFonts w:ascii="Arial" w:hAnsi="Arial" w:cs="Arial"/>
          <w:iCs/>
          <w:color w:val="000000" w:themeColor="text1"/>
          <w:sz w:val="24"/>
          <w:szCs w:val="24"/>
        </w:rPr>
        <w:t xml:space="preserve"> Inhibition Assay</w:t>
      </w:r>
    </w:p>
    <w:p w:rsidR="00176D44" w:rsidRPr="005B587A" w:rsidRDefault="00176D44" w:rsidP="00176D44">
      <w:pPr>
        <w:pStyle w:val="a"/>
        <w:wordWrap/>
        <w:spacing w:line="480" w:lineRule="auto"/>
        <w:rPr>
          <w:rFonts w:ascii="Arial" w:eastAsia="함초롬바탕" w:hAnsi="Arial" w:cs="Arial"/>
          <w:color w:val="000000" w:themeColor="text1"/>
          <w:sz w:val="24"/>
          <w:szCs w:val="24"/>
        </w:rPr>
      </w:pP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0.1 M phosphate buffer and 1.5 </w:t>
      </w:r>
      <w:proofErr w:type="spellStart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>mM</w:t>
      </w:r>
      <w:proofErr w:type="spellEnd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tyrosine were mixed in a test tube. </w:t>
      </w:r>
      <w:proofErr w:type="spellStart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>Tyrosinase</w:t>
      </w:r>
      <w:proofErr w:type="spellEnd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(1,500-2,000 U/mL) was added sequentially and reacted at 37 °C for 15 minutes. The absorbance was measured at 490 nm using an ELISA reader. </w:t>
      </w:r>
      <w:proofErr w:type="spellStart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>Tyrosinase</w:t>
      </w:r>
      <w:proofErr w:type="spellEnd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inhibitory activity was expressed by the decrease in absorbance between the OD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  <w:vertAlign w:val="subscript"/>
        </w:rPr>
        <w:t>490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value of the samples and the OD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  <w:vertAlign w:val="subscript"/>
        </w:rPr>
        <w:t>490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value of the control.</w:t>
      </w:r>
    </w:p>
    <w:p w:rsidR="00176D44" w:rsidRPr="005B587A" w:rsidRDefault="00176D44" w:rsidP="00176D44">
      <w:pPr>
        <w:pStyle w:val="a"/>
        <w:wordWrap/>
        <w:spacing w:line="480" w:lineRule="auto"/>
        <w:rPr>
          <w:rFonts w:ascii="Arial" w:eastAsia="함초롬바탕" w:hAnsi="Arial" w:cs="Arial"/>
          <w:color w:val="000000" w:themeColor="text1"/>
          <w:sz w:val="24"/>
          <w:szCs w:val="24"/>
        </w:rPr>
      </w:pPr>
    </w:p>
    <w:p w:rsidR="00176D44" w:rsidRPr="005B587A" w:rsidRDefault="00176D44" w:rsidP="00176D44">
      <w:pPr>
        <w:pStyle w:val="a"/>
        <w:wordWrap/>
        <w:spacing w:line="480" w:lineRule="auto"/>
        <w:rPr>
          <w:rFonts w:ascii="Arial" w:eastAsia="함초롬바탕" w:hAnsi="Arial" w:cs="Arial"/>
          <w:iCs/>
          <w:color w:val="000000" w:themeColor="text1"/>
          <w:sz w:val="24"/>
          <w:szCs w:val="24"/>
        </w:rPr>
      </w:pPr>
      <w:r w:rsidRPr="005B587A">
        <w:rPr>
          <w:rFonts w:ascii="Arial" w:eastAsia="함초롬바탕" w:hAnsi="Arial" w:cs="Arial"/>
          <w:iCs/>
          <w:color w:val="000000" w:themeColor="text1"/>
          <w:sz w:val="24"/>
          <w:szCs w:val="24"/>
        </w:rPr>
        <w:t>Measurement of Melanin Content</w:t>
      </w:r>
    </w:p>
    <w:p w:rsidR="00176D44" w:rsidRPr="005B587A" w:rsidRDefault="00176D44" w:rsidP="00176D44">
      <w:pPr>
        <w:pStyle w:val="a"/>
        <w:wordWrap/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>B16/F10 melanoma cells were dispensed in 6-well (1 × 10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  <w:vertAlign w:val="superscript"/>
        </w:rPr>
        <w:t xml:space="preserve">6 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cells/well) and incubated for 24 h, and then treated with 10 µM </w:t>
      </w:r>
      <w:proofErr w:type="spellStart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>forskolin</w:t>
      </w:r>
      <w:proofErr w:type="spellEnd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. After incubation for 48 h, 1N </w:t>
      </w:r>
      <w:proofErr w:type="spellStart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>NaOH</w:t>
      </w:r>
      <w:proofErr w:type="spellEnd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was added to the precipitate from which the cells were recovered. Absorbance was measured at 405 nm. Relative melanin contents were expressed by the decrease in absorbance between the OD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  <w:vertAlign w:val="subscript"/>
        </w:rPr>
        <w:t>405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value of the control and the OD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  <w:vertAlign w:val="subscript"/>
        </w:rPr>
        <w:t>405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value of the 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lastRenderedPageBreak/>
        <w:t>samples.</w:t>
      </w:r>
    </w:p>
    <w:p w:rsidR="00176D44" w:rsidRPr="005B587A" w:rsidRDefault="00176D44" w:rsidP="00176D44">
      <w:pPr>
        <w:pStyle w:val="a"/>
        <w:wordWrap/>
        <w:spacing w:line="48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176D44" w:rsidRPr="005B587A" w:rsidRDefault="00176D44" w:rsidP="00176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Arial" w:eastAsia="함초롬바탕" w:hAnsi="Arial" w:cs="Arial"/>
          <w:iCs/>
          <w:color w:val="000000" w:themeColor="text1"/>
          <w:sz w:val="24"/>
          <w:szCs w:val="24"/>
        </w:rPr>
      </w:pPr>
      <w:r w:rsidRPr="005B587A">
        <w:rPr>
          <w:rFonts w:ascii="Arial" w:eastAsia="함초롬바탕" w:hAnsi="Arial" w:cs="Arial"/>
          <w:iCs/>
          <w:color w:val="000000" w:themeColor="text1"/>
          <w:sz w:val="24"/>
          <w:szCs w:val="24"/>
        </w:rPr>
        <w:t>Ultra-Performance Liquid Chromatography (UPLC)-MS/MS</w:t>
      </w:r>
    </w:p>
    <w:p w:rsidR="00176D44" w:rsidRPr="005B587A" w:rsidRDefault="00176D44" w:rsidP="00176D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Arial" w:eastAsia="함초롬바탕" w:hAnsi="Arial" w:cs="Arial"/>
          <w:color w:val="000000" w:themeColor="text1"/>
          <w:sz w:val="24"/>
          <w:szCs w:val="24"/>
        </w:rPr>
      </w:pPr>
      <w:r w:rsidRPr="005B587A">
        <w:rPr>
          <w:rFonts w:ascii="Arial" w:eastAsia="GulimChe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Pr="005B587A">
        <w:rPr>
          <w:rFonts w:ascii="Arial" w:eastAsia="함초롬바탕" w:hAnsi="Arial" w:cs="Arial"/>
          <w:i/>
          <w:iCs/>
          <w:color w:val="000000" w:themeColor="text1"/>
          <w:sz w:val="24"/>
          <w:szCs w:val="24"/>
        </w:rPr>
        <w:t>Corni</w:t>
      </w:r>
      <w:proofErr w:type="spellEnd"/>
      <w:r w:rsidRPr="005B587A">
        <w:rPr>
          <w:rFonts w:ascii="Arial" w:eastAsia="함초롬바탕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B587A">
        <w:rPr>
          <w:rFonts w:ascii="Arial" w:eastAsia="함초롬바탕" w:hAnsi="Arial" w:cs="Arial"/>
          <w:i/>
          <w:iCs/>
          <w:color w:val="000000" w:themeColor="text1"/>
          <w:sz w:val="24"/>
          <w:szCs w:val="24"/>
        </w:rPr>
        <w:t>fructus</w:t>
      </w:r>
      <w:proofErr w:type="spellEnd"/>
      <w:r w:rsidRPr="005B58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was</w:t>
      </w:r>
      <w:r w:rsidRPr="005B587A">
        <w:rPr>
          <w:rFonts w:ascii="Arial" w:eastAsia="GulimChe" w:hAnsi="Arial" w:cs="Arial"/>
          <w:color w:val="000000" w:themeColor="text1"/>
          <w:sz w:val="24"/>
          <w:szCs w:val="24"/>
        </w:rPr>
        <w:t xml:space="preserve"> dried and </w:t>
      </w:r>
      <w:r w:rsidRPr="005B587A">
        <w:rPr>
          <w:rFonts w:ascii="Arial" w:eastAsia="TimesNewRomanPSMT" w:hAnsi="Arial" w:cs="Arial"/>
          <w:color w:val="000000" w:themeColor="text1"/>
          <w:sz w:val="24"/>
          <w:szCs w:val="24"/>
        </w:rPr>
        <w:t xml:space="preserve">extracted using hot water for 24 h. 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Using UPLC-MS/MS, </w:t>
      </w:r>
      <w:proofErr w:type="spellStart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>cornuside</w:t>
      </w:r>
      <w:proofErr w:type="spellEnd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was identified in the ECF. Later, </w:t>
      </w:r>
      <w:proofErr w:type="spellStart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>cornuside</w:t>
      </w:r>
      <w:proofErr w:type="spellEnd"/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 was not directly extracted from ECF but purchased from Sigma-Aldrich. </w:t>
      </w:r>
      <w:r w:rsidRPr="005B587A">
        <w:rPr>
          <w:rFonts w:ascii="Arial" w:eastAsia="문체부 바탕체" w:hAnsi="Arial" w:cs="Arial"/>
          <w:color w:val="000000" w:themeColor="text1"/>
          <w:sz w:val="24"/>
          <w:szCs w:val="24"/>
        </w:rPr>
        <w:t xml:space="preserve">The UPLC-MS/MS was performed using a Waters </w:t>
      </w:r>
      <w:proofErr w:type="spellStart"/>
      <w:r w:rsidRPr="005B587A">
        <w:rPr>
          <w:rFonts w:ascii="Arial" w:eastAsia="문체부 바탕체" w:hAnsi="Arial" w:cs="Arial"/>
          <w:color w:val="000000" w:themeColor="text1"/>
          <w:sz w:val="24"/>
          <w:szCs w:val="24"/>
        </w:rPr>
        <w:t>Xevo</w:t>
      </w:r>
      <w:proofErr w:type="spellEnd"/>
      <w:r w:rsidRPr="005B587A">
        <w:rPr>
          <w:rFonts w:ascii="Arial" w:eastAsia="문체부 바탕체" w:hAnsi="Arial" w:cs="Arial"/>
          <w:color w:val="000000" w:themeColor="text1"/>
          <w:sz w:val="24"/>
          <w:szCs w:val="24"/>
        </w:rPr>
        <w:t xml:space="preserve"> TQ-S system (Waters, USA). Chromatographic separation was performed by injecting 5 </w:t>
      </w:r>
      <w:proofErr w:type="spellStart"/>
      <w:r w:rsidRPr="005B587A">
        <w:rPr>
          <w:rFonts w:ascii="Arial" w:eastAsia="Malgun Gothic" w:hAnsi="Arial" w:cs="Arial"/>
          <w:color w:val="000000" w:themeColor="text1"/>
          <w:sz w:val="24"/>
          <w:szCs w:val="24"/>
        </w:rPr>
        <w:t>μ</w:t>
      </w:r>
      <w:r w:rsidRPr="005B587A">
        <w:rPr>
          <w:rFonts w:ascii="Arial" w:eastAsia="Batang" w:hAnsi="Arial" w:cs="Arial"/>
          <w:color w:val="000000" w:themeColor="text1"/>
          <w:sz w:val="24"/>
          <w:szCs w:val="24"/>
        </w:rPr>
        <w:t>L</w:t>
      </w:r>
      <w:proofErr w:type="spellEnd"/>
      <w:r w:rsidRPr="005B587A">
        <w:rPr>
          <w:rFonts w:ascii="Arial" w:eastAsia="문체부 바탕체" w:hAnsi="Arial" w:cs="Arial"/>
          <w:color w:val="000000" w:themeColor="text1"/>
          <w:sz w:val="24"/>
          <w:szCs w:val="24"/>
        </w:rPr>
        <w:t xml:space="preserve"> supernatant onto a Waters ACQUITY BEH C8 column (100 mm × 2.1 mm, 1.7 </w:t>
      </w:r>
      <w:proofErr w:type="spellStart"/>
      <w:r w:rsidRPr="005B587A">
        <w:rPr>
          <w:rFonts w:ascii="Arial" w:eastAsia="문체부 바탕체" w:hAnsi="Arial" w:cs="Arial"/>
          <w:color w:val="000000" w:themeColor="text1"/>
          <w:sz w:val="24"/>
          <w:szCs w:val="24"/>
        </w:rPr>
        <w:t>μ</w:t>
      </w:r>
      <w:r w:rsidRPr="005B587A">
        <w:rPr>
          <w:rFonts w:ascii="Arial" w:eastAsia="Batang" w:hAnsi="Arial" w:cs="Arial"/>
          <w:color w:val="000000" w:themeColor="text1"/>
          <w:sz w:val="24"/>
          <w:szCs w:val="24"/>
        </w:rPr>
        <w:t>m</w:t>
      </w:r>
      <w:proofErr w:type="spellEnd"/>
      <w:r w:rsidRPr="005B587A">
        <w:rPr>
          <w:rFonts w:ascii="Arial" w:eastAsia="문체부 바탕체" w:hAnsi="Arial" w:cs="Arial"/>
          <w:color w:val="000000" w:themeColor="text1"/>
          <w:sz w:val="24"/>
          <w:szCs w:val="24"/>
        </w:rPr>
        <w:t xml:space="preserve">, Waters, USA). </w:t>
      </w:r>
      <w:r w:rsidRPr="005B587A">
        <w:rPr>
          <w:rFonts w:ascii="Arial" w:eastAsia="함초롬바탕" w:hAnsi="Arial" w:cs="Arial"/>
          <w:color w:val="000000" w:themeColor="text1"/>
          <w:sz w:val="24"/>
          <w:szCs w:val="24"/>
        </w:rPr>
        <w:t xml:space="preserve">Mobile phase: 0.1% formic acid, distilled water/0.1% formic acid, acetonitrile (A/B, v/v) as a gradient elution: 0min-5% B, 1min-5% B, 4min-100% B, 4.5min-100% B, 5min-5% B, 10min-5% B. </w:t>
      </w:r>
      <w:r w:rsidRPr="005B587A">
        <w:rPr>
          <w:rFonts w:ascii="Arial" w:eastAsia="문체부 바탕체" w:hAnsi="Arial" w:cs="Arial"/>
          <w:color w:val="000000" w:themeColor="text1"/>
          <w:sz w:val="24"/>
          <w:szCs w:val="24"/>
        </w:rPr>
        <w:t>The flow rate was 0.5 mL/min.</w:t>
      </w:r>
    </w:p>
    <w:p w:rsidR="00A51FD7" w:rsidRDefault="00A51FD7">
      <w:bookmarkStart w:id="0" w:name="_GoBack"/>
      <w:bookmarkEnd w:id="0"/>
    </w:p>
    <w:sectPr w:rsidR="00A51FD7" w:rsidSect="00922BE5">
      <w:footerReference w:type="default" r:id="rId5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altName w:val="Arial Unicode MS"/>
    <w:charset w:val="81"/>
    <w:family w:val="roman"/>
    <w:pitch w:val="variable"/>
    <w:sig w:usb0="00000000" w:usb1="19DFFFFF" w:usb2="001BFDD7" w:usb3="00000000" w:csb0="001F007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문체부 바탕체">
    <w:altName w:val="Arial Unicode MS"/>
    <w:charset w:val="81"/>
    <w:family w:val="roman"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484867"/>
      <w:docPartObj>
        <w:docPartGallery w:val="Page Numbers (Bottom of Page)"/>
        <w:docPartUnique/>
      </w:docPartObj>
    </w:sdtPr>
    <w:sdtEndPr/>
    <w:sdtContent>
      <w:p w:rsidR="00B54F1E" w:rsidRDefault="00176D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6D44">
          <w:rPr>
            <w:noProof/>
            <w:lang w:val="ko-KR"/>
          </w:rPr>
          <w:t>2</w:t>
        </w:r>
        <w:r>
          <w:fldChar w:fldCharType="end"/>
        </w:r>
      </w:p>
    </w:sdtContent>
  </w:sdt>
  <w:p w:rsidR="00B54F1E" w:rsidRDefault="00176D4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44"/>
    <w:rsid w:val="00176D44"/>
    <w:rsid w:val="00A5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76D44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Gulim" w:hAnsi="Gulim" w:cs="Gulim"/>
      <w:color w:val="000000"/>
      <w:sz w:val="20"/>
      <w:szCs w:val="20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176D44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176D44"/>
    <w:rPr>
      <w:rFonts w:eastAsiaTheme="minorEastAsia"/>
      <w:kern w:val="2"/>
      <w:sz w:val="20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76D44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Gulim" w:hAnsi="Gulim" w:cs="Gulim"/>
      <w:color w:val="000000"/>
      <w:sz w:val="20"/>
      <w:szCs w:val="20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176D44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176D44"/>
    <w:rPr>
      <w:rFonts w:eastAsiaTheme="minorEastAsia"/>
      <w:kern w:val="2"/>
      <w:sz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15988</dc:creator>
  <cp:lastModifiedBy>15988</cp:lastModifiedBy>
  <cp:revision>1</cp:revision>
  <dcterms:created xsi:type="dcterms:W3CDTF">2020-04-18T08:49:00Z</dcterms:created>
  <dcterms:modified xsi:type="dcterms:W3CDTF">2020-04-18T08:50:00Z</dcterms:modified>
</cp:coreProperties>
</file>