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A6" w:rsidRPr="00F12ABA" w:rsidRDefault="00B924A6" w:rsidP="00B924A6">
      <w:pPr>
        <w:pStyle w:val="appsectiona"/>
      </w:pPr>
      <w:r w:rsidRPr="00F12ABA">
        <w:rPr>
          <w:b/>
          <w:sz w:val="24"/>
        </w:rPr>
        <w:t>Supplementary material</w:t>
      </w:r>
      <w:bookmarkStart w:id="0" w:name="Line_manu_134"/>
      <w:bookmarkEnd w:id="0"/>
    </w:p>
    <w:p w:rsidR="00B924A6" w:rsidRPr="007E0B57" w:rsidRDefault="00B924A6" w:rsidP="00B924A6">
      <w:pPr>
        <w:pStyle w:val="dfigcaption"/>
      </w:pPr>
      <w:r w:rsidRPr="00925BDB">
        <w:rPr>
          <w:b/>
          <w:color w:val="000000" w:themeColor="text1"/>
        </w:rPr>
        <w:t>Suppl</w:t>
      </w:r>
      <w:r>
        <w:rPr>
          <w:b/>
          <w:color w:val="000000" w:themeColor="text1"/>
        </w:rPr>
        <w:t>ementary Figure 1</w:t>
      </w:r>
      <w:r w:rsidRPr="00925BDB">
        <w:rPr>
          <w:b/>
          <w:color w:val="000000" w:themeColor="text1"/>
        </w:rPr>
        <w:t>:</w:t>
      </w:r>
      <w:r w:rsidRPr="00D240F9">
        <w:rPr>
          <w:color w:val="000000" w:themeColor="text1"/>
        </w:rPr>
        <w:t xml:space="preserve"> </w:t>
      </w:r>
      <w:r w:rsidRPr="00925BDB">
        <w:rPr>
          <w:color w:val="000000" w:themeColor="text1"/>
        </w:rPr>
        <w:t xml:space="preserve">Sequence of male feet </w:t>
      </w:r>
      <w:r>
        <w:rPr>
          <w:color w:val="000000" w:themeColor="text1"/>
        </w:rPr>
        <w:t xml:space="preserve">distorted in </w:t>
      </w:r>
      <w:r w:rsidRPr="00E97B2C">
        <w:rPr>
          <w:color w:val="000000" w:themeColor="text1"/>
        </w:rPr>
        <w:t xml:space="preserve">length </w:t>
      </w:r>
      <w:r w:rsidRPr="00925BDB">
        <w:rPr>
          <w:color w:val="000000" w:themeColor="text1"/>
        </w:rPr>
        <w:t>(top row) and sequence of female feet</w:t>
      </w:r>
      <w:r>
        <w:rPr>
          <w:color w:val="000000" w:themeColor="text1"/>
        </w:rPr>
        <w:t xml:space="preserve"> distorted in </w:t>
      </w:r>
      <w:r w:rsidRPr="00116252">
        <w:rPr>
          <w:color w:val="000000" w:themeColor="text1"/>
        </w:rPr>
        <w:t>width</w:t>
      </w:r>
      <w:r w:rsidRPr="00925BDB">
        <w:rPr>
          <w:color w:val="000000" w:themeColor="text1"/>
        </w:rPr>
        <w:t xml:space="preserve"> (bottom row)</w:t>
      </w:r>
      <w:r>
        <w:rPr>
          <w:color w:val="000000" w:themeColor="text1"/>
        </w:rPr>
        <w:t xml:space="preserve">. To assess </w:t>
      </w:r>
      <w:r w:rsidRPr="00222D68">
        <w:rPr>
          <w:color w:val="000000" w:themeColor="text1"/>
        </w:rPr>
        <w:t xml:space="preserve">body perception and limb representation disturbances Patients were asked which </w:t>
      </w:r>
      <w:r>
        <w:rPr>
          <w:color w:val="000000" w:themeColor="text1"/>
        </w:rPr>
        <w:t>image best</w:t>
      </w:r>
      <w:r w:rsidRPr="00222D68">
        <w:rPr>
          <w:color w:val="000000" w:themeColor="text1"/>
        </w:rPr>
        <w:t xml:space="preserve"> represented the</w:t>
      </w:r>
      <w:r>
        <w:rPr>
          <w:color w:val="000000" w:themeColor="text1"/>
        </w:rPr>
        <w:t>ir</w:t>
      </w:r>
      <w:r w:rsidRPr="00222D68">
        <w:rPr>
          <w:color w:val="000000" w:themeColor="text1"/>
        </w:rPr>
        <w:t xml:space="preserve"> own perception of their feet</w:t>
      </w:r>
      <w:r>
        <w:rPr>
          <w:color w:val="000000" w:themeColor="text1"/>
        </w:rPr>
        <w:t>.</w:t>
      </w:r>
      <w:bookmarkStart w:id="1" w:name="Line_manu_135"/>
      <w:bookmarkEnd w:id="1"/>
    </w:p>
    <w:p w:rsidR="00B924A6" w:rsidRDefault="00B924A6" w:rsidP="00B924A6">
      <w:pPr>
        <w:pStyle w:val="dfigcaption"/>
      </w:pPr>
      <w:r w:rsidRPr="00925BDB">
        <w:rPr>
          <w:b/>
        </w:rPr>
        <w:t>Supplementary Figu</w:t>
      </w:r>
      <w:r>
        <w:rPr>
          <w:b/>
        </w:rPr>
        <w:t xml:space="preserve">re 2: </w:t>
      </w:r>
      <w:r w:rsidRPr="00925BDB">
        <w:t>Frequencies of typical PNP symptoms</w:t>
      </w:r>
      <w:r>
        <w:t>.</w:t>
      </w:r>
      <w:bookmarkStart w:id="2" w:name="Line_manu_136"/>
      <w:bookmarkEnd w:id="2"/>
    </w:p>
    <w:p w:rsidR="00B924A6" w:rsidRPr="00925BDB" w:rsidRDefault="00B924A6" w:rsidP="00B924A6">
      <w:pPr>
        <w:pStyle w:val="dfigcaption"/>
      </w:pPr>
      <w:r>
        <w:rPr>
          <w:b/>
        </w:rPr>
        <w:t>Supplementary Figure 3</w:t>
      </w:r>
      <w:r w:rsidRPr="00925BDB">
        <w:rPr>
          <w:b/>
        </w:rPr>
        <w:t xml:space="preserve">: </w:t>
      </w:r>
      <w:r w:rsidRPr="00925BDB">
        <w:t xml:space="preserve">Comparison of the distribution of thresholds and </w:t>
      </w:r>
      <w:proofErr w:type="spellStart"/>
      <w:r w:rsidRPr="00925BDB">
        <w:t>2ptDT</w:t>
      </w:r>
      <w:proofErr w:type="spellEnd"/>
      <w:r w:rsidRPr="00925BDB">
        <w:t xml:space="preserve"> measures between the left and right body side on hands, forearms, calves and feet. Results of the analysis of variance for repeated measures (</w:t>
      </w:r>
      <w:proofErr w:type="spellStart"/>
      <w:r w:rsidRPr="00925BDB">
        <w:t>rm</w:t>
      </w:r>
      <w:proofErr w:type="spellEnd"/>
      <w:r w:rsidRPr="00925BDB">
        <w:t xml:space="preserve">-ANOVA) performed on log-transformed values showed no significant main effects </w:t>
      </w:r>
      <w:bookmarkStart w:id="3" w:name="_GoBack"/>
      <w:bookmarkEnd w:id="3"/>
      <w:r w:rsidRPr="00925BDB">
        <w:t xml:space="preserve">of “body side” (p &gt; 0.024, </w:t>
      </w:r>
      <w:proofErr w:type="spellStart"/>
      <w:r w:rsidRPr="00925BDB">
        <w:t>Bonferro</w:t>
      </w:r>
      <w:r>
        <w:t>ni</w:t>
      </w:r>
      <w:proofErr w:type="spellEnd"/>
      <w:r>
        <w:t xml:space="preserve"> corrected p &lt;</w:t>
      </w:r>
      <w:r w:rsidRPr="00925BDB">
        <w:t xml:space="preserve"> 0.002).</w:t>
      </w:r>
      <w:bookmarkStart w:id="4" w:name="Line_manu_137"/>
      <w:bookmarkEnd w:id="4"/>
    </w:p>
    <w:p w:rsidR="00B924A6" w:rsidRDefault="00B924A6" w:rsidP="00B924A6">
      <w:pPr>
        <w:pStyle w:val="dfigcaption"/>
      </w:pPr>
      <w:r w:rsidRPr="00925BDB">
        <w:rPr>
          <w:b/>
        </w:rPr>
        <w:t xml:space="preserve">Supplementary </w:t>
      </w:r>
      <w:r>
        <w:rPr>
          <w:b/>
        </w:rPr>
        <w:t>Figure 4</w:t>
      </w:r>
      <w:r w:rsidRPr="00925BDB">
        <w:rPr>
          <w:b/>
        </w:rPr>
        <w:t xml:space="preserve">: </w:t>
      </w:r>
      <w:r w:rsidRPr="00925BDB">
        <w:t xml:space="preserve">Distribution of item scores and sum score of the Bath </w:t>
      </w:r>
      <w:proofErr w:type="spellStart"/>
      <w:r w:rsidRPr="00925BDB">
        <w:t>CRPS</w:t>
      </w:r>
      <w:proofErr w:type="spellEnd"/>
      <w:r w:rsidRPr="00925BDB">
        <w:t xml:space="preserve"> Body Perception Disturbance Scale (a) and (b) percentage of positive and negative ratings of items </w:t>
      </w:r>
      <w:proofErr w:type="spellStart"/>
      <w:r w:rsidRPr="00925BDB">
        <w:t>5A</w:t>
      </w:r>
      <w:proofErr w:type="spellEnd"/>
      <w:r w:rsidRPr="00925BDB">
        <w:t xml:space="preserve">-D, </w:t>
      </w:r>
      <w:proofErr w:type="spellStart"/>
      <w:r w:rsidRPr="00925BDB">
        <w:t>6A</w:t>
      </w:r>
      <w:proofErr w:type="spellEnd"/>
      <w:r w:rsidRPr="00925BDB">
        <w:t xml:space="preserve"> and 7</w:t>
      </w:r>
      <w:r>
        <w:t>.</w:t>
      </w:r>
      <w:bookmarkStart w:id="5" w:name="Line_manu_138"/>
      <w:bookmarkEnd w:id="5"/>
    </w:p>
    <w:p w:rsidR="00B924A6" w:rsidRPr="00CE0767" w:rsidRDefault="00B924A6" w:rsidP="00B924A6">
      <w:pPr>
        <w:pStyle w:val="displaytable"/>
      </w:pPr>
      <w:r w:rsidRPr="00CE0767">
        <w:rPr>
          <w:b/>
        </w:rPr>
        <w:t>Supplementary Table 1:</w:t>
      </w:r>
      <w:r w:rsidRPr="007D2EDF">
        <w:t xml:space="preserve"> Cross tabulation of the group prediction by the variables </w:t>
      </w:r>
      <w:proofErr w:type="spellStart"/>
      <w:r w:rsidRPr="007D2EDF">
        <w:t>2ptDT</w:t>
      </w:r>
      <w:r w:rsidRPr="00AA38EA">
        <w:rPr>
          <w:vertAlign w:val="subscript"/>
        </w:rPr>
        <w:t>pinprick</w:t>
      </w:r>
      <w:proofErr w:type="spellEnd"/>
      <w:r w:rsidRPr="007D2EDF">
        <w:t xml:space="preserve"> at hands, </w:t>
      </w:r>
      <w:proofErr w:type="spellStart"/>
      <w:r w:rsidRPr="007D2EDF">
        <w:t>2ptDT</w:t>
      </w:r>
      <w:r w:rsidRPr="00AA38EA">
        <w:rPr>
          <w:vertAlign w:val="subscript"/>
        </w:rPr>
        <w:t>laser</w:t>
      </w:r>
      <w:proofErr w:type="spellEnd"/>
      <w:r w:rsidRPr="007D2EDF">
        <w:t xml:space="preserve"> at feet and </w:t>
      </w:r>
      <w:proofErr w:type="spellStart"/>
      <w:r w:rsidRPr="007D2EDF">
        <w:t>HPT</w:t>
      </w:r>
      <w:proofErr w:type="spellEnd"/>
      <w:r w:rsidRPr="007D2EDF">
        <w:t xml:space="preserve"> at feet and true group classification (HC versus PNP-patients)</w:t>
      </w:r>
      <w:r>
        <w:t xml:space="preserve">. </w:t>
      </w:r>
      <w:r w:rsidRPr="006969BB">
        <w:t>In three steps (</w:t>
      </w:r>
      <w:proofErr w:type="spellStart"/>
      <w:r w:rsidRPr="006969BB">
        <w:t>Wilk’s</w:t>
      </w:r>
      <w:proofErr w:type="spellEnd"/>
      <w:r w:rsidRPr="006969BB">
        <w:t xml:space="preserve"> lambda = 0.46), discriminant analysis (n=32) selected </w:t>
      </w:r>
      <w:proofErr w:type="spellStart"/>
      <w:r w:rsidRPr="006969BB">
        <w:t>2ptDT</w:t>
      </w:r>
      <w:r w:rsidRPr="00AA38EA">
        <w:rPr>
          <w:vertAlign w:val="subscript"/>
        </w:rPr>
        <w:t>pinprick</w:t>
      </w:r>
      <w:proofErr w:type="spellEnd"/>
      <w:r w:rsidRPr="006969BB">
        <w:t xml:space="preserve"> at hands, </w:t>
      </w:r>
      <w:proofErr w:type="spellStart"/>
      <w:r w:rsidRPr="006969BB">
        <w:t>2ptDT</w:t>
      </w:r>
      <w:r w:rsidRPr="00AA38EA">
        <w:rPr>
          <w:vertAlign w:val="subscript"/>
        </w:rPr>
        <w:t>laser</w:t>
      </w:r>
      <w:proofErr w:type="spellEnd"/>
      <w:r w:rsidRPr="006969BB">
        <w:t xml:space="preserve"> at feet and </w:t>
      </w:r>
      <w:proofErr w:type="spellStart"/>
      <w:r w:rsidRPr="006969BB">
        <w:t>HPT</w:t>
      </w:r>
      <w:proofErr w:type="spellEnd"/>
      <w:r w:rsidRPr="006969BB">
        <w:t xml:space="preserve"> at feet as the most predictive variables for </w:t>
      </w:r>
      <w:r>
        <w:t>correct classification of PNP versus</w:t>
      </w:r>
      <w:r w:rsidRPr="006969BB">
        <w:t xml:space="preserve"> HC.</w:t>
      </w:r>
      <w:r>
        <w:t xml:space="preserve"> </w:t>
      </w:r>
      <w:r w:rsidRPr="006969BB">
        <w:t xml:space="preserve">Fisher’s linear discriminant function was (4.829 x </w:t>
      </w:r>
      <w:proofErr w:type="spellStart"/>
      <w:r w:rsidRPr="006969BB">
        <w:t>2ptDT</w:t>
      </w:r>
      <w:r w:rsidRPr="00AA38EA">
        <w:rPr>
          <w:vertAlign w:val="subscript"/>
        </w:rPr>
        <w:t>pinprick</w:t>
      </w:r>
      <w:proofErr w:type="spellEnd"/>
      <w:r w:rsidRPr="006969BB">
        <w:t xml:space="preserve"> hands) + (5.804 x </w:t>
      </w:r>
      <w:proofErr w:type="spellStart"/>
      <w:r w:rsidRPr="006969BB">
        <w:t>2ptDT</w:t>
      </w:r>
      <w:r w:rsidRPr="00AA38EA">
        <w:rPr>
          <w:vertAlign w:val="subscript"/>
        </w:rPr>
        <w:t>laser</w:t>
      </w:r>
      <w:proofErr w:type="spellEnd"/>
      <w:r w:rsidRPr="006969BB">
        <w:t xml:space="preserve"> feet) – (3,879 x </w:t>
      </w:r>
      <w:proofErr w:type="spellStart"/>
      <w:r w:rsidRPr="006969BB">
        <w:t>HPT</w:t>
      </w:r>
      <w:proofErr w:type="spellEnd"/>
      <w:r w:rsidRPr="006969BB">
        <w:t xml:space="preserve"> feet) – 11.653. All results above zero were predi</w:t>
      </w:r>
      <w:r>
        <w:t>ctive for the presence of PNP versus HC. Employ</w:t>
      </w:r>
      <w:r w:rsidRPr="006969BB">
        <w:t>ing this discrimination function, 85% of patients could be correctly classified</w:t>
      </w:r>
      <w:r>
        <w:t xml:space="preserve">. (Notes: </w:t>
      </w:r>
      <w:r w:rsidRPr="00742E5F">
        <w:t>PNP, Polyneuropathy</w:t>
      </w:r>
      <w:r>
        <w:t>;</w:t>
      </w:r>
      <w:r w:rsidRPr="00742E5F">
        <w:t xml:space="preserve"> HC, healthy controls;</w:t>
      </w:r>
      <w:r w:rsidRPr="0032652F">
        <w:t xml:space="preserve"> </w:t>
      </w:r>
      <w:proofErr w:type="spellStart"/>
      <w:r w:rsidRPr="0032652F">
        <w:t>LHPT</w:t>
      </w:r>
      <w:proofErr w:type="spellEnd"/>
      <w:r w:rsidRPr="0032652F">
        <w:t xml:space="preserve">, laser-evoked heat pain threshold; </w:t>
      </w:r>
      <w:proofErr w:type="spellStart"/>
      <w:r w:rsidRPr="0032652F">
        <w:t>2ptDT</w:t>
      </w:r>
      <w:r w:rsidRPr="0032652F">
        <w:rPr>
          <w:vertAlign w:val="subscript"/>
        </w:rPr>
        <w:t>pinprick</w:t>
      </w:r>
      <w:proofErr w:type="spellEnd"/>
      <w:r w:rsidRPr="0032652F">
        <w:t xml:space="preserve">, two-point discrimination threshold for nociceptive pinprick stimuli; </w:t>
      </w:r>
      <w:proofErr w:type="spellStart"/>
      <w:r w:rsidRPr="0032652F">
        <w:t>2ptDT</w:t>
      </w:r>
      <w:r w:rsidRPr="0032652F">
        <w:rPr>
          <w:vertAlign w:val="subscript"/>
        </w:rPr>
        <w:t>Laser</w:t>
      </w:r>
      <w:proofErr w:type="spellEnd"/>
      <w:r w:rsidRPr="0032652F">
        <w:t>, two-point discrimination threshold for nociceptive laser-evoked heat pain stimuli</w:t>
      </w:r>
      <w:r>
        <w:t>).</w:t>
      </w:r>
      <w:bookmarkStart w:id="6" w:name="Line_manu_139"/>
      <w:bookmarkEnd w:id="6"/>
    </w:p>
    <w:p w:rsidR="00B924A6" w:rsidRDefault="00B924A6" w:rsidP="00B924A6">
      <w:pPr>
        <w:pStyle w:val="displaytable"/>
      </w:pPr>
      <w:r w:rsidRPr="00CE0767">
        <w:rPr>
          <w:b/>
        </w:rPr>
        <w:t>Supplementary Table 2</w:t>
      </w:r>
      <w:r>
        <w:rPr>
          <w:b/>
        </w:rPr>
        <w:t>:</w:t>
      </w:r>
      <w:r w:rsidRPr="007D2EDF">
        <w:t xml:space="preserve"> Cross tabulation of the group prediction by the variables </w:t>
      </w:r>
      <w:proofErr w:type="spellStart"/>
      <w:r w:rsidRPr="007D2EDF">
        <w:t>2ptDT</w:t>
      </w:r>
      <w:r w:rsidRPr="00AA38EA">
        <w:rPr>
          <w:vertAlign w:val="subscript"/>
        </w:rPr>
        <w:t>pinprick</w:t>
      </w:r>
      <w:proofErr w:type="spellEnd"/>
      <w:r w:rsidRPr="007D2EDF">
        <w:t xml:space="preserve"> at hands, </w:t>
      </w:r>
      <w:proofErr w:type="spellStart"/>
      <w:r w:rsidRPr="007D2EDF">
        <w:t>MPT</w:t>
      </w:r>
      <w:proofErr w:type="spellEnd"/>
      <w:r w:rsidRPr="007D2EDF">
        <w:t xml:space="preserve"> at calves and foot distortion and true group classification (painful versus non painful PNP)</w:t>
      </w:r>
      <w:r>
        <w:t xml:space="preserve">. </w:t>
      </w:r>
      <w:r w:rsidRPr="006969BB">
        <w:t>In five steps (</w:t>
      </w:r>
      <w:proofErr w:type="spellStart"/>
      <w:r w:rsidRPr="006969BB">
        <w:t>Wilk’s</w:t>
      </w:r>
      <w:proofErr w:type="spellEnd"/>
      <w:r w:rsidRPr="006969BB">
        <w:t xml:space="preserve"> lambda = 0.25), discriminant analysis (n=19) selected </w:t>
      </w:r>
      <w:proofErr w:type="spellStart"/>
      <w:r w:rsidRPr="006969BB">
        <w:t>2ptDT</w:t>
      </w:r>
      <w:r w:rsidRPr="00AA38EA">
        <w:rPr>
          <w:vertAlign w:val="subscript"/>
        </w:rPr>
        <w:t>pinprick</w:t>
      </w:r>
      <w:proofErr w:type="spellEnd"/>
      <w:r w:rsidRPr="006969BB">
        <w:t xml:space="preserve"> at hands, </w:t>
      </w:r>
      <w:proofErr w:type="spellStart"/>
      <w:r w:rsidRPr="006969BB">
        <w:t>MPT</w:t>
      </w:r>
      <w:proofErr w:type="spellEnd"/>
      <w:r w:rsidRPr="006969BB">
        <w:t xml:space="preserve"> at calves and foot distortion as the most predictive variables for correct classification of PNP with </w:t>
      </w:r>
      <w:proofErr w:type="spellStart"/>
      <w:r w:rsidRPr="006969BB">
        <w:t>vs</w:t>
      </w:r>
      <w:proofErr w:type="spellEnd"/>
      <w:r w:rsidRPr="006969BB">
        <w:t xml:space="preserve"> PNP without pain.  Fisher’s linear discriminant fun</w:t>
      </w:r>
      <w:r>
        <w:t xml:space="preserve">ction was (5.87 x </w:t>
      </w:r>
      <w:proofErr w:type="spellStart"/>
      <w:r>
        <w:t>2ptDT</w:t>
      </w:r>
      <w:r w:rsidRPr="00742E5F">
        <w:rPr>
          <w:vertAlign w:val="subscript"/>
        </w:rPr>
        <w:t>pinprick</w:t>
      </w:r>
      <w:proofErr w:type="spellEnd"/>
      <w:r>
        <w:rPr>
          <w:vertAlign w:val="subscript"/>
        </w:rPr>
        <w:t xml:space="preserve"> </w:t>
      </w:r>
      <w:r>
        <w:t>hands</w:t>
      </w:r>
      <w:r w:rsidRPr="006969BB">
        <w:t xml:space="preserve">) - (4.562 x </w:t>
      </w:r>
      <w:proofErr w:type="spellStart"/>
      <w:r w:rsidRPr="006969BB">
        <w:t>MPT</w:t>
      </w:r>
      <w:proofErr w:type="spellEnd"/>
      <w:r w:rsidRPr="006969BB">
        <w:t xml:space="preserve"> calves) + (0.114 x foot length distortion) – 6.731. All results above zero were predictive for the presence of pain. Employing this discrimination function, 90% of patients could be correctly classified</w:t>
      </w:r>
      <w:r>
        <w:t>. (</w:t>
      </w:r>
      <w:r>
        <w:rPr>
          <w:noProof/>
        </w:rPr>
        <w:t>Notes:</w:t>
      </w:r>
      <w:r w:rsidRPr="00640848">
        <w:rPr>
          <w:noProof/>
        </w:rPr>
        <w:t xml:space="preserve"> </w:t>
      </w:r>
      <w:r w:rsidRPr="00742E5F">
        <w:rPr>
          <w:noProof/>
        </w:rPr>
        <w:t>PNP, Polyneuropathy</w:t>
      </w:r>
      <w:r>
        <w:rPr>
          <w:noProof/>
        </w:rPr>
        <w:t>;</w:t>
      </w:r>
      <w:r w:rsidRPr="00742E5F">
        <w:rPr>
          <w:noProof/>
        </w:rPr>
        <w:t xml:space="preserve"> HC, healthy controls;</w:t>
      </w:r>
      <w:r>
        <w:rPr>
          <w:noProof/>
        </w:rPr>
        <w:t xml:space="preserve"> </w:t>
      </w:r>
      <w:r w:rsidRPr="00640848">
        <w:rPr>
          <w:noProof/>
        </w:rPr>
        <w:t xml:space="preserve">MPT, mechanical pain threshold; </w:t>
      </w:r>
      <w:r>
        <w:rPr>
          <w:noProof/>
        </w:rPr>
        <w:t>2ptDT</w:t>
      </w:r>
      <w:r w:rsidRPr="00AA38EA">
        <w:rPr>
          <w:noProof/>
          <w:vertAlign w:val="subscript"/>
        </w:rPr>
        <w:t>pinprick</w:t>
      </w:r>
      <w:r w:rsidRPr="00640848">
        <w:rPr>
          <w:noProof/>
        </w:rPr>
        <w:t>, two-point discrimination threshold for noci</w:t>
      </w:r>
      <w:r>
        <w:rPr>
          <w:noProof/>
        </w:rPr>
        <w:t>ceptive pinprick stimuli)</w:t>
      </w:r>
      <w:bookmarkStart w:id="7" w:name="Line_manu_140"/>
      <w:bookmarkEnd w:id="7"/>
    </w:p>
    <w:p w:rsidR="00C016FE" w:rsidRDefault="00C016FE"/>
    <w:sectPr w:rsidR="00C01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A6"/>
    <w:rsid w:val="00235C59"/>
    <w:rsid w:val="00285138"/>
    <w:rsid w:val="002D6E2A"/>
    <w:rsid w:val="003F0C54"/>
    <w:rsid w:val="00630CDB"/>
    <w:rsid w:val="00983A36"/>
    <w:rsid w:val="00B924A6"/>
    <w:rsid w:val="00C0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igcaption">
    <w:name w:val="dfigcaption"/>
    <w:basedOn w:val="Normal"/>
    <w:uiPriority w:val="99"/>
    <w:rsid w:val="00B924A6"/>
    <w:pPr>
      <w:spacing w:before="120" w:after="120" w:line="240" w:lineRule="auto"/>
      <w:ind w:firstLine="288"/>
    </w:pPr>
    <w:rPr>
      <w:rFonts w:ascii="Times New Roman" w:eastAsiaTheme="minorEastAsia" w:hAnsi="Times New Roman" w:cs="Times New Roman"/>
      <w:lang w:val="en-US"/>
    </w:rPr>
  </w:style>
  <w:style w:type="paragraph" w:customStyle="1" w:styleId="displaytable">
    <w:name w:val="displaytable"/>
    <w:basedOn w:val="Normal"/>
    <w:uiPriority w:val="99"/>
    <w:rsid w:val="00B924A6"/>
    <w:pPr>
      <w:spacing w:before="240" w:after="240" w:line="240" w:lineRule="auto"/>
    </w:pPr>
    <w:rPr>
      <w:rFonts w:ascii="Times New Roman" w:eastAsiaTheme="minorEastAsia" w:hAnsi="Times New Roman" w:cs="Times New Roman"/>
      <w:sz w:val="18"/>
      <w:szCs w:val="18"/>
      <w:lang w:val="en-US"/>
    </w:rPr>
  </w:style>
  <w:style w:type="paragraph" w:customStyle="1" w:styleId="appsectiona">
    <w:name w:val="appsectiona"/>
    <w:basedOn w:val="Normal"/>
    <w:uiPriority w:val="99"/>
    <w:rsid w:val="00B924A6"/>
    <w:pPr>
      <w:spacing w:before="120" w:after="120" w:line="240" w:lineRule="auto"/>
    </w:pPr>
    <w:rPr>
      <w:rFonts w:ascii="Times New Roman" w:eastAsiaTheme="minorEastAsia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igcaption">
    <w:name w:val="dfigcaption"/>
    <w:basedOn w:val="Normal"/>
    <w:uiPriority w:val="99"/>
    <w:rsid w:val="00B924A6"/>
    <w:pPr>
      <w:spacing w:before="120" w:after="120" w:line="240" w:lineRule="auto"/>
      <w:ind w:firstLine="288"/>
    </w:pPr>
    <w:rPr>
      <w:rFonts w:ascii="Times New Roman" w:eastAsiaTheme="minorEastAsia" w:hAnsi="Times New Roman" w:cs="Times New Roman"/>
      <w:lang w:val="en-US"/>
    </w:rPr>
  </w:style>
  <w:style w:type="paragraph" w:customStyle="1" w:styleId="displaytable">
    <w:name w:val="displaytable"/>
    <w:basedOn w:val="Normal"/>
    <w:uiPriority w:val="99"/>
    <w:rsid w:val="00B924A6"/>
    <w:pPr>
      <w:spacing w:before="240" w:after="240" w:line="240" w:lineRule="auto"/>
    </w:pPr>
    <w:rPr>
      <w:rFonts w:ascii="Times New Roman" w:eastAsiaTheme="minorEastAsia" w:hAnsi="Times New Roman" w:cs="Times New Roman"/>
      <w:sz w:val="18"/>
      <w:szCs w:val="18"/>
      <w:lang w:val="en-US"/>
    </w:rPr>
  </w:style>
  <w:style w:type="paragraph" w:customStyle="1" w:styleId="appsectiona">
    <w:name w:val="appsectiona"/>
    <w:basedOn w:val="Normal"/>
    <w:uiPriority w:val="99"/>
    <w:rsid w:val="00B924A6"/>
    <w:pPr>
      <w:spacing w:before="120" w:after="120" w:line="240" w:lineRule="auto"/>
    </w:pPr>
    <w:rPr>
      <w:rFonts w:ascii="Times New Roman" w:eastAsiaTheme="minorEastAsia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19842_sing</dc:creator>
  <cp:lastModifiedBy>19842_sing</cp:lastModifiedBy>
  <cp:revision>1</cp:revision>
  <dcterms:created xsi:type="dcterms:W3CDTF">2022-07-11T08:59:00Z</dcterms:created>
  <dcterms:modified xsi:type="dcterms:W3CDTF">2022-07-11T09:00:00Z</dcterms:modified>
</cp:coreProperties>
</file>