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7976" w14:textId="77777777" w:rsidR="001C56D6" w:rsidRPr="001C56D6" w:rsidRDefault="001C56D6" w:rsidP="00CC14A0">
      <w:pPr>
        <w:bidi w:val="0"/>
        <w:spacing w:line="240" w:lineRule="auto"/>
        <w:contextualSpacing/>
        <w:jc w:val="center"/>
        <w:rPr>
          <w:rFonts w:ascii="Calibri" w:hAnsi="Calibri" w:cs="Calibri"/>
          <w:b/>
          <w:bCs/>
          <w:sz w:val="32"/>
          <w:szCs w:val="32"/>
          <w:lang w:bidi="ar-SA"/>
        </w:rPr>
      </w:pPr>
      <w:bookmarkStart w:id="0" w:name="_Hlk202024743"/>
      <w:r w:rsidRPr="001C56D6">
        <w:rPr>
          <w:rFonts w:ascii="Calibri" w:hAnsi="Calibri" w:cs="Calibri"/>
          <w:b/>
          <w:bCs/>
          <w:sz w:val="32"/>
          <w:szCs w:val="32"/>
          <w:lang w:bidi="ar-SA"/>
        </w:rPr>
        <w:t>Inflammation-Related microRNA Alterations in Epilepsy: A Systematic Review of Human and Animal Studies</w:t>
      </w:r>
    </w:p>
    <w:p w14:paraId="6D0B7769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sz w:val="24"/>
          <w:szCs w:val="24"/>
          <w:vertAlign w:val="superscript"/>
          <w:lang w:bidi="ar-SA"/>
        </w:rPr>
      </w:pPr>
      <w:r w:rsidRPr="001C56D6">
        <w:rPr>
          <w:rFonts w:ascii="Calibri" w:hAnsi="Calibri" w:cs="Calibri"/>
          <w:sz w:val="24"/>
          <w:szCs w:val="24"/>
          <w:lang w:bidi="ar-SA"/>
        </w:rPr>
        <w:t>Mohammad Javad Yousefi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1,2#</w:t>
      </w:r>
      <w:r w:rsidRPr="001C56D6">
        <w:rPr>
          <w:rFonts w:ascii="Calibri" w:hAnsi="Calibri" w:cs="Calibri"/>
          <w:sz w:val="24"/>
          <w:szCs w:val="24"/>
          <w:lang w:bidi="ar-SA"/>
        </w:rPr>
        <w:t>, Ali Rezvanimehr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3,8#</w:t>
      </w:r>
      <w:r w:rsidRPr="001C56D6">
        <w:rPr>
          <w:rFonts w:ascii="Calibri" w:hAnsi="Calibri" w:cs="Calibri"/>
          <w:sz w:val="24"/>
          <w:szCs w:val="24"/>
          <w:lang w:bidi="ar-SA"/>
        </w:rPr>
        <w:t>, Kiarash Saleki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6,1,2,9,8#</w:t>
      </w:r>
      <w:r w:rsidRPr="001C56D6">
        <w:rPr>
          <w:rFonts w:ascii="Calibri" w:hAnsi="Calibri" w:cs="Calibri"/>
          <w:sz w:val="24"/>
          <w:szCs w:val="24"/>
          <w:lang w:bidi="ar-SA"/>
        </w:rPr>
        <w:t>, Aida Mehrani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4</w:t>
      </w:r>
      <w:r w:rsidRPr="001C56D6">
        <w:rPr>
          <w:rFonts w:ascii="Calibri" w:hAnsi="Calibri" w:cs="Calibri"/>
          <w:sz w:val="24"/>
          <w:szCs w:val="24"/>
          <w:lang w:bidi="ar-SA"/>
        </w:rPr>
        <w:t>, Erfan Barootchi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5</w:t>
      </w:r>
      <w:r w:rsidRPr="001C56D6">
        <w:rPr>
          <w:rFonts w:ascii="Calibri" w:hAnsi="Calibri" w:cs="Calibri"/>
          <w:sz w:val="24"/>
          <w:szCs w:val="24"/>
          <w:lang w:bidi="ar-SA"/>
        </w:rPr>
        <w:t>, Mohammad Ramezankhah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1,2</w:t>
      </w:r>
      <w:r w:rsidRPr="001C56D6">
        <w:rPr>
          <w:rFonts w:ascii="Calibri" w:hAnsi="Calibri" w:cs="Calibri"/>
          <w:sz w:val="24"/>
          <w:szCs w:val="24"/>
          <w:lang w:bidi="ar-SA"/>
        </w:rPr>
        <w:t>, Amirreza Mazloomi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1,6</w:t>
      </w:r>
      <w:r w:rsidRPr="001C56D6">
        <w:rPr>
          <w:rFonts w:ascii="Calibri" w:hAnsi="Calibri" w:cs="Calibri"/>
          <w:sz w:val="24"/>
          <w:szCs w:val="24"/>
          <w:lang w:bidi="ar-SA"/>
        </w:rPr>
        <w:t>, Abdolrahman Shams-Nateri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6</w:t>
      </w:r>
      <w:r w:rsidRPr="001C56D6">
        <w:rPr>
          <w:rFonts w:ascii="Calibri" w:hAnsi="Calibri" w:cs="Calibri"/>
          <w:sz w:val="24"/>
          <w:szCs w:val="24"/>
          <w:lang w:bidi="ar-SA"/>
        </w:rPr>
        <w:t>, Shayan Barootchi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7</w:t>
      </w:r>
      <w:r w:rsidRPr="001C56D6">
        <w:rPr>
          <w:rFonts w:ascii="Calibri" w:hAnsi="Calibri" w:cs="Calibri"/>
          <w:sz w:val="24"/>
          <w:szCs w:val="24"/>
          <w:lang w:bidi="ar-SA"/>
        </w:rPr>
        <w:t>, and Nima Rezaei</w:t>
      </w:r>
      <w:r w:rsidRPr="001C56D6">
        <w:rPr>
          <w:rFonts w:ascii="Calibri" w:hAnsi="Calibri" w:cs="Calibri"/>
          <w:sz w:val="24"/>
          <w:szCs w:val="24"/>
          <w:vertAlign w:val="superscript"/>
          <w:lang w:bidi="ar-SA"/>
        </w:rPr>
        <w:t>8,9,10*</w:t>
      </w:r>
    </w:p>
    <w:p w14:paraId="6BF0E549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>1 Student Research Committee, Babol University of Medical Sciences, Babol, 4717647745, Iran.</w:t>
      </w:r>
    </w:p>
    <w:p w14:paraId="13992253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>2 USERN Office, Babol University of Medical Sciences, Babol,4717647745, Iran.</w:t>
      </w:r>
    </w:p>
    <w:p w14:paraId="74C686EB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>3 Faculty of Medicine, Tehran Medical Sciences Branch, Islamic Azad University, Tehran, 1651153311, Iran</w:t>
      </w:r>
    </w:p>
    <w:p w14:paraId="7F32CB1F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>4 Student Research Committee, Isfahan University of Medical Sciences, Isfahan, 81746-73461, Iran</w:t>
      </w:r>
    </w:p>
    <w:p w14:paraId="5AA757E0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>5 Center for clinical Research and evidence synthesis In oral Tissue Regeneration (CRITERION), Ann Arbor, MI, 48104, USA and Boston, MA, USA.</w:t>
      </w:r>
    </w:p>
    <w:p w14:paraId="60E310B4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 xml:space="preserve">6 Cancer Genetics &amp; Stem Cell Group, The BioDiscovery Institute, University of Nottingham, Nottingham, NG7 2RD, UK. </w:t>
      </w:r>
    </w:p>
    <w:p w14:paraId="0204AB8D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 xml:space="preserve">7 Department of Oral Medicine, Infection, and Immunity, Division of Periodontology, Harvard School of Dental Medicine, Boston, MA, 48104, USA. </w:t>
      </w:r>
    </w:p>
    <w:p w14:paraId="0835F1C1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 xml:space="preserve">8  Network of Immunity in Infection, Malignancy and Autoimmunity (NIIMA), Universal Scientific Education and Research Network (USERN), Tehran, 1416634793, Iran. </w:t>
      </w:r>
    </w:p>
    <w:p w14:paraId="18882F11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>9 Research Center for Immunodeficiencies, Children’s Medical Center, Tehran University of Medical Sciences, Tehran 1416634793, Iran.</w:t>
      </w:r>
    </w:p>
    <w:p w14:paraId="3B826141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  <w:r w:rsidRPr="001C56D6">
        <w:rPr>
          <w:rFonts w:ascii="Calibri" w:hAnsi="Calibri" w:cs="Calibri"/>
          <w:i/>
          <w:iCs/>
          <w:sz w:val="20"/>
          <w:szCs w:val="20"/>
          <w:lang w:bidi="ar-SA"/>
        </w:rPr>
        <w:t>10 Department of Immunology, School of Medicine, Tehran University of Medical Sciences, Tehran,1416634793, Iran.</w:t>
      </w:r>
    </w:p>
    <w:bookmarkEnd w:id="0"/>
    <w:p w14:paraId="13D9CD26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i/>
          <w:iCs/>
          <w:sz w:val="20"/>
          <w:szCs w:val="20"/>
          <w:lang w:bidi="ar-SA"/>
        </w:rPr>
      </w:pPr>
    </w:p>
    <w:p w14:paraId="259FF463" w14:textId="77777777" w:rsidR="001C56D6" w:rsidRPr="001C56D6" w:rsidRDefault="001C56D6" w:rsidP="00CC14A0">
      <w:pPr>
        <w:bidi w:val="0"/>
        <w:spacing w:line="240" w:lineRule="auto"/>
        <w:contextualSpacing/>
        <w:rPr>
          <w:rFonts w:ascii="Calibri" w:hAnsi="Calibri" w:cs="Calibri"/>
          <w:sz w:val="24"/>
          <w:szCs w:val="24"/>
          <w:lang w:bidi="ar-SA"/>
        </w:rPr>
      </w:pPr>
    </w:p>
    <w:p w14:paraId="046F3BAE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hAnsi="Calibri" w:cs="Calibri"/>
          <w:b/>
          <w:bCs/>
          <w:i/>
          <w:iCs/>
          <w:sz w:val="24"/>
          <w:szCs w:val="24"/>
          <w:lang w:bidi="ar-SA"/>
        </w:rPr>
      </w:pPr>
      <w:r w:rsidRPr="001C56D6">
        <w:rPr>
          <w:rFonts w:ascii="Calibri" w:hAnsi="Calibri" w:cs="Calibri"/>
          <w:b/>
          <w:bCs/>
          <w:i/>
          <w:iCs/>
          <w:sz w:val="24"/>
          <w:szCs w:val="24"/>
          <w:vertAlign w:val="superscript"/>
          <w:lang w:bidi="ar-SA"/>
        </w:rPr>
        <w:t>*</w:t>
      </w:r>
      <w:r w:rsidRPr="001C56D6">
        <w:rPr>
          <w:rFonts w:ascii="Calibri" w:hAnsi="Calibri" w:cs="Calibri"/>
          <w:b/>
          <w:bCs/>
          <w:i/>
          <w:iCs/>
          <w:sz w:val="24"/>
          <w:szCs w:val="24"/>
          <w:lang w:bidi="ar-SA"/>
        </w:rPr>
        <w:t>Corresponding author</w:t>
      </w:r>
    </w:p>
    <w:p w14:paraId="3A514127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eastAsia="MS Mincho" w:hAnsi="Calibri" w:cs="Calibri"/>
          <w:sz w:val="24"/>
          <w:szCs w:val="24"/>
          <w:lang w:bidi="ar-SA"/>
        </w:rPr>
      </w:pPr>
      <w:r w:rsidRPr="001C56D6">
        <w:rPr>
          <w:rFonts w:ascii="Calibri" w:hAnsi="Calibri" w:cs="Calibri"/>
          <w:sz w:val="24"/>
          <w:szCs w:val="24"/>
          <w:lang w:bidi="ar-SA"/>
        </w:rPr>
        <w:t xml:space="preserve"> Prof. Nima Rezaei, MD, PhD</w:t>
      </w:r>
      <w:r w:rsidRPr="001C56D6">
        <w:rPr>
          <w:rFonts w:ascii="Calibri" w:eastAsia="MS Mincho" w:hAnsi="Calibri" w:cs="Calibri"/>
          <w:sz w:val="24"/>
          <w:szCs w:val="24"/>
          <w:lang w:bidi="ar-SA"/>
        </w:rPr>
        <w:t>.</w:t>
      </w:r>
    </w:p>
    <w:p w14:paraId="5A3D3ED2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eastAsia="MS Mincho" w:hAnsi="Calibri" w:cs="Calibri"/>
          <w:sz w:val="24"/>
          <w:szCs w:val="24"/>
          <w:lang w:bidi="ar-SA"/>
        </w:rPr>
      </w:pPr>
      <w:r w:rsidRPr="001C56D6">
        <w:rPr>
          <w:rFonts w:ascii="Calibri" w:hAnsi="Calibri" w:cs="Calibri"/>
          <w:sz w:val="24"/>
          <w:szCs w:val="24"/>
          <w:lang w:bidi="ar-SA"/>
        </w:rPr>
        <w:t xml:space="preserve">Professor of Clinical Immunology; Address: Tehran University of Medical Sciences, Children’s Medical Center Hospital, Dr. Qarib St, Keshavarz Blvd, Tehran 14194, Iran; </w:t>
      </w:r>
    </w:p>
    <w:p w14:paraId="7A9FED54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hAnsi="Calibri" w:cs="Calibri"/>
          <w:sz w:val="24"/>
          <w:szCs w:val="24"/>
          <w:lang w:bidi="ar-SA"/>
        </w:rPr>
      </w:pPr>
      <w:r w:rsidRPr="001C56D6">
        <w:rPr>
          <w:rFonts w:ascii="Calibri" w:hAnsi="Calibri" w:cs="Calibri"/>
          <w:sz w:val="24"/>
          <w:szCs w:val="24"/>
          <w:lang w:bidi="ar-SA"/>
        </w:rPr>
        <w:t>Tel: +9821</w:t>
      </w:r>
      <w:r w:rsidRPr="001C56D6">
        <w:rPr>
          <w:rFonts w:ascii="Calibri" w:eastAsia="Calibri" w:hAnsi="Calibri" w:cs="Calibri"/>
          <w:sz w:val="24"/>
          <w:szCs w:val="24"/>
          <w:lang w:bidi="ar-SA"/>
        </w:rPr>
        <w:t>‐</w:t>
      </w:r>
      <w:r w:rsidRPr="001C56D6">
        <w:rPr>
          <w:rFonts w:ascii="Calibri" w:hAnsi="Calibri" w:cs="Calibri"/>
          <w:sz w:val="24"/>
          <w:szCs w:val="24"/>
          <w:lang w:bidi="ar-SA"/>
        </w:rPr>
        <w:t xml:space="preserve"> 6692</w:t>
      </w:r>
      <w:r w:rsidRPr="001C56D6">
        <w:rPr>
          <w:rFonts w:ascii="Calibri" w:eastAsia="Calibri" w:hAnsi="Calibri" w:cs="Calibri"/>
          <w:sz w:val="24"/>
          <w:szCs w:val="24"/>
          <w:lang w:bidi="ar-SA"/>
        </w:rPr>
        <w:t>‐</w:t>
      </w:r>
      <w:r w:rsidRPr="001C56D6">
        <w:rPr>
          <w:rFonts w:ascii="Calibri" w:hAnsi="Calibri" w:cs="Calibri"/>
          <w:sz w:val="24"/>
          <w:szCs w:val="24"/>
          <w:lang w:bidi="ar-SA"/>
        </w:rPr>
        <w:t>9234; Fax: +9821</w:t>
      </w:r>
      <w:r w:rsidRPr="001C56D6">
        <w:rPr>
          <w:rFonts w:ascii="Calibri" w:eastAsia="Calibri" w:hAnsi="Calibri" w:cs="Calibri"/>
          <w:sz w:val="24"/>
          <w:szCs w:val="24"/>
          <w:lang w:bidi="ar-SA"/>
        </w:rPr>
        <w:t>‐</w:t>
      </w:r>
      <w:r w:rsidRPr="001C56D6">
        <w:rPr>
          <w:rFonts w:ascii="Calibri" w:hAnsi="Calibri" w:cs="Calibri"/>
          <w:sz w:val="24"/>
          <w:szCs w:val="24"/>
          <w:lang w:bidi="ar-SA"/>
        </w:rPr>
        <w:t>6692</w:t>
      </w:r>
      <w:r w:rsidRPr="001C56D6">
        <w:rPr>
          <w:rFonts w:ascii="Calibri" w:eastAsia="Calibri" w:hAnsi="Calibri" w:cs="Calibri"/>
          <w:sz w:val="24"/>
          <w:szCs w:val="24"/>
          <w:lang w:bidi="ar-SA"/>
        </w:rPr>
        <w:t>‐</w:t>
      </w:r>
      <w:r w:rsidRPr="001C56D6">
        <w:rPr>
          <w:rFonts w:ascii="Calibri" w:hAnsi="Calibri" w:cs="Calibri"/>
          <w:sz w:val="24"/>
          <w:szCs w:val="24"/>
          <w:lang w:bidi="ar-SA"/>
        </w:rPr>
        <w:t xml:space="preserve">9235; </w:t>
      </w:r>
    </w:p>
    <w:p w14:paraId="6460B70F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hAnsi="Calibri" w:cs="Calibri"/>
          <w:sz w:val="24"/>
          <w:szCs w:val="24"/>
          <w:lang w:bidi="ar-SA"/>
        </w:rPr>
      </w:pPr>
      <w:r w:rsidRPr="001C56D6">
        <w:rPr>
          <w:rFonts w:ascii="Calibri" w:hAnsi="Calibri" w:cs="Calibri"/>
          <w:sz w:val="24"/>
          <w:szCs w:val="24"/>
          <w:lang w:bidi="ar-SA"/>
        </w:rPr>
        <w:t>E</w:t>
      </w:r>
      <w:r w:rsidRPr="001C56D6">
        <w:rPr>
          <w:rFonts w:ascii="Calibri" w:eastAsia="Calibri" w:hAnsi="Calibri" w:cs="Calibri"/>
          <w:sz w:val="24"/>
          <w:szCs w:val="24"/>
          <w:lang w:bidi="ar-SA"/>
        </w:rPr>
        <w:t>‐</w:t>
      </w:r>
      <w:r w:rsidRPr="001C56D6">
        <w:rPr>
          <w:rFonts w:ascii="Calibri" w:hAnsi="Calibri" w:cs="Calibri"/>
          <w:sz w:val="24"/>
          <w:szCs w:val="24"/>
          <w:lang w:bidi="ar-SA"/>
        </w:rPr>
        <w:t xml:space="preserve">mail: </w:t>
      </w:r>
      <w:hyperlink r:id="rId6" w:history="1">
        <w:r w:rsidRPr="001C56D6">
          <w:rPr>
            <w:rFonts w:ascii="Calibri" w:hAnsi="Calibri" w:cs="Calibri"/>
            <w:color w:val="0563C1" w:themeColor="hyperlink"/>
            <w:sz w:val="24"/>
            <w:szCs w:val="24"/>
            <w:u w:val="single"/>
            <w:lang w:bidi="ar-SA"/>
          </w:rPr>
          <w:t>rezaei_nima@tums.ac.ir</w:t>
        </w:r>
      </w:hyperlink>
      <w:r w:rsidRPr="001C56D6">
        <w:rPr>
          <w:rFonts w:ascii="Calibri" w:hAnsi="Calibri" w:cs="Calibri"/>
          <w:sz w:val="24"/>
          <w:szCs w:val="24"/>
          <w:lang w:bidi="ar-SA"/>
        </w:rPr>
        <w:t xml:space="preserve">, </w:t>
      </w:r>
      <w:hyperlink r:id="rId7" w:history="1">
        <w:r w:rsidRPr="001C56D6">
          <w:rPr>
            <w:rFonts w:ascii="Calibri" w:hAnsi="Calibri" w:cs="Calibri"/>
            <w:color w:val="0563C1" w:themeColor="hyperlink"/>
            <w:sz w:val="24"/>
            <w:szCs w:val="24"/>
            <w:u w:val="single"/>
            <w:lang w:bidi="ar-SA"/>
          </w:rPr>
          <w:t>rezaei_nima@yahoo.com</w:t>
        </w:r>
      </w:hyperlink>
    </w:p>
    <w:p w14:paraId="6D5BAAEA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hAnsi="Calibri" w:cs="Calibri"/>
          <w:sz w:val="24"/>
          <w:szCs w:val="24"/>
          <w:lang w:bidi="ar-SA"/>
        </w:rPr>
      </w:pPr>
    </w:p>
    <w:p w14:paraId="70B8C57F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hAnsi="Calibri" w:cs="Calibri"/>
          <w:sz w:val="24"/>
          <w:szCs w:val="24"/>
          <w:lang w:bidi="ar-SA"/>
        </w:rPr>
      </w:pPr>
      <w:r w:rsidRPr="001C56D6">
        <w:rPr>
          <w:rFonts w:ascii="Calibri" w:hAnsi="Calibri" w:cs="Calibri"/>
          <w:sz w:val="24"/>
          <w:szCs w:val="24"/>
          <w:lang w:bidi="ar-SA"/>
        </w:rPr>
        <w:t xml:space="preserve">#Co-first authorship and contributed equally to the present work. </w:t>
      </w:r>
    </w:p>
    <w:p w14:paraId="7B7D87F4" w14:textId="77777777" w:rsidR="001C56D6" w:rsidRPr="001C56D6" w:rsidRDefault="001C56D6" w:rsidP="00CC14A0">
      <w:pPr>
        <w:widowControl w:val="0"/>
        <w:autoSpaceDE w:val="0"/>
        <w:autoSpaceDN w:val="0"/>
        <w:bidi w:val="0"/>
        <w:adjustRightInd w:val="0"/>
        <w:spacing w:after="240" w:line="240" w:lineRule="auto"/>
        <w:contextualSpacing/>
        <w:rPr>
          <w:rFonts w:ascii="Calibri" w:hAnsi="Calibri" w:cs="Calibri"/>
          <w:sz w:val="24"/>
          <w:szCs w:val="24"/>
          <w:lang w:bidi="ar-SA"/>
        </w:rPr>
      </w:pPr>
    </w:p>
    <w:p w14:paraId="66EABE17" w14:textId="08213CAE" w:rsidR="001C56D6" w:rsidRDefault="001C56D6" w:rsidP="00CC14A0">
      <w:pPr>
        <w:bidi w:val="0"/>
        <w:spacing w:after="240" w:line="240" w:lineRule="auto"/>
        <w:contextualSpacing/>
        <w:rPr>
          <w:rFonts w:eastAsia="Times New Roman" w:cstheme="minorHAnsi"/>
          <w:b/>
          <w:bCs/>
          <w:i/>
          <w:iCs/>
          <w:color w:val="000000"/>
          <w:kern w:val="0"/>
          <w:sz w:val="26"/>
          <w:szCs w:val="26"/>
          <w:lang w:bidi="ar-SA"/>
          <w14:ligatures w14:val="none"/>
        </w:rPr>
        <w:sectPr w:rsidR="001C56D6" w:rsidSect="001C56D6">
          <w:pgSz w:w="11906" w:h="16838" w:code="9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14:paraId="36C594E2" w14:textId="0C2B5797" w:rsidR="00CC14A0" w:rsidRDefault="003D4E8E" w:rsidP="00CC14A0">
      <w:pPr>
        <w:bidi w:val="0"/>
        <w:spacing w:line="240" w:lineRule="auto"/>
        <w:contextualSpacing/>
      </w:pPr>
      <w:r w:rsidRPr="003D4E8E">
        <w:rPr>
          <w:b/>
          <w:bCs/>
        </w:rPr>
        <w:lastRenderedPageBreak/>
        <w:t>Table S1</w:t>
      </w:r>
      <w:r>
        <w:t>. Risk of Bias for human studies</w:t>
      </w:r>
    </w:p>
    <w:tbl>
      <w:tblPr>
        <w:tblStyle w:val="PlainTable5"/>
        <w:tblW w:w="5225" w:type="pct"/>
        <w:jc w:val="center"/>
        <w:tblLook w:val="04A0" w:firstRow="1" w:lastRow="0" w:firstColumn="1" w:lastColumn="0" w:noHBand="0" w:noVBand="1"/>
      </w:tblPr>
      <w:tblGrid>
        <w:gridCol w:w="1949"/>
        <w:gridCol w:w="1041"/>
        <w:gridCol w:w="1526"/>
        <w:gridCol w:w="1184"/>
        <w:gridCol w:w="1336"/>
        <w:gridCol w:w="1663"/>
        <w:gridCol w:w="1129"/>
        <w:gridCol w:w="1482"/>
        <w:gridCol w:w="1494"/>
        <w:gridCol w:w="1117"/>
        <w:gridCol w:w="665"/>
      </w:tblGrid>
      <w:tr w:rsidR="00CC14A0" w:rsidRPr="00CC14A0" w14:paraId="5F126395" w14:textId="77777777" w:rsidTr="00CC14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8" w:type="pct"/>
            <w:noWrap/>
            <w:hideMark/>
          </w:tcPr>
          <w:p w14:paraId="54ED6875" w14:textId="77777777" w:rsidR="00CC14A0" w:rsidRPr="00CC14A0" w:rsidRDefault="00CC14A0" w:rsidP="00CC14A0">
            <w:pPr>
              <w:bidi w:val="0"/>
              <w:spacing w:after="24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  <w:t>F-Author</w:t>
            </w:r>
          </w:p>
        </w:tc>
        <w:tc>
          <w:tcPr>
            <w:tcW w:w="357" w:type="pct"/>
            <w:noWrap/>
            <w:hideMark/>
          </w:tcPr>
          <w:p w14:paraId="32CD3FD9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Case def.</w:t>
            </w:r>
          </w:p>
        </w:tc>
        <w:tc>
          <w:tcPr>
            <w:tcW w:w="523" w:type="pct"/>
            <w:noWrap/>
            <w:hideMark/>
          </w:tcPr>
          <w:p w14:paraId="07173E87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Case repr.</w:t>
            </w:r>
          </w:p>
        </w:tc>
        <w:tc>
          <w:tcPr>
            <w:tcW w:w="406" w:type="pct"/>
            <w:noWrap/>
            <w:hideMark/>
          </w:tcPr>
          <w:p w14:paraId="21C67A97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Ctrl select.</w:t>
            </w:r>
          </w:p>
        </w:tc>
        <w:tc>
          <w:tcPr>
            <w:tcW w:w="458" w:type="pct"/>
            <w:noWrap/>
            <w:hideMark/>
          </w:tcPr>
          <w:p w14:paraId="5659B983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Ctrl def.</w:t>
            </w:r>
          </w:p>
        </w:tc>
        <w:tc>
          <w:tcPr>
            <w:tcW w:w="570" w:type="pct"/>
            <w:noWrap/>
            <w:hideMark/>
          </w:tcPr>
          <w:p w14:paraId="4B2EBB71" w14:textId="77777777" w:rsidR="00CC14A0" w:rsidRPr="00CC14A0" w:rsidRDefault="00CC14A0" w:rsidP="00CC14A0">
            <w:pPr>
              <w:bidi w:val="0"/>
              <w:spacing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Main conf.</w:t>
            </w:r>
          </w:p>
        </w:tc>
        <w:tc>
          <w:tcPr>
            <w:tcW w:w="387" w:type="pct"/>
            <w:noWrap/>
            <w:hideMark/>
          </w:tcPr>
          <w:p w14:paraId="5AD9CA9F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Add. conf.</w:t>
            </w:r>
          </w:p>
        </w:tc>
        <w:tc>
          <w:tcPr>
            <w:tcW w:w="508" w:type="pct"/>
            <w:noWrap/>
            <w:hideMark/>
          </w:tcPr>
          <w:p w14:paraId="703F172A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Expo. method</w:t>
            </w:r>
          </w:p>
        </w:tc>
        <w:tc>
          <w:tcPr>
            <w:tcW w:w="512" w:type="pct"/>
            <w:noWrap/>
            <w:hideMark/>
          </w:tcPr>
          <w:p w14:paraId="3F68AB8E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Same method</w:t>
            </w:r>
          </w:p>
        </w:tc>
        <w:tc>
          <w:tcPr>
            <w:tcW w:w="383" w:type="pct"/>
            <w:noWrap/>
            <w:hideMark/>
          </w:tcPr>
          <w:p w14:paraId="2D8A45D2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Non-resp.</w:t>
            </w:r>
          </w:p>
        </w:tc>
        <w:tc>
          <w:tcPr>
            <w:tcW w:w="228" w:type="pct"/>
            <w:noWrap/>
            <w:hideMark/>
          </w:tcPr>
          <w:p w14:paraId="2CA55DF6" w14:textId="77777777" w:rsidR="00CC14A0" w:rsidRPr="00CC14A0" w:rsidRDefault="00CC14A0" w:rsidP="00CC14A0">
            <w:pPr>
              <w:bidi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b/>
                <w:bCs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b/>
                <w:bCs/>
                <w:sz w:val="22"/>
              </w:rPr>
              <w:t>Total</w:t>
            </w:r>
          </w:p>
        </w:tc>
      </w:tr>
      <w:tr w:rsidR="00CC14A0" w:rsidRPr="00CC14A0" w14:paraId="2A4E2B54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5F833454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Xiaodong Cai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(2020)</w:t>
            </w:r>
          </w:p>
        </w:tc>
        <w:tc>
          <w:tcPr>
            <w:tcW w:w="357" w:type="pct"/>
            <w:noWrap/>
            <w:hideMark/>
          </w:tcPr>
          <w:p w14:paraId="477B5541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6182772D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6522EE02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0811BBD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2B5EE26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7221042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77A836F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B524907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6EC83F2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132C6C94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  <w:tr w:rsidR="00CC14A0" w:rsidRPr="00CC14A0" w14:paraId="7C587D51" w14:textId="77777777" w:rsidTr="00CC14A0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13E10CE3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Guerra Leal, B.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(2022)</w:t>
            </w:r>
          </w:p>
        </w:tc>
        <w:tc>
          <w:tcPr>
            <w:tcW w:w="357" w:type="pct"/>
            <w:noWrap/>
            <w:hideMark/>
          </w:tcPr>
          <w:p w14:paraId="3BB80C00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1EB123EF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0CBC49B1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2E63B1D1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41A96057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19E1B30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029E3A6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B339554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54F4806C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42EF95F4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  <w:tr w:rsidR="00CC14A0" w:rsidRPr="00CC14A0" w14:paraId="3EDCD0B4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69CC77CC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Anatoly Korotkov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(2020)</w:t>
            </w:r>
          </w:p>
        </w:tc>
        <w:tc>
          <w:tcPr>
            <w:tcW w:w="357" w:type="pct"/>
            <w:noWrap/>
            <w:hideMark/>
          </w:tcPr>
          <w:p w14:paraId="641CB23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3BECB68D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0324144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1A2A54C4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6502916F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2E9242F1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3C1ED571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5EF2B3E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435A9F2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069936ED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6</w:t>
            </w:r>
          </w:p>
        </w:tc>
      </w:tr>
      <w:tr w:rsidR="00CC14A0" w:rsidRPr="00CC14A0" w14:paraId="5AD564B4" w14:textId="77777777" w:rsidTr="00CC14A0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383F627B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Anand Iyer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(2012)</w:t>
            </w:r>
          </w:p>
        </w:tc>
        <w:tc>
          <w:tcPr>
            <w:tcW w:w="357" w:type="pct"/>
            <w:noWrap/>
            <w:hideMark/>
          </w:tcPr>
          <w:p w14:paraId="72B1E165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2D20E24B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619621CC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58" w:type="pct"/>
            <w:noWrap/>
            <w:hideMark/>
          </w:tcPr>
          <w:p w14:paraId="579B850C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044BF375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70C777A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08" w:type="pct"/>
            <w:noWrap/>
            <w:hideMark/>
          </w:tcPr>
          <w:p w14:paraId="2F469C63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42EA3D88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2F4773C2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63309BC9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9</w:t>
            </w:r>
          </w:p>
        </w:tc>
      </w:tr>
      <w:tr w:rsidR="00CC14A0" w:rsidRPr="00CC14A0" w14:paraId="2CB614B6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478542CE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Yuehui Fan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(2020</w:t>
            </w:r>
          </w:p>
        </w:tc>
        <w:tc>
          <w:tcPr>
            <w:tcW w:w="357" w:type="pct"/>
            <w:noWrap/>
            <w:hideMark/>
          </w:tcPr>
          <w:p w14:paraId="5E60A483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3C9420F6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19C1626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2AE7AAA8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148AC833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2B2F05D9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46002DF3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FEF8E22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742C736F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6855554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6</w:t>
            </w:r>
          </w:p>
        </w:tc>
      </w:tr>
      <w:tr w:rsidR="00CC14A0" w:rsidRPr="00CC14A0" w14:paraId="732EB64B" w14:textId="77777777" w:rsidTr="00CC14A0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60454443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 xml:space="preserve">Shu Ou 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(2020)</w:t>
            </w:r>
          </w:p>
        </w:tc>
        <w:tc>
          <w:tcPr>
            <w:tcW w:w="357" w:type="pct"/>
            <w:noWrap/>
            <w:hideMark/>
          </w:tcPr>
          <w:p w14:paraId="5C589661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4D8DF17C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5976119D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218E9FA2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778EDD65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3ED059D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5A13412E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2FB864C4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4FFE91FD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74336821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  <w:tr w:rsidR="00CC14A0" w:rsidRPr="00CC14A0" w14:paraId="231AB11E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62144245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Huajun Fu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(2019)</w:t>
            </w:r>
          </w:p>
        </w:tc>
        <w:tc>
          <w:tcPr>
            <w:tcW w:w="357" w:type="pct"/>
            <w:noWrap/>
            <w:hideMark/>
          </w:tcPr>
          <w:p w14:paraId="3E3F47FA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1CB925C7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05EB029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23CFE0CF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78F0194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2E06757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08" w:type="pct"/>
            <w:noWrap/>
            <w:hideMark/>
          </w:tcPr>
          <w:p w14:paraId="48D5F4F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53242057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2BF99DA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222290D3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8</w:t>
            </w:r>
          </w:p>
        </w:tc>
      </w:tr>
      <w:tr w:rsidR="00CC14A0" w:rsidRPr="00CC14A0" w14:paraId="32752A26" w14:textId="77777777" w:rsidTr="00CC14A0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520983CB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Li-Gang Huang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(2017)</w:t>
            </w:r>
          </w:p>
        </w:tc>
        <w:tc>
          <w:tcPr>
            <w:tcW w:w="357" w:type="pct"/>
            <w:noWrap/>
            <w:hideMark/>
          </w:tcPr>
          <w:p w14:paraId="5211EFE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152DD6CD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1A963471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0F668ED9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6C82CC5B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70E6C1BB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5FA31ABE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F45D5F3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383" w:type="pct"/>
            <w:noWrap/>
            <w:hideMark/>
          </w:tcPr>
          <w:p w14:paraId="052D867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3E8C9677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5</w:t>
            </w:r>
          </w:p>
        </w:tc>
      </w:tr>
      <w:tr w:rsidR="00CC14A0" w:rsidRPr="00CC14A0" w14:paraId="5243330C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53DEC241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Yifei Wu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(2021)</w:t>
            </w:r>
          </w:p>
        </w:tc>
        <w:tc>
          <w:tcPr>
            <w:tcW w:w="357" w:type="pct"/>
            <w:noWrap/>
            <w:hideMark/>
          </w:tcPr>
          <w:p w14:paraId="23CF1846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5AE2F50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4FDF890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58" w:type="pct"/>
            <w:noWrap/>
            <w:hideMark/>
          </w:tcPr>
          <w:p w14:paraId="4D97B551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5013C8F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221215E2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2ADE4AA2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2CE1DFED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70584DFA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06B4699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8</w:t>
            </w:r>
          </w:p>
        </w:tc>
      </w:tr>
      <w:tr w:rsidR="00CC14A0" w:rsidRPr="00CC14A0" w14:paraId="01C524AA" w14:textId="77777777" w:rsidTr="00CC14A0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770A3CDB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YuKui Yan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(2019)</w:t>
            </w:r>
          </w:p>
        </w:tc>
        <w:tc>
          <w:tcPr>
            <w:tcW w:w="357" w:type="pct"/>
            <w:noWrap/>
            <w:hideMark/>
          </w:tcPr>
          <w:p w14:paraId="5ECD942B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23" w:type="pct"/>
            <w:noWrap/>
            <w:hideMark/>
          </w:tcPr>
          <w:p w14:paraId="0FBA2425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06" w:type="pct"/>
            <w:noWrap/>
            <w:hideMark/>
          </w:tcPr>
          <w:p w14:paraId="73094FD8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4748F858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556C30F1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387" w:type="pct"/>
            <w:noWrap/>
            <w:hideMark/>
          </w:tcPr>
          <w:p w14:paraId="329E79C0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04B17952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2787E59B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2380223C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05AE10BF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4</w:t>
            </w:r>
          </w:p>
        </w:tc>
      </w:tr>
      <w:tr w:rsidR="00CC14A0" w:rsidRPr="00CC14A0" w14:paraId="6A197BB3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031C46DB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Bizhou Bie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(2021)</w:t>
            </w:r>
          </w:p>
        </w:tc>
        <w:tc>
          <w:tcPr>
            <w:tcW w:w="357" w:type="pct"/>
            <w:noWrap/>
            <w:hideMark/>
          </w:tcPr>
          <w:p w14:paraId="6ED702C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49922DC8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07F32B59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58" w:type="pct"/>
            <w:noWrap/>
            <w:hideMark/>
          </w:tcPr>
          <w:p w14:paraId="16D2B912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2D12A2CF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3EFCACAD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7E793BA4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BF1F7C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5CBAF756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0BAF95F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8</w:t>
            </w:r>
          </w:p>
        </w:tc>
      </w:tr>
      <w:tr w:rsidR="00CC14A0" w:rsidRPr="00CC14A0" w14:paraId="0CCC668A" w14:textId="77777777" w:rsidTr="00CC14A0">
        <w:trPr>
          <w:trHeight w:val="1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6EAB60BC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Muhammad Usman Ashhab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(2013)</w:t>
            </w:r>
          </w:p>
        </w:tc>
        <w:tc>
          <w:tcPr>
            <w:tcW w:w="357" w:type="pct"/>
            <w:noWrap/>
            <w:hideMark/>
          </w:tcPr>
          <w:p w14:paraId="3FAAFCE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1DB5772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55A8B3FC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440DB9D1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5D9E56A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1E6F025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23B96387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1A2BF40F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233E97E7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33563217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  <w:tr w:rsidR="00CC14A0" w:rsidRPr="00CC14A0" w14:paraId="49511873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188668DE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Prabowo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(2015)</w:t>
            </w:r>
          </w:p>
        </w:tc>
        <w:tc>
          <w:tcPr>
            <w:tcW w:w="357" w:type="pct"/>
            <w:noWrap/>
            <w:hideMark/>
          </w:tcPr>
          <w:p w14:paraId="7771D0F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646B2032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06" w:type="pct"/>
            <w:noWrap/>
            <w:hideMark/>
          </w:tcPr>
          <w:p w14:paraId="7CBF1778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49F459B8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3E22BCE3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55B53086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23135947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3854AF0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23CBFFF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64270E01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6</w:t>
            </w:r>
          </w:p>
        </w:tc>
      </w:tr>
      <w:tr w:rsidR="00CC14A0" w:rsidRPr="00CC14A0" w14:paraId="03A62B95" w14:textId="77777777" w:rsidTr="00CC14A0">
        <w:trPr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4723D6AF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Zhiwei Huang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(2024)</w:t>
            </w:r>
          </w:p>
        </w:tc>
        <w:tc>
          <w:tcPr>
            <w:tcW w:w="357" w:type="pct"/>
            <w:noWrap/>
            <w:hideMark/>
          </w:tcPr>
          <w:p w14:paraId="44EFC86C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3DE8B0B3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22CF9839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58" w:type="pct"/>
            <w:noWrap/>
            <w:hideMark/>
          </w:tcPr>
          <w:p w14:paraId="110F8A57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1C3AF7F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1D474F5E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53BC8910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2E30255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59DD3059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1594AC64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8</w:t>
            </w:r>
          </w:p>
        </w:tc>
      </w:tr>
      <w:tr w:rsidR="00CC14A0" w:rsidRPr="00CC14A0" w14:paraId="27580AEA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18E2AFE6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lastRenderedPageBreak/>
              <w:t>James D. Mills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(2017)</w:t>
            </w:r>
          </w:p>
        </w:tc>
        <w:tc>
          <w:tcPr>
            <w:tcW w:w="357" w:type="pct"/>
            <w:noWrap/>
            <w:hideMark/>
          </w:tcPr>
          <w:p w14:paraId="4B82C9F2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738A1603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137B6DC6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012F020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036C6EE7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71E75089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52097B1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50C3B104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7E6ABEDD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6029316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  <w:tr w:rsidR="00CC14A0" w:rsidRPr="00CC14A0" w14:paraId="36F79015" w14:textId="77777777" w:rsidTr="00CC14A0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77A78114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Tao-Ran Li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(2018)</w:t>
            </w:r>
          </w:p>
        </w:tc>
        <w:tc>
          <w:tcPr>
            <w:tcW w:w="357" w:type="pct"/>
            <w:noWrap/>
            <w:hideMark/>
          </w:tcPr>
          <w:p w14:paraId="700FE6CE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2D16677F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4F8D33F3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770ECFAF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0E4267AF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249068D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53129F6D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C7AEF98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6346494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1A75DEF8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  <w:tr w:rsidR="00CC14A0" w:rsidRPr="00CC14A0" w14:paraId="1448E95E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525F541D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Meng Fu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(2020)</w:t>
            </w:r>
          </w:p>
        </w:tc>
        <w:tc>
          <w:tcPr>
            <w:tcW w:w="357" w:type="pct"/>
            <w:noWrap/>
            <w:hideMark/>
          </w:tcPr>
          <w:p w14:paraId="2E2AB84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37EB2F51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5482F584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3F11A08B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2248DB4D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6011D48A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27139B7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3640A65C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693AE7BE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13D95970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  <w:tr w:rsidR="00CC14A0" w:rsidRPr="00CC14A0" w14:paraId="1F902C27" w14:textId="77777777" w:rsidTr="00CC14A0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4C2D8028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E. Aronica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(2010)</w:t>
            </w:r>
          </w:p>
        </w:tc>
        <w:tc>
          <w:tcPr>
            <w:tcW w:w="357" w:type="pct"/>
            <w:noWrap/>
            <w:hideMark/>
          </w:tcPr>
          <w:p w14:paraId="089A638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25E952E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031EB42D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4BF2DBAB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3EE2073D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003C9105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08" w:type="pct"/>
            <w:noWrap/>
            <w:hideMark/>
          </w:tcPr>
          <w:p w14:paraId="2E9428D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04EF602E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6E497CAE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1441135A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8</w:t>
            </w:r>
          </w:p>
        </w:tc>
      </w:tr>
      <w:tr w:rsidR="00CC14A0" w:rsidRPr="00CC14A0" w14:paraId="41249394" w14:textId="77777777" w:rsidTr="00CC14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78FAA071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Ahmed Omran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(2012)</w:t>
            </w:r>
          </w:p>
        </w:tc>
        <w:tc>
          <w:tcPr>
            <w:tcW w:w="357" w:type="pct"/>
            <w:noWrap/>
            <w:hideMark/>
          </w:tcPr>
          <w:p w14:paraId="41EA0BCE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4AD3C84F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39B85CCF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70CD506E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0F9386FF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29AEA201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08" w:type="pct"/>
            <w:noWrap/>
            <w:hideMark/>
          </w:tcPr>
          <w:p w14:paraId="2B89D123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6128FE36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7CAD36EE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1C213615" w14:textId="77777777" w:rsidR="00CC14A0" w:rsidRPr="00CC14A0" w:rsidRDefault="00CC14A0" w:rsidP="00CC14A0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8</w:t>
            </w:r>
          </w:p>
        </w:tc>
      </w:tr>
      <w:tr w:rsidR="00CC14A0" w:rsidRPr="00CC14A0" w14:paraId="67AE3DE6" w14:textId="77777777" w:rsidTr="00CC14A0">
        <w:trPr>
          <w:trHeight w:val="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pct"/>
            <w:hideMark/>
          </w:tcPr>
          <w:p w14:paraId="333E6756" w14:textId="77777777" w:rsidR="00CC14A0" w:rsidRPr="00CC14A0" w:rsidRDefault="00CC14A0" w:rsidP="00CC14A0">
            <w:pPr>
              <w:bidi w:val="0"/>
              <w:jc w:val="center"/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</w:pP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t>Anne A. Kan</w:t>
            </w:r>
            <w:r w:rsidRPr="00CC14A0">
              <w:rPr>
                <w:rFonts w:asciiTheme="minorHAnsi" w:eastAsia="Times New Roman" w:hAnsiTheme="minorHAnsi" w:cstheme="minorHAnsi"/>
                <w:color w:val="000000"/>
                <w:kern w:val="0"/>
                <w:sz w:val="22"/>
                <w:lang w:bidi="ar-SA"/>
                <w14:ligatures w14:val="none"/>
              </w:rPr>
              <w:br/>
              <w:t>(2012)</w:t>
            </w:r>
          </w:p>
        </w:tc>
        <w:tc>
          <w:tcPr>
            <w:tcW w:w="357" w:type="pct"/>
            <w:noWrap/>
            <w:hideMark/>
          </w:tcPr>
          <w:p w14:paraId="7C0F2E8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23" w:type="pct"/>
            <w:noWrap/>
            <w:hideMark/>
          </w:tcPr>
          <w:p w14:paraId="6D78B42D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406" w:type="pct"/>
            <w:noWrap/>
            <w:hideMark/>
          </w:tcPr>
          <w:p w14:paraId="4AA518F5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458" w:type="pct"/>
            <w:noWrap/>
            <w:hideMark/>
          </w:tcPr>
          <w:p w14:paraId="3ABB5D86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70" w:type="pct"/>
            <w:noWrap/>
            <w:hideMark/>
          </w:tcPr>
          <w:p w14:paraId="40FFB472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7" w:type="pct"/>
            <w:noWrap/>
            <w:hideMark/>
          </w:tcPr>
          <w:p w14:paraId="2CBA604B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0</w:t>
            </w:r>
          </w:p>
        </w:tc>
        <w:tc>
          <w:tcPr>
            <w:tcW w:w="508" w:type="pct"/>
            <w:noWrap/>
            <w:hideMark/>
          </w:tcPr>
          <w:p w14:paraId="050CDFC9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512" w:type="pct"/>
            <w:noWrap/>
            <w:hideMark/>
          </w:tcPr>
          <w:p w14:paraId="59F1E0E2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383" w:type="pct"/>
            <w:noWrap/>
            <w:hideMark/>
          </w:tcPr>
          <w:p w14:paraId="2F4D2727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*</w:t>
            </w:r>
          </w:p>
        </w:tc>
        <w:tc>
          <w:tcPr>
            <w:tcW w:w="228" w:type="pct"/>
            <w:noWrap/>
            <w:hideMark/>
          </w:tcPr>
          <w:p w14:paraId="3DE3CFF8" w14:textId="77777777" w:rsidR="00CC14A0" w:rsidRPr="00CC14A0" w:rsidRDefault="00CC14A0" w:rsidP="00CC14A0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</w:pPr>
            <w:r w:rsidRPr="00CC14A0">
              <w:rPr>
                <w:rFonts w:ascii="Calibri" w:eastAsia="Times New Roman" w:hAnsi="Calibri" w:cs="Calibri"/>
                <w:color w:val="000000"/>
                <w:kern w:val="0"/>
                <w:lang w:bidi="ar-SA"/>
                <w14:ligatures w14:val="none"/>
              </w:rPr>
              <w:t>7</w:t>
            </w:r>
          </w:p>
        </w:tc>
      </w:tr>
    </w:tbl>
    <w:p w14:paraId="37765AD9" w14:textId="60C6AAE9" w:rsidR="00CC14A0" w:rsidRDefault="00CC14A0" w:rsidP="00CC14A0">
      <w:pPr>
        <w:bidi w:val="0"/>
        <w:spacing w:line="240" w:lineRule="auto"/>
        <w:contextualSpacing/>
        <w:rPr>
          <w:rtl/>
        </w:rPr>
        <w:sectPr w:rsidR="00CC14A0" w:rsidSect="001C56D6">
          <w:pgSz w:w="16838" w:h="11906" w:orient="landscape" w:code="9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14:paraId="351E4B64" w14:textId="4878E1F1" w:rsidR="00CC14A0" w:rsidRDefault="00CC14A0" w:rsidP="00CC14A0">
      <w:pPr>
        <w:bidi w:val="0"/>
        <w:spacing w:line="240" w:lineRule="auto"/>
        <w:contextualSpacing/>
      </w:pPr>
      <w:r>
        <w:t xml:space="preserve">Abbreviations: </w:t>
      </w:r>
      <w:r w:rsidRPr="006D38A1">
        <w:rPr>
          <w:b/>
          <w:bCs/>
        </w:rPr>
        <w:t>Add. conf</w:t>
      </w:r>
      <w:r w:rsidRPr="006D38A1">
        <w:t xml:space="preserve">. = Additional confounding controlled, </w:t>
      </w:r>
      <w:r w:rsidRPr="006D38A1">
        <w:rPr>
          <w:b/>
          <w:bCs/>
        </w:rPr>
        <w:t>Case def.</w:t>
      </w:r>
      <w:r w:rsidRPr="006D38A1">
        <w:t xml:space="preserve"> = Case definition adequate, </w:t>
      </w:r>
      <w:r w:rsidRPr="006D38A1">
        <w:rPr>
          <w:b/>
          <w:bCs/>
        </w:rPr>
        <w:t>Case repr.</w:t>
      </w:r>
      <w:r w:rsidRPr="006D38A1">
        <w:t xml:space="preserve"> = Case representativeness, </w:t>
      </w:r>
      <w:r w:rsidRPr="006D38A1">
        <w:rPr>
          <w:b/>
          <w:bCs/>
        </w:rPr>
        <w:t>Ctrl def.</w:t>
      </w:r>
      <w:r w:rsidRPr="006D38A1">
        <w:t xml:space="preserve"> = Control definition, </w:t>
      </w:r>
      <w:r w:rsidRPr="006D38A1">
        <w:rPr>
          <w:b/>
          <w:bCs/>
        </w:rPr>
        <w:t>Ctrl select.</w:t>
      </w:r>
      <w:r w:rsidRPr="006D38A1">
        <w:t xml:space="preserve"> = Control selection, </w:t>
      </w:r>
      <w:r w:rsidRPr="006D38A1">
        <w:rPr>
          <w:b/>
          <w:bCs/>
        </w:rPr>
        <w:t xml:space="preserve">Expo. method </w:t>
      </w:r>
      <w:r w:rsidRPr="006D38A1">
        <w:t xml:space="preserve">= Exposure assessment method, </w:t>
      </w:r>
      <w:r w:rsidRPr="006D38A1">
        <w:rPr>
          <w:b/>
          <w:bCs/>
        </w:rPr>
        <w:t xml:space="preserve">Main conf. </w:t>
      </w:r>
      <w:r w:rsidRPr="006D38A1">
        <w:t xml:space="preserve">= Main confounding controlled, </w:t>
      </w:r>
      <w:r w:rsidRPr="006D38A1">
        <w:rPr>
          <w:b/>
          <w:bCs/>
        </w:rPr>
        <w:t>Non-resp</w:t>
      </w:r>
      <w:r w:rsidRPr="006D38A1">
        <w:t xml:space="preserve">. = Non-response rate, </w:t>
      </w:r>
      <w:r w:rsidRPr="006D38A1">
        <w:rPr>
          <w:b/>
          <w:bCs/>
        </w:rPr>
        <w:t>Same method</w:t>
      </w:r>
      <w:r w:rsidRPr="006D38A1">
        <w:t xml:space="preserve"> = Same exposure method, </w:t>
      </w:r>
      <w:r w:rsidRPr="006D38A1">
        <w:rPr>
          <w:b/>
          <w:bCs/>
        </w:rPr>
        <w:t>Total</w:t>
      </w:r>
      <w:r w:rsidRPr="006D38A1">
        <w:t xml:space="preserve"> = Total stars</w:t>
      </w:r>
    </w:p>
    <w:sectPr w:rsidR="00CC14A0" w:rsidSect="00CC14A0">
      <w:type w:val="continuous"/>
      <w:pgSz w:w="16838" w:h="11906" w:orient="landscape" w:code="9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121C" w14:textId="77777777" w:rsidR="00AD1B33" w:rsidRDefault="00AD1B33" w:rsidP="00840249">
      <w:pPr>
        <w:spacing w:after="0" w:line="240" w:lineRule="auto"/>
      </w:pPr>
      <w:r>
        <w:separator/>
      </w:r>
    </w:p>
  </w:endnote>
  <w:endnote w:type="continuationSeparator" w:id="0">
    <w:p w14:paraId="36D1CB0A" w14:textId="77777777" w:rsidR="00AD1B33" w:rsidRDefault="00AD1B33" w:rsidP="0084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F6721" w14:textId="77777777" w:rsidR="00AD1B33" w:rsidRDefault="00AD1B33" w:rsidP="00840249">
      <w:pPr>
        <w:spacing w:after="0" w:line="240" w:lineRule="auto"/>
      </w:pPr>
      <w:r>
        <w:separator/>
      </w:r>
    </w:p>
  </w:footnote>
  <w:footnote w:type="continuationSeparator" w:id="0">
    <w:p w14:paraId="73B804EC" w14:textId="77777777" w:rsidR="00AD1B33" w:rsidRDefault="00AD1B33" w:rsidP="0084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01"/>
    <w:rsid w:val="000C3C2E"/>
    <w:rsid w:val="001354B1"/>
    <w:rsid w:val="001C56D6"/>
    <w:rsid w:val="002C3632"/>
    <w:rsid w:val="00307D01"/>
    <w:rsid w:val="003D4E8E"/>
    <w:rsid w:val="003F3355"/>
    <w:rsid w:val="00450FC4"/>
    <w:rsid w:val="00483FD1"/>
    <w:rsid w:val="004D25CC"/>
    <w:rsid w:val="00644AB6"/>
    <w:rsid w:val="006D38A1"/>
    <w:rsid w:val="006F21F4"/>
    <w:rsid w:val="0081310A"/>
    <w:rsid w:val="00840249"/>
    <w:rsid w:val="00A837D6"/>
    <w:rsid w:val="00AD1B33"/>
    <w:rsid w:val="00B1627B"/>
    <w:rsid w:val="00B94A0E"/>
    <w:rsid w:val="00CC14A0"/>
    <w:rsid w:val="00DB5E15"/>
    <w:rsid w:val="00DE42EE"/>
    <w:rsid w:val="00F06F1E"/>
    <w:rsid w:val="00F4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DC35F0"/>
  <w15:chartTrackingRefBased/>
  <w15:docId w15:val="{449DA901-7FF0-45B7-9D01-49B98F41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0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D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D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D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D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D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D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D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D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D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D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D0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249"/>
  </w:style>
  <w:style w:type="paragraph" w:styleId="Footer">
    <w:name w:val="footer"/>
    <w:basedOn w:val="Normal"/>
    <w:link w:val="FooterChar"/>
    <w:uiPriority w:val="99"/>
    <w:unhideWhenUsed/>
    <w:rsid w:val="00840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249"/>
  </w:style>
  <w:style w:type="table" w:styleId="PlainTable4">
    <w:name w:val="Plain Table 4"/>
    <w:basedOn w:val="TableNormal"/>
    <w:uiPriority w:val="44"/>
    <w:rsid w:val="0084024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4024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zaei_nima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zaei_nima@tums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3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ghhco</dc:creator>
  <cp:keywords/>
  <dc:description/>
  <cp:lastModifiedBy>kiarash saleki</cp:lastModifiedBy>
  <cp:revision>6</cp:revision>
  <dcterms:created xsi:type="dcterms:W3CDTF">2025-06-28T08:44:00Z</dcterms:created>
  <dcterms:modified xsi:type="dcterms:W3CDTF">2025-06-30T12:49:00Z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b7e1e344-30ad-46ca-b3f8-298ac0778624</vt:lpwstr>
  </property>
</Properties>
</file>