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ED63B" w14:textId="77777777" w:rsidR="00231479" w:rsidRDefault="00231479" w:rsidP="00231479">
      <w:pPr>
        <w:jc w:val="center"/>
        <w:rPr>
          <w:b/>
          <w:bCs/>
          <w:sz w:val="36"/>
          <w:szCs w:val="36"/>
        </w:rPr>
      </w:pPr>
    </w:p>
    <w:p w14:paraId="6A2421A3" w14:textId="77777777" w:rsidR="00231479" w:rsidRDefault="00231479" w:rsidP="00231479">
      <w:pPr>
        <w:jc w:val="center"/>
        <w:rPr>
          <w:b/>
          <w:bCs/>
          <w:sz w:val="36"/>
          <w:szCs w:val="36"/>
        </w:rPr>
      </w:pPr>
    </w:p>
    <w:p w14:paraId="27C3BADD" w14:textId="77777777" w:rsidR="00231479" w:rsidRDefault="00231479" w:rsidP="00231479">
      <w:pPr>
        <w:jc w:val="center"/>
        <w:rPr>
          <w:b/>
          <w:bCs/>
          <w:sz w:val="36"/>
          <w:szCs w:val="36"/>
        </w:rPr>
      </w:pPr>
    </w:p>
    <w:p w14:paraId="7EA2B52E" w14:textId="77777777" w:rsidR="00231479" w:rsidRDefault="00231479" w:rsidP="00A74065">
      <w:pPr>
        <w:rPr>
          <w:b/>
          <w:bCs/>
          <w:sz w:val="36"/>
          <w:szCs w:val="36"/>
        </w:rPr>
      </w:pPr>
    </w:p>
    <w:p w14:paraId="7D86150B" w14:textId="77777777" w:rsidR="00231479" w:rsidRDefault="00231479" w:rsidP="00231479">
      <w:pPr>
        <w:jc w:val="center"/>
        <w:rPr>
          <w:b/>
          <w:bCs/>
          <w:sz w:val="36"/>
          <w:szCs w:val="36"/>
        </w:rPr>
      </w:pPr>
    </w:p>
    <w:p w14:paraId="54399108" w14:textId="77777777" w:rsidR="00231479" w:rsidRDefault="00231479" w:rsidP="00231479">
      <w:pPr>
        <w:jc w:val="center"/>
        <w:rPr>
          <w:b/>
          <w:bCs/>
          <w:sz w:val="36"/>
          <w:szCs w:val="36"/>
        </w:rPr>
      </w:pPr>
    </w:p>
    <w:p w14:paraId="5884A0F1" w14:textId="77777777" w:rsidR="00231479" w:rsidRDefault="00231479" w:rsidP="00231479">
      <w:pPr>
        <w:jc w:val="center"/>
        <w:rPr>
          <w:b/>
          <w:bCs/>
          <w:sz w:val="36"/>
          <w:szCs w:val="36"/>
        </w:rPr>
      </w:pPr>
    </w:p>
    <w:p w14:paraId="5F94B7B3" w14:textId="3F7DCF40" w:rsidR="00486671" w:rsidRPr="00231479" w:rsidRDefault="00486671" w:rsidP="00231479">
      <w:pPr>
        <w:jc w:val="center"/>
        <w:rPr>
          <w:b/>
          <w:bCs/>
          <w:sz w:val="52"/>
          <w:szCs w:val="52"/>
        </w:rPr>
      </w:pPr>
      <w:r w:rsidRPr="00231479">
        <w:rPr>
          <w:b/>
          <w:bCs/>
          <w:sz w:val="52"/>
          <w:szCs w:val="52"/>
        </w:rPr>
        <w:t>Appendix</w:t>
      </w:r>
    </w:p>
    <w:p w14:paraId="4125A5F6" w14:textId="77777777" w:rsidR="00486671" w:rsidRPr="00486671" w:rsidRDefault="00486671" w:rsidP="003761EB">
      <w:pPr>
        <w:rPr>
          <w:b/>
          <w:bCs/>
          <w:sz w:val="36"/>
          <w:szCs w:val="36"/>
        </w:rPr>
      </w:pPr>
    </w:p>
    <w:p w14:paraId="5C5C9BFE" w14:textId="2A61142B" w:rsidR="00486671" w:rsidRPr="00486671" w:rsidRDefault="00486671" w:rsidP="003761EB">
      <w:pPr>
        <w:spacing w:line="360" w:lineRule="auto"/>
        <w:rPr>
          <w:sz w:val="22"/>
          <w:szCs w:val="22"/>
        </w:rPr>
      </w:pPr>
      <w:r>
        <w:rPr>
          <w:sz w:val="22"/>
          <w:szCs w:val="22"/>
        </w:rPr>
        <w:t xml:space="preserve">van Daalen </w:t>
      </w:r>
      <w:r w:rsidRPr="00486671">
        <w:rPr>
          <w:i/>
          <w:iCs/>
          <w:sz w:val="22"/>
          <w:szCs w:val="22"/>
        </w:rPr>
        <w:t>et al.</w:t>
      </w:r>
      <w:r>
        <w:rPr>
          <w:sz w:val="22"/>
          <w:szCs w:val="22"/>
        </w:rPr>
        <w:t xml:space="preserve">, </w:t>
      </w:r>
      <w:r w:rsidRPr="00486671">
        <w:rPr>
          <w:sz w:val="22"/>
          <w:szCs w:val="22"/>
        </w:rPr>
        <w:t xml:space="preserve">Genetic susceptibility </w:t>
      </w:r>
      <w:r w:rsidR="00BE0319">
        <w:rPr>
          <w:sz w:val="22"/>
          <w:szCs w:val="22"/>
        </w:rPr>
        <w:t xml:space="preserve">to adverse arsenic-related </w:t>
      </w:r>
      <w:proofErr w:type="spellStart"/>
      <w:r w:rsidR="00BE0319">
        <w:rPr>
          <w:sz w:val="22"/>
          <w:szCs w:val="22"/>
        </w:rPr>
        <w:t>cardiometablic</w:t>
      </w:r>
      <w:proofErr w:type="spellEnd"/>
      <w:r w:rsidR="00BE0319">
        <w:rPr>
          <w:sz w:val="22"/>
          <w:szCs w:val="22"/>
        </w:rPr>
        <w:t xml:space="preserve"> outcomes: a systematic review. </w:t>
      </w:r>
    </w:p>
    <w:p w14:paraId="7531538C" w14:textId="77777777" w:rsidR="00A74065" w:rsidRDefault="00A74065" w:rsidP="003761EB"/>
    <w:p w14:paraId="58D09DD8" w14:textId="77777777" w:rsidR="00A74065" w:rsidRDefault="00A74065" w:rsidP="003761EB"/>
    <w:p w14:paraId="37FBB1FB" w14:textId="77777777" w:rsidR="00A74065" w:rsidRPr="00A74065" w:rsidRDefault="00A74065" w:rsidP="003761EB">
      <w:pPr>
        <w:spacing w:line="360" w:lineRule="auto"/>
        <w:rPr>
          <w:b/>
          <w:bCs/>
        </w:rPr>
      </w:pPr>
      <w:r w:rsidRPr="00A74065">
        <w:rPr>
          <w:b/>
          <w:bCs/>
        </w:rPr>
        <w:t xml:space="preserve">Includes: </w:t>
      </w:r>
    </w:p>
    <w:p w14:paraId="553A76F6" w14:textId="24BF1C27" w:rsidR="00A74065" w:rsidRPr="00A74065" w:rsidRDefault="00A74065">
      <w:pPr>
        <w:pStyle w:val="ListParagraph"/>
        <w:numPr>
          <w:ilvl w:val="0"/>
          <w:numId w:val="1"/>
        </w:numPr>
        <w:spacing w:line="360" w:lineRule="auto"/>
      </w:pPr>
      <w:r w:rsidRPr="00A74065">
        <w:rPr>
          <w:b/>
          <w:color w:val="000000"/>
          <w:sz w:val="22"/>
          <w:szCs w:val="22"/>
        </w:rPr>
        <w:t xml:space="preserve">Supplement Table 1 </w:t>
      </w:r>
      <w:r w:rsidRPr="00A74065">
        <w:rPr>
          <w:bCs/>
          <w:color w:val="000000"/>
          <w:sz w:val="22"/>
          <w:szCs w:val="22"/>
        </w:rPr>
        <w:t>Preferred Items for Systematic Reviews and Meta-analyses (PRIMSA) Checklist</w:t>
      </w:r>
      <w:r>
        <w:rPr>
          <w:bCs/>
          <w:color w:val="000000"/>
          <w:sz w:val="22"/>
          <w:szCs w:val="22"/>
        </w:rPr>
        <w:t>.</w:t>
      </w:r>
      <w:r w:rsidRPr="00A74065">
        <w:rPr>
          <w:bCs/>
        </w:rPr>
        <w:t xml:space="preserve"> </w:t>
      </w:r>
    </w:p>
    <w:p w14:paraId="690084B5" w14:textId="1EDD7A13" w:rsidR="00A74065" w:rsidRPr="00A74065" w:rsidRDefault="00A74065">
      <w:pPr>
        <w:pStyle w:val="ListParagraph"/>
        <w:numPr>
          <w:ilvl w:val="0"/>
          <w:numId w:val="1"/>
        </w:numPr>
        <w:spacing w:line="360" w:lineRule="auto"/>
      </w:pPr>
      <w:r w:rsidRPr="00405FAC">
        <w:rPr>
          <w:b/>
          <w:color w:val="000000" w:themeColor="text1"/>
          <w:sz w:val="22"/>
          <w:szCs w:val="22"/>
        </w:rPr>
        <w:t xml:space="preserve">Supplement Table </w:t>
      </w:r>
      <w:r>
        <w:rPr>
          <w:b/>
          <w:color w:val="000000" w:themeColor="text1"/>
          <w:sz w:val="22"/>
          <w:szCs w:val="22"/>
        </w:rPr>
        <w:t xml:space="preserve">2 </w:t>
      </w:r>
      <w:r w:rsidRPr="00A74065">
        <w:rPr>
          <w:bCs/>
          <w:color w:val="000000" w:themeColor="text1"/>
          <w:sz w:val="22"/>
          <w:szCs w:val="22"/>
        </w:rPr>
        <w:t>Search strategy used</w:t>
      </w:r>
      <w:r w:rsidR="00445BCC">
        <w:rPr>
          <w:bCs/>
          <w:color w:val="000000" w:themeColor="text1"/>
          <w:sz w:val="22"/>
          <w:szCs w:val="22"/>
        </w:rPr>
        <w:t xml:space="preserve"> in</w:t>
      </w:r>
      <w:r w:rsidRPr="00A74065">
        <w:rPr>
          <w:bCs/>
          <w:color w:val="000000" w:themeColor="text1"/>
          <w:sz w:val="22"/>
          <w:szCs w:val="22"/>
        </w:rPr>
        <w:t xml:space="preserve"> July 2019 and re-run </w:t>
      </w:r>
      <w:r w:rsidR="00445BCC">
        <w:rPr>
          <w:bCs/>
          <w:color w:val="000000" w:themeColor="text1"/>
          <w:sz w:val="22"/>
          <w:szCs w:val="22"/>
        </w:rPr>
        <w:t>in April</w:t>
      </w:r>
      <w:r w:rsidRPr="00A74065">
        <w:rPr>
          <w:bCs/>
          <w:color w:val="000000" w:themeColor="text1"/>
          <w:sz w:val="22"/>
          <w:szCs w:val="22"/>
        </w:rPr>
        <w:t xml:space="preserve"> 2023</w:t>
      </w:r>
      <w:r>
        <w:rPr>
          <w:bCs/>
          <w:color w:val="000000" w:themeColor="text1"/>
          <w:sz w:val="22"/>
          <w:szCs w:val="22"/>
        </w:rPr>
        <w:t>.</w:t>
      </w:r>
    </w:p>
    <w:p w14:paraId="5D6FFB7C" w14:textId="77777777" w:rsidR="00A74065" w:rsidRPr="00A74065" w:rsidRDefault="00A74065">
      <w:pPr>
        <w:pStyle w:val="ListParagraph"/>
        <w:numPr>
          <w:ilvl w:val="0"/>
          <w:numId w:val="1"/>
        </w:numPr>
        <w:spacing w:line="360" w:lineRule="auto"/>
      </w:pPr>
      <w:r w:rsidRPr="00231479">
        <w:rPr>
          <w:b/>
          <w:color w:val="000000" w:themeColor="text1"/>
          <w:sz w:val="22"/>
          <w:szCs w:val="22"/>
        </w:rPr>
        <w:t xml:space="preserve">Supplement Table </w:t>
      </w:r>
      <w:r>
        <w:rPr>
          <w:b/>
          <w:color w:val="000000" w:themeColor="text1"/>
          <w:sz w:val="22"/>
          <w:szCs w:val="22"/>
        </w:rPr>
        <w:t xml:space="preserve">3 </w:t>
      </w:r>
      <w:r w:rsidRPr="00A74065">
        <w:rPr>
          <w:bCs/>
          <w:color w:val="000000" w:themeColor="text1"/>
          <w:sz w:val="22"/>
          <w:szCs w:val="22"/>
        </w:rPr>
        <w:t>Overview of studies excluded in the full-text review and their reason for exclusion.</w:t>
      </w:r>
    </w:p>
    <w:p w14:paraId="2C0F99EB" w14:textId="77777777" w:rsidR="00A74065" w:rsidRDefault="00A74065">
      <w:pPr>
        <w:pStyle w:val="ListParagraph"/>
        <w:numPr>
          <w:ilvl w:val="0"/>
          <w:numId w:val="1"/>
        </w:numPr>
        <w:spacing w:line="360" w:lineRule="auto"/>
        <w:rPr>
          <w:bCs/>
          <w:color w:val="000000"/>
          <w:sz w:val="22"/>
          <w:szCs w:val="22"/>
        </w:rPr>
      </w:pPr>
      <w:r w:rsidRPr="00A74065">
        <w:rPr>
          <w:b/>
          <w:color w:val="000000" w:themeColor="text1"/>
          <w:sz w:val="22"/>
          <w:szCs w:val="22"/>
        </w:rPr>
        <w:t xml:space="preserve">Supplement Table 4 </w:t>
      </w:r>
      <w:r w:rsidRPr="00A74065">
        <w:rPr>
          <w:bCs/>
          <w:color w:val="000000" w:themeColor="text1"/>
          <w:sz w:val="22"/>
          <w:szCs w:val="22"/>
        </w:rPr>
        <w:t xml:space="preserve">Overview of the </w:t>
      </w:r>
      <w:r w:rsidRPr="00A74065">
        <w:rPr>
          <w:bCs/>
          <w:color w:val="000000"/>
          <w:sz w:val="22"/>
          <w:szCs w:val="22"/>
        </w:rPr>
        <w:t>SNPs investigated in the included studies.</w:t>
      </w:r>
    </w:p>
    <w:p w14:paraId="5A469D9B" w14:textId="675862F1" w:rsidR="003761EB" w:rsidRDefault="003761EB">
      <w:pPr>
        <w:pStyle w:val="ListParagraph"/>
        <w:numPr>
          <w:ilvl w:val="0"/>
          <w:numId w:val="1"/>
        </w:numPr>
        <w:spacing w:line="360" w:lineRule="auto"/>
        <w:rPr>
          <w:bCs/>
          <w:color w:val="000000"/>
          <w:sz w:val="22"/>
          <w:szCs w:val="22"/>
        </w:rPr>
      </w:pPr>
      <w:r w:rsidRPr="0099775C">
        <w:rPr>
          <w:b/>
          <w:color w:val="000000"/>
          <w:sz w:val="22"/>
          <w:szCs w:val="22"/>
        </w:rPr>
        <w:t xml:space="preserve">Supplement Table </w:t>
      </w:r>
      <w:r>
        <w:rPr>
          <w:b/>
          <w:color w:val="000000"/>
          <w:sz w:val="22"/>
          <w:szCs w:val="22"/>
        </w:rPr>
        <w:t>5</w:t>
      </w:r>
      <w:r w:rsidRPr="0099775C">
        <w:rPr>
          <w:b/>
          <w:color w:val="000000"/>
          <w:sz w:val="22"/>
          <w:szCs w:val="22"/>
        </w:rPr>
        <w:t xml:space="preserve"> </w:t>
      </w:r>
      <w:r w:rsidRPr="003761EB">
        <w:rPr>
          <w:bCs/>
          <w:color w:val="000000"/>
          <w:sz w:val="22"/>
          <w:szCs w:val="22"/>
        </w:rPr>
        <w:t>Quality assessment of cohort or case-cohort studies</w:t>
      </w:r>
      <w:r>
        <w:rPr>
          <w:bCs/>
          <w:color w:val="000000"/>
          <w:sz w:val="22"/>
          <w:szCs w:val="22"/>
        </w:rPr>
        <w:t xml:space="preserve">. </w:t>
      </w:r>
    </w:p>
    <w:p w14:paraId="52D86031" w14:textId="1F5EAE97" w:rsidR="003761EB" w:rsidRPr="003761EB" w:rsidRDefault="003761EB">
      <w:pPr>
        <w:pStyle w:val="ListParagraph"/>
        <w:numPr>
          <w:ilvl w:val="0"/>
          <w:numId w:val="1"/>
        </w:numPr>
        <w:spacing w:line="360" w:lineRule="auto"/>
        <w:rPr>
          <w:bCs/>
          <w:color w:val="000000"/>
          <w:sz w:val="22"/>
          <w:szCs w:val="22"/>
        </w:rPr>
      </w:pPr>
      <w:r w:rsidRPr="0099775C">
        <w:rPr>
          <w:b/>
          <w:color w:val="000000"/>
          <w:sz w:val="22"/>
          <w:szCs w:val="22"/>
        </w:rPr>
        <w:t xml:space="preserve">Supplement Table </w:t>
      </w:r>
      <w:r>
        <w:rPr>
          <w:b/>
          <w:color w:val="000000"/>
          <w:sz w:val="22"/>
          <w:szCs w:val="22"/>
        </w:rPr>
        <w:t>6</w:t>
      </w:r>
      <w:r w:rsidRPr="0099775C">
        <w:rPr>
          <w:b/>
          <w:color w:val="000000"/>
          <w:sz w:val="22"/>
          <w:szCs w:val="22"/>
        </w:rPr>
        <w:t xml:space="preserve"> </w:t>
      </w:r>
      <w:r w:rsidRPr="00C34400">
        <w:rPr>
          <w:bCs/>
          <w:color w:val="000000"/>
          <w:sz w:val="22"/>
          <w:szCs w:val="22"/>
        </w:rPr>
        <w:t xml:space="preserve">Quality assessment of included case-control studies. </w:t>
      </w:r>
    </w:p>
    <w:p w14:paraId="0FAC6B1F" w14:textId="21588AA0" w:rsidR="003761EB" w:rsidRPr="003761EB" w:rsidRDefault="003761EB">
      <w:pPr>
        <w:pStyle w:val="ListParagraph"/>
        <w:numPr>
          <w:ilvl w:val="0"/>
          <w:numId w:val="1"/>
        </w:numPr>
        <w:spacing w:line="360" w:lineRule="auto"/>
        <w:rPr>
          <w:color w:val="000000"/>
          <w:sz w:val="22"/>
          <w:szCs w:val="22"/>
        </w:rPr>
      </w:pPr>
      <w:r w:rsidRPr="0099775C">
        <w:rPr>
          <w:b/>
          <w:color w:val="000000"/>
          <w:sz w:val="22"/>
          <w:szCs w:val="22"/>
        </w:rPr>
        <w:t xml:space="preserve">Supplement Table </w:t>
      </w:r>
      <w:r>
        <w:rPr>
          <w:b/>
          <w:color w:val="000000"/>
          <w:sz w:val="22"/>
          <w:szCs w:val="22"/>
        </w:rPr>
        <w:t>7</w:t>
      </w:r>
      <w:r w:rsidRPr="0099775C">
        <w:rPr>
          <w:b/>
          <w:color w:val="000000"/>
          <w:sz w:val="22"/>
          <w:szCs w:val="22"/>
        </w:rPr>
        <w:t xml:space="preserve"> </w:t>
      </w:r>
      <w:r w:rsidRPr="00C34400">
        <w:rPr>
          <w:bCs/>
          <w:color w:val="000000"/>
          <w:sz w:val="22"/>
          <w:szCs w:val="22"/>
        </w:rPr>
        <w:t>Quality assessment of included cross-sectional studies.</w:t>
      </w:r>
    </w:p>
    <w:p w14:paraId="7A1E2BA2" w14:textId="5F1C582F" w:rsidR="00405FAC" w:rsidRDefault="00405FAC">
      <w:pPr>
        <w:pStyle w:val="ListParagraph"/>
        <w:numPr>
          <w:ilvl w:val="0"/>
          <w:numId w:val="1"/>
        </w:numPr>
        <w:spacing w:line="360" w:lineRule="auto"/>
      </w:pPr>
      <w:r w:rsidRPr="00A74065">
        <w:rPr>
          <w:bCs/>
        </w:rPr>
        <w:br w:type="page"/>
      </w:r>
    </w:p>
    <w:tbl>
      <w:tblPr>
        <w:tblW w:w="10632" w:type="dxa"/>
        <w:jc w:val="center"/>
        <w:tblBorders>
          <w:top w:val="nil"/>
          <w:left w:val="nil"/>
          <w:bottom w:val="nil"/>
          <w:right w:val="nil"/>
        </w:tblBorders>
        <w:tblLook w:val="0000" w:firstRow="0" w:lastRow="0" w:firstColumn="0" w:lastColumn="0" w:noHBand="0" w:noVBand="0"/>
      </w:tblPr>
      <w:tblGrid>
        <w:gridCol w:w="1657"/>
        <w:gridCol w:w="587"/>
        <w:gridCol w:w="7248"/>
        <w:gridCol w:w="1140"/>
      </w:tblGrid>
      <w:tr w:rsidR="00364C65" w:rsidRPr="00406033" w14:paraId="34DB2605" w14:textId="77777777" w:rsidTr="00223E56">
        <w:trPr>
          <w:trHeight w:val="65"/>
          <w:tblHeader/>
          <w:jc w:val="center"/>
        </w:trPr>
        <w:tc>
          <w:tcPr>
            <w:tcW w:w="10632" w:type="dxa"/>
            <w:gridSpan w:val="4"/>
            <w:tcBorders>
              <w:top w:val="nil"/>
              <w:left w:val="nil"/>
              <w:bottom w:val="single" w:sz="4" w:space="0" w:color="000000" w:themeColor="text1"/>
              <w:right w:val="nil"/>
            </w:tcBorders>
            <w:shd w:val="clear" w:color="auto" w:fill="auto"/>
            <w:vAlign w:val="center"/>
          </w:tcPr>
          <w:p w14:paraId="7630452F" w14:textId="52A7D7F0" w:rsidR="00364C65" w:rsidRPr="00406033" w:rsidRDefault="00364C65" w:rsidP="00223E56">
            <w:pPr>
              <w:spacing w:line="360" w:lineRule="auto"/>
            </w:pPr>
            <w:r w:rsidRPr="0099775C">
              <w:rPr>
                <w:b/>
                <w:color w:val="000000"/>
                <w:sz w:val="22"/>
                <w:szCs w:val="22"/>
              </w:rPr>
              <w:lastRenderedPageBreak/>
              <w:t xml:space="preserve">Supplement Table </w:t>
            </w:r>
            <w:r>
              <w:rPr>
                <w:b/>
                <w:color w:val="000000"/>
                <w:sz w:val="22"/>
                <w:szCs w:val="22"/>
              </w:rPr>
              <w:t>1 Preferred Items for Systematic Reviews and Meta-analyses (PRIMSA) Checklist</w:t>
            </w:r>
            <w:r w:rsidR="00A74065">
              <w:rPr>
                <w:b/>
                <w:color w:val="000000"/>
                <w:sz w:val="22"/>
                <w:szCs w:val="22"/>
              </w:rPr>
              <w:t>.</w:t>
            </w:r>
          </w:p>
        </w:tc>
      </w:tr>
      <w:tr w:rsidR="00364C65" w:rsidRPr="00406033" w14:paraId="3ECA17F1" w14:textId="77777777" w:rsidTr="00223E56">
        <w:trPr>
          <w:trHeight w:val="65"/>
          <w:tblHeader/>
          <w:jc w:val="center"/>
        </w:trPr>
        <w:tc>
          <w:tcPr>
            <w:tcW w:w="1657" w:type="dxa"/>
            <w:tcBorders>
              <w:top w:val="single" w:sz="4" w:space="0" w:color="000000" w:themeColor="text1"/>
              <w:left w:val="single" w:sz="5" w:space="0" w:color="000000"/>
              <w:bottom w:val="double" w:sz="2" w:space="0" w:color="FFFFCC"/>
              <w:right w:val="single" w:sz="5" w:space="0" w:color="000000"/>
            </w:tcBorders>
            <w:shd w:val="clear" w:color="auto" w:fill="63639A"/>
            <w:vAlign w:val="center"/>
          </w:tcPr>
          <w:p w14:paraId="564E50BA" w14:textId="77777777" w:rsidR="00364C65" w:rsidRPr="00406033" w:rsidRDefault="00364C65" w:rsidP="00223E56">
            <w:pPr>
              <w:pStyle w:val="Default"/>
              <w:rPr>
                <w:rFonts w:ascii="Times New Roman" w:hAnsi="Times New Roman" w:cs="Times New Roman"/>
                <w:color w:val="FFFFFF"/>
                <w:sz w:val="18"/>
                <w:szCs w:val="18"/>
              </w:rPr>
            </w:pPr>
            <w:r w:rsidRPr="00406033">
              <w:rPr>
                <w:rFonts w:ascii="Times New Roman" w:hAnsi="Times New Roman" w:cs="Times New Roman"/>
                <w:b/>
                <w:bCs/>
                <w:color w:val="FFFFFF"/>
                <w:sz w:val="18"/>
                <w:szCs w:val="18"/>
              </w:rPr>
              <w:t xml:space="preserve">Section and Topic </w:t>
            </w:r>
          </w:p>
        </w:tc>
        <w:tc>
          <w:tcPr>
            <w:tcW w:w="587" w:type="dxa"/>
            <w:tcBorders>
              <w:top w:val="single" w:sz="4" w:space="0" w:color="000000" w:themeColor="text1"/>
              <w:left w:val="single" w:sz="5" w:space="0" w:color="000000"/>
              <w:bottom w:val="double" w:sz="2" w:space="0" w:color="FFFFCC"/>
              <w:right w:val="single" w:sz="5" w:space="0" w:color="000000"/>
            </w:tcBorders>
            <w:shd w:val="clear" w:color="auto" w:fill="63639A"/>
            <w:vAlign w:val="center"/>
          </w:tcPr>
          <w:p w14:paraId="157BD148" w14:textId="77777777" w:rsidR="00364C65" w:rsidRPr="00406033" w:rsidRDefault="00364C65" w:rsidP="00223E56">
            <w:pPr>
              <w:pStyle w:val="Default"/>
              <w:rPr>
                <w:rFonts w:ascii="Times New Roman" w:hAnsi="Times New Roman" w:cs="Times New Roman"/>
                <w:b/>
                <w:bCs/>
                <w:color w:val="FFFFFF"/>
                <w:sz w:val="18"/>
                <w:szCs w:val="18"/>
              </w:rPr>
            </w:pPr>
            <w:r w:rsidRPr="00406033">
              <w:rPr>
                <w:rFonts w:ascii="Times New Roman" w:hAnsi="Times New Roman" w:cs="Times New Roman"/>
                <w:b/>
                <w:bCs/>
                <w:color w:val="FFFFFF"/>
                <w:sz w:val="18"/>
                <w:szCs w:val="18"/>
              </w:rPr>
              <w:t>Item #</w:t>
            </w:r>
          </w:p>
        </w:tc>
        <w:tc>
          <w:tcPr>
            <w:tcW w:w="7248" w:type="dxa"/>
            <w:tcBorders>
              <w:top w:val="single" w:sz="4" w:space="0" w:color="000000" w:themeColor="text1"/>
              <w:left w:val="single" w:sz="5" w:space="0" w:color="000000"/>
              <w:bottom w:val="double" w:sz="5" w:space="0" w:color="000000"/>
              <w:right w:val="single" w:sz="5" w:space="0" w:color="000000"/>
            </w:tcBorders>
            <w:shd w:val="clear" w:color="auto" w:fill="63639A"/>
            <w:vAlign w:val="center"/>
          </w:tcPr>
          <w:p w14:paraId="4A18653D" w14:textId="77777777" w:rsidR="00364C65" w:rsidRPr="00406033" w:rsidRDefault="00364C65" w:rsidP="00223E56">
            <w:pPr>
              <w:pStyle w:val="Default"/>
              <w:rPr>
                <w:rFonts w:ascii="Times New Roman" w:hAnsi="Times New Roman" w:cs="Times New Roman"/>
                <w:color w:val="FFFFFF"/>
                <w:sz w:val="18"/>
                <w:szCs w:val="18"/>
              </w:rPr>
            </w:pPr>
            <w:r w:rsidRPr="00406033">
              <w:rPr>
                <w:rFonts w:ascii="Times New Roman" w:hAnsi="Times New Roman" w:cs="Times New Roman"/>
                <w:b/>
                <w:bCs/>
                <w:color w:val="FFFFFF"/>
                <w:sz w:val="18"/>
                <w:szCs w:val="18"/>
              </w:rPr>
              <w:t xml:space="preserve">Checklist item </w:t>
            </w:r>
          </w:p>
        </w:tc>
        <w:tc>
          <w:tcPr>
            <w:tcW w:w="1140" w:type="dxa"/>
            <w:tcBorders>
              <w:top w:val="single" w:sz="4" w:space="0" w:color="000000" w:themeColor="text1"/>
              <w:left w:val="single" w:sz="5" w:space="0" w:color="000000"/>
              <w:bottom w:val="double" w:sz="5" w:space="0" w:color="000000"/>
              <w:right w:val="single" w:sz="5" w:space="0" w:color="000000"/>
            </w:tcBorders>
            <w:shd w:val="clear" w:color="auto" w:fill="63639A"/>
            <w:vAlign w:val="center"/>
          </w:tcPr>
          <w:p w14:paraId="24F0A3D6" w14:textId="77777777" w:rsidR="00364C65" w:rsidRPr="00406033" w:rsidRDefault="00364C65" w:rsidP="00223E56">
            <w:pPr>
              <w:pStyle w:val="Default"/>
              <w:rPr>
                <w:rFonts w:ascii="Times New Roman" w:hAnsi="Times New Roman" w:cs="Times New Roman"/>
                <w:color w:val="FFFFFF"/>
                <w:sz w:val="18"/>
                <w:szCs w:val="18"/>
              </w:rPr>
            </w:pPr>
            <w:r w:rsidRPr="00406033">
              <w:rPr>
                <w:rFonts w:ascii="Times New Roman" w:hAnsi="Times New Roman" w:cs="Times New Roman"/>
                <w:b/>
                <w:bCs/>
                <w:color w:val="FFFFFF"/>
                <w:sz w:val="18"/>
                <w:szCs w:val="18"/>
              </w:rPr>
              <w:t xml:space="preserve">Location where item is reported </w:t>
            </w:r>
          </w:p>
        </w:tc>
      </w:tr>
      <w:tr w:rsidR="00364C65" w:rsidRPr="00406033" w14:paraId="239ED3B8" w14:textId="77777777" w:rsidTr="00223E56">
        <w:trPr>
          <w:trHeight w:val="24"/>
          <w:jc w:val="center"/>
        </w:trPr>
        <w:tc>
          <w:tcPr>
            <w:tcW w:w="949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6A05522A" w14:textId="77777777" w:rsidR="00364C65" w:rsidRPr="00406033" w:rsidRDefault="00364C65" w:rsidP="00223E56">
            <w:pPr>
              <w:pStyle w:val="Default"/>
              <w:rPr>
                <w:rFonts w:ascii="Times New Roman" w:hAnsi="Times New Roman" w:cs="Times New Roman"/>
                <w:sz w:val="18"/>
                <w:szCs w:val="18"/>
              </w:rPr>
            </w:pPr>
            <w:r w:rsidRPr="00406033">
              <w:rPr>
                <w:rFonts w:ascii="Times New Roman" w:hAnsi="Times New Roman" w:cs="Times New Roman"/>
                <w:b/>
                <w:bCs/>
                <w:sz w:val="18"/>
                <w:szCs w:val="18"/>
              </w:rPr>
              <w:t xml:space="preserve">TITLE </w:t>
            </w:r>
          </w:p>
        </w:tc>
        <w:tc>
          <w:tcPr>
            <w:tcW w:w="1140" w:type="dxa"/>
            <w:tcBorders>
              <w:top w:val="double" w:sz="5" w:space="0" w:color="000000"/>
              <w:left w:val="single" w:sz="5" w:space="0" w:color="000000"/>
              <w:bottom w:val="single" w:sz="5" w:space="0" w:color="000000"/>
              <w:right w:val="single" w:sz="5" w:space="0" w:color="000000"/>
            </w:tcBorders>
            <w:shd w:val="clear" w:color="auto" w:fill="FFFFCC"/>
          </w:tcPr>
          <w:p w14:paraId="692DF863" w14:textId="77777777" w:rsidR="00364C65" w:rsidRPr="00406033" w:rsidRDefault="00364C65" w:rsidP="00223E56">
            <w:pPr>
              <w:pStyle w:val="Default"/>
              <w:jc w:val="right"/>
              <w:rPr>
                <w:rFonts w:ascii="Times New Roman" w:hAnsi="Times New Roman" w:cs="Times New Roman"/>
                <w:color w:val="auto"/>
                <w:sz w:val="18"/>
                <w:szCs w:val="18"/>
              </w:rPr>
            </w:pPr>
          </w:p>
        </w:tc>
      </w:tr>
      <w:tr w:rsidR="00364C65" w:rsidRPr="00406033" w14:paraId="059DC4D8" w14:textId="77777777" w:rsidTr="00223E56">
        <w:trPr>
          <w:trHeight w:val="48"/>
          <w:jc w:val="center"/>
        </w:trPr>
        <w:tc>
          <w:tcPr>
            <w:tcW w:w="1657" w:type="dxa"/>
            <w:tcBorders>
              <w:top w:val="single" w:sz="5" w:space="0" w:color="000000"/>
              <w:left w:val="single" w:sz="5" w:space="0" w:color="000000"/>
              <w:bottom w:val="double" w:sz="2" w:space="0" w:color="FFFFCC"/>
              <w:right w:val="single" w:sz="5" w:space="0" w:color="000000"/>
            </w:tcBorders>
          </w:tcPr>
          <w:p w14:paraId="1F2D06F3"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1D70483C" w14:textId="77777777" w:rsidR="00364C65" w:rsidRPr="00406033" w:rsidRDefault="00364C65" w:rsidP="00223E56">
            <w:pPr>
              <w:pStyle w:val="Default"/>
              <w:spacing w:before="40" w:after="40"/>
              <w:jc w:val="right"/>
              <w:rPr>
                <w:rFonts w:ascii="Times New Roman" w:hAnsi="Times New Roman" w:cs="Times New Roman"/>
                <w:sz w:val="18"/>
                <w:szCs w:val="18"/>
              </w:rPr>
            </w:pPr>
            <w:r w:rsidRPr="00406033">
              <w:rPr>
                <w:rFonts w:ascii="Times New Roman" w:hAnsi="Times New Roman" w:cs="Times New Roman"/>
                <w:sz w:val="18"/>
                <w:szCs w:val="18"/>
              </w:rPr>
              <w:t>1</w:t>
            </w:r>
          </w:p>
        </w:tc>
        <w:tc>
          <w:tcPr>
            <w:tcW w:w="7248" w:type="dxa"/>
            <w:tcBorders>
              <w:top w:val="single" w:sz="5" w:space="0" w:color="000000"/>
              <w:left w:val="single" w:sz="5" w:space="0" w:color="000000"/>
              <w:bottom w:val="double" w:sz="5" w:space="0" w:color="000000"/>
              <w:right w:val="single" w:sz="5" w:space="0" w:color="000000"/>
            </w:tcBorders>
          </w:tcPr>
          <w:p w14:paraId="778FE2DC"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Identify the report as a systematic review.</w:t>
            </w:r>
          </w:p>
        </w:tc>
        <w:tc>
          <w:tcPr>
            <w:tcW w:w="1140" w:type="dxa"/>
            <w:tcBorders>
              <w:top w:val="single" w:sz="5" w:space="0" w:color="000000"/>
              <w:left w:val="single" w:sz="5" w:space="0" w:color="000000"/>
              <w:bottom w:val="double" w:sz="5" w:space="0" w:color="000000"/>
              <w:right w:val="single" w:sz="5" w:space="0" w:color="000000"/>
            </w:tcBorders>
          </w:tcPr>
          <w:p w14:paraId="65FF138C" w14:textId="2BA27473" w:rsidR="00364C65" w:rsidRPr="00406033" w:rsidRDefault="0030321B" w:rsidP="00223E5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Page 1</w:t>
            </w:r>
          </w:p>
        </w:tc>
      </w:tr>
      <w:tr w:rsidR="00364C65" w:rsidRPr="00406033" w14:paraId="57CCF6D5" w14:textId="77777777" w:rsidTr="00223E56">
        <w:trPr>
          <w:trHeight w:val="24"/>
          <w:jc w:val="center"/>
        </w:trPr>
        <w:tc>
          <w:tcPr>
            <w:tcW w:w="949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09543ED" w14:textId="77777777" w:rsidR="00364C65" w:rsidRPr="00406033" w:rsidRDefault="00364C65" w:rsidP="00223E56">
            <w:pPr>
              <w:pStyle w:val="Default"/>
              <w:rPr>
                <w:rFonts w:ascii="Times New Roman" w:hAnsi="Times New Roman" w:cs="Times New Roman"/>
                <w:sz w:val="18"/>
                <w:szCs w:val="18"/>
              </w:rPr>
            </w:pPr>
            <w:r w:rsidRPr="00406033">
              <w:rPr>
                <w:rFonts w:ascii="Times New Roman" w:hAnsi="Times New Roman" w:cs="Times New Roman"/>
                <w:b/>
                <w:bCs/>
                <w:sz w:val="18"/>
                <w:szCs w:val="18"/>
              </w:rPr>
              <w:t xml:space="preserve">ABSTRACT </w:t>
            </w:r>
          </w:p>
        </w:tc>
        <w:tc>
          <w:tcPr>
            <w:tcW w:w="1140" w:type="dxa"/>
            <w:tcBorders>
              <w:top w:val="double" w:sz="5" w:space="0" w:color="000000"/>
              <w:left w:val="single" w:sz="5" w:space="0" w:color="000000"/>
              <w:bottom w:val="single" w:sz="5" w:space="0" w:color="000000"/>
              <w:right w:val="single" w:sz="5" w:space="0" w:color="000000"/>
            </w:tcBorders>
            <w:shd w:val="clear" w:color="auto" w:fill="FFFFCC"/>
          </w:tcPr>
          <w:p w14:paraId="495B8A14" w14:textId="77777777" w:rsidR="00364C65" w:rsidRPr="00406033" w:rsidRDefault="00364C65" w:rsidP="00223E56">
            <w:pPr>
              <w:pStyle w:val="Default"/>
              <w:jc w:val="right"/>
              <w:rPr>
                <w:rFonts w:ascii="Times New Roman" w:hAnsi="Times New Roman" w:cs="Times New Roman"/>
                <w:color w:val="auto"/>
                <w:sz w:val="18"/>
                <w:szCs w:val="18"/>
              </w:rPr>
            </w:pPr>
          </w:p>
        </w:tc>
      </w:tr>
      <w:tr w:rsidR="00364C65" w:rsidRPr="00406033" w14:paraId="17203B35" w14:textId="77777777" w:rsidTr="00223E56">
        <w:trPr>
          <w:trHeight w:val="48"/>
          <w:jc w:val="center"/>
        </w:trPr>
        <w:tc>
          <w:tcPr>
            <w:tcW w:w="1657" w:type="dxa"/>
            <w:tcBorders>
              <w:top w:val="single" w:sz="5" w:space="0" w:color="000000"/>
              <w:left w:val="single" w:sz="5" w:space="0" w:color="000000"/>
              <w:bottom w:val="double" w:sz="2" w:space="0" w:color="FFFFCC"/>
              <w:right w:val="single" w:sz="5" w:space="0" w:color="000000"/>
            </w:tcBorders>
          </w:tcPr>
          <w:p w14:paraId="6D2633D9"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 xml:space="preserve">Abstract </w:t>
            </w:r>
          </w:p>
        </w:tc>
        <w:tc>
          <w:tcPr>
            <w:tcW w:w="587" w:type="dxa"/>
            <w:tcBorders>
              <w:top w:val="single" w:sz="5" w:space="0" w:color="000000"/>
              <w:left w:val="single" w:sz="5" w:space="0" w:color="000000"/>
              <w:bottom w:val="double" w:sz="2" w:space="0" w:color="FFFFCC"/>
              <w:right w:val="single" w:sz="5" w:space="0" w:color="000000"/>
            </w:tcBorders>
          </w:tcPr>
          <w:p w14:paraId="6DA0104E" w14:textId="77777777" w:rsidR="00364C65" w:rsidRPr="00406033" w:rsidRDefault="00364C65" w:rsidP="00223E56">
            <w:pPr>
              <w:pStyle w:val="Default"/>
              <w:spacing w:before="40" w:after="40"/>
              <w:jc w:val="right"/>
              <w:rPr>
                <w:rFonts w:ascii="Times New Roman" w:hAnsi="Times New Roman" w:cs="Times New Roman"/>
                <w:sz w:val="18"/>
                <w:szCs w:val="18"/>
              </w:rPr>
            </w:pPr>
            <w:r w:rsidRPr="00406033">
              <w:rPr>
                <w:rFonts w:ascii="Times New Roman" w:hAnsi="Times New Roman" w:cs="Times New Roman"/>
                <w:sz w:val="18"/>
                <w:szCs w:val="18"/>
              </w:rPr>
              <w:t>2</w:t>
            </w:r>
          </w:p>
        </w:tc>
        <w:tc>
          <w:tcPr>
            <w:tcW w:w="7248" w:type="dxa"/>
            <w:tcBorders>
              <w:top w:val="single" w:sz="5" w:space="0" w:color="000000"/>
              <w:left w:val="single" w:sz="5" w:space="0" w:color="000000"/>
              <w:bottom w:val="double" w:sz="5" w:space="0" w:color="000000"/>
              <w:right w:val="single" w:sz="5" w:space="0" w:color="000000"/>
            </w:tcBorders>
          </w:tcPr>
          <w:p w14:paraId="309E5F92"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See the PRISMA 2020 for Abstracts checklist.</w:t>
            </w:r>
          </w:p>
        </w:tc>
        <w:tc>
          <w:tcPr>
            <w:tcW w:w="1140" w:type="dxa"/>
            <w:tcBorders>
              <w:top w:val="single" w:sz="5" w:space="0" w:color="000000"/>
              <w:left w:val="single" w:sz="5" w:space="0" w:color="000000"/>
              <w:bottom w:val="double" w:sz="5" w:space="0" w:color="000000"/>
              <w:right w:val="single" w:sz="5" w:space="0" w:color="000000"/>
            </w:tcBorders>
          </w:tcPr>
          <w:p w14:paraId="46C538C8" w14:textId="4845F40D" w:rsidR="00364C65" w:rsidRPr="00406033" w:rsidRDefault="0030321B" w:rsidP="00223E5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Page 2</w:t>
            </w:r>
          </w:p>
        </w:tc>
      </w:tr>
      <w:tr w:rsidR="00364C65" w:rsidRPr="00406033" w14:paraId="4528254C" w14:textId="77777777" w:rsidTr="00223E56">
        <w:trPr>
          <w:trHeight w:val="24"/>
          <w:jc w:val="center"/>
        </w:trPr>
        <w:tc>
          <w:tcPr>
            <w:tcW w:w="949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A8C1EF8" w14:textId="77777777" w:rsidR="00364C65" w:rsidRPr="00406033" w:rsidRDefault="00364C65" w:rsidP="00223E56">
            <w:pPr>
              <w:pStyle w:val="Default"/>
              <w:rPr>
                <w:rFonts w:ascii="Times New Roman" w:hAnsi="Times New Roman" w:cs="Times New Roman"/>
                <w:sz w:val="18"/>
                <w:szCs w:val="18"/>
              </w:rPr>
            </w:pPr>
            <w:r w:rsidRPr="00406033">
              <w:rPr>
                <w:rFonts w:ascii="Times New Roman" w:hAnsi="Times New Roman" w:cs="Times New Roman"/>
                <w:b/>
                <w:bCs/>
                <w:sz w:val="18"/>
                <w:szCs w:val="18"/>
              </w:rPr>
              <w:t xml:space="preserve">INTRODUCTION </w:t>
            </w:r>
          </w:p>
        </w:tc>
        <w:tc>
          <w:tcPr>
            <w:tcW w:w="1140" w:type="dxa"/>
            <w:tcBorders>
              <w:top w:val="double" w:sz="5" w:space="0" w:color="000000"/>
              <w:left w:val="single" w:sz="5" w:space="0" w:color="000000"/>
              <w:bottom w:val="single" w:sz="5" w:space="0" w:color="000000"/>
              <w:right w:val="single" w:sz="5" w:space="0" w:color="000000"/>
            </w:tcBorders>
            <w:shd w:val="clear" w:color="auto" w:fill="FFFFCC"/>
          </w:tcPr>
          <w:p w14:paraId="7C8CEB34" w14:textId="77777777" w:rsidR="00364C65" w:rsidRPr="00406033" w:rsidRDefault="00364C65" w:rsidP="00223E56">
            <w:pPr>
              <w:pStyle w:val="Default"/>
              <w:jc w:val="right"/>
              <w:rPr>
                <w:rFonts w:ascii="Times New Roman" w:hAnsi="Times New Roman" w:cs="Times New Roman"/>
                <w:color w:val="auto"/>
                <w:sz w:val="18"/>
                <w:szCs w:val="18"/>
              </w:rPr>
            </w:pPr>
          </w:p>
        </w:tc>
      </w:tr>
      <w:tr w:rsidR="00364C65" w:rsidRPr="00406033" w14:paraId="03D4AA96" w14:textId="77777777" w:rsidTr="00223E56">
        <w:trPr>
          <w:trHeight w:val="48"/>
          <w:jc w:val="center"/>
        </w:trPr>
        <w:tc>
          <w:tcPr>
            <w:tcW w:w="1657" w:type="dxa"/>
            <w:tcBorders>
              <w:top w:val="single" w:sz="5" w:space="0" w:color="000000"/>
              <w:left w:val="single" w:sz="5" w:space="0" w:color="000000"/>
              <w:bottom w:val="single" w:sz="5" w:space="0" w:color="000000"/>
              <w:right w:val="single" w:sz="5" w:space="0" w:color="000000"/>
            </w:tcBorders>
          </w:tcPr>
          <w:p w14:paraId="302BB4BE"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7C1B897" w14:textId="77777777" w:rsidR="00364C65" w:rsidRPr="00406033" w:rsidRDefault="00364C65" w:rsidP="00223E56">
            <w:pPr>
              <w:pStyle w:val="Default"/>
              <w:spacing w:before="40" w:after="40"/>
              <w:jc w:val="right"/>
              <w:rPr>
                <w:rFonts w:ascii="Times New Roman" w:hAnsi="Times New Roman" w:cs="Times New Roman"/>
                <w:sz w:val="18"/>
                <w:szCs w:val="18"/>
              </w:rPr>
            </w:pPr>
            <w:r w:rsidRPr="00406033">
              <w:rPr>
                <w:rFonts w:ascii="Times New Roman" w:hAnsi="Times New Roman" w:cs="Times New Roman"/>
                <w:sz w:val="18"/>
                <w:szCs w:val="18"/>
              </w:rPr>
              <w:t>3</w:t>
            </w:r>
          </w:p>
        </w:tc>
        <w:tc>
          <w:tcPr>
            <w:tcW w:w="7248" w:type="dxa"/>
            <w:tcBorders>
              <w:top w:val="single" w:sz="5" w:space="0" w:color="000000"/>
              <w:left w:val="single" w:sz="5" w:space="0" w:color="000000"/>
              <w:bottom w:val="single" w:sz="5" w:space="0" w:color="000000"/>
              <w:right w:val="single" w:sz="5" w:space="0" w:color="000000"/>
            </w:tcBorders>
          </w:tcPr>
          <w:p w14:paraId="7DD32AFB"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Describe the rationale for the review in the context of existing knowledge.</w:t>
            </w:r>
          </w:p>
        </w:tc>
        <w:tc>
          <w:tcPr>
            <w:tcW w:w="1140" w:type="dxa"/>
            <w:tcBorders>
              <w:top w:val="single" w:sz="5" w:space="0" w:color="000000"/>
              <w:left w:val="single" w:sz="5" w:space="0" w:color="000000"/>
              <w:bottom w:val="single" w:sz="5" w:space="0" w:color="000000"/>
              <w:right w:val="single" w:sz="5" w:space="0" w:color="000000"/>
            </w:tcBorders>
          </w:tcPr>
          <w:p w14:paraId="2924CCE1" w14:textId="49427DA6" w:rsidR="00364C65" w:rsidRPr="00406033" w:rsidRDefault="0030321B" w:rsidP="00223E5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Page 3</w:t>
            </w:r>
          </w:p>
        </w:tc>
      </w:tr>
      <w:tr w:rsidR="00364C65" w:rsidRPr="00406033" w14:paraId="5756E2C3" w14:textId="77777777" w:rsidTr="00223E56">
        <w:trPr>
          <w:trHeight w:val="48"/>
          <w:jc w:val="center"/>
        </w:trPr>
        <w:tc>
          <w:tcPr>
            <w:tcW w:w="1657" w:type="dxa"/>
            <w:tcBorders>
              <w:top w:val="single" w:sz="5" w:space="0" w:color="000000"/>
              <w:left w:val="single" w:sz="5" w:space="0" w:color="000000"/>
              <w:bottom w:val="double" w:sz="2" w:space="0" w:color="FFFFCC"/>
              <w:right w:val="single" w:sz="5" w:space="0" w:color="000000"/>
            </w:tcBorders>
          </w:tcPr>
          <w:p w14:paraId="10A0DD9D"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06628E74" w14:textId="77777777" w:rsidR="00364C65" w:rsidRPr="00406033" w:rsidRDefault="00364C65" w:rsidP="00223E56">
            <w:pPr>
              <w:pStyle w:val="Default"/>
              <w:spacing w:before="40" w:after="40"/>
              <w:jc w:val="right"/>
              <w:rPr>
                <w:rFonts w:ascii="Times New Roman" w:hAnsi="Times New Roman" w:cs="Times New Roman"/>
                <w:sz w:val="18"/>
                <w:szCs w:val="18"/>
              </w:rPr>
            </w:pPr>
            <w:r w:rsidRPr="00406033">
              <w:rPr>
                <w:rFonts w:ascii="Times New Roman" w:hAnsi="Times New Roman" w:cs="Times New Roman"/>
                <w:sz w:val="18"/>
                <w:szCs w:val="18"/>
              </w:rPr>
              <w:t>4</w:t>
            </w:r>
          </w:p>
        </w:tc>
        <w:tc>
          <w:tcPr>
            <w:tcW w:w="7248" w:type="dxa"/>
            <w:tcBorders>
              <w:top w:val="single" w:sz="5" w:space="0" w:color="000000"/>
              <w:left w:val="single" w:sz="5" w:space="0" w:color="000000"/>
              <w:bottom w:val="double" w:sz="5" w:space="0" w:color="000000"/>
              <w:right w:val="single" w:sz="5" w:space="0" w:color="000000"/>
            </w:tcBorders>
          </w:tcPr>
          <w:p w14:paraId="0DFFB762"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Provide an explicit statement of the objective(s) or question(s) the review addresses.</w:t>
            </w:r>
          </w:p>
        </w:tc>
        <w:tc>
          <w:tcPr>
            <w:tcW w:w="1140" w:type="dxa"/>
            <w:tcBorders>
              <w:top w:val="single" w:sz="5" w:space="0" w:color="000000"/>
              <w:left w:val="single" w:sz="5" w:space="0" w:color="000000"/>
              <w:bottom w:val="double" w:sz="5" w:space="0" w:color="000000"/>
              <w:right w:val="single" w:sz="5" w:space="0" w:color="000000"/>
            </w:tcBorders>
          </w:tcPr>
          <w:p w14:paraId="262AE9C5" w14:textId="48C7D98E" w:rsidR="00364C65" w:rsidRPr="00406033" w:rsidRDefault="0030321B" w:rsidP="00223E5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Page 3</w:t>
            </w:r>
          </w:p>
        </w:tc>
      </w:tr>
      <w:tr w:rsidR="00364C65" w:rsidRPr="00406033" w14:paraId="3F30E697" w14:textId="77777777" w:rsidTr="00223E56">
        <w:trPr>
          <w:trHeight w:val="24"/>
          <w:jc w:val="center"/>
        </w:trPr>
        <w:tc>
          <w:tcPr>
            <w:tcW w:w="949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B463585" w14:textId="77777777" w:rsidR="00364C65" w:rsidRPr="00406033" w:rsidRDefault="00364C65" w:rsidP="00223E56">
            <w:pPr>
              <w:pStyle w:val="Default"/>
              <w:rPr>
                <w:rFonts w:ascii="Times New Roman" w:hAnsi="Times New Roman" w:cs="Times New Roman"/>
                <w:sz w:val="18"/>
                <w:szCs w:val="18"/>
              </w:rPr>
            </w:pPr>
            <w:r w:rsidRPr="00406033">
              <w:rPr>
                <w:rFonts w:ascii="Times New Roman" w:hAnsi="Times New Roman" w:cs="Times New Roman"/>
                <w:b/>
                <w:bCs/>
                <w:sz w:val="18"/>
                <w:szCs w:val="18"/>
              </w:rPr>
              <w:t xml:space="preserve">METHODS </w:t>
            </w:r>
          </w:p>
        </w:tc>
        <w:tc>
          <w:tcPr>
            <w:tcW w:w="1140" w:type="dxa"/>
            <w:tcBorders>
              <w:top w:val="double" w:sz="5" w:space="0" w:color="000000"/>
              <w:left w:val="single" w:sz="5" w:space="0" w:color="000000"/>
              <w:bottom w:val="single" w:sz="5" w:space="0" w:color="000000"/>
              <w:right w:val="single" w:sz="5" w:space="0" w:color="000000"/>
            </w:tcBorders>
            <w:shd w:val="clear" w:color="auto" w:fill="FFFFCC"/>
          </w:tcPr>
          <w:p w14:paraId="0F8011A0" w14:textId="77777777" w:rsidR="00364C65" w:rsidRPr="00406033" w:rsidRDefault="00364C65" w:rsidP="00223E56">
            <w:pPr>
              <w:pStyle w:val="Default"/>
              <w:jc w:val="right"/>
              <w:rPr>
                <w:rFonts w:ascii="Times New Roman" w:hAnsi="Times New Roman" w:cs="Times New Roman"/>
                <w:color w:val="auto"/>
                <w:sz w:val="18"/>
                <w:szCs w:val="18"/>
              </w:rPr>
            </w:pPr>
          </w:p>
        </w:tc>
      </w:tr>
      <w:tr w:rsidR="00364C65" w:rsidRPr="00406033" w14:paraId="2CB53E9B" w14:textId="77777777" w:rsidTr="00223E56">
        <w:trPr>
          <w:trHeight w:val="48"/>
          <w:jc w:val="center"/>
        </w:trPr>
        <w:tc>
          <w:tcPr>
            <w:tcW w:w="1657" w:type="dxa"/>
            <w:tcBorders>
              <w:top w:val="single" w:sz="5" w:space="0" w:color="000000"/>
              <w:left w:val="single" w:sz="5" w:space="0" w:color="000000"/>
              <w:bottom w:val="single" w:sz="5" w:space="0" w:color="000000"/>
              <w:right w:val="single" w:sz="5" w:space="0" w:color="000000"/>
            </w:tcBorders>
          </w:tcPr>
          <w:p w14:paraId="520B02ED"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0B7C104C" w14:textId="77777777" w:rsidR="00364C65" w:rsidRPr="00406033" w:rsidRDefault="00364C65" w:rsidP="00223E56">
            <w:pPr>
              <w:pStyle w:val="Default"/>
              <w:spacing w:before="40" w:after="40"/>
              <w:jc w:val="right"/>
              <w:rPr>
                <w:rFonts w:ascii="Times New Roman" w:hAnsi="Times New Roman" w:cs="Times New Roman"/>
                <w:sz w:val="18"/>
                <w:szCs w:val="18"/>
              </w:rPr>
            </w:pPr>
            <w:r w:rsidRPr="00406033">
              <w:rPr>
                <w:rFonts w:ascii="Times New Roman" w:hAnsi="Times New Roman" w:cs="Times New Roman"/>
                <w:sz w:val="18"/>
                <w:szCs w:val="18"/>
              </w:rPr>
              <w:t>5</w:t>
            </w:r>
          </w:p>
        </w:tc>
        <w:tc>
          <w:tcPr>
            <w:tcW w:w="7248" w:type="dxa"/>
            <w:tcBorders>
              <w:top w:val="single" w:sz="5" w:space="0" w:color="000000"/>
              <w:left w:val="single" w:sz="5" w:space="0" w:color="000000"/>
              <w:bottom w:val="single" w:sz="5" w:space="0" w:color="000000"/>
              <w:right w:val="single" w:sz="5" w:space="0" w:color="000000"/>
            </w:tcBorders>
          </w:tcPr>
          <w:p w14:paraId="3189F10D"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Specify the inclusion and exclusion criteria for the review and how studies were grouped for the syntheses.</w:t>
            </w:r>
          </w:p>
        </w:tc>
        <w:tc>
          <w:tcPr>
            <w:tcW w:w="1140" w:type="dxa"/>
            <w:tcBorders>
              <w:top w:val="single" w:sz="5" w:space="0" w:color="000000"/>
              <w:left w:val="single" w:sz="5" w:space="0" w:color="000000"/>
              <w:bottom w:val="single" w:sz="5" w:space="0" w:color="000000"/>
              <w:right w:val="single" w:sz="5" w:space="0" w:color="000000"/>
            </w:tcBorders>
          </w:tcPr>
          <w:p w14:paraId="13F15777" w14:textId="6F918AF4" w:rsidR="00364C65" w:rsidRPr="00406033" w:rsidRDefault="0030321B" w:rsidP="00223E5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Page 4-5</w:t>
            </w:r>
          </w:p>
        </w:tc>
      </w:tr>
      <w:tr w:rsidR="00364C65" w:rsidRPr="00406033" w14:paraId="08B7A2DC" w14:textId="77777777" w:rsidTr="00223E56">
        <w:trPr>
          <w:trHeight w:val="191"/>
          <w:jc w:val="center"/>
        </w:trPr>
        <w:tc>
          <w:tcPr>
            <w:tcW w:w="1657" w:type="dxa"/>
            <w:tcBorders>
              <w:top w:val="single" w:sz="5" w:space="0" w:color="000000"/>
              <w:left w:val="single" w:sz="5" w:space="0" w:color="000000"/>
              <w:bottom w:val="single" w:sz="5" w:space="0" w:color="000000"/>
              <w:right w:val="single" w:sz="5" w:space="0" w:color="000000"/>
            </w:tcBorders>
          </w:tcPr>
          <w:p w14:paraId="402F9A00"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7D33B5BB" w14:textId="77777777" w:rsidR="00364C65" w:rsidRPr="00406033" w:rsidRDefault="00364C65" w:rsidP="00223E56">
            <w:pPr>
              <w:pStyle w:val="Default"/>
              <w:spacing w:before="40" w:after="40"/>
              <w:jc w:val="right"/>
              <w:rPr>
                <w:rFonts w:ascii="Times New Roman" w:hAnsi="Times New Roman" w:cs="Times New Roman"/>
                <w:sz w:val="18"/>
                <w:szCs w:val="18"/>
              </w:rPr>
            </w:pPr>
            <w:r w:rsidRPr="00406033">
              <w:rPr>
                <w:rFonts w:ascii="Times New Roman" w:hAnsi="Times New Roman" w:cs="Times New Roman"/>
                <w:sz w:val="18"/>
                <w:szCs w:val="18"/>
              </w:rPr>
              <w:t>6</w:t>
            </w:r>
          </w:p>
        </w:tc>
        <w:tc>
          <w:tcPr>
            <w:tcW w:w="7248" w:type="dxa"/>
            <w:tcBorders>
              <w:top w:val="single" w:sz="5" w:space="0" w:color="000000"/>
              <w:left w:val="single" w:sz="5" w:space="0" w:color="000000"/>
              <w:bottom w:val="single" w:sz="5" w:space="0" w:color="000000"/>
              <w:right w:val="single" w:sz="5" w:space="0" w:color="000000"/>
            </w:tcBorders>
          </w:tcPr>
          <w:p w14:paraId="43CFCEEE"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Specify all databases, registers, websites, organisations, reference lists and other sources searched or consulted to identify studies. Specify the date when each source was last searched or consulted.</w:t>
            </w:r>
          </w:p>
        </w:tc>
        <w:tc>
          <w:tcPr>
            <w:tcW w:w="1140" w:type="dxa"/>
            <w:tcBorders>
              <w:top w:val="single" w:sz="5" w:space="0" w:color="000000"/>
              <w:left w:val="single" w:sz="5" w:space="0" w:color="000000"/>
              <w:bottom w:val="single" w:sz="5" w:space="0" w:color="000000"/>
              <w:right w:val="single" w:sz="5" w:space="0" w:color="000000"/>
            </w:tcBorders>
          </w:tcPr>
          <w:p w14:paraId="16424E04" w14:textId="1FE0360A" w:rsidR="00364C65" w:rsidRPr="00406033" w:rsidRDefault="0030321B" w:rsidP="00223E5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Page 4</w:t>
            </w:r>
          </w:p>
        </w:tc>
      </w:tr>
      <w:tr w:rsidR="00364C65" w:rsidRPr="00406033" w14:paraId="2E62506F" w14:textId="77777777" w:rsidTr="00223E56">
        <w:trPr>
          <w:trHeight w:val="48"/>
          <w:jc w:val="center"/>
        </w:trPr>
        <w:tc>
          <w:tcPr>
            <w:tcW w:w="1657" w:type="dxa"/>
            <w:tcBorders>
              <w:top w:val="single" w:sz="5" w:space="0" w:color="000000"/>
              <w:left w:val="single" w:sz="5" w:space="0" w:color="000000"/>
              <w:bottom w:val="single" w:sz="5" w:space="0" w:color="000000"/>
              <w:right w:val="single" w:sz="5" w:space="0" w:color="000000"/>
            </w:tcBorders>
          </w:tcPr>
          <w:p w14:paraId="07EF7644"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Search strategy</w:t>
            </w:r>
          </w:p>
        </w:tc>
        <w:tc>
          <w:tcPr>
            <w:tcW w:w="587" w:type="dxa"/>
            <w:tcBorders>
              <w:top w:val="single" w:sz="5" w:space="0" w:color="000000"/>
              <w:left w:val="single" w:sz="5" w:space="0" w:color="000000"/>
              <w:bottom w:val="single" w:sz="5" w:space="0" w:color="000000"/>
              <w:right w:val="single" w:sz="5" w:space="0" w:color="000000"/>
            </w:tcBorders>
          </w:tcPr>
          <w:p w14:paraId="0898C5DB" w14:textId="77777777" w:rsidR="00364C65" w:rsidRPr="00406033" w:rsidRDefault="00364C65" w:rsidP="00223E56">
            <w:pPr>
              <w:pStyle w:val="Default"/>
              <w:spacing w:before="40" w:after="40"/>
              <w:jc w:val="right"/>
              <w:rPr>
                <w:rFonts w:ascii="Times New Roman" w:hAnsi="Times New Roman" w:cs="Times New Roman"/>
                <w:sz w:val="18"/>
                <w:szCs w:val="18"/>
              </w:rPr>
            </w:pPr>
            <w:r w:rsidRPr="00406033">
              <w:rPr>
                <w:rFonts w:ascii="Times New Roman" w:hAnsi="Times New Roman" w:cs="Times New Roman"/>
                <w:sz w:val="18"/>
                <w:szCs w:val="18"/>
              </w:rPr>
              <w:t>7</w:t>
            </w:r>
          </w:p>
        </w:tc>
        <w:tc>
          <w:tcPr>
            <w:tcW w:w="7248" w:type="dxa"/>
            <w:tcBorders>
              <w:top w:val="single" w:sz="5" w:space="0" w:color="000000"/>
              <w:left w:val="single" w:sz="5" w:space="0" w:color="000000"/>
              <w:bottom w:val="single" w:sz="5" w:space="0" w:color="000000"/>
              <w:right w:val="single" w:sz="5" w:space="0" w:color="000000"/>
            </w:tcBorders>
          </w:tcPr>
          <w:p w14:paraId="67EB0A0B"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Present the full search strategies for all databases, registers and websites, including any filters and limits used.</w:t>
            </w:r>
          </w:p>
        </w:tc>
        <w:tc>
          <w:tcPr>
            <w:tcW w:w="1140" w:type="dxa"/>
            <w:tcBorders>
              <w:top w:val="single" w:sz="5" w:space="0" w:color="000000"/>
              <w:left w:val="single" w:sz="5" w:space="0" w:color="000000"/>
              <w:bottom w:val="single" w:sz="5" w:space="0" w:color="000000"/>
              <w:right w:val="single" w:sz="5" w:space="0" w:color="000000"/>
            </w:tcBorders>
          </w:tcPr>
          <w:p w14:paraId="3EED3DA2" w14:textId="3635A016" w:rsidR="00364C65" w:rsidRPr="00406033" w:rsidRDefault="0030321B" w:rsidP="00223E5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Supplement Table 2</w:t>
            </w:r>
          </w:p>
        </w:tc>
      </w:tr>
      <w:tr w:rsidR="00364C65" w:rsidRPr="00406033" w14:paraId="77B9AF72" w14:textId="77777777" w:rsidTr="00223E56">
        <w:trPr>
          <w:trHeight w:val="48"/>
          <w:jc w:val="center"/>
        </w:trPr>
        <w:tc>
          <w:tcPr>
            <w:tcW w:w="1657" w:type="dxa"/>
            <w:tcBorders>
              <w:top w:val="single" w:sz="5" w:space="0" w:color="000000"/>
              <w:left w:val="single" w:sz="5" w:space="0" w:color="000000"/>
              <w:bottom w:val="single" w:sz="5" w:space="0" w:color="000000"/>
              <w:right w:val="single" w:sz="5" w:space="0" w:color="000000"/>
            </w:tcBorders>
          </w:tcPr>
          <w:p w14:paraId="0CB49156"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Selection process</w:t>
            </w:r>
          </w:p>
        </w:tc>
        <w:tc>
          <w:tcPr>
            <w:tcW w:w="587" w:type="dxa"/>
            <w:tcBorders>
              <w:top w:val="single" w:sz="5" w:space="0" w:color="000000"/>
              <w:left w:val="single" w:sz="5" w:space="0" w:color="000000"/>
              <w:bottom w:val="single" w:sz="5" w:space="0" w:color="000000"/>
              <w:right w:val="single" w:sz="5" w:space="0" w:color="000000"/>
            </w:tcBorders>
          </w:tcPr>
          <w:p w14:paraId="06385003" w14:textId="77777777" w:rsidR="00364C65" w:rsidRPr="00406033" w:rsidRDefault="00364C65" w:rsidP="00223E56">
            <w:pPr>
              <w:pStyle w:val="Default"/>
              <w:spacing w:before="40" w:after="40"/>
              <w:jc w:val="right"/>
              <w:rPr>
                <w:rFonts w:ascii="Times New Roman" w:hAnsi="Times New Roman" w:cs="Times New Roman"/>
                <w:sz w:val="18"/>
                <w:szCs w:val="18"/>
              </w:rPr>
            </w:pPr>
            <w:r w:rsidRPr="00406033">
              <w:rPr>
                <w:rFonts w:ascii="Times New Roman" w:hAnsi="Times New Roman" w:cs="Times New Roman"/>
                <w:sz w:val="18"/>
                <w:szCs w:val="18"/>
              </w:rPr>
              <w:t>8</w:t>
            </w:r>
          </w:p>
        </w:tc>
        <w:tc>
          <w:tcPr>
            <w:tcW w:w="7248" w:type="dxa"/>
            <w:tcBorders>
              <w:top w:val="single" w:sz="5" w:space="0" w:color="000000"/>
              <w:left w:val="single" w:sz="5" w:space="0" w:color="000000"/>
              <w:bottom w:val="single" w:sz="5" w:space="0" w:color="000000"/>
              <w:right w:val="single" w:sz="5" w:space="0" w:color="000000"/>
            </w:tcBorders>
          </w:tcPr>
          <w:p w14:paraId="3962264F"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140" w:type="dxa"/>
            <w:tcBorders>
              <w:top w:val="single" w:sz="5" w:space="0" w:color="000000"/>
              <w:left w:val="single" w:sz="5" w:space="0" w:color="000000"/>
              <w:bottom w:val="single" w:sz="5" w:space="0" w:color="000000"/>
              <w:right w:val="single" w:sz="5" w:space="0" w:color="000000"/>
            </w:tcBorders>
          </w:tcPr>
          <w:p w14:paraId="0564666A" w14:textId="10C5DC99" w:rsidR="00364C65" w:rsidRPr="00406033" w:rsidRDefault="0030321B" w:rsidP="00223E5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Page 5</w:t>
            </w:r>
          </w:p>
        </w:tc>
      </w:tr>
      <w:tr w:rsidR="00364C65" w:rsidRPr="00406033" w14:paraId="42582231" w14:textId="77777777" w:rsidTr="00223E56">
        <w:trPr>
          <w:trHeight w:val="152"/>
          <w:jc w:val="center"/>
        </w:trPr>
        <w:tc>
          <w:tcPr>
            <w:tcW w:w="1657" w:type="dxa"/>
            <w:tcBorders>
              <w:top w:val="single" w:sz="5" w:space="0" w:color="000000"/>
              <w:left w:val="single" w:sz="5" w:space="0" w:color="000000"/>
              <w:bottom w:val="single" w:sz="5" w:space="0" w:color="000000"/>
              <w:right w:val="single" w:sz="5" w:space="0" w:color="000000"/>
            </w:tcBorders>
          </w:tcPr>
          <w:p w14:paraId="298C986F"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1C0A315" w14:textId="77777777" w:rsidR="00364C65" w:rsidRPr="00406033" w:rsidRDefault="00364C65" w:rsidP="00223E56">
            <w:pPr>
              <w:pStyle w:val="Default"/>
              <w:spacing w:before="40" w:after="40"/>
              <w:jc w:val="right"/>
              <w:rPr>
                <w:rFonts w:ascii="Times New Roman" w:hAnsi="Times New Roman" w:cs="Times New Roman"/>
                <w:sz w:val="18"/>
                <w:szCs w:val="18"/>
              </w:rPr>
            </w:pPr>
            <w:r w:rsidRPr="00406033">
              <w:rPr>
                <w:rFonts w:ascii="Times New Roman" w:hAnsi="Times New Roman" w:cs="Times New Roman"/>
                <w:sz w:val="18"/>
                <w:szCs w:val="18"/>
              </w:rPr>
              <w:t>9</w:t>
            </w:r>
          </w:p>
        </w:tc>
        <w:tc>
          <w:tcPr>
            <w:tcW w:w="7248" w:type="dxa"/>
            <w:tcBorders>
              <w:top w:val="single" w:sz="5" w:space="0" w:color="000000"/>
              <w:left w:val="single" w:sz="5" w:space="0" w:color="000000"/>
              <w:bottom w:val="single" w:sz="5" w:space="0" w:color="000000"/>
              <w:right w:val="single" w:sz="5" w:space="0" w:color="000000"/>
            </w:tcBorders>
          </w:tcPr>
          <w:p w14:paraId="263D1E6B"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140" w:type="dxa"/>
            <w:tcBorders>
              <w:top w:val="single" w:sz="5" w:space="0" w:color="000000"/>
              <w:left w:val="single" w:sz="5" w:space="0" w:color="000000"/>
              <w:bottom w:val="single" w:sz="5" w:space="0" w:color="000000"/>
              <w:right w:val="single" w:sz="5" w:space="0" w:color="000000"/>
            </w:tcBorders>
          </w:tcPr>
          <w:p w14:paraId="11C4B4C8" w14:textId="6FAA5A44" w:rsidR="00364C65" w:rsidRPr="00406033" w:rsidRDefault="0030321B" w:rsidP="00223E5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Page 5-6</w:t>
            </w:r>
          </w:p>
        </w:tc>
      </w:tr>
      <w:tr w:rsidR="00364C65" w:rsidRPr="00406033" w14:paraId="361FB8E1" w14:textId="77777777" w:rsidTr="00223E56">
        <w:trPr>
          <w:trHeight w:val="48"/>
          <w:jc w:val="center"/>
        </w:trPr>
        <w:tc>
          <w:tcPr>
            <w:tcW w:w="1657" w:type="dxa"/>
            <w:vMerge w:val="restart"/>
            <w:tcBorders>
              <w:top w:val="single" w:sz="5" w:space="0" w:color="000000"/>
              <w:left w:val="single" w:sz="5" w:space="0" w:color="000000"/>
              <w:right w:val="single" w:sz="5" w:space="0" w:color="000000"/>
            </w:tcBorders>
          </w:tcPr>
          <w:p w14:paraId="4A247ADB"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48A0137" w14:textId="77777777" w:rsidR="00364C65" w:rsidRPr="00406033" w:rsidRDefault="00364C65" w:rsidP="00223E56">
            <w:pPr>
              <w:pStyle w:val="Default"/>
              <w:spacing w:before="40" w:after="40"/>
              <w:jc w:val="right"/>
              <w:rPr>
                <w:rFonts w:ascii="Times New Roman" w:hAnsi="Times New Roman" w:cs="Times New Roman"/>
                <w:sz w:val="18"/>
                <w:szCs w:val="18"/>
              </w:rPr>
            </w:pPr>
            <w:r w:rsidRPr="00406033">
              <w:rPr>
                <w:rFonts w:ascii="Times New Roman" w:hAnsi="Times New Roman" w:cs="Times New Roman"/>
                <w:sz w:val="18"/>
                <w:szCs w:val="18"/>
              </w:rPr>
              <w:t>10a</w:t>
            </w:r>
          </w:p>
        </w:tc>
        <w:tc>
          <w:tcPr>
            <w:tcW w:w="7248" w:type="dxa"/>
            <w:tcBorders>
              <w:top w:val="single" w:sz="5" w:space="0" w:color="000000"/>
              <w:left w:val="single" w:sz="5" w:space="0" w:color="000000"/>
              <w:bottom w:val="single" w:sz="5" w:space="0" w:color="000000"/>
              <w:right w:val="single" w:sz="5" w:space="0" w:color="000000"/>
            </w:tcBorders>
          </w:tcPr>
          <w:p w14:paraId="6D5D9D21"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140" w:type="dxa"/>
            <w:tcBorders>
              <w:top w:val="single" w:sz="5" w:space="0" w:color="000000"/>
              <w:left w:val="single" w:sz="5" w:space="0" w:color="000000"/>
              <w:bottom w:val="single" w:sz="5" w:space="0" w:color="000000"/>
              <w:right w:val="single" w:sz="5" w:space="0" w:color="000000"/>
            </w:tcBorders>
          </w:tcPr>
          <w:p w14:paraId="3B61E876" w14:textId="2FEAB1B6" w:rsidR="00364C65" w:rsidRPr="00406033" w:rsidRDefault="0030321B" w:rsidP="00223E5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Page 4</w:t>
            </w:r>
          </w:p>
        </w:tc>
      </w:tr>
      <w:tr w:rsidR="00364C65" w:rsidRPr="00406033" w14:paraId="255A6637" w14:textId="77777777" w:rsidTr="00223E56">
        <w:trPr>
          <w:trHeight w:val="48"/>
          <w:jc w:val="center"/>
        </w:trPr>
        <w:tc>
          <w:tcPr>
            <w:tcW w:w="1657" w:type="dxa"/>
            <w:vMerge/>
            <w:tcBorders>
              <w:left w:val="single" w:sz="5" w:space="0" w:color="000000"/>
              <w:bottom w:val="single" w:sz="5" w:space="0" w:color="000000"/>
              <w:right w:val="single" w:sz="5" w:space="0" w:color="000000"/>
            </w:tcBorders>
          </w:tcPr>
          <w:p w14:paraId="7A046A8C" w14:textId="77777777" w:rsidR="00364C65" w:rsidRPr="00406033" w:rsidRDefault="00364C65" w:rsidP="00223E56">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67882C2" w14:textId="77777777" w:rsidR="00364C65" w:rsidRPr="00406033" w:rsidRDefault="00364C65" w:rsidP="00223E56">
            <w:pPr>
              <w:pStyle w:val="Default"/>
              <w:spacing w:before="40" w:after="40"/>
              <w:jc w:val="right"/>
              <w:rPr>
                <w:rFonts w:ascii="Times New Roman" w:hAnsi="Times New Roman" w:cs="Times New Roman"/>
                <w:sz w:val="18"/>
                <w:szCs w:val="18"/>
              </w:rPr>
            </w:pPr>
            <w:r w:rsidRPr="00406033">
              <w:rPr>
                <w:rFonts w:ascii="Times New Roman" w:hAnsi="Times New Roman" w:cs="Times New Roman"/>
                <w:sz w:val="18"/>
                <w:szCs w:val="18"/>
              </w:rPr>
              <w:t>10b</w:t>
            </w:r>
          </w:p>
        </w:tc>
        <w:tc>
          <w:tcPr>
            <w:tcW w:w="7248" w:type="dxa"/>
            <w:tcBorders>
              <w:top w:val="single" w:sz="5" w:space="0" w:color="000000"/>
              <w:left w:val="single" w:sz="5" w:space="0" w:color="000000"/>
              <w:bottom w:val="single" w:sz="5" w:space="0" w:color="000000"/>
              <w:right w:val="single" w:sz="5" w:space="0" w:color="000000"/>
            </w:tcBorders>
          </w:tcPr>
          <w:p w14:paraId="283D16BB"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List and define all other variables for which data were sought (e.g. participant and intervention characteristics, funding sources). Describe any assumptions made about any missing or unclear information.</w:t>
            </w:r>
          </w:p>
        </w:tc>
        <w:tc>
          <w:tcPr>
            <w:tcW w:w="1140" w:type="dxa"/>
            <w:tcBorders>
              <w:top w:val="single" w:sz="5" w:space="0" w:color="000000"/>
              <w:left w:val="single" w:sz="5" w:space="0" w:color="000000"/>
              <w:bottom w:val="single" w:sz="5" w:space="0" w:color="000000"/>
              <w:right w:val="single" w:sz="5" w:space="0" w:color="000000"/>
            </w:tcBorders>
          </w:tcPr>
          <w:p w14:paraId="4A9DDDFF" w14:textId="4BAB68BE" w:rsidR="00364C65" w:rsidRPr="00406033" w:rsidRDefault="0030321B" w:rsidP="00223E5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Page 4</w:t>
            </w:r>
          </w:p>
        </w:tc>
      </w:tr>
      <w:tr w:rsidR="00364C65" w:rsidRPr="00406033" w14:paraId="2A8AD10C" w14:textId="77777777" w:rsidTr="00223E56">
        <w:trPr>
          <w:trHeight w:val="48"/>
          <w:jc w:val="center"/>
        </w:trPr>
        <w:tc>
          <w:tcPr>
            <w:tcW w:w="1657" w:type="dxa"/>
            <w:tcBorders>
              <w:top w:val="single" w:sz="5" w:space="0" w:color="000000"/>
              <w:left w:val="single" w:sz="5" w:space="0" w:color="000000"/>
              <w:bottom w:val="single" w:sz="5" w:space="0" w:color="000000"/>
              <w:right w:val="single" w:sz="5" w:space="0" w:color="000000"/>
            </w:tcBorders>
          </w:tcPr>
          <w:p w14:paraId="18101902"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Study risk of bias assessment</w:t>
            </w:r>
          </w:p>
        </w:tc>
        <w:tc>
          <w:tcPr>
            <w:tcW w:w="587" w:type="dxa"/>
            <w:tcBorders>
              <w:top w:val="single" w:sz="5" w:space="0" w:color="000000"/>
              <w:left w:val="single" w:sz="5" w:space="0" w:color="000000"/>
              <w:bottom w:val="single" w:sz="5" w:space="0" w:color="000000"/>
              <w:right w:val="single" w:sz="5" w:space="0" w:color="000000"/>
            </w:tcBorders>
          </w:tcPr>
          <w:p w14:paraId="3C9C3113" w14:textId="77777777" w:rsidR="00364C65" w:rsidRPr="00406033" w:rsidRDefault="00364C65" w:rsidP="00223E56">
            <w:pPr>
              <w:pStyle w:val="Default"/>
              <w:spacing w:before="40" w:after="40"/>
              <w:jc w:val="right"/>
              <w:rPr>
                <w:rFonts w:ascii="Times New Roman" w:hAnsi="Times New Roman" w:cs="Times New Roman"/>
                <w:sz w:val="18"/>
                <w:szCs w:val="18"/>
              </w:rPr>
            </w:pPr>
            <w:r w:rsidRPr="00406033">
              <w:rPr>
                <w:rFonts w:ascii="Times New Roman" w:hAnsi="Times New Roman" w:cs="Times New Roman"/>
                <w:sz w:val="18"/>
                <w:szCs w:val="18"/>
              </w:rPr>
              <w:t>11</w:t>
            </w:r>
          </w:p>
        </w:tc>
        <w:tc>
          <w:tcPr>
            <w:tcW w:w="7248" w:type="dxa"/>
            <w:tcBorders>
              <w:top w:val="single" w:sz="5" w:space="0" w:color="000000"/>
              <w:left w:val="single" w:sz="5" w:space="0" w:color="000000"/>
              <w:bottom w:val="single" w:sz="5" w:space="0" w:color="000000"/>
              <w:right w:val="single" w:sz="5" w:space="0" w:color="000000"/>
            </w:tcBorders>
          </w:tcPr>
          <w:p w14:paraId="4F138D74"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140" w:type="dxa"/>
            <w:tcBorders>
              <w:top w:val="single" w:sz="5" w:space="0" w:color="000000"/>
              <w:left w:val="single" w:sz="5" w:space="0" w:color="000000"/>
              <w:bottom w:val="single" w:sz="5" w:space="0" w:color="000000"/>
              <w:right w:val="single" w:sz="5" w:space="0" w:color="000000"/>
            </w:tcBorders>
          </w:tcPr>
          <w:p w14:paraId="3C267607" w14:textId="5262D015" w:rsidR="00364C65" w:rsidRPr="00406033" w:rsidRDefault="0030321B" w:rsidP="00223E5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Page 6</w:t>
            </w:r>
          </w:p>
        </w:tc>
      </w:tr>
      <w:tr w:rsidR="00364C65" w:rsidRPr="00406033" w14:paraId="502CC6CA" w14:textId="77777777" w:rsidTr="00223E56">
        <w:trPr>
          <w:trHeight w:val="48"/>
          <w:jc w:val="center"/>
        </w:trPr>
        <w:tc>
          <w:tcPr>
            <w:tcW w:w="1657" w:type="dxa"/>
            <w:tcBorders>
              <w:top w:val="single" w:sz="5" w:space="0" w:color="000000"/>
              <w:left w:val="single" w:sz="5" w:space="0" w:color="000000"/>
              <w:bottom w:val="single" w:sz="5" w:space="0" w:color="000000"/>
              <w:right w:val="single" w:sz="5" w:space="0" w:color="000000"/>
            </w:tcBorders>
          </w:tcPr>
          <w:p w14:paraId="2A827F6B"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 xml:space="preserve">Effect measures </w:t>
            </w:r>
          </w:p>
        </w:tc>
        <w:tc>
          <w:tcPr>
            <w:tcW w:w="587" w:type="dxa"/>
            <w:tcBorders>
              <w:top w:val="single" w:sz="5" w:space="0" w:color="000000"/>
              <w:left w:val="single" w:sz="5" w:space="0" w:color="000000"/>
              <w:bottom w:val="single" w:sz="5" w:space="0" w:color="000000"/>
              <w:right w:val="single" w:sz="5" w:space="0" w:color="000000"/>
            </w:tcBorders>
          </w:tcPr>
          <w:p w14:paraId="6B5EFF57" w14:textId="77777777" w:rsidR="00364C65" w:rsidRPr="00406033" w:rsidRDefault="00364C65" w:rsidP="00223E56">
            <w:pPr>
              <w:pStyle w:val="Default"/>
              <w:spacing w:before="40" w:after="40"/>
              <w:jc w:val="right"/>
              <w:rPr>
                <w:rFonts w:ascii="Times New Roman" w:hAnsi="Times New Roman" w:cs="Times New Roman"/>
                <w:sz w:val="18"/>
                <w:szCs w:val="18"/>
              </w:rPr>
            </w:pPr>
            <w:r w:rsidRPr="00406033">
              <w:rPr>
                <w:rFonts w:ascii="Times New Roman" w:hAnsi="Times New Roman" w:cs="Times New Roman"/>
                <w:sz w:val="18"/>
                <w:szCs w:val="18"/>
              </w:rPr>
              <w:t>12</w:t>
            </w:r>
          </w:p>
        </w:tc>
        <w:tc>
          <w:tcPr>
            <w:tcW w:w="7248" w:type="dxa"/>
            <w:tcBorders>
              <w:top w:val="single" w:sz="5" w:space="0" w:color="000000"/>
              <w:left w:val="single" w:sz="5" w:space="0" w:color="000000"/>
              <w:bottom w:val="single" w:sz="5" w:space="0" w:color="000000"/>
              <w:right w:val="single" w:sz="5" w:space="0" w:color="000000"/>
            </w:tcBorders>
          </w:tcPr>
          <w:p w14:paraId="367693C8"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Specify for each outcome the effect measure(s) (e.g. risk ratio, mean difference) used in the synthesis or presentation of results.</w:t>
            </w:r>
          </w:p>
        </w:tc>
        <w:tc>
          <w:tcPr>
            <w:tcW w:w="1140" w:type="dxa"/>
            <w:tcBorders>
              <w:top w:val="single" w:sz="5" w:space="0" w:color="000000"/>
              <w:left w:val="single" w:sz="5" w:space="0" w:color="000000"/>
              <w:bottom w:val="single" w:sz="5" w:space="0" w:color="000000"/>
              <w:right w:val="single" w:sz="5" w:space="0" w:color="000000"/>
            </w:tcBorders>
          </w:tcPr>
          <w:p w14:paraId="7E103E23" w14:textId="61B13B26" w:rsidR="00364C65" w:rsidRPr="00406033" w:rsidRDefault="0030321B" w:rsidP="00223E5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Page 5-6</w:t>
            </w:r>
          </w:p>
        </w:tc>
      </w:tr>
      <w:tr w:rsidR="00364C65" w:rsidRPr="00406033" w14:paraId="0C215F3A" w14:textId="77777777" w:rsidTr="00223E56">
        <w:trPr>
          <w:trHeight w:val="48"/>
          <w:jc w:val="center"/>
        </w:trPr>
        <w:tc>
          <w:tcPr>
            <w:tcW w:w="1657" w:type="dxa"/>
            <w:vMerge w:val="restart"/>
            <w:tcBorders>
              <w:top w:val="single" w:sz="5" w:space="0" w:color="000000"/>
              <w:left w:val="single" w:sz="5" w:space="0" w:color="000000"/>
              <w:right w:val="single" w:sz="5" w:space="0" w:color="000000"/>
            </w:tcBorders>
          </w:tcPr>
          <w:p w14:paraId="60D319CF"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1D91FFA8" w14:textId="77777777" w:rsidR="00364C65" w:rsidRPr="00406033" w:rsidRDefault="00364C65" w:rsidP="00223E56">
            <w:pPr>
              <w:pStyle w:val="Default"/>
              <w:spacing w:before="40" w:after="40"/>
              <w:jc w:val="right"/>
              <w:rPr>
                <w:rFonts w:ascii="Times New Roman" w:hAnsi="Times New Roman" w:cs="Times New Roman"/>
                <w:sz w:val="18"/>
                <w:szCs w:val="18"/>
              </w:rPr>
            </w:pPr>
            <w:r w:rsidRPr="00406033">
              <w:rPr>
                <w:rFonts w:ascii="Times New Roman" w:hAnsi="Times New Roman" w:cs="Times New Roman"/>
                <w:sz w:val="18"/>
                <w:szCs w:val="18"/>
              </w:rPr>
              <w:t>13a</w:t>
            </w:r>
          </w:p>
        </w:tc>
        <w:tc>
          <w:tcPr>
            <w:tcW w:w="7248" w:type="dxa"/>
            <w:tcBorders>
              <w:top w:val="single" w:sz="5" w:space="0" w:color="000000"/>
              <w:left w:val="single" w:sz="5" w:space="0" w:color="000000"/>
              <w:bottom w:val="single" w:sz="5" w:space="0" w:color="000000"/>
              <w:right w:val="single" w:sz="5" w:space="0" w:color="000000"/>
            </w:tcBorders>
          </w:tcPr>
          <w:p w14:paraId="05098143"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Describe the processes used to decide which studies were eligible for each synthesis (e.g. tabulating the study intervention characteristics and comparing against the planned groups for each synthesis (item #5)).</w:t>
            </w:r>
          </w:p>
        </w:tc>
        <w:tc>
          <w:tcPr>
            <w:tcW w:w="1140" w:type="dxa"/>
            <w:tcBorders>
              <w:top w:val="single" w:sz="5" w:space="0" w:color="000000"/>
              <w:left w:val="single" w:sz="5" w:space="0" w:color="000000"/>
              <w:bottom w:val="single" w:sz="5" w:space="0" w:color="000000"/>
              <w:right w:val="single" w:sz="5" w:space="0" w:color="000000"/>
            </w:tcBorders>
          </w:tcPr>
          <w:p w14:paraId="58B0A7C7" w14:textId="0773D921" w:rsidR="00364C65" w:rsidRPr="00406033" w:rsidRDefault="0030321B" w:rsidP="00223E5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Page 7</w:t>
            </w:r>
          </w:p>
        </w:tc>
      </w:tr>
      <w:tr w:rsidR="00364C65" w:rsidRPr="00406033" w14:paraId="68BD3B44" w14:textId="77777777" w:rsidTr="00223E56">
        <w:trPr>
          <w:trHeight w:val="48"/>
          <w:jc w:val="center"/>
        </w:trPr>
        <w:tc>
          <w:tcPr>
            <w:tcW w:w="1657" w:type="dxa"/>
            <w:vMerge/>
            <w:tcBorders>
              <w:left w:val="single" w:sz="5" w:space="0" w:color="000000"/>
              <w:right w:val="single" w:sz="5" w:space="0" w:color="000000"/>
            </w:tcBorders>
          </w:tcPr>
          <w:p w14:paraId="774EF70E" w14:textId="77777777" w:rsidR="00364C65" w:rsidRPr="00406033" w:rsidRDefault="00364C65" w:rsidP="00223E56">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B68BCC3" w14:textId="77777777" w:rsidR="00364C65" w:rsidRPr="00406033" w:rsidRDefault="00364C65" w:rsidP="00223E56">
            <w:pPr>
              <w:pStyle w:val="Default"/>
              <w:spacing w:before="40" w:after="40"/>
              <w:jc w:val="right"/>
              <w:rPr>
                <w:rFonts w:ascii="Times New Roman" w:hAnsi="Times New Roman" w:cs="Times New Roman"/>
                <w:sz w:val="18"/>
                <w:szCs w:val="18"/>
              </w:rPr>
            </w:pPr>
            <w:r w:rsidRPr="00406033">
              <w:rPr>
                <w:rFonts w:ascii="Times New Roman" w:hAnsi="Times New Roman" w:cs="Times New Roman"/>
                <w:sz w:val="18"/>
                <w:szCs w:val="18"/>
              </w:rPr>
              <w:t>13b</w:t>
            </w:r>
          </w:p>
        </w:tc>
        <w:tc>
          <w:tcPr>
            <w:tcW w:w="7248" w:type="dxa"/>
            <w:tcBorders>
              <w:top w:val="single" w:sz="5" w:space="0" w:color="000000"/>
              <w:left w:val="single" w:sz="5" w:space="0" w:color="000000"/>
              <w:bottom w:val="single" w:sz="5" w:space="0" w:color="000000"/>
              <w:right w:val="single" w:sz="5" w:space="0" w:color="000000"/>
            </w:tcBorders>
          </w:tcPr>
          <w:p w14:paraId="6C1E553C"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Describe any methods required to prepare the data for presentation or synthesis, such as handling of missing summary statistics, or data conversions.</w:t>
            </w:r>
          </w:p>
        </w:tc>
        <w:tc>
          <w:tcPr>
            <w:tcW w:w="1140" w:type="dxa"/>
            <w:tcBorders>
              <w:top w:val="single" w:sz="5" w:space="0" w:color="000000"/>
              <w:left w:val="single" w:sz="5" w:space="0" w:color="000000"/>
              <w:bottom w:val="single" w:sz="5" w:space="0" w:color="000000"/>
              <w:right w:val="single" w:sz="5" w:space="0" w:color="000000"/>
            </w:tcBorders>
          </w:tcPr>
          <w:p w14:paraId="62B8DB2D" w14:textId="5F25C5A3" w:rsidR="00364C65" w:rsidRPr="00406033" w:rsidRDefault="0030321B" w:rsidP="00223E5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Page 7</w:t>
            </w:r>
          </w:p>
        </w:tc>
      </w:tr>
      <w:tr w:rsidR="00364C65" w:rsidRPr="00406033" w14:paraId="5AEE875E" w14:textId="77777777" w:rsidTr="00223E56">
        <w:trPr>
          <w:trHeight w:val="48"/>
          <w:jc w:val="center"/>
        </w:trPr>
        <w:tc>
          <w:tcPr>
            <w:tcW w:w="1657" w:type="dxa"/>
            <w:vMerge/>
            <w:tcBorders>
              <w:left w:val="single" w:sz="5" w:space="0" w:color="000000"/>
              <w:right w:val="single" w:sz="5" w:space="0" w:color="000000"/>
            </w:tcBorders>
          </w:tcPr>
          <w:p w14:paraId="3E978B73" w14:textId="77777777" w:rsidR="00364C65" w:rsidRPr="00406033" w:rsidRDefault="00364C65" w:rsidP="00223E56">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6CD9C42" w14:textId="77777777" w:rsidR="00364C65" w:rsidRPr="00406033" w:rsidRDefault="00364C65" w:rsidP="00223E56">
            <w:pPr>
              <w:pStyle w:val="Default"/>
              <w:spacing w:before="40" w:after="40"/>
              <w:jc w:val="right"/>
              <w:rPr>
                <w:rFonts w:ascii="Times New Roman" w:hAnsi="Times New Roman" w:cs="Times New Roman"/>
                <w:sz w:val="18"/>
                <w:szCs w:val="18"/>
              </w:rPr>
            </w:pPr>
            <w:r w:rsidRPr="00406033">
              <w:rPr>
                <w:rFonts w:ascii="Times New Roman" w:hAnsi="Times New Roman" w:cs="Times New Roman"/>
                <w:sz w:val="18"/>
                <w:szCs w:val="18"/>
              </w:rPr>
              <w:t>13c</w:t>
            </w:r>
          </w:p>
        </w:tc>
        <w:tc>
          <w:tcPr>
            <w:tcW w:w="7248" w:type="dxa"/>
            <w:tcBorders>
              <w:top w:val="single" w:sz="5" w:space="0" w:color="000000"/>
              <w:left w:val="single" w:sz="5" w:space="0" w:color="000000"/>
              <w:bottom w:val="single" w:sz="5" w:space="0" w:color="000000"/>
              <w:right w:val="single" w:sz="5" w:space="0" w:color="000000"/>
            </w:tcBorders>
          </w:tcPr>
          <w:p w14:paraId="28F075E1"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Describe any methods used to tabulate or visually display results of individual studies and syntheses.</w:t>
            </w:r>
          </w:p>
        </w:tc>
        <w:tc>
          <w:tcPr>
            <w:tcW w:w="1140" w:type="dxa"/>
            <w:tcBorders>
              <w:top w:val="single" w:sz="5" w:space="0" w:color="000000"/>
              <w:left w:val="single" w:sz="5" w:space="0" w:color="000000"/>
              <w:bottom w:val="single" w:sz="5" w:space="0" w:color="000000"/>
              <w:right w:val="single" w:sz="5" w:space="0" w:color="000000"/>
            </w:tcBorders>
          </w:tcPr>
          <w:p w14:paraId="2BE713C7" w14:textId="41CEF6E6" w:rsidR="00364C65" w:rsidRPr="00406033" w:rsidRDefault="0030321B" w:rsidP="00223E5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 xml:space="preserve">Page 7 </w:t>
            </w:r>
          </w:p>
        </w:tc>
      </w:tr>
      <w:tr w:rsidR="00364C65" w:rsidRPr="00406033" w14:paraId="7CAC1B2B" w14:textId="77777777" w:rsidTr="00223E56">
        <w:trPr>
          <w:trHeight w:val="48"/>
          <w:jc w:val="center"/>
        </w:trPr>
        <w:tc>
          <w:tcPr>
            <w:tcW w:w="1657" w:type="dxa"/>
            <w:vMerge/>
            <w:tcBorders>
              <w:left w:val="single" w:sz="5" w:space="0" w:color="000000"/>
              <w:right w:val="single" w:sz="5" w:space="0" w:color="000000"/>
            </w:tcBorders>
          </w:tcPr>
          <w:p w14:paraId="0BCC0555" w14:textId="77777777" w:rsidR="00364C65" w:rsidRPr="00406033" w:rsidRDefault="00364C65" w:rsidP="00223E56">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CF53BBD" w14:textId="77777777" w:rsidR="00364C65" w:rsidRPr="00406033" w:rsidRDefault="00364C65" w:rsidP="00223E56">
            <w:pPr>
              <w:pStyle w:val="Default"/>
              <w:spacing w:before="40" w:after="40"/>
              <w:jc w:val="right"/>
              <w:rPr>
                <w:rFonts w:ascii="Times New Roman" w:hAnsi="Times New Roman" w:cs="Times New Roman"/>
                <w:sz w:val="18"/>
                <w:szCs w:val="18"/>
              </w:rPr>
            </w:pPr>
            <w:r w:rsidRPr="00406033">
              <w:rPr>
                <w:rFonts w:ascii="Times New Roman" w:hAnsi="Times New Roman" w:cs="Times New Roman"/>
                <w:sz w:val="18"/>
                <w:szCs w:val="18"/>
              </w:rPr>
              <w:t>13d</w:t>
            </w:r>
          </w:p>
        </w:tc>
        <w:tc>
          <w:tcPr>
            <w:tcW w:w="7248" w:type="dxa"/>
            <w:tcBorders>
              <w:top w:val="single" w:sz="5" w:space="0" w:color="000000"/>
              <w:left w:val="single" w:sz="5" w:space="0" w:color="000000"/>
              <w:bottom w:val="single" w:sz="5" w:space="0" w:color="000000"/>
              <w:right w:val="single" w:sz="5" w:space="0" w:color="000000"/>
            </w:tcBorders>
          </w:tcPr>
          <w:p w14:paraId="57017B6E"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140" w:type="dxa"/>
            <w:tcBorders>
              <w:top w:val="single" w:sz="5" w:space="0" w:color="000000"/>
              <w:left w:val="single" w:sz="5" w:space="0" w:color="000000"/>
              <w:bottom w:val="single" w:sz="5" w:space="0" w:color="000000"/>
              <w:right w:val="single" w:sz="5" w:space="0" w:color="000000"/>
            </w:tcBorders>
          </w:tcPr>
          <w:p w14:paraId="6EE90685" w14:textId="78A3DFD5" w:rsidR="00364C65" w:rsidRPr="00406033" w:rsidRDefault="0030321B" w:rsidP="00223E5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Page 7</w:t>
            </w:r>
          </w:p>
        </w:tc>
      </w:tr>
      <w:tr w:rsidR="00364C65" w:rsidRPr="00406033" w14:paraId="360CE548" w14:textId="77777777" w:rsidTr="00223E56">
        <w:trPr>
          <w:trHeight w:val="48"/>
          <w:jc w:val="center"/>
        </w:trPr>
        <w:tc>
          <w:tcPr>
            <w:tcW w:w="1657" w:type="dxa"/>
            <w:vMerge/>
            <w:tcBorders>
              <w:left w:val="single" w:sz="5" w:space="0" w:color="000000"/>
              <w:right w:val="single" w:sz="5" w:space="0" w:color="000000"/>
            </w:tcBorders>
          </w:tcPr>
          <w:p w14:paraId="719B2E63" w14:textId="77777777" w:rsidR="00364C65" w:rsidRPr="00406033" w:rsidRDefault="00364C65" w:rsidP="00223E56">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94F9036" w14:textId="77777777" w:rsidR="00364C65" w:rsidRPr="00406033" w:rsidRDefault="00364C65" w:rsidP="00223E56">
            <w:pPr>
              <w:pStyle w:val="Default"/>
              <w:spacing w:before="40" w:after="40"/>
              <w:jc w:val="right"/>
              <w:rPr>
                <w:rFonts w:ascii="Times New Roman" w:hAnsi="Times New Roman" w:cs="Times New Roman"/>
                <w:sz w:val="18"/>
                <w:szCs w:val="18"/>
              </w:rPr>
            </w:pPr>
            <w:r w:rsidRPr="00406033">
              <w:rPr>
                <w:rFonts w:ascii="Times New Roman" w:hAnsi="Times New Roman" w:cs="Times New Roman"/>
                <w:sz w:val="18"/>
                <w:szCs w:val="18"/>
              </w:rPr>
              <w:t>13e</w:t>
            </w:r>
          </w:p>
        </w:tc>
        <w:tc>
          <w:tcPr>
            <w:tcW w:w="7248" w:type="dxa"/>
            <w:tcBorders>
              <w:top w:val="single" w:sz="5" w:space="0" w:color="000000"/>
              <w:left w:val="single" w:sz="5" w:space="0" w:color="000000"/>
              <w:bottom w:val="single" w:sz="5" w:space="0" w:color="000000"/>
              <w:right w:val="single" w:sz="5" w:space="0" w:color="000000"/>
            </w:tcBorders>
          </w:tcPr>
          <w:p w14:paraId="2C5C5863"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Describe any methods used to explore possible causes of heterogeneity among study results (e.g. subgroup analysis, meta-regression).</w:t>
            </w:r>
          </w:p>
        </w:tc>
        <w:tc>
          <w:tcPr>
            <w:tcW w:w="1140" w:type="dxa"/>
            <w:tcBorders>
              <w:top w:val="single" w:sz="5" w:space="0" w:color="000000"/>
              <w:left w:val="single" w:sz="5" w:space="0" w:color="000000"/>
              <w:bottom w:val="single" w:sz="5" w:space="0" w:color="000000"/>
              <w:right w:val="single" w:sz="5" w:space="0" w:color="000000"/>
            </w:tcBorders>
          </w:tcPr>
          <w:p w14:paraId="6DB78F99" w14:textId="11206B4E" w:rsidR="00364C65" w:rsidRPr="00406033" w:rsidRDefault="0030321B" w:rsidP="00223E5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NA</w:t>
            </w:r>
          </w:p>
        </w:tc>
      </w:tr>
      <w:tr w:rsidR="00364C65" w:rsidRPr="00406033" w14:paraId="2C9230D8" w14:textId="77777777" w:rsidTr="00223E56">
        <w:trPr>
          <w:trHeight w:val="50"/>
          <w:jc w:val="center"/>
        </w:trPr>
        <w:tc>
          <w:tcPr>
            <w:tcW w:w="1657" w:type="dxa"/>
            <w:vMerge/>
            <w:tcBorders>
              <w:left w:val="single" w:sz="5" w:space="0" w:color="000000"/>
              <w:bottom w:val="single" w:sz="5" w:space="0" w:color="000000"/>
              <w:right w:val="single" w:sz="5" w:space="0" w:color="000000"/>
            </w:tcBorders>
          </w:tcPr>
          <w:p w14:paraId="27C4C902" w14:textId="77777777" w:rsidR="00364C65" w:rsidRPr="00406033" w:rsidRDefault="00364C65" w:rsidP="00223E56">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3602100" w14:textId="77777777" w:rsidR="00364C65" w:rsidRPr="00406033" w:rsidRDefault="00364C65" w:rsidP="00223E56">
            <w:pPr>
              <w:pStyle w:val="Default"/>
              <w:spacing w:before="40" w:after="40"/>
              <w:jc w:val="right"/>
              <w:rPr>
                <w:rFonts w:ascii="Times New Roman" w:hAnsi="Times New Roman" w:cs="Times New Roman"/>
                <w:sz w:val="18"/>
                <w:szCs w:val="18"/>
              </w:rPr>
            </w:pPr>
            <w:r w:rsidRPr="00406033">
              <w:rPr>
                <w:rFonts w:ascii="Times New Roman" w:hAnsi="Times New Roman" w:cs="Times New Roman"/>
                <w:sz w:val="18"/>
                <w:szCs w:val="18"/>
              </w:rPr>
              <w:t>13f</w:t>
            </w:r>
          </w:p>
        </w:tc>
        <w:tc>
          <w:tcPr>
            <w:tcW w:w="7248" w:type="dxa"/>
            <w:tcBorders>
              <w:top w:val="single" w:sz="5" w:space="0" w:color="000000"/>
              <w:left w:val="single" w:sz="5" w:space="0" w:color="000000"/>
              <w:bottom w:val="single" w:sz="5" w:space="0" w:color="000000"/>
              <w:right w:val="single" w:sz="5" w:space="0" w:color="000000"/>
            </w:tcBorders>
          </w:tcPr>
          <w:p w14:paraId="59DEDD95"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Describe any sensitivity analyses conducted to assess robustness of the synthesized results.</w:t>
            </w:r>
          </w:p>
        </w:tc>
        <w:tc>
          <w:tcPr>
            <w:tcW w:w="1140" w:type="dxa"/>
            <w:tcBorders>
              <w:top w:val="single" w:sz="5" w:space="0" w:color="000000"/>
              <w:left w:val="single" w:sz="5" w:space="0" w:color="000000"/>
              <w:bottom w:val="single" w:sz="5" w:space="0" w:color="000000"/>
              <w:right w:val="single" w:sz="5" w:space="0" w:color="000000"/>
            </w:tcBorders>
          </w:tcPr>
          <w:p w14:paraId="55E77C23" w14:textId="0224CABB" w:rsidR="00364C65" w:rsidRPr="00406033" w:rsidRDefault="0030321B" w:rsidP="00223E5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NA</w:t>
            </w:r>
          </w:p>
        </w:tc>
      </w:tr>
      <w:tr w:rsidR="00364C65" w:rsidRPr="00406033" w14:paraId="29CD5B04" w14:textId="77777777" w:rsidTr="00223E56">
        <w:trPr>
          <w:trHeight w:val="48"/>
          <w:jc w:val="center"/>
        </w:trPr>
        <w:tc>
          <w:tcPr>
            <w:tcW w:w="1657" w:type="dxa"/>
            <w:tcBorders>
              <w:top w:val="single" w:sz="5" w:space="0" w:color="000000"/>
              <w:left w:val="single" w:sz="5" w:space="0" w:color="000000"/>
              <w:bottom w:val="single" w:sz="5" w:space="0" w:color="000000"/>
              <w:right w:val="single" w:sz="5" w:space="0" w:color="000000"/>
            </w:tcBorders>
          </w:tcPr>
          <w:p w14:paraId="7F68980B"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6A9DEC6F" w14:textId="77777777" w:rsidR="00364C65" w:rsidRPr="00406033" w:rsidRDefault="00364C65" w:rsidP="00223E56">
            <w:pPr>
              <w:pStyle w:val="Default"/>
              <w:spacing w:before="40" w:after="40"/>
              <w:jc w:val="right"/>
              <w:rPr>
                <w:rFonts w:ascii="Times New Roman" w:hAnsi="Times New Roman" w:cs="Times New Roman"/>
                <w:sz w:val="18"/>
                <w:szCs w:val="18"/>
              </w:rPr>
            </w:pPr>
            <w:r w:rsidRPr="00406033">
              <w:rPr>
                <w:rFonts w:ascii="Times New Roman" w:hAnsi="Times New Roman" w:cs="Times New Roman"/>
                <w:sz w:val="18"/>
                <w:szCs w:val="18"/>
              </w:rPr>
              <w:t>14</w:t>
            </w:r>
          </w:p>
        </w:tc>
        <w:tc>
          <w:tcPr>
            <w:tcW w:w="7248" w:type="dxa"/>
            <w:tcBorders>
              <w:top w:val="single" w:sz="5" w:space="0" w:color="000000"/>
              <w:left w:val="single" w:sz="5" w:space="0" w:color="000000"/>
              <w:bottom w:val="single" w:sz="5" w:space="0" w:color="000000"/>
              <w:right w:val="single" w:sz="5" w:space="0" w:color="000000"/>
            </w:tcBorders>
          </w:tcPr>
          <w:p w14:paraId="478443B4"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Describe any methods used to assess risk of bias due to missing results in a synthesis (arising from reporting biases).</w:t>
            </w:r>
          </w:p>
        </w:tc>
        <w:tc>
          <w:tcPr>
            <w:tcW w:w="1140" w:type="dxa"/>
            <w:tcBorders>
              <w:top w:val="single" w:sz="5" w:space="0" w:color="000000"/>
              <w:left w:val="single" w:sz="5" w:space="0" w:color="000000"/>
              <w:bottom w:val="single" w:sz="5" w:space="0" w:color="000000"/>
              <w:right w:val="single" w:sz="5" w:space="0" w:color="000000"/>
            </w:tcBorders>
          </w:tcPr>
          <w:p w14:paraId="38262104" w14:textId="24CAFFDC" w:rsidR="00364C65" w:rsidRPr="00406033" w:rsidRDefault="0030321B" w:rsidP="00223E5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Page 7</w:t>
            </w:r>
          </w:p>
        </w:tc>
      </w:tr>
      <w:tr w:rsidR="00364C65" w:rsidRPr="00406033" w14:paraId="7B8BC501" w14:textId="77777777" w:rsidTr="00223E56">
        <w:trPr>
          <w:trHeight w:val="48"/>
          <w:jc w:val="center"/>
        </w:trPr>
        <w:tc>
          <w:tcPr>
            <w:tcW w:w="1657" w:type="dxa"/>
            <w:tcBorders>
              <w:top w:val="single" w:sz="5" w:space="0" w:color="000000"/>
              <w:left w:val="single" w:sz="5" w:space="0" w:color="000000"/>
              <w:bottom w:val="single" w:sz="5" w:space="0" w:color="000000"/>
              <w:right w:val="single" w:sz="5" w:space="0" w:color="000000"/>
            </w:tcBorders>
          </w:tcPr>
          <w:p w14:paraId="462963A5"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3CE09DD0" w14:textId="77777777" w:rsidR="00364C65" w:rsidRPr="00406033" w:rsidRDefault="00364C65" w:rsidP="00223E56">
            <w:pPr>
              <w:pStyle w:val="Default"/>
              <w:spacing w:before="40" w:after="40"/>
              <w:jc w:val="right"/>
              <w:rPr>
                <w:rFonts w:ascii="Times New Roman" w:hAnsi="Times New Roman" w:cs="Times New Roman"/>
                <w:sz w:val="18"/>
                <w:szCs w:val="18"/>
              </w:rPr>
            </w:pPr>
            <w:r w:rsidRPr="00406033">
              <w:rPr>
                <w:rFonts w:ascii="Times New Roman" w:hAnsi="Times New Roman" w:cs="Times New Roman"/>
                <w:sz w:val="18"/>
                <w:szCs w:val="18"/>
              </w:rPr>
              <w:t>15</w:t>
            </w:r>
          </w:p>
        </w:tc>
        <w:tc>
          <w:tcPr>
            <w:tcW w:w="7248" w:type="dxa"/>
            <w:tcBorders>
              <w:top w:val="single" w:sz="5" w:space="0" w:color="000000"/>
              <w:left w:val="single" w:sz="5" w:space="0" w:color="000000"/>
              <w:bottom w:val="single" w:sz="5" w:space="0" w:color="000000"/>
              <w:right w:val="single" w:sz="5" w:space="0" w:color="000000"/>
            </w:tcBorders>
          </w:tcPr>
          <w:p w14:paraId="10130B7C"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Describe any methods used to assess certainty (or confidence) in the body of evidence for an outcome.</w:t>
            </w:r>
          </w:p>
        </w:tc>
        <w:tc>
          <w:tcPr>
            <w:tcW w:w="1140" w:type="dxa"/>
            <w:tcBorders>
              <w:top w:val="single" w:sz="5" w:space="0" w:color="000000"/>
              <w:left w:val="single" w:sz="5" w:space="0" w:color="000000"/>
              <w:bottom w:val="single" w:sz="5" w:space="0" w:color="000000"/>
              <w:right w:val="single" w:sz="5" w:space="0" w:color="000000"/>
            </w:tcBorders>
          </w:tcPr>
          <w:p w14:paraId="45AC3C22" w14:textId="12313841" w:rsidR="00364C65" w:rsidRPr="00406033" w:rsidRDefault="0030321B" w:rsidP="00223E5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Page 6</w:t>
            </w:r>
          </w:p>
        </w:tc>
      </w:tr>
      <w:tr w:rsidR="00364C65" w:rsidRPr="00406033" w14:paraId="27049CE2" w14:textId="77777777" w:rsidTr="00223E56">
        <w:trPr>
          <w:trHeight w:val="24"/>
          <w:jc w:val="center"/>
        </w:trPr>
        <w:tc>
          <w:tcPr>
            <w:tcW w:w="949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C11C3B4" w14:textId="77777777" w:rsidR="00364C65" w:rsidRPr="00406033" w:rsidRDefault="00364C65" w:rsidP="00223E56">
            <w:pPr>
              <w:pStyle w:val="Default"/>
              <w:rPr>
                <w:rFonts w:ascii="Times New Roman" w:hAnsi="Times New Roman" w:cs="Times New Roman"/>
                <w:sz w:val="18"/>
                <w:szCs w:val="18"/>
              </w:rPr>
            </w:pPr>
            <w:r w:rsidRPr="00406033">
              <w:rPr>
                <w:rFonts w:ascii="Times New Roman" w:hAnsi="Times New Roman" w:cs="Times New Roman"/>
                <w:b/>
                <w:bCs/>
                <w:sz w:val="18"/>
                <w:szCs w:val="18"/>
              </w:rPr>
              <w:t xml:space="preserve">RESULTS </w:t>
            </w:r>
          </w:p>
        </w:tc>
        <w:tc>
          <w:tcPr>
            <w:tcW w:w="1140" w:type="dxa"/>
            <w:tcBorders>
              <w:top w:val="double" w:sz="5" w:space="0" w:color="000000"/>
              <w:left w:val="single" w:sz="5" w:space="0" w:color="000000"/>
              <w:bottom w:val="single" w:sz="5" w:space="0" w:color="000000"/>
              <w:right w:val="single" w:sz="5" w:space="0" w:color="000000"/>
            </w:tcBorders>
            <w:shd w:val="clear" w:color="auto" w:fill="FFFFCC"/>
          </w:tcPr>
          <w:p w14:paraId="108DB27A" w14:textId="77777777" w:rsidR="00364C65" w:rsidRPr="00406033" w:rsidRDefault="00364C65" w:rsidP="00223E56">
            <w:pPr>
              <w:pStyle w:val="Default"/>
              <w:jc w:val="center"/>
              <w:rPr>
                <w:rFonts w:ascii="Times New Roman" w:hAnsi="Times New Roman" w:cs="Times New Roman"/>
                <w:color w:val="auto"/>
                <w:sz w:val="18"/>
                <w:szCs w:val="18"/>
              </w:rPr>
            </w:pPr>
          </w:p>
        </w:tc>
      </w:tr>
      <w:tr w:rsidR="00364C65" w:rsidRPr="00406033" w14:paraId="3B8A2900" w14:textId="77777777" w:rsidTr="00223E56">
        <w:trPr>
          <w:trHeight w:val="48"/>
          <w:jc w:val="center"/>
        </w:trPr>
        <w:tc>
          <w:tcPr>
            <w:tcW w:w="1657" w:type="dxa"/>
            <w:vMerge w:val="restart"/>
            <w:tcBorders>
              <w:top w:val="single" w:sz="5" w:space="0" w:color="000000"/>
              <w:left w:val="single" w:sz="5" w:space="0" w:color="000000"/>
              <w:right w:val="single" w:sz="5" w:space="0" w:color="000000"/>
            </w:tcBorders>
          </w:tcPr>
          <w:p w14:paraId="7703442B"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lastRenderedPageBreak/>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535B1D0E" w14:textId="77777777" w:rsidR="00364C65" w:rsidRPr="00406033" w:rsidRDefault="00364C65" w:rsidP="00223E56">
            <w:pPr>
              <w:pStyle w:val="Default"/>
              <w:spacing w:before="40" w:after="40"/>
              <w:jc w:val="right"/>
              <w:rPr>
                <w:rFonts w:ascii="Times New Roman" w:hAnsi="Times New Roman" w:cs="Times New Roman"/>
                <w:sz w:val="18"/>
                <w:szCs w:val="18"/>
              </w:rPr>
            </w:pPr>
            <w:r w:rsidRPr="00406033">
              <w:rPr>
                <w:rFonts w:ascii="Times New Roman" w:hAnsi="Times New Roman" w:cs="Times New Roman"/>
                <w:sz w:val="18"/>
                <w:szCs w:val="18"/>
              </w:rPr>
              <w:t>16a</w:t>
            </w:r>
          </w:p>
        </w:tc>
        <w:tc>
          <w:tcPr>
            <w:tcW w:w="7248" w:type="dxa"/>
            <w:tcBorders>
              <w:top w:val="single" w:sz="5" w:space="0" w:color="000000"/>
              <w:left w:val="single" w:sz="5" w:space="0" w:color="000000"/>
              <w:bottom w:val="single" w:sz="5" w:space="0" w:color="000000"/>
              <w:right w:val="single" w:sz="5" w:space="0" w:color="000000"/>
            </w:tcBorders>
          </w:tcPr>
          <w:p w14:paraId="69769074"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Describe the results of the search and selection process, from the number of records identified in the search to the number of studies included in the review, ideally using a flow diagram.</w:t>
            </w:r>
          </w:p>
        </w:tc>
        <w:tc>
          <w:tcPr>
            <w:tcW w:w="1140" w:type="dxa"/>
            <w:tcBorders>
              <w:top w:val="single" w:sz="5" w:space="0" w:color="000000"/>
              <w:left w:val="single" w:sz="5" w:space="0" w:color="000000"/>
              <w:bottom w:val="single" w:sz="5" w:space="0" w:color="000000"/>
              <w:right w:val="single" w:sz="5" w:space="0" w:color="000000"/>
            </w:tcBorders>
          </w:tcPr>
          <w:p w14:paraId="0490A157" w14:textId="4ABA71DC" w:rsidR="00364C65" w:rsidRPr="00406033" w:rsidRDefault="0030321B" w:rsidP="00223E5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Page 7</w:t>
            </w:r>
          </w:p>
        </w:tc>
      </w:tr>
      <w:tr w:rsidR="00364C65" w:rsidRPr="00406033" w14:paraId="532D8FC7" w14:textId="77777777" w:rsidTr="00223E56">
        <w:trPr>
          <w:trHeight w:val="48"/>
          <w:jc w:val="center"/>
        </w:trPr>
        <w:tc>
          <w:tcPr>
            <w:tcW w:w="1657" w:type="dxa"/>
            <w:vMerge/>
            <w:tcBorders>
              <w:left w:val="single" w:sz="5" w:space="0" w:color="000000"/>
              <w:bottom w:val="single" w:sz="5" w:space="0" w:color="000000"/>
              <w:right w:val="single" w:sz="5" w:space="0" w:color="000000"/>
            </w:tcBorders>
          </w:tcPr>
          <w:p w14:paraId="3E53A6CA" w14:textId="77777777" w:rsidR="00364C65" w:rsidRPr="00406033" w:rsidRDefault="00364C65" w:rsidP="00223E56">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A32594B" w14:textId="77777777" w:rsidR="00364C65" w:rsidRPr="00406033" w:rsidRDefault="00364C65" w:rsidP="00223E56">
            <w:pPr>
              <w:pStyle w:val="Default"/>
              <w:spacing w:before="40" w:after="40"/>
              <w:jc w:val="right"/>
              <w:rPr>
                <w:rFonts w:ascii="Times New Roman" w:hAnsi="Times New Roman" w:cs="Times New Roman"/>
                <w:sz w:val="18"/>
                <w:szCs w:val="18"/>
              </w:rPr>
            </w:pPr>
            <w:r w:rsidRPr="00406033">
              <w:rPr>
                <w:rFonts w:ascii="Times New Roman" w:hAnsi="Times New Roman" w:cs="Times New Roman"/>
                <w:sz w:val="18"/>
                <w:szCs w:val="18"/>
              </w:rPr>
              <w:t>16b</w:t>
            </w:r>
          </w:p>
        </w:tc>
        <w:tc>
          <w:tcPr>
            <w:tcW w:w="7248" w:type="dxa"/>
            <w:tcBorders>
              <w:top w:val="single" w:sz="5" w:space="0" w:color="000000"/>
              <w:left w:val="single" w:sz="5" w:space="0" w:color="000000"/>
              <w:bottom w:val="single" w:sz="5" w:space="0" w:color="000000"/>
              <w:right w:val="single" w:sz="5" w:space="0" w:color="000000"/>
            </w:tcBorders>
          </w:tcPr>
          <w:p w14:paraId="689857C7"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Cite studies that might appear to meet the inclusion criteria, but which were excluded, and explain why they were excluded.</w:t>
            </w:r>
          </w:p>
        </w:tc>
        <w:tc>
          <w:tcPr>
            <w:tcW w:w="1140" w:type="dxa"/>
            <w:tcBorders>
              <w:top w:val="single" w:sz="5" w:space="0" w:color="000000"/>
              <w:left w:val="single" w:sz="5" w:space="0" w:color="000000"/>
              <w:bottom w:val="single" w:sz="5" w:space="0" w:color="000000"/>
              <w:right w:val="single" w:sz="5" w:space="0" w:color="000000"/>
            </w:tcBorders>
          </w:tcPr>
          <w:p w14:paraId="376C5CB6" w14:textId="38CB222B" w:rsidR="00364C65" w:rsidRPr="00406033" w:rsidRDefault="0030321B" w:rsidP="00223E5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Supplement table 4</w:t>
            </w:r>
          </w:p>
        </w:tc>
      </w:tr>
      <w:tr w:rsidR="00364C65" w:rsidRPr="00406033" w14:paraId="1336A6EC" w14:textId="77777777" w:rsidTr="00223E56">
        <w:trPr>
          <w:trHeight w:val="103"/>
          <w:jc w:val="center"/>
        </w:trPr>
        <w:tc>
          <w:tcPr>
            <w:tcW w:w="1657" w:type="dxa"/>
            <w:tcBorders>
              <w:top w:val="single" w:sz="5" w:space="0" w:color="000000"/>
              <w:left w:val="single" w:sz="5" w:space="0" w:color="000000"/>
              <w:bottom w:val="single" w:sz="5" w:space="0" w:color="000000"/>
              <w:right w:val="single" w:sz="5" w:space="0" w:color="000000"/>
            </w:tcBorders>
          </w:tcPr>
          <w:p w14:paraId="15F1A115"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71BD69A9" w14:textId="77777777" w:rsidR="00364C65" w:rsidRPr="00406033" w:rsidRDefault="00364C65" w:rsidP="00223E56">
            <w:pPr>
              <w:pStyle w:val="Default"/>
              <w:spacing w:before="40" w:after="40"/>
              <w:jc w:val="right"/>
              <w:rPr>
                <w:rFonts w:ascii="Times New Roman" w:hAnsi="Times New Roman" w:cs="Times New Roman"/>
                <w:sz w:val="18"/>
                <w:szCs w:val="18"/>
              </w:rPr>
            </w:pPr>
            <w:r w:rsidRPr="00406033">
              <w:rPr>
                <w:rFonts w:ascii="Times New Roman" w:hAnsi="Times New Roman" w:cs="Times New Roman"/>
                <w:sz w:val="18"/>
                <w:szCs w:val="18"/>
              </w:rPr>
              <w:t>17</w:t>
            </w:r>
          </w:p>
        </w:tc>
        <w:tc>
          <w:tcPr>
            <w:tcW w:w="7248" w:type="dxa"/>
            <w:tcBorders>
              <w:top w:val="single" w:sz="5" w:space="0" w:color="000000"/>
              <w:left w:val="single" w:sz="5" w:space="0" w:color="000000"/>
              <w:bottom w:val="single" w:sz="5" w:space="0" w:color="000000"/>
              <w:right w:val="single" w:sz="5" w:space="0" w:color="000000"/>
            </w:tcBorders>
          </w:tcPr>
          <w:p w14:paraId="0A8B59BB"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Cite each included study and present its characteristics.</w:t>
            </w:r>
          </w:p>
        </w:tc>
        <w:tc>
          <w:tcPr>
            <w:tcW w:w="1140" w:type="dxa"/>
            <w:tcBorders>
              <w:top w:val="single" w:sz="5" w:space="0" w:color="000000"/>
              <w:left w:val="single" w:sz="5" w:space="0" w:color="000000"/>
              <w:bottom w:val="single" w:sz="5" w:space="0" w:color="000000"/>
              <w:right w:val="single" w:sz="5" w:space="0" w:color="000000"/>
            </w:tcBorders>
          </w:tcPr>
          <w:p w14:paraId="1EFE0C9D" w14:textId="1646AC10" w:rsidR="00364C65" w:rsidRPr="00406033" w:rsidRDefault="0030321B" w:rsidP="00223E5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Table 1</w:t>
            </w:r>
          </w:p>
        </w:tc>
      </w:tr>
      <w:tr w:rsidR="00364C65" w:rsidRPr="00406033" w14:paraId="3CF2BCCB" w14:textId="77777777" w:rsidTr="00223E56">
        <w:trPr>
          <w:trHeight w:val="48"/>
          <w:jc w:val="center"/>
        </w:trPr>
        <w:tc>
          <w:tcPr>
            <w:tcW w:w="1657" w:type="dxa"/>
            <w:tcBorders>
              <w:top w:val="single" w:sz="5" w:space="0" w:color="000000"/>
              <w:left w:val="single" w:sz="5" w:space="0" w:color="000000"/>
              <w:bottom w:val="single" w:sz="5" w:space="0" w:color="000000"/>
              <w:right w:val="single" w:sz="5" w:space="0" w:color="000000"/>
            </w:tcBorders>
          </w:tcPr>
          <w:p w14:paraId="32AE74F1"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69C906C8" w14:textId="77777777" w:rsidR="00364C65" w:rsidRPr="00406033" w:rsidRDefault="00364C65" w:rsidP="00223E56">
            <w:pPr>
              <w:pStyle w:val="Default"/>
              <w:spacing w:before="40" w:after="40"/>
              <w:jc w:val="right"/>
              <w:rPr>
                <w:rFonts w:ascii="Times New Roman" w:hAnsi="Times New Roman" w:cs="Times New Roman"/>
                <w:sz w:val="18"/>
                <w:szCs w:val="18"/>
              </w:rPr>
            </w:pPr>
            <w:r w:rsidRPr="00406033">
              <w:rPr>
                <w:rFonts w:ascii="Times New Roman" w:hAnsi="Times New Roman" w:cs="Times New Roman"/>
                <w:sz w:val="18"/>
                <w:szCs w:val="18"/>
              </w:rPr>
              <w:t>18</w:t>
            </w:r>
          </w:p>
        </w:tc>
        <w:tc>
          <w:tcPr>
            <w:tcW w:w="7248" w:type="dxa"/>
            <w:tcBorders>
              <w:top w:val="single" w:sz="5" w:space="0" w:color="000000"/>
              <w:left w:val="single" w:sz="5" w:space="0" w:color="000000"/>
              <w:bottom w:val="single" w:sz="5" w:space="0" w:color="000000"/>
              <w:right w:val="single" w:sz="5" w:space="0" w:color="000000"/>
            </w:tcBorders>
          </w:tcPr>
          <w:p w14:paraId="60162090"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Present assessments of risk of bias for each included study.</w:t>
            </w:r>
          </w:p>
        </w:tc>
        <w:tc>
          <w:tcPr>
            <w:tcW w:w="1140" w:type="dxa"/>
            <w:tcBorders>
              <w:top w:val="single" w:sz="5" w:space="0" w:color="000000"/>
              <w:left w:val="single" w:sz="5" w:space="0" w:color="000000"/>
              <w:bottom w:val="single" w:sz="5" w:space="0" w:color="000000"/>
              <w:right w:val="single" w:sz="5" w:space="0" w:color="000000"/>
            </w:tcBorders>
          </w:tcPr>
          <w:p w14:paraId="4BEC2275" w14:textId="585840C2" w:rsidR="00364C65" w:rsidRPr="00406033" w:rsidRDefault="0030321B" w:rsidP="00223E5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Supplement table 6-8</w:t>
            </w:r>
          </w:p>
        </w:tc>
      </w:tr>
      <w:tr w:rsidR="00364C65" w:rsidRPr="00406033" w14:paraId="1A9A83EA" w14:textId="77777777" w:rsidTr="00223E56">
        <w:trPr>
          <w:trHeight w:val="48"/>
          <w:jc w:val="center"/>
        </w:trPr>
        <w:tc>
          <w:tcPr>
            <w:tcW w:w="1657" w:type="dxa"/>
            <w:tcBorders>
              <w:top w:val="single" w:sz="5" w:space="0" w:color="000000"/>
              <w:left w:val="single" w:sz="5" w:space="0" w:color="000000"/>
              <w:bottom w:val="single" w:sz="5" w:space="0" w:color="000000"/>
              <w:right w:val="single" w:sz="5" w:space="0" w:color="000000"/>
            </w:tcBorders>
          </w:tcPr>
          <w:p w14:paraId="47418CDD"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38C5E150" w14:textId="77777777" w:rsidR="00364C65" w:rsidRPr="00406033" w:rsidRDefault="00364C65" w:rsidP="00223E56">
            <w:pPr>
              <w:pStyle w:val="Default"/>
              <w:spacing w:before="40" w:after="40"/>
              <w:jc w:val="right"/>
              <w:rPr>
                <w:rFonts w:ascii="Times New Roman" w:hAnsi="Times New Roman" w:cs="Times New Roman"/>
                <w:sz w:val="18"/>
                <w:szCs w:val="18"/>
              </w:rPr>
            </w:pPr>
            <w:r w:rsidRPr="00406033">
              <w:rPr>
                <w:rFonts w:ascii="Times New Roman" w:hAnsi="Times New Roman" w:cs="Times New Roman"/>
                <w:sz w:val="18"/>
                <w:szCs w:val="18"/>
              </w:rPr>
              <w:t>19</w:t>
            </w:r>
          </w:p>
        </w:tc>
        <w:tc>
          <w:tcPr>
            <w:tcW w:w="7248" w:type="dxa"/>
            <w:tcBorders>
              <w:top w:val="single" w:sz="5" w:space="0" w:color="000000"/>
              <w:left w:val="single" w:sz="5" w:space="0" w:color="000000"/>
              <w:bottom w:val="single" w:sz="5" w:space="0" w:color="000000"/>
              <w:right w:val="single" w:sz="5" w:space="0" w:color="000000"/>
            </w:tcBorders>
          </w:tcPr>
          <w:p w14:paraId="1A618A8A"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 xml:space="preserve">For all outcomes, present, for each study: (a) summary statistics for each group (where appropriate) and (b) an effect </w:t>
            </w:r>
            <w:proofErr w:type="gramStart"/>
            <w:r w:rsidRPr="00406033">
              <w:rPr>
                <w:rFonts w:ascii="Times New Roman" w:hAnsi="Times New Roman" w:cs="Times New Roman"/>
                <w:sz w:val="18"/>
                <w:szCs w:val="18"/>
              </w:rPr>
              <w:t>estimate</w:t>
            </w:r>
            <w:proofErr w:type="gramEnd"/>
            <w:r w:rsidRPr="00406033">
              <w:rPr>
                <w:rFonts w:ascii="Times New Roman" w:hAnsi="Times New Roman" w:cs="Times New Roman"/>
                <w:sz w:val="18"/>
                <w:szCs w:val="18"/>
              </w:rPr>
              <w:t xml:space="preserve"> and its precision (e.g. confidence/credible interval), ideally using structured tables or plots.</w:t>
            </w:r>
          </w:p>
        </w:tc>
        <w:tc>
          <w:tcPr>
            <w:tcW w:w="1140" w:type="dxa"/>
            <w:tcBorders>
              <w:top w:val="single" w:sz="5" w:space="0" w:color="000000"/>
              <w:left w:val="single" w:sz="5" w:space="0" w:color="000000"/>
              <w:bottom w:val="single" w:sz="5" w:space="0" w:color="000000"/>
              <w:right w:val="single" w:sz="5" w:space="0" w:color="000000"/>
            </w:tcBorders>
          </w:tcPr>
          <w:p w14:paraId="2B0C86C2" w14:textId="6416E6DA" w:rsidR="00364C65" w:rsidRPr="00406033" w:rsidRDefault="0030321B" w:rsidP="00223E5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Table 2</w:t>
            </w:r>
          </w:p>
        </w:tc>
      </w:tr>
      <w:tr w:rsidR="00364C65" w:rsidRPr="00406033" w14:paraId="6C6E28F7" w14:textId="77777777" w:rsidTr="00223E56">
        <w:trPr>
          <w:trHeight w:val="48"/>
          <w:jc w:val="center"/>
        </w:trPr>
        <w:tc>
          <w:tcPr>
            <w:tcW w:w="1657" w:type="dxa"/>
            <w:vMerge w:val="restart"/>
            <w:tcBorders>
              <w:top w:val="single" w:sz="5" w:space="0" w:color="000000"/>
              <w:left w:val="single" w:sz="5" w:space="0" w:color="000000"/>
              <w:right w:val="single" w:sz="5" w:space="0" w:color="000000"/>
            </w:tcBorders>
          </w:tcPr>
          <w:p w14:paraId="34C36DC4"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4856D62A" w14:textId="77777777" w:rsidR="00364C65" w:rsidRPr="00406033" w:rsidRDefault="00364C65" w:rsidP="00223E56">
            <w:pPr>
              <w:pStyle w:val="Default"/>
              <w:spacing w:before="40" w:after="40"/>
              <w:jc w:val="right"/>
              <w:rPr>
                <w:rFonts w:ascii="Times New Roman" w:hAnsi="Times New Roman" w:cs="Times New Roman"/>
                <w:sz w:val="18"/>
                <w:szCs w:val="18"/>
              </w:rPr>
            </w:pPr>
            <w:r w:rsidRPr="00406033">
              <w:rPr>
                <w:rFonts w:ascii="Times New Roman" w:hAnsi="Times New Roman" w:cs="Times New Roman"/>
                <w:sz w:val="18"/>
                <w:szCs w:val="18"/>
              </w:rPr>
              <w:t>20a</w:t>
            </w:r>
          </w:p>
        </w:tc>
        <w:tc>
          <w:tcPr>
            <w:tcW w:w="7248" w:type="dxa"/>
            <w:tcBorders>
              <w:top w:val="single" w:sz="5" w:space="0" w:color="000000"/>
              <w:left w:val="single" w:sz="5" w:space="0" w:color="000000"/>
              <w:bottom w:val="single" w:sz="5" w:space="0" w:color="000000"/>
              <w:right w:val="single" w:sz="5" w:space="0" w:color="000000"/>
            </w:tcBorders>
          </w:tcPr>
          <w:p w14:paraId="4662DA8E"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For each synthesis, briefly summarise the characteristics and risk of bias among contributing studies.</w:t>
            </w:r>
          </w:p>
        </w:tc>
        <w:tc>
          <w:tcPr>
            <w:tcW w:w="1140" w:type="dxa"/>
            <w:tcBorders>
              <w:top w:val="single" w:sz="5" w:space="0" w:color="000000"/>
              <w:left w:val="single" w:sz="5" w:space="0" w:color="000000"/>
              <w:bottom w:val="single" w:sz="5" w:space="0" w:color="000000"/>
              <w:right w:val="single" w:sz="5" w:space="0" w:color="000000"/>
            </w:tcBorders>
          </w:tcPr>
          <w:p w14:paraId="2A7D5DD1" w14:textId="77777777" w:rsidR="00364C65" w:rsidRDefault="0030321B" w:rsidP="00223E5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Supplement table 6-8</w:t>
            </w:r>
          </w:p>
          <w:p w14:paraId="5967567F" w14:textId="65C92D3E" w:rsidR="0030321B" w:rsidRPr="00406033" w:rsidRDefault="0030321B" w:rsidP="00223E5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Page 9-10</w:t>
            </w:r>
          </w:p>
        </w:tc>
      </w:tr>
      <w:tr w:rsidR="00364C65" w:rsidRPr="00406033" w14:paraId="44A68439" w14:textId="77777777" w:rsidTr="00223E56">
        <w:trPr>
          <w:trHeight w:val="203"/>
          <w:jc w:val="center"/>
        </w:trPr>
        <w:tc>
          <w:tcPr>
            <w:tcW w:w="1657" w:type="dxa"/>
            <w:vMerge/>
            <w:tcBorders>
              <w:left w:val="single" w:sz="5" w:space="0" w:color="000000"/>
              <w:right w:val="single" w:sz="5" w:space="0" w:color="000000"/>
            </w:tcBorders>
          </w:tcPr>
          <w:p w14:paraId="59267BF9" w14:textId="77777777" w:rsidR="00364C65" w:rsidRPr="00406033" w:rsidRDefault="00364C65" w:rsidP="00223E56">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46EDD0B" w14:textId="77777777" w:rsidR="00364C65" w:rsidRPr="00406033" w:rsidRDefault="00364C65" w:rsidP="00223E56">
            <w:pPr>
              <w:pStyle w:val="Default"/>
              <w:spacing w:before="40" w:after="40"/>
              <w:jc w:val="right"/>
              <w:rPr>
                <w:rFonts w:ascii="Times New Roman" w:hAnsi="Times New Roman" w:cs="Times New Roman"/>
                <w:sz w:val="18"/>
                <w:szCs w:val="18"/>
              </w:rPr>
            </w:pPr>
            <w:r w:rsidRPr="00406033">
              <w:rPr>
                <w:rFonts w:ascii="Times New Roman" w:hAnsi="Times New Roman" w:cs="Times New Roman"/>
                <w:sz w:val="18"/>
                <w:szCs w:val="18"/>
              </w:rPr>
              <w:t>20b</w:t>
            </w:r>
          </w:p>
        </w:tc>
        <w:tc>
          <w:tcPr>
            <w:tcW w:w="7248" w:type="dxa"/>
            <w:tcBorders>
              <w:top w:val="single" w:sz="5" w:space="0" w:color="000000"/>
              <w:left w:val="single" w:sz="5" w:space="0" w:color="000000"/>
              <w:bottom w:val="single" w:sz="5" w:space="0" w:color="000000"/>
              <w:right w:val="single" w:sz="5" w:space="0" w:color="000000"/>
            </w:tcBorders>
          </w:tcPr>
          <w:p w14:paraId="1C22C3D1"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140" w:type="dxa"/>
            <w:tcBorders>
              <w:top w:val="single" w:sz="5" w:space="0" w:color="000000"/>
              <w:left w:val="single" w:sz="5" w:space="0" w:color="000000"/>
              <w:bottom w:val="single" w:sz="5" w:space="0" w:color="000000"/>
              <w:right w:val="single" w:sz="5" w:space="0" w:color="000000"/>
            </w:tcBorders>
          </w:tcPr>
          <w:p w14:paraId="288DB13A" w14:textId="77777777" w:rsidR="00364C65" w:rsidRDefault="0030321B" w:rsidP="00223E5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Page 10-14</w:t>
            </w:r>
          </w:p>
          <w:p w14:paraId="7CBEF413" w14:textId="7704711E" w:rsidR="0030321B" w:rsidRPr="00406033" w:rsidRDefault="0030321B" w:rsidP="00223E5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Table 2</w:t>
            </w:r>
          </w:p>
        </w:tc>
      </w:tr>
      <w:tr w:rsidR="00364C65" w:rsidRPr="00406033" w14:paraId="70AD4EFB" w14:textId="77777777" w:rsidTr="00223E56">
        <w:trPr>
          <w:trHeight w:val="48"/>
          <w:jc w:val="center"/>
        </w:trPr>
        <w:tc>
          <w:tcPr>
            <w:tcW w:w="1657" w:type="dxa"/>
            <w:vMerge/>
            <w:tcBorders>
              <w:left w:val="single" w:sz="5" w:space="0" w:color="000000"/>
              <w:right w:val="single" w:sz="5" w:space="0" w:color="000000"/>
            </w:tcBorders>
          </w:tcPr>
          <w:p w14:paraId="432B5A32" w14:textId="77777777" w:rsidR="00364C65" w:rsidRPr="00406033" w:rsidRDefault="00364C65" w:rsidP="00223E56">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13001AF" w14:textId="77777777" w:rsidR="00364C65" w:rsidRPr="00406033" w:rsidRDefault="00364C65" w:rsidP="00223E56">
            <w:pPr>
              <w:pStyle w:val="Default"/>
              <w:spacing w:before="40" w:after="40"/>
              <w:jc w:val="right"/>
              <w:rPr>
                <w:rFonts w:ascii="Times New Roman" w:hAnsi="Times New Roman" w:cs="Times New Roman"/>
                <w:sz w:val="18"/>
                <w:szCs w:val="18"/>
              </w:rPr>
            </w:pPr>
            <w:r w:rsidRPr="00406033">
              <w:rPr>
                <w:rFonts w:ascii="Times New Roman" w:hAnsi="Times New Roman" w:cs="Times New Roman"/>
                <w:sz w:val="18"/>
                <w:szCs w:val="18"/>
              </w:rPr>
              <w:t>20c</w:t>
            </w:r>
          </w:p>
        </w:tc>
        <w:tc>
          <w:tcPr>
            <w:tcW w:w="7248" w:type="dxa"/>
            <w:tcBorders>
              <w:top w:val="single" w:sz="5" w:space="0" w:color="000000"/>
              <w:left w:val="single" w:sz="5" w:space="0" w:color="000000"/>
              <w:bottom w:val="single" w:sz="5" w:space="0" w:color="000000"/>
              <w:right w:val="single" w:sz="5" w:space="0" w:color="000000"/>
            </w:tcBorders>
          </w:tcPr>
          <w:p w14:paraId="59BD8864"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Present results of all investigations of possible causes of heterogeneity among study results.</w:t>
            </w:r>
          </w:p>
        </w:tc>
        <w:tc>
          <w:tcPr>
            <w:tcW w:w="1140" w:type="dxa"/>
            <w:tcBorders>
              <w:top w:val="single" w:sz="5" w:space="0" w:color="000000"/>
              <w:left w:val="single" w:sz="5" w:space="0" w:color="000000"/>
              <w:bottom w:val="single" w:sz="5" w:space="0" w:color="000000"/>
              <w:right w:val="single" w:sz="5" w:space="0" w:color="000000"/>
            </w:tcBorders>
          </w:tcPr>
          <w:p w14:paraId="57263ADF" w14:textId="129FAE14" w:rsidR="00364C65" w:rsidRPr="00406033" w:rsidRDefault="0030321B" w:rsidP="00223E5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NA</w:t>
            </w:r>
          </w:p>
        </w:tc>
      </w:tr>
      <w:tr w:rsidR="00364C65" w:rsidRPr="00406033" w14:paraId="2D2453DA" w14:textId="77777777" w:rsidTr="00223E56">
        <w:trPr>
          <w:trHeight w:val="48"/>
          <w:jc w:val="center"/>
        </w:trPr>
        <w:tc>
          <w:tcPr>
            <w:tcW w:w="1657" w:type="dxa"/>
            <w:vMerge/>
            <w:tcBorders>
              <w:left w:val="single" w:sz="5" w:space="0" w:color="000000"/>
              <w:bottom w:val="single" w:sz="5" w:space="0" w:color="000000"/>
              <w:right w:val="single" w:sz="5" w:space="0" w:color="000000"/>
            </w:tcBorders>
          </w:tcPr>
          <w:p w14:paraId="43BBE872" w14:textId="77777777" w:rsidR="00364C65" w:rsidRPr="00406033" w:rsidRDefault="00364C65" w:rsidP="00223E56">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AD14199" w14:textId="77777777" w:rsidR="00364C65" w:rsidRPr="00406033" w:rsidRDefault="00364C65" w:rsidP="00223E56">
            <w:pPr>
              <w:pStyle w:val="Default"/>
              <w:spacing w:before="40" w:after="40"/>
              <w:jc w:val="right"/>
              <w:rPr>
                <w:rFonts w:ascii="Times New Roman" w:hAnsi="Times New Roman" w:cs="Times New Roman"/>
                <w:sz w:val="18"/>
                <w:szCs w:val="18"/>
              </w:rPr>
            </w:pPr>
            <w:r w:rsidRPr="00406033">
              <w:rPr>
                <w:rFonts w:ascii="Times New Roman" w:hAnsi="Times New Roman" w:cs="Times New Roman"/>
                <w:sz w:val="18"/>
                <w:szCs w:val="18"/>
              </w:rPr>
              <w:t>20d</w:t>
            </w:r>
          </w:p>
        </w:tc>
        <w:tc>
          <w:tcPr>
            <w:tcW w:w="7248" w:type="dxa"/>
            <w:tcBorders>
              <w:top w:val="single" w:sz="5" w:space="0" w:color="000000"/>
              <w:left w:val="single" w:sz="5" w:space="0" w:color="000000"/>
              <w:bottom w:val="single" w:sz="5" w:space="0" w:color="000000"/>
              <w:right w:val="single" w:sz="5" w:space="0" w:color="000000"/>
            </w:tcBorders>
          </w:tcPr>
          <w:p w14:paraId="68CE3870"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Present results of all sensitivity analyses conducted to assess the robustness of the synthesized results.</w:t>
            </w:r>
          </w:p>
        </w:tc>
        <w:tc>
          <w:tcPr>
            <w:tcW w:w="1140" w:type="dxa"/>
            <w:tcBorders>
              <w:top w:val="single" w:sz="5" w:space="0" w:color="000000"/>
              <w:left w:val="single" w:sz="5" w:space="0" w:color="000000"/>
              <w:bottom w:val="single" w:sz="5" w:space="0" w:color="000000"/>
              <w:right w:val="single" w:sz="5" w:space="0" w:color="000000"/>
            </w:tcBorders>
          </w:tcPr>
          <w:p w14:paraId="4A5800D2" w14:textId="17F68B85" w:rsidR="00364C65" w:rsidRPr="00406033" w:rsidRDefault="0030321B" w:rsidP="00223E5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NA</w:t>
            </w:r>
          </w:p>
        </w:tc>
      </w:tr>
      <w:tr w:rsidR="00364C65" w:rsidRPr="00406033" w14:paraId="08ED1C47" w14:textId="77777777" w:rsidTr="00223E56">
        <w:trPr>
          <w:trHeight w:val="48"/>
          <w:jc w:val="center"/>
        </w:trPr>
        <w:tc>
          <w:tcPr>
            <w:tcW w:w="1657" w:type="dxa"/>
            <w:tcBorders>
              <w:top w:val="single" w:sz="5" w:space="0" w:color="000000"/>
              <w:left w:val="single" w:sz="5" w:space="0" w:color="000000"/>
              <w:bottom w:val="single" w:sz="5" w:space="0" w:color="000000"/>
              <w:right w:val="single" w:sz="5" w:space="0" w:color="000000"/>
            </w:tcBorders>
          </w:tcPr>
          <w:p w14:paraId="65B1AAAF"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6BEDE944" w14:textId="77777777" w:rsidR="00364C65" w:rsidRPr="00406033" w:rsidRDefault="00364C65" w:rsidP="00223E56">
            <w:pPr>
              <w:pStyle w:val="Default"/>
              <w:spacing w:before="40" w:after="40"/>
              <w:jc w:val="right"/>
              <w:rPr>
                <w:rFonts w:ascii="Times New Roman" w:hAnsi="Times New Roman" w:cs="Times New Roman"/>
                <w:sz w:val="18"/>
                <w:szCs w:val="18"/>
              </w:rPr>
            </w:pPr>
            <w:r w:rsidRPr="00406033">
              <w:rPr>
                <w:rFonts w:ascii="Times New Roman" w:hAnsi="Times New Roman" w:cs="Times New Roman"/>
                <w:sz w:val="18"/>
                <w:szCs w:val="18"/>
              </w:rPr>
              <w:t>21</w:t>
            </w:r>
          </w:p>
        </w:tc>
        <w:tc>
          <w:tcPr>
            <w:tcW w:w="7248" w:type="dxa"/>
            <w:tcBorders>
              <w:top w:val="single" w:sz="5" w:space="0" w:color="000000"/>
              <w:left w:val="single" w:sz="5" w:space="0" w:color="000000"/>
              <w:bottom w:val="single" w:sz="5" w:space="0" w:color="000000"/>
              <w:right w:val="single" w:sz="5" w:space="0" w:color="000000"/>
            </w:tcBorders>
          </w:tcPr>
          <w:p w14:paraId="211AD2E9"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Present assessments of risk of bias due to missing results (arising from reporting biases) for each synthesis assessed.</w:t>
            </w:r>
          </w:p>
        </w:tc>
        <w:tc>
          <w:tcPr>
            <w:tcW w:w="1140" w:type="dxa"/>
            <w:tcBorders>
              <w:top w:val="single" w:sz="5" w:space="0" w:color="000000"/>
              <w:left w:val="single" w:sz="5" w:space="0" w:color="000000"/>
              <w:bottom w:val="single" w:sz="5" w:space="0" w:color="000000"/>
              <w:right w:val="single" w:sz="5" w:space="0" w:color="000000"/>
            </w:tcBorders>
          </w:tcPr>
          <w:p w14:paraId="1D19FC34" w14:textId="41BC12A9" w:rsidR="00364C65" w:rsidRPr="00406033" w:rsidRDefault="0030321B" w:rsidP="00223E5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NA</w:t>
            </w:r>
          </w:p>
        </w:tc>
      </w:tr>
      <w:tr w:rsidR="00364C65" w:rsidRPr="00406033" w14:paraId="35C80CAB" w14:textId="77777777" w:rsidTr="00223E56">
        <w:trPr>
          <w:trHeight w:val="48"/>
          <w:jc w:val="center"/>
        </w:trPr>
        <w:tc>
          <w:tcPr>
            <w:tcW w:w="1657" w:type="dxa"/>
            <w:tcBorders>
              <w:top w:val="single" w:sz="5" w:space="0" w:color="000000"/>
              <w:left w:val="single" w:sz="5" w:space="0" w:color="000000"/>
              <w:bottom w:val="single" w:sz="5" w:space="0" w:color="000000"/>
              <w:right w:val="single" w:sz="5" w:space="0" w:color="000000"/>
            </w:tcBorders>
          </w:tcPr>
          <w:p w14:paraId="0B628AEA"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5E77F28C" w14:textId="77777777" w:rsidR="00364C65" w:rsidRPr="00406033" w:rsidRDefault="00364C65" w:rsidP="00223E56">
            <w:pPr>
              <w:pStyle w:val="Default"/>
              <w:spacing w:before="40" w:after="40"/>
              <w:jc w:val="right"/>
              <w:rPr>
                <w:rFonts w:ascii="Times New Roman" w:hAnsi="Times New Roman" w:cs="Times New Roman"/>
                <w:sz w:val="18"/>
                <w:szCs w:val="18"/>
              </w:rPr>
            </w:pPr>
            <w:r w:rsidRPr="00406033">
              <w:rPr>
                <w:rFonts w:ascii="Times New Roman" w:hAnsi="Times New Roman" w:cs="Times New Roman"/>
                <w:sz w:val="18"/>
                <w:szCs w:val="18"/>
              </w:rPr>
              <w:t>22</w:t>
            </w:r>
          </w:p>
        </w:tc>
        <w:tc>
          <w:tcPr>
            <w:tcW w:w="7248" w:type="dxa"/>
            <w:tcBorders>
              <w:top w:val="single" w:sz="5" w:space="0" w:color="000000"/>
              <w:left w:val="single" w:sz="5" w:space="0" w:color="000000"/>
              <w:bottom w:val="single" w:sz="5" w:space="0" w:color="000000"/>
              <w:right w:val="single" w:sz="5" w:space="0" w:color="000000"/>
            </w:tcBorders>
          </w:tcPr>
          <w:p w14:paraId="3AA0BFE6"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Present assessments of certainty (or confidence) in the body of evidence for each outcome assessed.</w:t>
            </w:r>
          </w:p>
        </w:tc>
        <w:tc>
          <w:tcPr>
            <w:tcW w:w="1140" w:type="dxa"/>
            <w:tcBorders>
              <w:top w:val="single" w:sz="5" w:space="0" w:color="000000"/>
              <w:left w:val="single" w:sz="5" w:space="0" w:color="000000"/>
              <w:bottom w:val="single" w:sz="5" w:space="0" w:color="000000"/>
              <w:right w:val="single" w:sz="5" w:space="0" w:color="000000"/>
            </w:tcBorders>
          </w:tcPr>
          <w:p w14:paraId="577B66E3" w14:textId="77777777" w:rsidR="0030321B" w:rsidRDefault="0030321B" w:rsidP="0030321B">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Page 10-14</w:t>
            </w:r>
          </w:p>
          <w:p w14:paraId="43EEA8A1" w14:textId="3426F2C0" w:rsidR="00364C65" w:rsidRPr="00406033" w:rsidRDefault="0030321B" w:rsidP="0030321B">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Table 2</w:t>
            </w:r>
          </w:p>
        </w:tc>
      </w:tr>
      <w:tr w:rsidR="00364C65" w:rsidRPr="00406033" w14:paraId="47462339" w14:textId="77777777" w:rsidTr="00223E56">
        <w:trPr>
          <w:trHeight w:val="24"/>
          <w:jc w:val="center"/>
        </w:trPr>
        <w:tc>
          <w:tcPr>
            <w:tcW w:w="949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569AD057" w14:textId="77777777" w:rsidR="00364C65" w:rsidRPr="00406033" w:rsidRDefault="00364C65" w:rsidP="00223E56">
            <w:pPr>
              <w:pStyle w:val="Default"/>
              <w:rPr>
                <w:rFonts w:ascii="Times New Roman" w:hAnsi="Times New Roman" w:cs="Times New Roman"/>
                <w:sz w:val="18"/>
                <w:szCs w:val="18"/>
              </w:rPr>
            </w:pPr>
            <w:r w:rsidRPr="00406033">
              <w:rPr>
                <w:rFonts w:ascii="Times New Roman" w:hAnsi="Times New Roman" w:cs="Times New Roman"/>
                <w:b/>
                <w:bCs/>
                <w:sz w:val="18"/>
                <w:szCs w:val="18"/>
              </w:rPr>
              <w:t xml:space="preserve">DISCUSSION </w:t>
            </w:r>
          </w:p>
        </w:tc>
        <w:tc>
          <w:tcPr>
            <w:tcW w:w="1140" w:type="dxa"/>
            <w:tcBorders>
              <w:top w:val="double" w:sz="5" w:space="0" w:color="000000"/>
              <w:left w:val="single" w:sz="5" w:space="0" w:color="000000"/>
              <w:bottom w:val="single" w:sz="5" w:space="0" w:color="000000"/>
              <w:right w:val="single" w:sz="5" w:space="0" w:color="000000"/>
            </w:tcBorders>
            <w:shd w:val="clear" w:color="auto" w:fill="FFFFCC"/>
          </w:tcPr>
          <w:p w14:paraId="0C3779BE" w14:textId="77777777" w:rsidR="00364C65" w:rsidRPr="00406033" w:rsidRDefault="00364C65" w:rsidP="00223E56">
            <w:pPr>
              <w:pStyle w:val="Default"/>
              <w:jc w:val="center"/>
              <w:rPr>
                <w:rFonts w:ascii="Times New Roman" w:hAnsi="Times New Roman" w:cs="Times New Roman"/>
                <w:color w:val="auto"/>
                <w:sz w:val="18"/>
                <w:szCs w:val="18"/>
              </w:rPr>
            </w:pPr>
          </w:p>
        </w:tc>
      </w:tr>
      <w:tr w:rsidR="00364C65" w:rsidRPr="00406033" w14:paraId="2015DB4D" w14:textId="77777777" w:rsidTr="00223E56">
        <w:trPr>
          <w:trHeight w:val="48"/>
          <w:jc w:val="center"/>
        </w:trPr>
        <w:tc>
          <w:tcPr>
            <w:tcW w:w="1657" w:type="dxa"/>
            <w:vMerge w:val="restart"/>
            <w:tcBorders>
              <w:top w:val="single" w:sz="5" w:space="0" w:color="000000"/>
              <w:left w:val="single" w:sz="5" w:space="0" w:color="000000"/>
              <w:right w:val="single" w:sz="5" w:space="0" w:color="000000"/>
            </w:tcBorders>
          </w:tcPr>
          <w:p w14:paraId="68C21A32"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7973DDDB" w14:textId="77777777" w:rsidR="00364C65" w:rsidRPr="00406033" w:rsidRDefault="00364C65" w:rsidP="00223E56">
            <w:pPr>
              <w:pStyle w:val="Default"/>
              <w:spacing w:before="40" w:after="40"/>
              <w:jc w:val="right"/>
              <w:rPr>
                <w:rFonts w:ascii="Times New Roman" w:hAnsi="Times New Roman" w:cs="Times New Roman"/>
                <w:sz w:val="18"/>
                <w:szCs w:val="18"/>
              </w:rPr>
            </w:pPr>
            <w:r w:rsidRPr="00406033">
              <w:rPr>
                <w:rFonts w:ascii="Times New Roman" w:hAnsi="Times New Roman" w:cs="Times New Roman"/>
                <w:sz w:val="18"/>
                <w:szCs w:val="18"/>
              </w:rPr>
              <w:t>23a</w:t>
            </w:r>
          </w:p>
        </w:tc>
        <w:tc>
          <w:tcPr>
            <w:tcW w:w="7248" w:type="dxa"/>
            <w:tcBorders>
              <w:top w:val="single" w:sz="5" w:space="0" w:color="000000"/>
              <w:left w:val="single" w:sz="5" w:space="0" w:color="000000"/>
              <w:bottom w:val="single" w:sz="5" w:space="0" w:color="000000"/>
              <w:right w:val="single" w:sz="5" w:space="0" w:color="000000"/>
            </w:tcBorders>
          </w:tcPr>
          <w:p w14:paraId="6D1317C3"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Provide a general interpretation of the results in the context of other evidence.</w:t>
            </w:r>
          </w:p>
        </w:tc>
        <w:tc>
          <w:tcPr>
            <w:tcW w:w="1140" w:type="dxa"/>
            <w:tcBorders>
              <w:top w:val="single" w:sz="5" w:space="0" w:color="000000"/>
              <w:left w:val="single" w:sz="5" w:space="0" w:color="000000"/>
              <w:bottom w:val="single" w:sz="5" w:space="0" w:color="000000"/>
              <w:right w:val="single" w:sz="5" w:space="0" w:color="000000"/>
            </w:tcBorders>
          </w:tcPr>
          <w:p w14:paraId="108381C3" w14:textId="10B16EAF" w:rsidR="00364C65" w:rsidRPr="00406033" w:rsidRDefault="0030321B" w:rsidP="00223E5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Page 14-16</w:t>
            </w:r>
          </w:p>
        </w:tc>
      </w:tr>
      <w:tr w:rsidR="00364C65" w:rsidRPr="00406033" w14:paraId="590356C0" w14:textId="77777777" w:rsidTr="00223E56">
        <w:trPr>
          <w:trHeight w:val="48"/>
          <w:jc w:val="center"/>
        </w:trPr>
        <w:tc>
          <w:tcPr>
            <w:tcW w:w="1657" w:type="dxa"/>
            <w:vMerge/>
            <w:tcBorders>
              <w:left w:val="single" w:sz="5" w:space="0" w:color="000000"/>
              <w:right w:val="single" w:sz="5" w:space="0" w:color="000000"/>
            </w:tcBorders>
          </w:tcPr>
          <w:p w14:paraId="018ADB10" w14:textId="77777777" w:rsidR="00364C65" w:rsidRPr="00406033" w:rsidRDefault="00364C65" w:rsidP="00223E56">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702B03B" w14:textId="77777777" w:rsidR="00364C65" w:rsidRPr="00406033" w:rsidRDefault="00364C65" w:rsidP="00223E56">
            <w:pPr>
              <w:pStyle w:val="Default"/>
              <w:spacing w:before="40" w:after="40"/>
              <w:jc w:val="right"/>
              <w:rPr>
                <w:rFonts w:ascii="Times New Roman" w:hAnsi="Times New Roman" w:cs="Times New Roman"/>
                <w:sz w:val="18"/>
                <w:szCs w:val="18"/>
              </w:rPr>
            </w:pPr>
            <w:r w:rsidRPr="00406033">
              <w:rPr>
                <w:rFonts w:ascii="Times New Roman" w:hAnsi="Times New Roman" w:cs="Times New Roman"/>
                <w:sz w:val="18"/>
                <w:szCs w:val="18"/>
              </w:rPr>
              <w:t>23b</w:t>
            </w:r>
          </w:p>
        </w:tc>
        <w:tc>
          <w:tcPr>
            <w:tcW w:w="7248" w:type="dxa"/>
            <w:tcBorders>
              <w:top w:val="single" w:sz="5" w:space="0" w:color="000000"/>
              <w:left w:val="single" w:sz="5" w:space="0" w:color="000000"/>
              <w:bottom w:val="single" w:sz="5" w:space="0" w:color="000000"/>
              <w:right w:val="single" w:sz="5" w:space="0" w:color="000000"/>
            </w:tcBorders>
          </w:tcPr>
          <w:p w14:paraId="4D2FA2D9"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Discuss any limitations of the evidence included in the review.</w:t>
            </w:r>
          </w:p>
        </w:tc>
        <w:tc>
          <w:tcPr>
            <w:tcW w:w="1140" w:type="dxa"/>
            <w:tcBorders>
              <w:top w:val="single" w:sz="5" w:space="0" w:color="000000"/>
              <w:left w:val="single" w:sz="5" w:space="0" w:color="000000"/>
              <w:bottom w:val="single" w:sz="5" w:space="0" w:color="000000"/>
              <w:right w:val="single" w:sz="5" w:space="0" w:color="000000"/>
            </w:tcBorders>
          </w:tcPr>
          <w:p w14:paraId="378734DA" w14:textId="52CD4A84" w:rsidR="00364C65" w:rsidRPr="00406033" w:rsidRDefault="0030321B" w:rsidP="00223E5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Page 14-16</w:t>
            </w:r>
          </w:p>
        </w:tc>
      </w:tr>
      <w:tr w:rsidR="00364C65" w:rsidRPr="00406033" w14:paraId="6093730E" w14:textId="77777777" w:rsidTr="00223E56">
        <w:trPr>
          <w:trHeight w:val="48"/>
          <w:jc w:val="center"/>
        </w:trPr>
        <w:tc>
          <w:tcPr>
            <w:tcW w:w="1657" w:type="dxa"/>
            <w:vMerge/>
            <w:tcBorders>
              <w:left w:val="single" w:sz="5" w:space="0" w:color="000000"/>
              <w:right w:val="single" w:sz="5" w:space="0" w:color="000000"/>
            </w:tcBorders>
          </w:tcPr>
          <w:p w14:paraId="7023EF7F" w14:textId="77777777" w:rsidR="00364C65" w:rsidRPr="00406033" w:rsidRDefault="00364C65" w:rsidP="00223E56">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2DA7BC9F" w14:textId="77777777" w:rsidR="00364C65" w:rsidRPr="00406033" w:rsidRDefault="00364C65" w:rsidP="00223E56">
            <w:pPr>
              <w:pStyle w:val="Default"/>
              <w:spacing w:before="40" w:after="40"/>
              <w:jc w:val="right"/>
              <w:rPr>
                <w:rFonts w:ascii="Times New Roman" w:hAnsi="Times New Roman" w:cs="Times New Roman"/>
                <w:sz w:val="18"/>
                <w:szCs w:val="18"/>
              </w:rPr>
            </w:pPr>
            <w:r w:rsidRPr="00406033">
              <w:rPr>
                <w:rFonts w:ascii="Times New Roman" w:hAnsi="Times New Roman" w:cs="Times New Roman"/>
                <w:sz w:val="18"/>
                <w:szCs w:val="18"/>
              </w:rPr>
              <w:t>23c</w:t>
            </w:r>
          </w:p>
        </w:tc>
        <w:tc>
          <w:tcPr>
            <w:tcW w:w="7248" w:type="dxa"/>
            <w:tcBorders>
              <w:top w:val="single" w:sz="5" w:space="0" w:color="000000"/>
              <w:left w:val="single" w:sz="5" w:space="0" w:color="000000"/>
              <w:bottom w:val="single" w:sz="5" w:space="0" w:color="000000"/>
              <w:right w:val="single" w:sz="5" w:space="0" w:color="000000"/>
            </w:tcBorders>
          </w:tcPr>
          <w:p w14:paraId="16FBDF61"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Discuss any limitations of the review processes used.</w:t>
            </w:r>
          </w:p>
        </w:tc>
        <w:tc>
          <w:tcPr>
            <w:tcW w:w="1140" w:type="dxa"/>
            <w:tcBorders>
              <w:top w:val="single" w:sz="5" w:space="0" w:color="000000"/>
              <w:left w:val="single" w:sz="5" w:space="0" w:color="000000"/>
              <w:bottom w:val="single" w:sz="5" w:space="0" w:color="000000"/>
              <w:right w:val="single" w:sz="5" w:space="0" w:color="000000"/>
            </w:tcBorders>
          </w:tcPr>
          <w:p w14:paraId="57B547E1" w14:textId="28B09C12" w:rsidR="00364C65" w:rsidRPr="00406033" w:rsidRDefault="0030321B" w:rsidP="00223E5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Page 14-16</w:t>
            </w:r>
          </w:p>
        </w:tc>
      </w:tr>
      <w:tr w:rsidR="00364C65" w:rsidRPr="00406033" w14:paraId="5633C207" w14:textId="77777777" w:rsidTr="00223E56">
        <w:trPr>
          <w:trHeight w:val="48"/>
          <w:jc w:val="center"/>
        </w:trPr>
        <w:tc>
          <w:tcPr>
            <w:tcW w:w="1657" w:type="dxa"/>
            <w:vMerge/>
            <w:tcBorders>
              <w:left w:val="single" w:sz="5" w:space="0" w:color="000000"/>
              <w:bottom w:val="single" w:sz="4" w:space="0" w:color="auto"/>
              <w:right w:val="single" w:sz="5" w:space="0" w:color="000000"/>
            </w:tcBorders>
          </w:tcPr>
          <w:p w14:paraId="13B1C4A5" w14:textId="77777777" w:rsidR="00364C65" w:rsidRPr="00406033" w:rsidRDefault="00364C65" w:rsidP="00223E56">
            <w:pPr>
              <w:pStyle w:val="Default"/>
              <w:spacing w:before="40" w:after="40"/>
              <w:rPr>
                <w:rFonts w:ascii="Times New Roman" w:hAnsi="Times New Roman" w:cs="Times New Roman"/>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25D19847" w14:textId="77777777" w:rsidR="00364C65" w:rsidRPr="00406033" w:rsidRDefault="00364C65" w:rsidP="00223E56">
            <w:pPr>
              <w:pStyle w:val="Default"/>
              <w:spacing w:before="40" w:after="40"/>
              <w:jc w:val="right"/>
              <w:rPr>
                <w:rFonts w:ascii="Times New Roman" w:hAnsi="Times New Roman" w:cs="Times New Roman"/>
                <w:sz w:val="18"/>
                <w:szCs w:val="18"/>
              </w:rPr>
            </w:pPr>
            <w:r w:rsidRPr="00406033">
              <w:rPr>
                <w:rFonts w:ascii="Times New Roman" w:hAnsi="Times New Roman" w:cs="Times New Roman"/>
                <w:sz w:val="18"/>
                <w:szCs w:val="18"/>
              </w:rPr>
              <w:t>23d</w:t>
            </w:r>
          </w:p>
        </w:tc>
        <w:tc>
          <w:tcPr>
            <w:tcW w:w="7248" w:type="dxa"/>
            <w:tcBorders>
              <w:top w:val="single" w:sz="5" w:space="0" w:color="000000"/>
              <w:left w:val="single" w:sz="4" w:space="0" w:color="auto"/>
              <w:bottom w:val="double" w:sz="5" w:space="0" w:color="000000"/>
              <w:right w:val="single" w:sz="5" w:space="0" w:color="000000"/>
            </w:tcBorders>
          </w:tcPr>
          <w:p w14:paraId="74CBA751"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Discuss implications of the results for practice, policy, and future research.</w:t>
            </w:r>
          </w:p>
        </w:tc>
        <w:tc>
          <w:tcPr>
            <w:tcW w:w="1140" w:type="dxa"/>
            <w:tcBorders>
              <w:top w:val="single" w:sz="5" w:space="0" w:color="000000"/>
              <w:left w:val="single" w:sz="5" w:space="0" w:color="000000"/>
              <w:bottom w:val="double" w:sz="5" w:space="0" w:color="000000"/>
              <w:right w:val="single" w:sz="5" w:space="0" w:color="000000"/>
            </w:tcBorders>
          </w:tcPr>
          <w:p w14:paraId="43DED23A" w14:textId="1A602A85" w:rsidR="00364C65" w:rsidRPr="00406033" w:rsidRDefault="0030321B" w:rsidP="00223E5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Page 14-16</w:t>
            </w:r>
          </w:p>
        </w:tc>
      </w:tr>
      <w:tr w:rsidR="00364C65" w:rsidRPr="00406033" w14:paraId="2C72790E" w14:textId="77777777" w:rsidTr="00223E56">
        <w:trPr>
          <w:trHeight w:val="24"/>
          <w:jc w:val="center"/>
        </w:trPr>
        <w:tc>
          <w:tcPr>
            <w:tcW w:w="9492"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AA760E9" w14:textId="77777777" w:rsidR="00364C65" w:rsidRPr="00406033" w:rsidRDefault="00364C65" w:rsidP="00223E56">
            <w:pPr>
              <w:pStyle w:val="Default"/>
              <w:rPr>
                <w:rFonts w:ascii="Times New Roman" w:hAnsi="Times New Roman" w:cs="Times New Roman"/>
                <w:sz w:val="18"/>
                <w:szCs w:val="18"/>
              </w:rPr>
            </w:pPr>
            <w:r w:rsidRPr="00406033">
              <w:rPr>
                <w:rFonts w:ascii="Times New Roman" w:hAnsi="Times New Roman" w:cs="Times New Roman"/>
                <w:b/>
                <w:bCs/>
                <w:sz w:val="18"/>
                <w:szCs w:val="18"/>
              </w:rPr>
              <w:t>OTHER INFORMATION</w:t>
            </w:r>
          </w:p>
        </w:tc>
        <w:tc>
          <w:tcPr>
            <w:tcW w:w="1140" w:type="dxa"/>
            <w:tcBorders>
              <w:top w:val="double" w:sz="5" w:space="0" w:color="000000"/>
              <w:left w:val="single" w:sz="5" w:space="0" w:color="000000"/>
              <w:bottom w:val="single" w:sz="5" w:space="0" w:color="000000"/>
              <w:right w:val="single" w:sz="5" w:space="0" w:color="000000"/>
            </w:tcBorders>
            <w:shd w:val="clear" w:color="auto" w:fill="FFFFCC"/>
          </w:tcPr>
          <w:p w14:paraId="223D805F" w14:textId="77777777" w:rsidR="00364C65" w:rsidRPr="00406033" w:rsidRDefault="00364C65" w:rsidP="00223E56">
            <w:pPr>
              <w:pStyle w:val="Default"/>
              <w:jc w:val="center"/>
              <w:rPr>
                <w:rFonts w:ascii="Times New Roman" w:hAnsi="Times New Roman" w:cs="Times New Roman"/>
                <w:color w:val="auto"/>
                <w:sz w:val="18"/>
                <w:szCs w:val="18"/>
              </w:rPr>
            </w:pPr>
          </w:p>
        </w:tc>
      </w:tr>
      <w:tr w:rsidR="00364C65" w:rsidRPr="00406033" w14:paraId="20D70DE9" w14:textId="77777777" w:rsidTr="00223E56">
        <w:trPr>
          <w:trHeight w:val="48"/>
          <w:jc w:val="center"/>
        </w:trPr>
        <w:tc>
          <w:tcPr>
            <w:tcW w:w="1657" w:type="dxa"/>
            <w:vMerge w:val="restart"/>
            <w:tcBorders>
              <w:top w:val="single" w:sz="5" w:space="0" w:color="000000"/>
              <w:left w:val="single" w:sz="5" w:space="0" w:color="000000"/>
              <w:right w:val="single" w:sz="5" w:space="0" w:color="000000"/>
            </w:tcBorders>
          </w:tcPr>
          <w:p w14:paraId="3E9ADEEF"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5667504A" w14:textId="77777777" w:rsidR="00364C65" w:rsidRPr="00406033" w:rsidRDefault="00364C65" w:rsidP="00223E56">
            <w:pPr>
              <w:pStyle w:val="Default"/>
              <w:spacing w:before="40" w:after="40"/>
              <w:jc w:val="right"/>
              <w:rPr>
                <w:rFonts w:ascii="Times New Roman" w:hAnsi="Times New Roman" w:cs="Times New Roman"/>
                <w:sz w:val="18"/>
                <w:szCs w:val="18"/>
              </w:rPr>
            </w:pPr>
            <w:r w:rsidRPr="00406033">
              <w:rPr>
                <w:rFonts w:ascii="Times New Roman" w:hAnsi="Times New Roman" w:cs="Times New Roman"/>
                <w:sz w:val="18"/>
                <w:szCs w:val="18"/>
              </w:rPr>
              <w:t>24a</w:t>
            </w:r>
          </w:p>
        </w:tc>
        <w:tc>
          <w:tcPr>
            <w:tcW w:w="7248" w:type="dxa"/>
            <w:tcBorders>
              <w:top w:val="single" w:sz="5" w:space="0" w:color="000000"/>
              <w:left w:val="single" w:sz="5" w:space="0" w:color="000000"/>
              <w:bottom w:val="single" w:sz="5" w:space="0" w:color="000000"/>
              <w:right w:val="single" w:sz="5" w:space="0" w:color="000000"/>
            </w:tcBorders>
          </w:tcPr>
          <w:p w14:paraId="547FFC13"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Provide registration information for the review, including register name and registration number, or state that the review was not registered.</w:t>
            </w:r>
          </w:p>
        </w:tc>
        <w:tc>
          <w:tcPr>
            <w:tcW w:w="1140" w:type="dxa"/>
            <w:tcBorders>
              <w:top w:val="single" w:sz="5" w:space="0" w:color="000000"/>
              <w:left w:val="single" w:sz="5" w:space="0" w:color="000000"/>
              <w:bottom w:val="single" w:sz="5" w:space="0" w:color="000000"/>
              <w:right w:val="single" w:sz="5" w:space="0" w:color="000000"/>
            </w:tcBorders>
          </w:tcPr>
          <w:p w14:paraId="4CF652E6" w14:textId="51ED54ED" w:rsidR="00364C65" w:rsidRPr="00406033" w:rsidRDefault="0030321B" w:rsidP="00223E5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Page 3</w:t>
            </w:r>
          </w:p>
        </w:tc>
      </w:tr>
      <w:tr w:rsidR="00364C65" w:rsidRPr="00406033" w14:paraId="06A3DC3E" w14:textId="77777777" w:rsidTr="00223E56">
        <w:trPr>
          <w:trHeight w:val="57"/>
          <w:jc w:val="center"/>
        </w:trPr>
        <w:tc>
          <w:tcPr>
            <w:tcW w:w="1657" w:type="dxa"/>
            <w:vMerge/>
            <w:tcBorders>
              <w:left w:val="single" w:sz="5" w:space="0" w:color="000000"/>
              <w:right w:val="single" w:sz="5" w:space="0" w:color="000000"/>
            </w:tcBorders>
          </w:tcPr>
          <w:p w14:paraId="753D5AA4" w14:textId="77777777" w:rsidR="00364C65" w:rsidRPr="00406033" w:rsidRDefault="00364C65" w:rsidP="00223E56">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4DCB2BDB" w14:textId="77777777" w:rsidR="00364C65" w:rsidRPr="00406033" w:rsidRDefault="00364C65" w:rsidP="00223E56">
            <w:pPr>
              <w:pStyle w:val="Default"/>
              <w:spacing w:before="40" w:after="40"/>
              <w:jc w:val="right"/>
              <w:rPr>
                <w:rFonts w:ascii="Times New Roman" w:hAnsi="Times New Roman" w:cs="Times New Roman"/>
                <w:sz w:val="18"/>
                <w:szCs w:val="18"/>
              </w:rPr>
            </w:pPr>
            <w:r w:rsidRPr="00406033">
              <w:rPr>
                <w:rFonts w:ascii="Times New Roman" w:hAnsi="Times New Roman" w:cs="Times New Roman"/>
                <w:sz w:val="18"/>
                <w:szCs w:val="18"/>
              </w:rPr>
              <w:t>24b</w:t>
            </w:r>
          </w:p>
        </w:tc>
        <w:tc>
          <w:tcPr>
            <w:tcW w:w="7248" w:type="dxa"/>
            <w:tcBorders>
              <w:top w:val="single" w:sz="5" w:space="0" w:color="000000"/>
              <w:left w:val="single" w:sz="5" w:space="0" w:color="000000"/>
              <w:bottom w:val="single" w:sz="5" w:space="0" w:color="000000"/>
              <w:right w:val="single" w:sz="5" w:space="0" w:color="000000"/>
            </w:tcBorders>
          </w:tcPr>
          <w:p w14:paraId="065E4827"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Indicate where the review protocol can be accessed, or state that a protocol was not prepared.</w:t>
            </w:r>
          </w:p>
        </w:tc>
        <w:tc>
          <w:tcPr>
            <w:tcW w:w="1140" w:type="dxa"/>
            <w:tcBorders>
              <w:top w:val="single" w:sz="5" w:space="0" w:color="000000"/>
              <w:left w:val="single" w:sz="5" w:space="0" w:color="000000"/>
              <w:bottom w:val="single" w:sz="5" w:space="0" w:color="000000"/>
              <w:right w:val="single" w:sz="5" w:space="0" w:color="000000"/>
            </w:tcBorders>
          </w:tcPr>
          <w:p w14:paraId="6A02C09B" w14:textId="73315140" w:rsidR="00364C65" w:rsidRPr="00406033" w:rsidRDefault="0030321B" w:rsidP="00223E5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Page 3</w:t>
            </w:r>
          </w:p>
        </w:tc>
      </w:tr>
      <w:tr w:rsidR="00364C65" w:rsidRPr="00406033" w14:paraId="35CB7E28" w14:textId="77777777" w:rsidTr="00223E56">
        <w:trPr>
          <w:trHeight w:val="48"/>
          <w:jc w:val="center"/>
        </w:trPr>
        <w:tc>
          <w:tcPr>
            <w:tcW w:w="1657" w:type="dxa"/>
            <w:vMerge/>
            <w:tcBorders>
              <w:left w:val="single" w:sz="5" w:space="0" w:color="000000"/>
              <w:bottom w:val="single" w:sz="5" w:space="0" w:color="000000"/>
              <w:right w:val="single" w:sz="5" w:space="0" w:color="000000"/>
            </w:tcBorders>
          </w:tcPr>
          <w:p w14:paraId="5744F982" w14:textId="77777777" w:rsidR="00364C65" w:rsidRPr="00406033" w:rsidRDefault="00364C65" w:rsidP="00223E56">
            <w:pPr>
              <w:pStyle w:val="Default"/>
              <w:spacing w:before="40" w:after="40"/>
              <w:rPr>
                <w:rFonts w:ascii="Times New Roman" w:hAnsi="Times New Roman" w:cs="Times New Roman"/>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C24D8E8" w14:textId="77777777" w:rsidR="00364C65" w:rsidRPr="00406033" w:rsidRDefault="00364C65" w:rsidP="00223E56">
            <w:pPr>
              <w:pStyle w:val="Default"/>
              <w:spacing w:before="40" w:after="40"/>
              <w:jc w:val="right"/>
              <w:rPr>
                <w:rFonts w:ascii="Times New Roman" w:hAnsi="Times New Roman" w:cs="Times New Roman"/>
                <w:sz w:val="18"/>
                <w:szCs w:val="18"/>
              </w:rPr>
            </w:pPr>
            <w:r w:rsidRPr="00406033">
              <w:rPr>
                <w:rFonts w:ascii="Times New Roman" w:hAnsi="Times New Roman" w:cs="Times New Roman"/>
                <w:sz w:val="18"/>
                <w:szCs w:val="18"/>
              </w:rPr>
              <w:t>24c</w:t>
            </w:r>
          </w:p>
        </w:tc>
        <w:tc>
          <w:tcPr>
            <w:tcW w:w="7248" w:type="dxa"/>
            <w:tcBorders>
              <w:top w:val="single" w:sz="5" w:space="0" w:color="000000"/>
              <w:left w:val="single" w:sz="5" w:space="0" w:color="000000"/>
              <w:bottom w:val="single" w:sz="5" w:space="0" w:color="000000"/>
              <w:right w:val="single" w:sz="5" w:space="0" w:color="000000"/>
            </w:tcBorders>
          </w:tcPr>
          <w:p w14:paraId="7CA1E63D"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Describe and explain any amendments to information provided at registration or in the protocol.</w:t>
            </w:r>
          </w:p>
        </w:tc>
        <w:tc>
          <w:tcPr>
            <w:tcW w:w="1140" w:type="dxa"/>
            <w:tcBorders>
              <w:top w:val="single" w:sz="5" w:space="0" w:color="000000"/>
              <w:left w:val="single" w:sz="5" w:space="0" w:color="000000"/>
              <w:bottom w:val="single" w:sz="5" w:space="0" w:color="000000"/>
              <w:right w:val="single" w:sz="5" w:space="0" w:color="000000"/>
            </w:tcBorders>
          </w:tcPr>
          <w:p w14:paraId="6A0AA792" w14:textId="58ED3B38" w:rsidR="00364C65" w:rsidRPr="00406033" w:rsidRDefault="0030321B" w:rsidP="00223E5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Page 3</w:t>
            </w:r>
          </w:p>
        </w:tc>
      </w:tr>
      <w:tr w:rsidR="00364C65" w:rsidRPr="00406033" w14:paraId="0AD53012" w14:textId="77777777" w:rsidTr="00223E56">
        <w:trPr>
          <w:trHeight w:val="48"/>
          <w:jc w:val="center"/>
        </w:trPr>
        <w:tc>
          <w:tcPr>
            <w:tcW w:w="1657" w:type="dxa"/>
            <w:tcBorders>
              <w:top w:val="single" w:sz="5" w:space="0" w:color="000000"/>
              <w:left w:val="single" w:sz="5" w:space="0" w:color="000000"/>
              <w:bottom w:val="single" w:sz="5" w:space="0" w:color="000000"/>
              <w:right w:val="single" w:sz="5" w:space="0" w:color="000000"/>
            </w:tcBorders>
          </w:tcPr>
          <w:p w14:paraId="5AB39082"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35BBAC1C" w14:textId="77777777" w:rsidR="00364C65" w:rsidRPr="00406033" w:rsidRDefault="00364C65" w:rsidP="00223E56">
            <w:pPr>
              <w:pStyle w:val="Default"/>
              <w:spacing w:before="40" w:after="40"/>
              <w:jc w:val="right"/>
              <w:rPr>
                <w:rFonts w:ascii="Times New Roman" w:hAnsi="Times New Roman" w:cs="Times New Roman"/>
                <w:sz w:val="18"/>
                <w:szCs w:val="18"/>
              </w:rPr>
            </w:pPr>
            <w:r w:rsidRPr="00406033">
              <w:rPr>
                <w:rFonts w:ascii="Times New Roman" w:hAnsi="Times New Roman" w:cs="Times New Roman"/>
                <w:sz w:val="18"/>
                <w:szCs w:val="18"/>
              </w:rPr>
              <w:t>25</w:t>
            </w:r>
          </w:p>
        </w:tc>
        <w:tc>
          <w:tcPr>
            <w:tcW w:w="7248" w:type="dxa"/>
            <w:tcBorders>
              <w:top w:val="single" w:sz="5" w:space="0" w:color="000000"/>
              <w:left w:val="single" w:sz="5" w:space="0" w:color="000000"/>
              <w:bottom w:val="single" w:sz="5" w:space="0" w:color="000000"/>
              <w:right w:val="single" w:sz="5" w:space="0" w:color="000000"/>
            </w:tcBorders>
          </w:tcPr>
          <w:p w14:paraId="7BC682B0"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Describe sources of financial or non-financial support for the review, and the role of the funders or sponsors in the review.</w:t>
            </w:r>
          </w:p>
        </w:tc>
        <w:tc>
          <w:tcPr>
            <w:tcW w:w="1140" w:type="dxa"/>
            <w:tcBorders>
              <w:top w:val="single" w:sz="5" w:space="0" w:color="000000"/>
              <w:left w:val="single" w:sz="5" w:space="0" w:color="000000"/>
              <w:bottom w:val="single" w:sz="5" w:space="0" w:color="000000"/>
              <w:right w:val="single" w:sz="5" w:space="0" w:color="000000"/>
            </w:tcBorders>
          </w:tcPr>
          <w:p w14:paraId="099095F3" w14:textId="25E5B433" w:rsidR="00364C65" w:rsidRPr="00406033" w:rsidRDefault="0030321B" w:rsidP="00223E5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Page 17</w:t>
            </w:r>
          </w:p>
        </w:tc>
      </w:tr>
      <w:tr w:rsidR="00364C65" w:rsidRPr="00406033" w14:paraId="38BF9005" w14:textId="77777777" w:rsidTr="00223E56">
        <w:trPr>
          <w:trHeight w:val="48"/>
          <w:jc w:val="center"/>
        </w:trPr>
        <w:tc>
          <w:tcPr>
            <w:tcW w:w="1657" w:type="dxa"/>
            <w:tcBorders>
              <w:top w:val="single" w:sz="5" w:space="0" w:color="000000"/>
              <w:left w:val="single" w:sz="5" w:space="0" w:color="000000"/>
              <w:bottom w:val="single" w:sz="5" w:space="0" w:color="000000"/>
              <w:right w:val="single" w:sz="5" w:space="0" w:color="000000"/>
            </w:tcBorders>
          </w:tcPr>
          <w:p w14:paraId="2FA1DD22"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6FAD3CD6" w14:textId="77777777" w:rsidR="00364C65" w:rsidRPr="00406033" w:rsidRDefault="00364C65" w:rsidP="00223E56">
            <w:pPr>
              <w:pStyle w:val="Default"/>
              <w:spacing w:before="40" w:after="40"/>
              <w:jc w:val="right"/>
              <w:rPr>
                <w:rFonts w:ascii="Times New Roman" w:hAnsi="Times New Roman" w:cs="Times New Roman"/>
                <w:sz w:val="18"/>
                <w:szCs w:val="18"/>
              </w:rPr>
            </w:pPr>
            <w:r w:rsidRPr="00406033">
              <w:rPr>
                <w:rFonts w:ascii="Times New Roman" w:hAnsi="Times New Roman" w:cs="Times New Roman"/>
                <w:sz w:val="18"/>
                <w:szCs w:val="18"/>
              </w:rPr>
              <w:t>26</w:t>
            </w:r>
          </w:p>
        </w:tc>
        <w:tc>
          <w:tcPr>
            <w:tcW w:w="7248" w:type="dxa"/>
            <w:tcBorders>
              <w:top w:val="single" w:sz="5" w:space="0" w:color="000000"/>
              <w:left w:val="single" w:sz="5" w:space="0" w:color="000000"/>
              <w:bottom w:val="single" w:sz="5" w:space="0" w:color="000000"/>
              <w:right w:val="single" w:sz="5" w:space="0" w:color="000000"/>
            </w:tcBorders>
          </w:tcPr>
          <w:p w14:paraId="6403D5A0"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Declare any competing interests of review authors.</w:t>
            </w:r>
          </w:p>
        </w:tc>
        <w:tc>
          <w:tcPr>
            <w:tcW w:w="1140" w:type="dxa"/>
            <w:tcBorders>
              <w:top w:val="single" w:sz="5" w:space="0" w:color="000000"/>
              <w:left w:val="single" w:sz="5" w:space="0" w:color="000000"/>
              <w:bottom w:val="single" w:sz="5" w:space="0" w:color="000000"/>
              <w:right w:val="single" w:sz="5" w:space="0" w:color="000000"/>
            </w:tcBorders>
          </w:tcPr>
          <w:p w14:paraId="02274CF2" w14:textId="670DB757" w:rsidR="00364C65" w:rsidRPr="00406033" w:rsidRDefault="0030321B" w:rsidP="00223E5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Page 1</w:t>
            </w:r>
          </w:p>
        </w:tc>
      </w:tr>
      <w:tr w:rsidR="00364C65" w:rsidRPr="00406033" w14:paraId="6377440A" w14:textId="77777777" w:rsidTr="00223E56">
        <w:trPr>
          <w:trHeight w:val="219"/>
          <w:jc w:val="center"/>
        </w:trPr>
        <w:tc>
          <w:tcPr>
            <w:tcW w:w="1657" w:type="dxa"/>
            <w:tcBorders>
              <w:top w:val="single" w:sz="5" w:space="0" w:color="000000"/>
              <w:left w:val="single" w:sz="5" w:space="0" w:color="000000"/>
              <w:bottom w:val="double" w:sz="5" w:space="0" w:color="000000"/>
              <w:right w:val="single" w:sz="5" w:space="0" w:color="000000"/>
            </w:tcBorders>
          </w:tcPr>
          <w:p w14:paraId="2804DAD3"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5D4B9450" w14:textId="77777777" w:rsidR="00364C65" w:rsidRPr="00406033" w:rsidRDefault="00364C65" w:rsidP="00223E56">
            <w:pPr>
              <w:pStyle w:val="Default"/>
              <w:spacing w:before="40" w:after="40"/>
              <w:jc w:val="right"/>
              <w:rPr>
                <w:rFonts w:ascii="Times New Roman" w:hAnsi="Times New Roman" w:cs="Times New Roman"/>
                <w:sz w:val="18"/>
                <w:szCs w:val="18"/>
              </w:rPr>
            </w:pPr>
            <w:r w:rsidRPr="00406033">
              <w:rPr>
                <w:rFonts w:ascii="Times New Roman" w:hAnsi="Times New Roman" w:cs="Times New Roman"/>
                <w:sz w:val="18"/>
                <w:szCs w:val="18"/>
              </w:rPr>
              <w:t>27</w:t>
            </w:r>
          </w:p>
        </w:tc>
        <w:tc>
          <w:tcPr>
            <w:tcW w:w="7248" w:type="dxa"/>
            <w:tcBorders>
              <w:top w:val="single" w:sz="5" w:space="0" w:color="000000"/>
              <w:left w:val="single" w:sz="5" w:space="0" w:color="000000"/>
              <w:bottom w:val="double" w:sz="5" w:space="0" w:color="000000"/>
              <w:right w:val="single" w:sz="5" w:space="0" w:color="000000"/>
            </w:tcBorders>
          </w:tcPr>
          <w:p w14:paraId="37859BBA" w14:textId="77777777" w:rsidR="00364C65" w:rsidRPr="00406033" w:rsidRDefault="00364C65" w:rsidP="00223E56">
            <w:pPr>
              <w:pStyle w:val="Default"/>
              <w:spacing w:before="40" w:after="40"/>
              <w:rPr>
                <w:rFonts w:ascii="Times New Roman" w:hAnsi="Times New Roman" w:cs="Times New Roman"/>
                <w:sz w:val="18"/>
                <w:szCs w:val="18"/>
              </w:rPr>
            </w:pPr>
            <w:r w:rsidRPr="00406033">
              <w:rPr>
                <w:rFonts w:ascii="Times New Roman" w:hAnsi="Times New Roman" w:cs="Times New Roman"/>
                <w:sz w:val="18"/>
                <w:szCs w:val="18"/>
              </w:rPr>
              <w:t xml:space="preserve">Report which of the following are publicly available and where they can be </w:t>
            </w:r>
            <w:proofErr w:type="gramStart"/>
            <w:r w:rsidRPr="00406033">
              <w:rPr>
                <w:rFonts w:ascii="Times New Roman" w:hAnsi="Times New Roman" w:cs="Times New Roman"/>
                <w:sz w:val="18"/>
                <w:szCs w:val="18"/>
              </w:rPr>
              <w:t>found:</w:t>
            </w:r>
            <w:proofErr w:type="gramEnd"/>
            <w:r w:rsidRPr="00406033">
              <w:rPr>
                <w:rFonts w:ascii="Times New Roman" w:hAnsi="Times New Roman" w:cs="Times New Roman"/>
                <w:sz w:val="18"/>
                <w:szCs w:val="18"/>
              </w:rPr>
              <w:t xml:space="preserve"> template data collection forms; data extracted from included studies; data used for all analyses; analytic code; any other materials used in the review.</w:t>
            </w:r>
          </w:p>
        </w:tc>
        <w:tc>
          <w:tcPr>
            <w:tcW w:w="1140" w:type="dxa"/>
            <w:tcBorders>
              <w:top w:val="single" w:sz="5" w:space="0" w:color="000000"/>
              <w:left w:val="single" w:sz="5" w:space="0" w:color="000000"/>
              <w:bottom w:val="double" w:sz="5" w:space="0" w:color="000000"/>
              <w:right w:val="single" w:sz="5" w:space="0" w:color="000000"/>
            </w:tcBorders>
          </w:tcPr>
          <w:p w14:paraId="1BB4002B" w14:textId="706DB17B" w:rsidR="00364C65" w:rsidRPr="00406033" w:rsidRDefault="0030321B" w:rsidP="00223E56">
            <w:pPr>
              <w:pStyle w:val="Default"/>
              <w:spacing w:before="40" w:after="40"/>
              <w:rPr>
                <w:rFonts w:ascii="Times New Roman" w:hAnsi="Times New Roman" w:cs="Times New Roman"/>
                <w:color w:val="auto"/>
                <w:sz w:val="18"/>
                <w:szCs w:val="18"/>
              </w:rPr>
            </w:pPr>
            <w:r>
              <w:rPr>
                <w:rFonts w:ascii="Times New Roman" w:hAnsi="Times New Roman" w:cs="Times New Roman"/>
                <w:color w:val="auto"/>
                <w:sz w:val="18"/>
                <w:szCs w:val="18"/>
              </w:rPr>
              <w:t>All data is in the tables + appendix</w:t>
            </w:r>
          </w:p>
        </w:tc>
      </w:tr>
    </w:tbl>
    <w:p w14:paraId="717A2C57" w14:textId="77777777" w:rsidR="00364C65" w:rsidRDefault="00364C65" w:rsidP="00364C65">
      <w:pPr>
        <w:pStyle w:val="Default"/>
        <w:spacing w:line="360" w:lineRule="auto"/>
        <w:jc w:val="both"/>
        <w:rPr>
          <w:rFonts w:ascii="Times New Roman" w:hAnsi="Times New Roman" w:cs="Times New Roman"/>
          <w:i/>
          <w:iCs/>
          <w:color w:val="auto"/>
          <w:sz w:val="20"/>
          <w:szCs w:val="20"/>
        </w:rPr>
      </w:pPr>
    </w:p>
    <w:p w14:paraId="7703F758" w14:textId="77777777" w:rsidR="00364C65" w:rsidRPr="00406033" w:rsidRDefault="00364C65" w:rsidP="00364C65">
      <w:pPr>
        <w:pStyle w:val="Default"/>
        <w:spacing w:line="360" w:lineRule="auto"/>
        <w:jc w:val="both"/>
        <w:rPr>
          <w:rFonts w:ascii="Times New Roman" w:hAnsi="Times New Roman" w:cs="Times New Roman"/>
          <w:color w:val="auto"/>
          <w:sz w:val="20"/>
          <w:szCs w:val="20"/>
          <w:lang w:val="da-DK"/>
        </w:rPr>
      </w:pPr>
      <w:r w:rsidRPr="00406033">
        <w:rPr>
          <w:rFonts w:ascii="Times New Roman" w:hAnsi="Times New Roman" w:cs="Times New Roman"/>
          <w:i/>
          <w:iCs/>
          <w:color w:val="auto"/>
          <w:sz w:val="20"/>
          <w:szCs w:val="20"/>
        </w:rPr>
        <w:t xml:space="preserve">From: </w:t>
      </w:r>
      <w:r w:rsidRPr="00406033">
        <w:rPr>
          <w:rFonts w:ascii="Times New Roman" w:hAnsi="Times New Roman" w:cs="Times New Roman"/>
          <w:color w:val="auto"/>
          <w:sz w:val="20"/>
          <w:szCs w:val="20"/>
        </w:rPr>
        <w:t xml:space="preserve"> Page MJ, McKenzie JE, Bossuyt PM, </w:t>
      </w:r>
      <w:proofErr w:type="spellStart"/>
      <w:r w:rsidRPr="00406033">
        <w:rPr>
          <w:rFonts w:ascii="Times New Roman" w:hAnsi="Times New Roman" w:cs="Times New Roman"/>
          <w:color w:val="auto"/>
          <w:sz w:val="20"/>
          <w:szCs w:val="20"/>
        </w:rPr>
        <w:t>Boutron</w:t>
      </w:r>
      <w:proofErr w:type="spellEnd"/>
      <w:r w:rsidRPr="00406033">
        <w:rPr>
          <w:rFonts w:ascii="Times New Roman" w:hAnsi="Times New Roman" w:cs="Times New Roman"/>
          <w:color w:val="auto"/>
          <w:sz w:val="20"/>
          <w:szCs w:val="20"/>
        </w:rPr>
        <w:t xml:space="preserve"> I, Hoffmann TC, Mulrow CD, et al. The PRISMA 2020 statement: an updated guideline for reporting systematic reviews. BMJ 2021;</w:t>
      </w:r>
      <w:proofErr w:type="gramStart"/>
      <w:r w:rsidRPr="00406033">
        <w:rPr>
          <w:rFonts w:ascii="Times New Roman" w:hAnsi="Times New Roman" w:cs="Times New Roman"/>
          <w:color w:val="auto"/>
          <w:sz w:val="20"/>
          <w:szCs w:val="20"/>
        </w:rPr>
        <w:t>372:n</w:t>
      </w:r>
      <w:proofErr w:type="gramEnd"/>
      <w:r w:rsidRPr="00406033">
        <w:rPr>
          <w:rFonts w:ascii="Times New Roman" w:hAnsi="Times New Roman" w:cs="Times New Roman"/>
          <w:color w:val="auto"/>
          <w:sz w:val="20"/>
          <w:szCs w:val="20"/>
        </w:rPr>
        <w:t xml:space="preserve">71. </w:t>
      </w:r>
      <w:proofErr w:type="spellStart"/>
      <w:r w:rsidRPr="00406033">
        <w:rPr>
          <w:rFonts w:ascii="Times New Roman" w:hAnsi="Times New Roman" w:cs="Times New Roman"/>
          <w:color w:val="auto"/>
          <w:sz w:val="20"/>
          <w:szCs w:val="20"/>
        </w:rPr>
        <w:t>doi</w:t>
      </w:r>
      <w:proofErr w:type="spellEnd"/>
      <w:r w:rsidRPr="00406033">
        <w:rPr>
          <w:rFonts w:ascii="Times New Roman" w:hAnsi="Times New Roman" w:cs="Times New Roman"/>
          <w:color w:val="auto"/>
          <w:sz w:val="20"/>
          <w:szCs w:val="20"/>
        </w:rPr>
        <w:t>: 10.1136/</w:t>
      </w:r>
      <w:proofErr w:type="gramStart"/>
      <w:r w:rsidRPr="00406033">
        <w:rPr>
          <w:rFonts w:ascii="Times New Roman" w:hAnsi="Times New Roman" w:cs="Times New Roman"/>
          <w:color w:val="auto"/>
          <w:sz w:val="20"/>
          <w:szCs w:val="20"/>
        </w:rPr>
        <w:t>bmj.n</w:t>
      </w:r>
      <w:proofErr w:type="gramEnd"/>
      <w:r w:rsidRPr="00406033">
        <w:rPr>
          <w:rFonts w:ascii="Times New Roman" w:hAnsi="Times New Roman" w:cs="Times New Roman"/>
          <w:color w:val="auto"/>
          <w:sz w:val="20"/>
          <w:szCs w:val="20"/>
        </w:rPr>
        <w:t>71</w:t>
      </w:r>
    </w:p>
    <w:p w14:paraId="54F28049" w14:textId="77777777" w:rsidR="00364C65" w:rsidRDefault="00364C65">
      <w:r>
        <w:br w:type="page"/>
      </w:r>
    </w:p>
    <w:tbl>
      <w:tblPr>
        <w:tblW w:w="9923" w:type="dxa"/>
        <w:jc w:val="center"/>
        <w:tblBorders>
          <w:top w:val="single" w:sz="4" w:space="0" w:color="000000" w:themeColor="text1"/>
          <w:bottom w:val="single" w:sz="4" w:space="0" w:color="000000" w:themeColor="text1"/>
        </w:tblBorders>
        <w:tblLayout w:type="fixed"/>
        <w:tblLook w:val="04A0" w:firstRow="1" w:lastRow="0" w:firstColumn="1" w:lastColumn="0" w:noHBand="0" w:noVBand="1"/>
      </w:tblPr>
      <w:tblGrid>
        <w:gridCol w:w="1134"/>
        <w:gridCol w:w="6096"/>
        <w:gridCol w:w="1276"/>
        <w:gridCol w:w="1417"/>
      </w:tblGrid>
      <w:tr w:rsidR="00405FAC" w:rsidRPr="001F3056" w14:paraId="3ABE88A7" w14:textId="77777777" w:rsidTr="000361C2">
        <w:trPr>
          <w:jc w:val="center"/>
        </w:trPr>
        <w:tc>
          <w:tcPr>
            <w:tcW w:w="9923" w:type="dxa"/>
            <w:gridSpan w:val="4"/>
            <w:tcBorders>
              <w:top w:val="nil"/>
              <w:bottom w:val="single" w:sz="4" w:space="0" w:color="000000" w:themeColor="text1"/>
            </w:tcBorders>
          </w:tcPr>
          <w:p w14:paraId="0064EC01" w14:textId="050D9AA5" w:rsidR="00405FAC" w:rsidRPr="00405FAC" w:rsidRDefault="00405FAC" w:rsidP="00473F86">
            <w:pPr>
              <w:spacing w:line="360" w:lineRule="auto"/>
              <w:rPr>
                <w:b/>
                <w:color w:val="000000" w:themeColor="text1"/>
                <w:sz w:val="22"/>
                <w:szCs w:val="22"/>
              </w:rPr>
            </w:pPr>
            <w:r w:rsidRPr="00405FAC">
              <w:rPr>
                <w:b/>
                <w:color w:val="000000" w:themeColor="text1"/>
                <w:sz w:val="22"/>
                <w:szCs w:val="22"/>
              </w:rPr>
              <w:lastRenderedPageBreak/>
              <w:t xml:space="preserve">Supplement Table </w:t>
            </w:r>
            <w:r w:rsidR="00364C65">
              <w:rPr>
                <w:b/>
                <w:color w:val="000000" w:themeColor="text1"/>
                <w:sz w:val="22"/>
                <w:szCs w:val="22"/>
              </w:rPr>
              <w:t>2</w:t>
            </w:r>
            <w:r w:rsidR="00CE1F79">
              <w:rPr>
                <w:b/>
                <w:color w:val="000000" w:themeColor="text1"/>
                <w:sz w:val="22"/>
                <w:szCs w:val="22"/>
              </w:rPr>
              <w:t xml:space="preserve"> Search strategy used </w:t>
            </w:r>
            <w:r w:rsidR="00445BCC">
              <w:rPr>
                <w:b/>
                <w:color w:val="000000" w:themeColor="text1"/>
                <w:sz w:val="22"/>
                <w:szCs w:val="22"/>
              </w:rPr>
              <w:t>in July</w:t>
            </w:r>
            <w:r w:rsidR="00CE1F79">
              <w:rPr>
                <w:b/>
                <w:color w:val="000000" w:themeColor="text1"/>
                <w:sz w:val="22"/>
                <w:szCs w:val="22"/>
              </w:rPr>
              <w:t xml:space="preserve"> 2019 and re-run </w:t>
            </w:r>
            <w:r w:rsidR="00445BCC">
              <w:rPr>
                <w:b/>
                <w:color w:val="000000" w:themeColor="text1"/>
                <w:sz w:val="22"/>
                <w:szCs w:val="22"/>
              </w:rPr>
              <w:t>in April</w:t>
            </w:r>
            <w:r w:rsidR="00CE1F79">
              <w:rPr>
                <w:b/>
                <w:color w:val="000000" w:themeColor="text1"/>
                <w:sz w:val="22"/>
                <w:szCs w:val="22"/>
              </w:rPr>
              <w:t xml:space="preserve"> 2023</w:t>
            </w:r>
            <w:r w:rsidR="00A74065">
              <w:rPr>
                <w:b/>
                <w:color w:val="000000" w:themeColor="text1"/>
                <w:sz w:val="22"/>
                <w:szCs w:val="22"/>
              </w:rPr>
              <w:t>.</w:t>
            </w:r>
          </w:p>
        </w:tc>
      </w:tr>
      <w:tr w:rsidR="00473F86" w:rsidRPr="001F3056" w14:paraId="41E20DBC" w14:textId="77777777" w:rsidTr="000361C2">
        <w:trPr>
          <w:jc w:val="center"/>
        </w:trPr>
        <w:tc>
          <w:tcPr>
            <w:tcW w:w="1134" w:type="dxa"/>
            <w:vMerge w:val="restart"/>
            <w:tcBorders>
              <w:top w:val="single" w:sz="4" w:space="0" w:color="000000" w:themeColor="text1"/>
              <w:left w:val="single" w:sz="4" w:space="0" w:color="000000" w:themeColor="text1"/>
            </w:tcBorders>
          </w:tcPr>
          <w:p w14:paraId="3CF0D8A7" w14:textId="77777777" w:rsidR="00473F86" w:rsidRPr="003E6671" w:rsidRDefault="00473F86" w:rsidP="00473F86">
            <w:pPr>
              <w:spacing w:line="360" w:lineRule="auto"/>
              <w:rPr>
                <w:b/>
                <w:color w:val="000000" w:themeColor="text1"/>
                <w:sz w:val="20"/>
                <w:szCs w:val="20"/>
              </w:rPr>
            </w:pPr>
            <w:bookmarkStart w:id="0" w:name="_Hlk11405700"/>
            <w:r w:rsidRPr="003E6671">
              <w:rPr>
                <w:b/>
                <w:color w:val="000000" w:themeColor="text1"/>
                <w:sz w:val="20"/>
                <w:szCs w:val="20"/>
              </w:rPr>
              <w:t>Database</w:t>
            </w:r>
          </w:p>
        </w:tc>
        <w:tc>
          <w:tcPr>
            <w:tcW w:w="6096" w:type="dxa"/>
            <w:vMerge w:val="restart"/>
            <w:tcBorders>
              <w:top w:val="single" w:sz="4" w:space="0" w:color="000000" w:themeColor="text1"/>
            </w:tcBorders>
          </w:tcPr>
          <w:p w14:paraId="7EB46145" w14:textId="77777777" w:rsidR="00473F86" w:rsidRPr="003E6671" w:rsidRDefault="00473F86" w:rsidP="00473F86">
            <w:pPr>
              <w:spacing w:line="360" w:lineRule="auto"/>
              <w:rPr>
                <w:b/>
                <w:color w:val="000000" w:themeColor="text1"/>
                <w:sz w:val="20"/>
                <w:szCs w:val="20"/>
              </w:rPr>
            </w:pPr>
            <w:r w:rsidRPr="003E6671">
              <w:rPr>
                <w:b/>
                <w:color w:val="000000" w:themeColor="text1"/>
                <w:sz w:val="20"/>
                <w:szCs w:val="20"/>
              </w:rPr>
              <w:t xml:space="preserve">Keywords </w:t>
            </w:r>
          </w:p>
        </w:tc>
        <w:tc>
          <w:tcPr>
            <w:tcW w:w="2693" w:type="dxa"/>
            <w:gridSpan w:val="2"/>
            <w:tcBorders>
              <w:top w:val="single" w:sz="4" w:space="0" w:color="000000" w:themeColor="text1"/>
              <w:bottom w:val="single" w:sz="4" w:space="0" w:color="000000" w:themeColor="text1"/>
              <w:right w:val="single" w:sz="4" w:space="0" w:color="000000" w:themeColor="text1"/>
            </w:tcBorders>
          </w:tcPr>
          <w:p w14:paraId="6FF26A39" w14:textId="2F629E17" w:rsidR="00473F86" w:rsidRPr="003E6671" w:rsidRDefault="00473F86" w:rsidP="00473F86">
            <w:pPr>
              <w:spacing w:line="360" w:lineRule="auto"/>
              <w:jc w:val="center"/>
              <w:rPr>
                <w:b/>
                <w:color w:val="000000" w:themeColor="text1"/>
                <w:sz w:val="20"/>
                <w:szCs w:val="20"/>
              </w:rPr>
            </w:pPr>
            <w:r>
              <w:rPr>
                <w:b/>
                <w:color w:val="000000" w:themeColor="text1"/>
                <w:sz w:val="20"/>
                <w:szCs w:val="20"/>
              </w:rPr>
              <w:t>Search results</w:t>
            </w:r>
          </w:p>
        </w:tc>
      </w:tr>
      <w:tr w:rsidR="00473F86" w:rsidRPr="001F3056" w14:paraId="7FD304B0" w14:textId="77777777" w:rsidTr="000361C2">
        <w:trPr>
          <w:jc w:val="center"/>
        </w:trPr>
        <w:tc>
          <w:tcPr>
            <w:tcW w:w="1134" w:type="dxa"/>
            <w:vMerge/>
            <w:tcBorders>
              <w:left w:val="single" w:sz="4" w:space="0" w:color="000000" w:themeColor="text1"/>
              <w:bottom w:val="single" w:sz="4" w:space="0" w:color="000000" w:themeColor="text1"/>
            </w:tcBorders>
          </w:tcPr>
          <w:p w14:paraId="4DF96423" w14:textId="77777777" w:rsidR="00473F86" w:rsidRPr="003E6671" w:rsidRDefault="00473F86" w:rsidP="00473F86">
            <w:pPr>
              <w:spacing w:line="360" w:lineRule="auto"/>
              <w:rPr>
                <w:b/>
                <w:color w:val="000000" w:themeColor="text1"/>
                <w:sz w:val="20"/>
                <w:szCs w:val="20"/>
              </w:rPr>
            </w:pPr>
          </w:p>
        </w:tc>
        <w:tc>
          <w:tcPr>
            <w:tcW w:w="6096" w:type="dxa"/>
            <w:vMerge/>
            <w:tcBorders>
              <w:bottom w:val="single" w:sz="4" w:space="0" w:color="000000" w:themeColor="text1"/>
            </w:tcBorders>
          </w:tcPr>
          <w:p w14:paraId="738383A1" w14:textId="77777777" w:rsidR="00473F86" w:rsidRPr="003E6671" w:rsidRDefault="00473F86" w:rsidP="00473F86">
            <w:pPr>
              <w:spacing w:line="360" w:lineRule="auto"/>
              <w:rPr>
                <w:b/>
                <w:color w:val="000000" w:themeColor="text1"/>
                <w:sz w:val="20"/>
                <w:szCs w:val="20"/>
              </w:rPr>
            </w:pPr>
          </w:p>
        </w:tc>
        <w:tc>
          <w:tcPr>
            <w:tcW w:w="2693" w:type="dxa"/>
            <w:gridSpan w:val="2"/>
            <w:tcBorders>
              <w:top w:val="single" w:sz="4" w:space="0" w:color="000000" w:themeColor="text1"/>
              <w:bottom w:val="single" w:sz="4" w:space="0" w:color="000000" w:themeColor="text1"/>
              <w:right w:val="single" w:sz="4" w:space="0" w:color="000000" w:themeColor="text1"/>
            </w:tcBorders>
          </w:tcPr>
          <w:p w14:paraId="175DAD6E" w14:textId="50D9DA60" w:rsidR="00473F86" w:rsidRPr="00473F86" w:rsidRDefault="00473F86" w:rsidP="00473F86">
            <w:pPr>
              <w:spacing w:line="360" w:lineRule="auto"/>
              <w:jc w:val="both"/>
              <w:rPr>
                <w:color w:val="000000" w:themeColor="text1"/>
                <w:sz w:val="20"/>
                <w:szCs w:val="20"/>
              </w:rPr>
            </w:pPr>
            <w:r w:rsidRPr="00473F86">
              <w:rPr>
                <w:b/>
                <w:bCs/>
                <w:color w:val="000000" w:themeColor="text1"/>
                <w:sz w:val="20"/>
                <w:szCs w:val="20"/>
              </w:rPr>
              <w:t>#1</w:t>
            </w:r>
            <w:r>
              <w:rPr>
                <w:color w:val="000000" w:themeColor="text1"/>
                <w:sz w:val="20"/>
                <w:szCs w:val="20"/>
              </w:rPr>
              <w:t xml:space="preserve"> </w:t>
            </w:r>
            <w:r w:rsidRPr="003E6671">
              <w:rPr>
                <w:color w:val="000000" w:themeColor="text1"/>
                <w:sz w:val="20"/>
                <w:szCs w:val="20"/>
              </w:rPr>
              <w:t>24.07.2019</w:t>
            </w:r>
            <w:r>
              <w:rPr>
                <w:color w:val="000000" w:themeColor="text1"/>
                <w:sz w:val="20"/>
                <w:szCs w:val="20"/>
              </w:rPr>
              <w:t xml:space="preserve">     </w:t>
            </w:r>
            <w:r w:rsidRPr="00473F86">
              <w:rPr>
                <w:b/>
                <w:bCs/>
                <w:color w:val="000000" w:themeColor="text1"/>
                <w:sz w:val="20"/>
                <w:szCs w:val="20"/>
              </w:rPr>
              <w:t>#2</w:t>
            </w:r>
            <w:r>
              <w:rPr>
                <w:color w:val="000000" w:themeColor="text1"/>
                <w:sz w:val="20"/>
                <w:szCs w:val="20"/>
              </w:rPr>
              <w:t xml:space="preserve"> 10.04.2023</w:t>
            </w:r>
          </w:p>
        </w:tc>
      </w:tr>
      <w:tr w:rsidR="00585EBE" w:rsidRPr="001F3056" w14:paraId="68DFE4AE" w14:textId="77777777" w:rsidTr="000361C2">
        <w:trPr>
          <w:jc w:val="center"/>
        </w:trPr>
        <w:tc>
          <w:tcPr>
            <w:tcW w:w="1134" w:type="dxa"/>
            <w:tcBorders>
              <w:top w:val="single" w:sz="4" w:space="0" w:color="000000" w:themeColor="text1"/>
              <w:left w:val="single" w:sz="4" w:space="0" w:color="000000" w:themeColor="text1"/>
              <w:bottom w:val="single" w:sz="4" w:space="0" w:color="D9D9D9" w:themeColor="background1" w:themeShade="D9"/>
            </w:tcBorders>
            <w:shd w:val="clear" w:color="auto" w:fill="auto"/>
          </w:tcPr>
          <w:p w14:paraId="1835B6E6" w14:textId="77777777" w:rsidR="00585EBE" w:rsidRPr="003E6671" w:rsidRDefault="00585EBE" w:rsidP="00473F86">
            <w:pPr>
              <w:spacing w:line="360" w:lineRule="auto"/>
              <w:rPr>
                <w:color w:val="000000" w:themeColor="text1"/>
                <w:sz w:val="20"/>
                <w:szCs w:val="20"/>
              </w:rPr>
            </w:pPr>
            <w:r w:rsidRPr="003E6671">
              <w:rPr>
                <w:color w:val="000000" w:themeColor="text1"/>
                <w:sz w:val="20"/>
                <w:szCs w:val="20"/>
              </w:rPr>
              <w:t>PubMed</w:t>
            </w:r>
          </w:p>
        </w:tc>
        <w:tc>
          <w:tcPr>
            <w:tcW w:w="6096" w:type="dxa"/>
            <w:tcBorders>
              <w:top w:val="single" w:sz="4" w:space="0" w:color="000000" w:themeColor="text1"/>
              <w:bottom w:val="single" w:sz="4" w:space="0" w:color="D9D9D9" w:themeColor="background1" w:themeShade="D9"/>
            </w:tcBorders>
            <w:shd w:val="clear" w:color="auto" w:fill="auto"/>
          </w:tcPr>
          <w:p w14:paraId="5FB6419C" w14:textId="77777777" w:rsidR="00585EBE" w:rsidRPr="003E6671" w:rsidRDefault="00585EBE" w:rsidP="00473F86">
            <w:pPr>
              <w:spacing w:line="360" w:lineRule="auto"/>
              <w:rPr>
                <w:color w:val="000000" w:themeColor="text1"/>
                <w:sz w:val="20"/>
                <w:szCs w:val="20"/>
              </w:rPr>
            </w:pPr>
            <w:r w:rsidRPr="003E6671">
              <w:rPr>
                <w:color w:val="000000" w:themeColor="text1"/>
                <w:sz w:val="20"/>
                <w:szCs w:val="20"/>
              </w:rPr>
              <w:t xml:space="preserve">("Polymorphism, Genetic"[Mesh] OR "Genetic Predisposition to Disease"[Mesh] OR "Genes"[Mesh] OR "Gene-Environment Interaction"[Mesh] OR genetics [Mesh] OR  polymorphism OR gene variant OR SNP OR gene OR single nucleotide polymorphism OR genetic variation OR genetic variant) AND (“arsenic”[Mesh] OR “arsenicals”[Mesh] OR “arsenic poisoning”[Mesh] OR arsenic OR </w:t>
            </w:r>
            <w:proofErr w:type="spellStart"/>
            <w:r w:rsidRPr="003E6671">
              <w:rPr>
                <w:color w:val="000000" w:themeColor="text1"/>
                <w:sz w:val="20"/>
                <w:szCs w:val="20"/>
              </w:rPr>
              <w:t>arsenite</w:t>
            </w:r>
            <w:proofErr w:type="spellEnd"/>
            <w:r w:rsidRPr="003E6671">
              <w:rPr>
                <w:color w:val="000000" w:themeColor="text1"/>
                <w:sz w:val="20"/>
                <w:szCs w:val="20"/>
              </w:rPr>
              <w:t xml:space="preserve"> OR </w:t>
            </w:r>
            <w:proofErr w:type="spellStart"/>
            <w:r w:rsidRPr="003E6671">
              <w:rPr>
                <w:color w:val="000000" w:themeColor="text1"/>
                <w:sz w:val="20"/>
                <w:szCs w:val="20"/>
              </w:rPr>
              <w:t>arsenites</w:t>
            </w:r>
            <w:proofErr w:type="spellEnd"/>
            <w:r w:rsidRPr="003E6671">
              <w:rPr>
                <w:color w:val="000000" w:themeColor="text1"/>
                <w:sz w:val="20"/>
                <w:szCs w:val="20"/>
              </w:rPr>
              <w:t xml:space="preserve"> OR arsenate OR arsenates OR arsenicals OR arsenic poisoning)</w:t>
            </w:r>
          </w:p>
        </w:tc>
        <w:tc>
          <w:tcPr>
            <w:tcW w:w="1276" w:type="dxa"/>
            <w:tcBorders>
              <w:top w:val="single" w:sz="4" w:space="0" w:color="000000" w:themeColor="text1"/>
              <w:bottom w:val="single" w:sz="4" w:space="0" w:color="D9D9D9" w:themeColor="background1" w:themeShade="D9"/>
            </w:tcBorders>
          </w:tcPr>
          <w:p w14:paraId="6DFFF661" w14:textId="77777777" w:rsidR="00585EBE" w:rsidRPr="003E6671" w:rsidRDefault="00585EBE" w:rsidP="00473F86">
            <w:pPr>
              <w:spacing w:line="360" w:lineRule="auto"/>
              <w:jc w:val="center"/>
              <w:rPr>
                <w:color w:val="000000" w:themeColor="text1"/>
                <w:sz w:val="20"/>
                <w:szCs w:val="20"/>
              </w:rPr>
            </w:pPr>
            <w:r w:rsidRPr="003E6671">
              <w:rPr>
                <w:color w:val="000000" w:themeColor="text1"/>
                <w:sz w:val="20"/>
                <w:szCs w:val="20"/>
              </w:rPr>
              <w:t>5671</w:t>
            </w:r>
          </w:p>
        </w:tc>
        <w:tc>
          <w:tcPr>
            <w:tcW w:w="1417" w:type="dxa"/>
            <w:tcBorders>
              <w:top w:val="single" w:sz="4" w:space="0" w:color="000000" w:themeColor="text1"/>
              <w:bottom w:val="single" w:sz="4" w:space="0" w:color="D9D9D9" w:themeColor="background1" w:themeShade="D9"/>
              <w:right w:val="single" w:sz="4" w:space="0" w:color="000000" w:themeColor="text1"/>
            </w:tcBorders>
          </w:tcPr>
          <w:p w14:paraId="0F9BD8FC" w14:textId="0B4E6D1C" w:rsidR="00585EBE" w:rsidRPr="003E6671" w:rsidRDefault="00585EBE" w:rsidP="00473F86">
            <w:pPr>
              <w:spacing w:line="360" w:lineRule="auto"/>
              <w:jc w:val="center"/>
              <w:rPr>
                <w:color w:val="000000" w:themeColor="text1"/>
                <w:sz w:val="20"/>
                <w:szCs w:val="20"/>
              </w:rPr>
            </w:pPr>
            <w:r>
              <w:rPr>
                <w:color w:val="000000" w:themeColor="text1"/>
                <w:sz w:val="20"/>
                <w:szCs w:val="20"/>
              </w:rPr>
              <w:t>1519</w:t>
            </w:r>
          </w:p>
        </w:tc>
      </w:tr>
      <w:tr w:rsidR="000361C2" w:rsidRPr="001F3056" w14:paraId="4B6F155D" w14:textId="77777777" w:rsidTr="000361C2">
        <w:trPr>
          <w:jc w:val="center"/>
        </w:trPr>
        <w:tc>
          <w:tcPr>
            <w:tcW w:w="1134" w:type="dxa"/>
            <w:tcBorders>
              <w:top w:val="single" w:sz="4" w:space="0" w:color="D9D9D9" w:themeColor="background1" w:themeShade="D9"/>
              <w:left w:val="single" w:sz="4" w:space="0" w:color="000000" w:themeColor="text1"/>
              <w:bottom w:val="single" w:sz="4" w:space="0" w:color="D9D9D9" w:themeColor="background1" w:themeShade="D9"/>
            </w:tcBorders>
            <w:shd w:val="clear" w:color="auto" w:fill="auto"/>
          </w:tcPr>
          <w:p w14:paraId="7054DCB2" w14:textId="77777777" w:rsidR="00585EBE" w:rsidRPr="003E6671" w:rsidRDefault="00585EBE" w:rsidP="00473F86">
            <w:pPr>
              <w:spacing w:line="360" w:lineRule="auto"/>
              <w:rPr>
                <w:color w:val="000000" w:themeColor="text1"/>
                <w:sz w:val="20"/>
                <w:szCs w:val="20"/>
              </w:rPr>
            </w:pPr>
            <w:r w:rsidRPr="003E6671">
              <w:rPr>
                <w:color w:val="000000" w:themeColor="text1"/>
                <w:sz w:val="20"/>
                <w:szCs w:val="20"/>
              </w:rPr>
              <w:t>Web of science</w:t>
            </w:r>
          </w:p>
        </w:tc>
        <w:tc>
          <w:tcPr>
            <w:tcW w:w="6096" w:type="dxa"/>
            <w:tcBorders>
              <w:top w:val="single" w:sz="4" w:space="0" w:color="D9D9D9" w:themeColor="background1" w:themeShade="D9"/>
              <w:bottom w:val="single" w:sz="4" w:space="0" w:color="D9D9D9" w:themeColor="background1" w:themeShade="D9"/>
            </w:tcBorders>
            <w:shd w:val="clear" w:color="auto" w:fill="auto"/>
          </w:tcPr>
          <w:p w14:paraId="02A391AD" w14:textId="77777777" w:rsidR="00585EBE" w:rsidRPr="003E6671" w:rsidRDefault="00585EBE" w:rsidP="00473F86">
            <w:pPr>
              <w:spacing w:line="360" w:lineRule="auto"/>
              <w:rPr>
                <w:color w:val="000000" w:themeColor="text1"/>
                <w:sz w:val="20"/>
                <w:szCs w:val="20"/>
              </w:rPr>
            </w:pPr>
            <w:r w:rsidRPr="003E6671">
              <w:rPr>
                <w:color w:val="000000" w:themeColor="text1"/>
                <w:sz w:val="20"/>
                <w:szCs w:val="20"/>
              </w:rPr>
              <w:t>TS= (polymorphism* OR genes OR gene OR genetic* OR SNP OR "single nucleotide polymorphism*") AND TS</w:t>
            </w:r>
            <w:proofErr w:type="gramStart"/>
            <w:r w:rsidRPr="003E6671">
              <w:rPr>
                <w:color w:val="000000" w:themeColor="text1"/>
                <w:sz w:val="20"/>
                <w:szCs w:val="20"/>
              </w:rPr>
              <w:t>=(</w:t>
            </w:r>
            <w:proofErr w:type="gramEnd"/>
            <w:r w:rsidRPr="003E6671">
              <w:rPr>
                <w:color w:val="000000" w:themeColor="text1"/>
                <w:sz w:val="20"/>
                <w:szCs w:val="20"/>
              </w:rPr>
              <w:t xml:space="preserve">arsenic* OR arsenical* OR arsenate* OR </w:t>
            </w:r>
            <w:proofErr w:type="spellStart"/>
            <w:r w:rsidRPr="003E6671">
              <w:rPr>
                <w:color w:val="000000" w:themeColor="text1"/>
                <w:sz w:val="20"/>
                <w:szCs w:val="20"/>
              </w:rPr>
              <w:t>arsenite</w:t>
            </w:r>
            <w:proofErr w:type="spellEnd"/>
            <w:r w:rsidRPr="003E6671">
              <w:rPr>
                <w:color w:val="000000" w:themeColor="text1"/>
                <w:sz w:val="20"/>
                <w:szCs w:val="20"/>
              </w:rPr>
              <w:t>*)</w:t>
            </w:r>
          </w:p>
        </w:tc>
        <w:tc>
          <w:tcPr>
            <w:tcW w:w="1276" w:type="dxa"/>
            <w:tcBorders>
              <w:top w:val="single" w:sz="4" w:space="0" w:color="D9D9D9" w:themeColor="background1" w:themeShade="D9"/>
              <w:bottom w:val="single" w:sz="4" w:space="0" w:color="D9D9D9" w:themeColor="background1" w:themeShade="D9"/>
            </w:tcBorders>
          </w:tcPr>
          <w:p w14:paraId="58185ACF" w14:textId="77777777" w:rsidR="00585EBE" w:rsidRPr="003E6671" w:rsidRDefault="00585EBE" w:rsidP="00473F86">
            <w:pPr>
              <w:spacing w:line="360" w:lineRule="auto"/>
              <w:jc w:val="center"/>
              <w:rPr>
                <w:color w:val="000000" w:themeColor="text1"/>
                <w:sz w:val="20"/>
                <w:szCs w:val="20"/>
              </w:rPr>
            </w:pPr>
            <w:r w:rsidRPr="003E6671">
              <w:rPr>
                <w:color w:val="000000" w:themeColor="text1"/>
                <w:sz w:val="20"/>
                <w:szCs w:val="20"/>
              </w:rPr>
              <w:t>6223</w:t>
            </w:r>
          </w:p>
        </w:tc>
        <w:tc>
          <w:tcPr>
            <w:tcW w:w="1417" w:type="dxa"/>
            <w:tcBorders>
              <w:top w:val="single" w:sz="4" w:space="0" w:color="D9D9D9" w:themeColor="background1" w:themeShade="D9"/>
              <w:bottom w:val="single" w:sz="4" w:space="0" w:color="D9D9D9" w:themeColor="background1" w:themeShade="D9"/>
              <w:right w:val="single" w:sz="4" w:space="0" w:color="000000" w:themeColor="text1"/>
            </w:tcBorders>
          </w:tcPr>
          <w:p w14:paraId="3960A38C" w14:textId="5ABC7774" w:rsidR="00585EBE" w:rsidRPr="003E6671" w:rsidRDefault="00585EBE" w:rsidP="00473F86">
            <w:pPr>
              <w:spacing w:line="360" w:lineRule="auto"/>
              <w:jc w:val="center"/>
              <w:rPr>
                <w:color w:val="000000" w:themeColor="text1"/>
                <w:sz w:val="20"/>
                <w:szCs w:val="20"/>
              </w:rPr>
            </w:pPr>
            <w:r>
              <w:rPr>
                <w:color w:val="000000" w:themeColor="text1"/>
                <w:sz w:val="20"/>
                <w:szCs w:val="20"/>
              </w:rPr>
              <w:t>2059</w:t>
            </w:r>
          </w:p>
        </w:tc>
      </w:tr>
      <w:tr w:rsidR="000361C2" w:rsidRPr="001F3056" w14:paraId="15CAF3EC" w14:textId="77777777" w:rsidTr="000361C2">
        <w:trPr>
          <w:jc w:val="center"/>
        </w:trPr>
        <w:tc>
          <w:tcPr>
            <w:tcW w:w="1134" w:type="dxa"/>
            <w:tcBorders>
              <w:top w:val="single" w:sz="4" w:space="0" w:color="D9D9D9" w:themeColor="background1" w:themeShade="D9"/>
              <w:left w:val="single" w:sz="4" w:space="0" w:color="000000" w:themeColor="text1"/>
              <w:bottom w:val="single" w:sz="4" w:space="0" w:color="D9D9D9" w:themeColor="background1" w:themeShade="D9"/>
            </w:tcBorders>
            <w:shd w:val="clear" w:color="auto" w:fill="auto"/>
          </w:tcPr>
          <w:p w14:paraId="7F937303" w14:textId="77777777" w:rsidR="00585EBE" w:rsidRPr="003E6671" w:rsidRDefault="00585EBE" w:rsidP="00473F86">
            <w:pPr>
              <w:spacing w:line="360" w:lineRule="auto"/>
              <w:rPr>
                <w:color w:val="000000" w:themeColor="text1"/>
                <w:sz w:val="20"/>
                <w:szCs w:val="20"/>
              </w:rPr>
            </w:pPr>
            <w:r w:rsidRPr="003E6671">
              <w:rPr>
                <w:color w:val="000000" w:themeColor="text1"/>
                <w:sz w:val="20"/>
                <w:szCs w:val="20"/>
              </w:rPr>
              <w:t>Scopus</w:t>
            </w:r>
          </w:p>
        </w:tc>
        <w:tc>
          <w:tcPr>
            <w:tcW w:w="6096" w:type="dxa"/>
            <w:tcBorders>
              <w:top w:val="single" w:sz="4" w:space="0" w:color="D9D9D9" w:themeColor="background1" w:themeShade="D9"/>
              <w:bottom w:val="single" w:sz="4" w:space="0" w:color="D9D9D9" w:themeColor="background1" w:themeShade="D9"/>
            </w:tcBorders>
            <w:shd w:val="clear" w:color="auto" w:fill="auto"/>
          </w:tcPr>
          <w:p w14:paraId="56B03F50" w14:textId="77777777" w:rsidR="00585EBE" w:rsidRPr="003E6671" w:rsidRDefault="00585EBE" w:rsidP="00473F86">
            <w:pPr>
              <w:pStyle w:val="Heading2"/>
              <w:spacing w:before="0" w:line="360" w:lineRule="auto"/>
              <w:rPr>
                <w:rFonts w:ascii="Times New Roman" w:hAnsi="Times New Roman" w:cs="Times New Roman"/>
                <w:b/>
                <w:color w:val="000000" w:themeColor="text1"/>
                <w:sz w:val="20"/>
                <w:szCs w:val="20"/>
              </w:rPr>
            </w:pPr>
            <w:r w:rsidRPr="003E6671">
              <w:rPr>
                <w:rStyle w:val="queryoperator"/>
                <w:rFonts w:ascii="Times New Roman" w:hAnsi="Times New Roman" w:cs="Times New Roman"/>
                <w:color w:val="000000" w:themeColor="text1"/>
                <w:sz w:val="20"/>
                <w:szCs w:val="20"/>
              </w:rPr>
              <w:t xml:space="preserve">TITLE-ABS-KEY </w:t>
            </w:r>
            <w:r w:rsidRPr="003E6671">
              <w:rPr>
                <w:rFonts w:ascii="Times New Roman" w:hAnsi="Times New Roman" w:cs="Times New Roman"/>
                <w:color w:val="000000" w:themeColor="text1"/>
                <w:sz w:val="20"/>
                <w:szCs w:val="20"/>
              </w:rPr>
              <w:t>((arsenic</w:t>
            </w:r>
            <w:proofErr w:type="gramStart"/>
            <w:r w:rsidRPr="003E6671">
              <w:rPr>
                <w:rFonts w:ascii="Times New Roman" w:hAnsi="Times New Roman" w:cs="Times New Roman"/>
                <w:color w:val="000000" w:themeColor="text1"/>
                <w:sz w:val="20"/>
                <w:szCs w:val="20"/>
              </w:rPr>
              <w:t>*  OR</w:t>
            </w:r>
            <w:proofErr w:type="gramEnd"/>
            <w:r w:rsidRPr="003E6671">
              <w:rPr>
                <w:rFonts w:ascii="Times New Roman" w:hAnsi="Times New Roman" w:cs="Times New Roman"/>
                <w:color w:val="000000" w:themeColor="text1"/>
                <w:sz w:val="20"/>
                <w:szCs w:val="20"/>
              </w:rPr>
              <w:t>  arsenical</w:t>
            </w:r>
            <w:proofErr w:type="gramStart"/>
            <w:r w:rsidRPr="003E6671">
              <w:rPr>
                <w:rFonts w:ascii="Times New Roman" w:hAnsi="Times New Roman" w:cs="Times New Roman"/>
                <w:color w:val="000000" w:themeColor="text1"/>
                <w:sz w:val="20"/>
                <w:szCs w:val="20"/>
              </w:rPr>
              <w:t>*  OR</w:t>
            </w:r>
            <w:proofErr w:type="gramEnd"/>
            <w:r w:rsidRPr="003E6671">
              <w:rPr>
                <w:rFonts w:ascii="Times New Roman" w:hAnsi="Times New Roman" w:cs="Times New Roman"/>
                <w:color w:val="000000" w:themeColor="text1"/>
                <w:sz w:val="20"/>
                <w:szCs w:val="20"/>
              </w:rPr>
              <w:t>  </w:t>
            </w:r>
            <w:proofErr w:type="spellStart"/>
            <w:r w:rsidRPr="003E6671">
              <w:rPr>
                <w:rFonts w:ascii="Times New Roman" w:hAnsi="Times New Roman" w:cs="Times New Roman"/>
                <w:color w:val="000000" w:themeColor="text1"/>
                <w:sz w:val="20"/>
                <w:szCs w:val="20"/>
              </w:rPr>
              <w:t>arsenite</w:t>
            </w:r>
            <w:proofErr w:type="spellEnd"/>
            <w:proofErr w:type="gramStart"/>
            <w:r w:rsidRPr="003E6671">
              <w:rPr>
                <w:rFonts w:ascii="Times New Roman" w:hAnsi="Times New Roman" w:cs="Times New Roman"/>
                <w:color w:val="000000" w:themeColor="text1"/>
                <w:sz w:val="20"/>
                <w:szCs w:val="20"/>
              </w:rPr>
              <w:t>*  OR</w:t>
            </w:r>
            <w:proofErr w:type="gramEnd"/>
            <w:r w:rsidRPr="003E6671">
              <w:rPr>
                <w:rFonts w:ascii="Times New Roman" w:hAnsi="Times New Roman" w:cs="Times New Roman"/>
                <w:color w:val="000000" w:themeColor="text1"/>
                <w:sz w:val="20"/>
                <w:szCs w:val="20"/>
              </w:rPr>
              <w:t>  arsenate</w:t>
            </w:r>
            <w:proofErr w:type="gramStart"/>
            <w:r w:rsidRPr="003E6671">
              <w:rPr>
                <w:rFonts w:ascii="Times New Roman" w:hAnsi="Times New Roman" w:cs="Times New Roman"/>
                <w:color w:val="000000" w:themeColor="text1"/>
                <w:sz w:val="20"/>
                <w:szCs w:val="20"/>
              </w:rPr>
              <w:t>* )</w:t>
            </w:r>
            <w:proofErr w:type="gramEnd"/>
            <w:r w:rsidRPr="003E6671">
              <w:rPr>
                <w:rFonts w:ascii="Times New Roman" w:hAnsi="Times New Roman" w:cs="Times New Roman"/>
                <w:color w:val="000000" w:themeColor="text1"/>
                <w:sz w:val="20"/>
                <w:szCs w:val="20"/>
              </w:rPr>
              <w:t>  </w:t>
            </w:r>
          </w:p>
          <w:p w14:paraId="4279B841" w14:textId="77777777" w:rsidR="00585EBE" w:rsidRPr="003E6671" w:rsidRDefault="00585EBE" w:rsidP="00473F86">
            <w:pPr>
              <w:pStyle w:val="Heading2"/>
              <w:spacing w:before="0" w:line="360" w:lineRule="auto"/>
              <w:rPr>
                <w:rFonts w:ascii="Times New Roman" w:hAnsi="Times New Roman" w:cs="Times New Roman"/>
                <w:b/>
                <w:color w:val="000000" w:themeColor="text1"/>
                <w:sz w:val="20"/>
                <w:szCs w:val="20"/>
              </w:rPr>
            </w:pPr>
            <w:r w:rsidRPr="003E6671">
              <w:rPr>
                <w:rFonts w:ascii="Times New Roman" w:hAnsi="Times New Roman" w:cs="Times New Roman"/>
                <w:color w:val="000000" w:themeColor="text1"/>
                <w:sz w:val="20"/>
                <w:szCs w:val="20"/>
              </w:rPr>
              <w:t>AND  </w:t>
            </w:r>
          </w:p>
          <w:p w14:paraId="529E676F" w14:textId="77777777" w:rsidR="00585EBE" w:rsidRPr="003E6671" w:rsidRDefault="00585EBE" w:rsidP="00473F86">
            <w:pPr>
              <w:pStyle w:val="Heading2"/>
              <w:spacing w:before="0" w:line="360" w:lineRule="auto"/>
              <w:rPr>
                <w:rFonts w:ascii="Times New Roman" w:hAnsi="Times New Roman" w:cs="Times New Roman"/>
                <w:b/>
                <w:bCs/>
                <w:color w:val="000000" w:themeColor="text1"/>
                <w:sz w:val="20"/>
                <w:szCs w:val="20"/>
              </w:rPr>
            </w:pPr>
            <w:r w:rsidRPr="003E6671">
              <w:rPr>
                <w:rFonts w:ascii="Times New Roman" w:hAnsi="Times New Roman" w:cs="Times New Roman"/>
                <w:color w:val="000000" w:themeColor="text1"/>
                <w:sz w:val="20"/>
                <w:szCs w:val="20"/>
              </w:rPr>
              <w:t>(</w:t>
            </w:r>
            <w:proofErr w:type="gramStart"/>
            <w:r w:rsidRPr="003E6671">
              <w:rPr>
                <w:rFonts w:ascii="Times New Roman" w:hAnsi="Times New Roman" w:cs="Times New Roman"/>
                <w:color w:val="000000" w:themeColor="text1"/>
                <w:sz w:val="20"/>
                <w:szCs w:val="20"/>
              </w:rPr>
              <w:t>gene  OR</w:t>
            </w:r>
            <w:proofErr w:type="gramEnd"/>
            <w:r w:rsidRPr="003E6671">
              <w:rPr>
                <w:rFonts w:ascii="Times New Roman" w:hAnsi="Times New Roman" w:cs="Times New Roman"/>
                <w:color w:val="000000" w:themeColor="text1"/>
                <w:sz w:val="20"/>
                <w:szCs w:val="20"/>
              </w:rPr>
              <w:t>  polymorphism</w:t>
            </w:r>
            <w:proofErr w:type="gramStart"/>
            <w:r w:rsidRPr="003E6671">
              <w:rPr>
                <w:rFonts w:ascii="Times New Roman" w:hAnsi="Times New Roman" w:cs="Times New Roman"/>
                <w:color w:val="000000" w:themeColor="text1"/>
                <w:sz w:val="20"/>
                <w:szCs w:val="20"/>
              </w:rPr>
              <w:t>*  OR</w:t>
            </w:r>
            <w:proofErr w:type="gramEnd"/>
            <w:r w:rsidRPr="003E6671">
              <w:rPr>
                <w:rFonts w:ascii="Times New Roman" w:hAnsi="Times New Roman" w:cs="Times New Roman"/>
                <w:color w:val="000000" w:themeColor="text1"/>
                <w:sz w:val="20"/>
                <w:szCs w:val="20"/>
              </w:rPr>
              <w:t>  genetic</w:t>
            </w:r>
            <w:proofErr w:type="gramStart"/>
            <w:r w:rsidRPr="003E6671">
              <w:rPr>
                <w:rFonts w:ascii="Times New Roman" w:hAnsi="Times New Roman" w:cs="Times New Roman"/>
                <w:color w:val="000000" w:themeColor="text1"/>
                <w:sz w:val="20"/>
                <w:szCs w:val="20"/>
              </w:rPr>
              <w:t>*  OR</w:t>
            </w:r>
            <w:proofErr w:type="gramEnd"/>
            <w:r w:rsidRPr="003E6671">
              <w:rPr>
                <w:rFonts w:ascii="Times New Roman" w:hAnsi="Times New Roman" w:cs="Times New Roman"/>
                <w:color w:val="000000" w:themeColor="text1"/>
                <w:sz w:val="20"/>
                <w:szCs w:val="20"/>
              </w:rPr>
              <w:t>  </w:t>
            </w:r>
            <w:proofErr w:type="gramStart"/>
            <w:r w:rsidRPr="003E6671">
              <w:rPr>
                <w:rFonts w:ascii="Times New Roman" w:hAnsi="Times New Roman" w:cs="Times New Roman"/>
                <w:color w:val="000000" w:themeColor="text1"/>
                <w:sz w:val="20"/>
                <w:szCs w:val="20"/>
              </w:rPr>
              <w:t>SNP  OR</w:t>
            </w:r>
            <w:proofErr w:type="gramEnd"/>
            <w:r w:rsidRPr="003E6671">
              <w:rPr>
                <w:rFonts w:ascii="Times New Roman" w:hAnsi="Times New Roman" w:cs="Times New Roman"/>
                <w:color w:val="000000" w:themeColor="text1"/>
                <w:sz w:val="20"/>
                <w:szCs w:val="20"/>
              </w:rPr>
              <w:t>  </w:t>
            </w:r>
            <w:proofErr w:type="gramStart"/>
            <w:r w:rsidRPr="003E6671">
              <w:rPr>
                <w:rFonts w:ascii="Times New Roman" w:hAnsi="Times New Roman" w:cs="Times New Roman"/>
                <w:color w:val="000000" w:themeColor="text1"/>
                <w:sz w:val="20"/>
                <w:szCs w:val="20"/>
              </w:rPr>
              <w:t>genes )</w:t>
            </w:r>
            <w:proofErr w:type="gramEnd"/>
            <w:r w:rsidRPr="003E6671">
              <w:rPr>
                <w:rFonts w:ascii="Times New Roman" w:hAnsi="Times New Roman" w:cs="Times New Roman"/>
                <w:color w:val="000000" w:themeColor="text1"/>
                <w:sz w:val="20"/>
                <w:szCs w:val="20"/>
              </w:rPr>
              <w:t>)</w:t>
            </w:r>
          </w:p>
          <w:p w14:paraId="21F2F4A7" w14:textId="77777777" w:rsidR="00585EBE" w:rsidRPr="003E6671" w:rsidRDefault="00585EBE" w:rsidP="00473F86">
            <w:pPr>
              <w:spacing w:line="360" w:lineRule="auto"/>
              <w:rPr>
                <w:color w:val="000000" w:themeColor="text1"/>
                <w:sz w:val="20"/>
                <w:szCs w:val="20"/>
                <w:shd w:val="clear" w:color="auto" w:fill="F8F8F8"/>
              </w:rPr>
            </w:pPr>
          </w:p>
        </w:tc>
        <w:tc>
          <w:tcPr>
            <w:tcW w:w="1276" w:type="dxa"/>
            <w:tcBorders>
              <w:top w:val="single" w:sz="4" w:space="0" w:color="D9D9D9" w:themeColor="background1" w:themeShade="D9"/>
              <w:bottom w:val="single" w:sz="4" w:space="0" w:color="D9D9D9" w:themeColor="background1" w:themeShade="D9"/>
            </w:tcBorders>
          </w:tcPr>
          <w:p w14:paraId="00A070A8" w14:textId="77777777" w:rsidR="00585EBE" w:rsidRPr="003E6671" w:rsidRDefault="00585EBE" w:rsidP="00473F86">
            <w:pPr>
              <w:spacing w:line="360" w:lineRule="auto"/>
              <w:jc w:val="center"/>
              <w:rPr>
                <w:color w:val="000000" w:themeColor="text1"/>
                <w:sz w:val="20"/>
                <w:szCs w:val="20"/>
              </w:rPr>
            </w:pPr>
            <w:r w:rsidRPr="003E6671">
              <w:rPr>
                <w:color w:val="000000" w:themeColor="text1"/>
                <w:sz w:val="20"/>
                <w:szCs w:val="20"/>
              </w:rPr>
              <w:t>9801</w:t>
            </w:r>
          </w:p>
        </w:tc>
        <w:tc>
          <w:tcPr>
            <w:tcW w:w="1417" w:type="dxa"/>
            <w:tcBorders>
              <w:top w:val="single" w:sz="4" w:space="0" w:color="D9D9D9" w:themeColor="background1" w:themeShade="D9"/>
              <w:bottom w:val="single" w:sz="4" w:space="0" w:color="D9D9D9" w:themeColor="background1" w:themeShade="D9"/>
              <w:right w:val="single" w:sz="4" w:space="0" w:color="000000" w:themeColor="text1"/>
            </w:tcBorders>
          </w:tcPr>
          <w:p w14:paraId="260E832C" w14:textId="0B3F8465" w:rsidR="00585EBE" w:rsidRPr="003E6671" w:rsidRDefault="00585EBE" w:rsidP="00473F86">
            <w:pPr>
              <w:spacing w:line="360" w:lineRule="auto"/>
              <w:jc w:val="center"/>
              <w:rPr>
                <w:color w:val="000000" w:themeColor="text1"/>
                <w:sz w:val="20"/>
                <w:szCs w:val="20"/>
              </w:rPr>
            </w:pPr>
            <w:r>
              <w:rPr>
                <w:color w:val="000000" w:themeColor="text1"/>
                <w:sz w:val="20"/>
                <w:szCs w:val="20"/>
              </w:rPr>
              <w:t>3676</w:t>
            </w:r>
          </w:p>
        </w:tc>
      </w:tr>
      <w:tr w:rsidR="00473F86" w:rsidRPr="001F3056" w14:paraId="4937BC86" w14:textId="77777777" w:rsidTr="000361C2">
        <w:trPr>
          <w:jc w:val="center"/>
        </w:trPr>
        <w:tc>
          <w:tcPr>
            <w:tcW w:w="1134" w:type="dxa"/>
            <w:tcBorders>
              <w:top w:val="single" w:sz="4" w:space="0" w:color="D9D9D9" w:themeColor="background1" w:themeShade="D9"/>
              <w:left w:val="single" w:sz="4" w:space="0" w:color="000000" w:themeColor="text1"/>
              <w:bottom w:val="single" w:sz="4" w:space="0" w:color="D9D9D9" w:themeColor="background1" w:themeShade="D9"/>
            </w:tcBorders>
            <w:shd w:val="clear" w:color="auto" w:fill="auto"/>
          </w:tcPr>
          <w:p w14:paraId="25FC67E9" w14:textId="77777777" w:rsidR="00585EBE" w:rsidRPr="003E6671" w:rsidRDefault="00585EBE" w:rsidP="00473F86">
            <w:pPr>
              <w:spacing w:line="360" w:lineRule="auto"/>
              <w:rPr>
                <w:color w:val="000000" w:themeColor="text1"/>
                <w:sz w:val="20"/>
                <w:szCs w:val="20"/>
              </w:rPr>
            </w:pPr>
            <w:r w:rsidRPr="003E6671">
              <w:rPr>
                <w:color w:val="000000" w:themeColor="text1"/>
                <w:sz w:val="20"/>
                <w:szCs w:val="20"/>
              </w:rPr>
              <w:t xml:space="preserve">EMBASE </w:t>
            </w:r>
          </w:p>
        </w:tc>
        <w:tc>
          <w:tcPr>
            <w:tcW w:w="6096" w:type="dxa"/>
            <w:tcBorders>
              <w:top w:val="single" w:sz="4" w:space="0" w:color="D9D9D9" w:themeColor="background1" w:themeShade="D9"/>
              <w:bottom w:val="single" w:sz="4" w:space="0" w:color="D9D9D9" w:themeColor="background1" w:themeShade="D9"/>
            </w:tcBorders>
            <w:shd w:val="clear" w:color="auto" w:fill="auto"/>
          </w:tcPr>
          <w:p w14:paraId="5F2B1632" w14:textId="77777777" w:rsidR="00585EBE" w:rsidRPr="003E6671" w:rsidRDefault="00585EBE" w:rsidP="00473F86">
            <w:pPr>
              <w:spacing w:line="360" w:lineRule="auto"/>
              <w:rPr>
                <w:color w:val="000000" w:themeColor="text1"/>
                <w:sz w:val="20"/>
                <w:szCs w:val="20"/>
              </w:rPr>
            </w:pPr>
            <w:r w:rsidRPr="003E6671">
              <w:rPr>
                <w:color w:val="000000" w:themeColor="text1"/>
                <w:sz w:val="20"/>
                <w:szCs w:val="20"/>
              </w:rPr>
              <w:t>((arsenic acid or arsenic poisoning or arsenic or arsenic derivative or arsenic acid derivative) and (gene or polymorphism or genetic or SNP or genes))</w:t>
            </w:r>
            <w:r w:rsidRPr="003E6671">
              <w:rPr>
                <w:color w:val="000000" w:themeColor="text1"/>
                <w:sz w:val="20"/>
                <w:szCs w:val="20"/>
                <w:shd w:val="clear" w:color="auto" w:fill="F7F7F7"/>
              </w:rPr>
              <w:t>.</w:t>
            </w:r>
            <w:proofErr w:type="spellStart"/>
            <w:r w:rsidRPr="003E6671">
              <w:rPr>
                <w:color w:val="000000" w:themeColor="text1"/>
                <w:sz w:val="20"/>
                <w:szCs w:val="20"/>
                <w:shd w:val="clear" w:color="auto" w:fill="F7F7F7"/>
              </w:rPr>
              <w:t>af</w:t>
            </w:r>
            <w:proofErr w:type="spellEnd"/>
            <w:r w:rsidRPr="003E6671">
              <w:rPr>
                <w:color w:val="000000" w:themeColor="text1"/>
                <w:sz w:val="20"/>
                <w:szCs w:val="20"/>
                <w:shd w:val="clear" w:color="auto" w:fill="F7F7F7"/>
              </w:rPr>
              <w:t>.</w:t>
            </w:r>
          </w:p>
        </w:tc>
        <w:tc>
          <w:tcPr>
            <w:tcW w:w="1276" w:type="dxa"/>
            <w:tcBorders>
              <w:top w:val="single" w:sz="4" w:space="0" w:color="D9D9D9" w:themeColor="background1" w:themeShade="D9"/>
              <w:bottom w:val="single" w:sz="4" w:space="0" w:color="D9D9D9" w:themeColor="background1" w:themeShade="D9"/>
            </w:tcBorders>
          </w:tcPr>
          <w:p w14:paraId="12FF555F" w14:textId="1D3C52FE" w:rsidR="00585EBE" w:rsidRPr="003E6671" w:rsidRDefault="00585EBE" w:rsidP="00473F86">
            <w:pPr>
              <w:spacing w:line="360" w:lineRule="auto"/>
              <w:jc w:val="center"/>
              <w:rPr>
                <w:color w:val="000000" w:themeColor="text1"/>
                <w:sz w:val="20"/>
                <w:szCs w:val="20"/>
              </w:rPr>
            </w:pPr>
            <w:r w:rsidRPr="003E6671">
              <w:rPr>
                <w:color w:val="000000" w:themeColor="text1"/>
                <w:sz w:val="20"/>
                <w:szCs w:val="20"/>
              </w:rPr>
              <w:t>7430</w:t>
            </w:r>
          </w:p>
        </w:tc>
        <w:tc>
          <w:tcPr>
            <w:tcW w:w="1417" w:type="dxa"/>
            <w:tcBorders>
              <w:top w:val="single" w:sz="4" w:space="0" w:color="D9D9D9" w:themeColor="background1" w:themeShade="D9"/>
              <w:bottom w:val="single" w:sz="4" w:space="0" w:color="D9D9D9" w:themeColor="background1" w:themeShade="D9"/>
              <w:right w:val="single" w:sz="4" w:space="0" w:color="000000" w:themeColor="text1"/>
            </w:tcBorders>
          </w:tcPr>
          <w:p w14:paraId="687AC72B" w14:textId="1EC6D5B5" w:rsidR="00585EBE" w:rsidRPr="003E6671" w:rsidRDefault="00585EBE" w:rsidP="00473F86">
            <w:pPr>
              <w:spacing w:line="360" w:lineRule="auto"/>
              <w:jc w:val="center"/>
              <w:rPr>
                <w:color w:val="000000" w:themeColor="text1"/>
                <w:sz w:val="20"/>
                <w:szCs w:val="20"/>
              </w:rPr>
            </w:pPr>
            <w:r>
              <w:rPr>
                <w:color w:val="000000" w:themeColor="text1"/>
                <w:sz w:val="20"/>
                <w:szCs w:val="20"/>
              </w:rPr>
              <w:t>3266</w:t>
            </w:r>
          </w:p>
        </w:tc>
      </w:tr>
      <w:tr w:rsidR="000361C2" w:rsidRPr="001F3056" w14:paraId="286C3DD4" w14:textId="77777777" w:rsidTr="000361C2">
        <w:trPr>
          <w:jc w:val="center"/>
        </w:trPr>
        <w:tc>
          <w:tcPr>
            <w:tcW w:w="1134" w:type="dxa"/>
            <w:tcBorders>
              <w:top w:val="single" w:sz="4" w:space="0" w:color="D9D9D9" w:themeColor="background1" w:themeShade="D9"/>
              <w:left w:val="single" w:sz="4" w:space="0" w:color="000000" w:themeColor="text1"/>
              <w:bottom w:val="single" w:sz="4" w:space="0" w:color="000000" w:themeColor="text1"/>
            </w:tcBorders>
            <w:shd w:val="clear" w:color="auto" w:fill="auto"/>
          </w:tcPr>
          <w:p w14:paraId="7A483CD7" w14:textId="77777777" w:rsidR="00B30E15" w:rsidRPr="003E6671" w:rsidRDefault="00B30E15" w:rsidP="00473F86">
            <w:pPr>
              <w:spacing w:line="360" w:lineRule="auto"/>
              <w:rPr>
                <w:color w:val="000000" w:themeColor="text1"/>
                <w:sz w:val="20"/>
                <w:szCs w:val="20"/>
              </w:rPr>
            </w:pPr>
            <w:r w:rsidRPr="003E6671">
              <w:rPr>
                <w:color w:val="000000" w:themeColor="text1"/>
                <w:sz w:val="20"/>
                <w:szCs w:val="20"/>
              </w:rPr>
              <w:t xml:space="preserve">TOXLINE via </w:t>
            </w:r>
            <w:proofErr w:type="spellStart"/>
            <w:r w:rsidRPr="003E6671">
              <w:rPr>
                <w:color w:val="000000" w:themeColor="text1"/>
                <w:sz w:val="20"/>
                <w:szCs w:val="20"/>
              </w:rPr>
              <w:t>TOXnet</w:t>
            </w:r>
            <w:proofErr w:type="spellEnd"/>
            <w:r w:rsidRPr="003E6671">
              <w:rPr>
                <w:color w:val="000000" w:themeColor="text1"/>
                <w:sz w:val="20"/>
                <w:szCs w:val="20"/>
              </w:rPr>
              <w:t xml:space="preserve"> </w:t>
            </w:r>
          </w:p>
        </w:tc>
        <w:tc>
          <w:tcPr>
            <w:tcW w:w="6096" w:type="dxa"/>
            <w:tcBorders>
              <w:top w:val="single" w:sz="4" w:space="0" w:color="D9D9D9" w:themeColor="background1" w:themeShade="D9"/>
              <w:bottom w:val="single" w:sz="4" w:space="0" w:color="000000" w:themeColor="text1"/>
            </w:tcBorders>
            <w:shd w:val="clear" w:color="auto" w:fill="auto"/>
          </w:tcPr>
          <w:p w14:paraId="4052EDFB" w14:textId="77777777" w:rsidR="00B30E15" w:rsidRPr="003E6671" w:rsidRDefault="00B30E15" w:rsidP="00473F86">
            <w:pPr>
              <w:spacing w:line="360" w:lineRule="auto"/>
              <w:rPr>
                <w:color w:val="000000" w:themeColor="text1"/>
                <w:sz w:val="20"/>
                <w:szCs w:val="20"/>
              </w:rPr>
            </w:pPr>
            <w:r w:rsidRPr="003E6671">
              <w:rPr>
                <w:color w:val="000000" w:themeColor="text1"/>
                <w:sz w:val="20"/>
                <w:szCs w:val="20"/>
                <w:shd w:val="clear" w:color="auto" w:fill="FFFFFF"/>
              </w:rPr>
              <w:t>excluding PubMed records and adding synonyms and CAS numbers</w:t>
            </w:r>
          </w:p>
          <w:p w14:paraId="488082FC" w14:textId="77777777" w:rsidR="00B30E15" w:rsidRPr="003E6671" w:rsidRDefault="00B30E15" w:rsidP="00473F86">
            <w:pPr>
              <w:spacing w:line="360" w:lineRule="auto"/>
              <w:rPr>
                <w:color w:val="000000" w:themeColor="text1"/>
                <w:sz w:val="20"/>
                <w:szCs w:val="20"/>
              </w:rPr>
            </w:pPr>
            <w:r w:rsidRPr="003E6671">
              <w:rPr>
                <w:color w:val="000000" w:themeColor="text1"/>
                <w:sz w:val="20"/>
                <w:szCs w:val="20"/>
              </w:rPr>
              <w:t>(arsenic* OR arsenical* OR </w:t>
            </w:r>
            <w:proofErr w:type="spellStart"/>
            <w:r w:rsidRPr="003E6671">
              <w:rPr>
                <w:color w:val="000000" w:themeColor="text1"/>
                <w:sz w:val="20"/>
                <w:szCs w:val="20"/>
              </w:rPr>
              <w:t>arsenite</w:t>
            </w:r>
            <w:proofErr w:type="spellEnd"/>
            <w:r w:rsidRPr="003E6671">
              <w:rPr>
                <w:color w:val="000000" w:themeColor="text1"/>
                <w:sz w:val="20"/>
                <w:szCs w:val="20"/>
              </w:rPr>
              <w:t>* OR arsenate* OR 7440-38-2[</w:t>
            </w:r>
            <w:proofErr w:type="spellStart"/>
            <w:r w:rsidRPr="003E6671">
              <w:rPr>
                <w:color w:val="000000" w:themeColor="text1"/>
                <w:sz w:val="20"/>
                <w:szCs w:val="20"/>
              </w:rPr>
              <w:t>rn</w:t>
            </w:r>
            <w:proofErr w:type="spellEnd"/>
            <w:r w:rsidRPr="003E6671">
              <w:rPr>
                <w:color w:val="000000" w:themeColor="text1"/>
                <w:sz w:val="20"/>
                <w:szCs w:val="20"/>
              </w:rPr>
              <w:t>])</w:t>
            </w:r>
          </w:p>
          <w:p w14:paraId="052DDE5C" w14:textId="77777777" w:rsidR="00B30E15" w:rsidRPr="003E6671" w:rsidRDefault="00B30E15" w:rsidP="00473F86">
            <w:pPr>
              <w:spacing w:line="360" w:lineRule="auto"/>
              <w:rPr>
                <w:color w:val="000000" w:themeColor="text1"/>
                <w:sz w:val="20"/>
                <w:szCs w:val="20"/>
              </w:rPr>
            </w:pPr>
            <w:r w:rsidRPr="003E6671">
              <w:rPr>
                <w:color w:val="000000" w:themeColor="text1"/>
                <w:sz w:val="20"/>
                <w:szCs w:val="20"/>
              </w:rPr>
              <w:t>AND</w:t>
            </w:r>
          </w:p>
          <w:p w14:paraId="4BB8169C" w14:textId="77777777" w:rsidR="00B30E15" w:rsidRPr="003E6671" w:rsidRDefault="00B30E15" w:rsidP="00473F86">
            <w:pPr>
              <w:pStyle w:val="Heading2"/>
              <w:spacing w:before="0" w:line="360" w:lineRule="auto"/>
              <w:rPr>
                <w:rFonts w:ascii="Times New Roman" w:hAnsi="Times New Roman" w:cs="Times New Roman"/>
                <w:b/>
                <w:bCs/>
                <w:color w:val="000000" w:themeColor="text1"/>
                <w:sz w:val="20"/>
                <w:szCs w:val="20"/>
              </w:rPr>
            </w:pPr>
            <w:r w:rsidRPr="003E6671">
              <w:rPr>
                <w:rFonts w:ascii="Times New Roman" w:hAnsi="Times New Roman" w:cs="Times New Roman"/>
                <w:color w:val="000000" w:themeColor="text1"/>
                <w:sz w:val="20"/>
                <w:szCs w:val="20"/>
              </w:rPr>
              <w:t>(</w:t>
            </w:r>
            <w:proofErr w:type="gramStart"/>
            <w:r w:rsidRPr="003E6671">
              <w:rPr>
                <w:rFonts w:ascii="Times New Roman" w:hAnsi="Times New Roman" w:cs="Times New Roman"/>
                <w:color w:val="000000" w:themeColor="text1"/>
                <w:sz w:val="20"/>
                <w:szCs w:val="20"/>
              </w:rPr>
              <w:t>gene  OR</w:t>
            </w:r>
            <w:proofErr w:type="gramEnd"/>
            <w:r w:rsidRPr="003E6671">
              <w:rPr>
                <w:rFonts w:ascii="Times New Roman" w:hAnsi="Times New Roman" w:cs="Times New Roman"/>
                <w:color w:val="000000" w:themeColor="text1"/>
                <w:sz w:val="20"/>
                <w:szCs w:val="20"/>
              </w:rPr>
              <w:t>  polymorphism</w:t>
            </w:r>
            <w:proofErr w:type="gramStart"/>
            <w:r w:rsidRPr="003E6671">
              <w:rPr>
                <w:rFonts w:ascii="Times New Roman" w:hAnsi="Times New Roman" w:cs="Times New Roman"/>
                <w:color w:val="000000" w:themeColor="text1"/>
                <w:sz w:val="20"/>
                <w:szCs w:val="20"/>
              </w:rPr>
              <w:t>*  OR</w:t>
            </w:r>
            <w:proofErr w:type="gramEnd"/>
            <w:r w:rsidRPr="003E6671">
              <w:rPr>
                <w:rFonts w:ascii="Times New Roman" w:hAnsi="Times New Roman" w:cs="Times New Roman"/>
                <w:color w:val="000000" w:themeColor="text1"/>
                <w:sz w:val="20"/>
                <w:szCs w:val="20"/>
              </w:rPr>
              <w:t>  genetic</w:t>
            </w:r>
            <w:proofErr w:type="gramStart"/>
            <w:r w:rsidRPr="003E6671">
              <w:rPr>
                <w:rFonts w:ascii="Times New Roman" w:hAnsi="Times New Roman" w:cs="Times New Roman"/>
                <w:color w:val="000000" w:themeColor="text1"/>
                <w:sz w:val="20"/>
                <w:szCs w:val="20"/>
              </w:rPr>
              <w:t>*  OR</w:t>
            </w:r>
            <w:proofErr w:type="gramEnd"/>
            <w:r w:rsidRPr="003E6671">
              <w:rPr>
                <w:rFonts w:ascii="Times New Roman" w:hAnsi="Times New Roman" w:cs="Times New Roman"/>
                <w:color w:val="000000" w:themeColor="text1"/>
                <w:sz w:val="20"/>
                <w:szCs w:val="20"/>
              </w:rPr>
              <w:t>  </w:t>
            </w:r>
            <w:proofErr w:type="gramStart"/>
            <w:r w:rsidRPr="003E6671">
              <w:rPr>
                <w:rFonts w:ascii="Times New Roman" w:hAnsi="Times New Roman" w:cs="Times New Roman"/>
                <w:color w:val="000000" w:themeColor="text1"/>
                <w:sz w:val="20"/>
                <w:szCs w:val="20"/>
              </w:rPr>
              <w:t>SNP  OR</w:t>
            </w:r>
            <w:proofErr w:type="gramEnd"/>
            <w:r w:rsidRPr="003E6671">
              <w:rPr>
                <w:rFonts w:ascii="Times New Roman" w:hAnsi="Times New Roman" w:cs="Times New Roman"/>
                <w:color w:val="000000" w:themeColor="text1"/>
                <w:sz w:val="20"/>
                <w:szCs w:val="20"/>
              </w:rPr>
              <w:t>  </w:t>
            </w:r>
            <w:proofErr w:type="gramStart"/>
            <w:r w:rsidRPr="003E6671">
              <w:rPr>
                <w:rFonts w:ascii="Times New Roman" w:hAnsi="Times New Roman" w:cs="Times New Roman"/>
                <w:color w:val="000000" w:themeColor="text1"/>
                <w:sz w:val="20"/>
                <w:szCs w:val="20"/>
              </w:rPr>
              <w:t>genes )</w:t>
            </w:r>
            <w:proofErr w:type="gramEnd"/>
          </w:p>
          <w:p w14:paraId="7048386F" w14:textId="77777777" w:rsidR="00B30E15" w:rsidRPr="003E6671" w:rsidRDefault="00B30E15" w:rsidP="00473F86">
            <w:pPr>
              <w:spacing w:line="360" w:lineRule="auto"/>
              <w:rPr>
                <w:color w:val="000000" w:themeColor="text1"/>
                <w:sz w:val="20"/>
                <w:szCs w:val="20"/>
              </w:rPr>
            </w:pPr>
          </w:p>
        </w:tc>
        <w:tc>
          <w:tcPr>
            <w:tcW w:w="1276" w:type="dxa"/>
            <w:tcBorders>
              <w:top w:val="single" w:sz="4" w:space="0" w:color="D9D9D9" w:themeColor="background1" w:themeShade="D9"/>
              <w:bottom w:val="single" w:sz="4" w:space="0" w:color="000000" w:themeColor="text1"/>
            </w:tcBorders>
          </w:tcPr>
          <w:p w14:paraId="1DA9EB65" w14:textId="77777777" w:rsidR="00B30E15" w:rsidRPr="003E6671" w:rsidRDefault="00B30E15" w:rsidP="00473F86">
            <w:pPr>
              <w:spacing w:line="360" w:lineRule="auto"/>
              <w:jc w:val="center"/>
              <w:rPr>
                <w:color w:val="000000" w:themeColor="text1"/>
                <w:sz w:val="20"/>
                <w:szCs w:val="20"/>
              </w:rPr>
            </w:pPr>
            <w:r w:rsidRPr="003E6671">
              <w:rPr>
                <w:color w:val="000000" w:themeColor="text1"/>
                <w:sz w:val="20"/>
                <w:szCs w:val="20"/>
              </w:rPr>
              <w:t>2557</w:t>
            </w:r>
          </w:p>
        </w:tc>
        <w:tc>
          <w:tcPr>
            <w:tcW w:w="1417" w:type="dxa"/>
            <w:tcBorders>
              <w:top w:val="single" w:sz="4" w:space="0" w:color="D9D9D9" w:themeColor="background1" w:themeShade="D9"/>
              <w:bottom w:val="single" w:sz="4" w:space="0" w:color="000000" w:themeColor="text1"/>
              <w:right w:val="single" w:sz="4" w:space="0" w:color="000000" w:themeColor="text1"/>
            </w:tcBorders>
          </w:tcPr>
          <w:p w14:paraId="1AB838EB" w14:textId="703CB073" w:rsidR="00B30E15" w:rsidRPr="003E6671" w:rsidRDefault="00585EBE" w:rsidP="00473F86">
            <w:pPr>
              <w:spacing w:line="360" w:lineRule="auto"/>
              <w:jc w:val="center"/>
              <w:rPr>
                <w:color w:val="000000" w:themeColor="text1"/>
                <w:sz w:val="20"/>
                <w:szCs w:val="20"/>
              </w:rPr>
            </w:pPr>
            <w:r>
              <w:rPr>
                <w:color w:val="000000" w:themeColor="text1"/>
                <w:sz w:val="20"/>
                <w:szCs w:val="20"/>
              </w:rPr>
              <w:t>Discontinued</w:t>
            </w:r>
            <w:r w:rsidR="00473F86">
              <w:rPr>
                <w:color w:val="000000" w:themeColor="text1"/>
                <w:sz w:val="20"/>
                <w:szCs w:val="20"/>
              </w:rPr>
              <w:t>*</w:t>
            </w:r>
          </w:p>
        </w:tc>
      </w:tr>
      <w:bookmarkEnd w:id="0"/>
    </w:tbl>
    <w:p w14:paraId="3A8A4099" w14:textId="77777777" w:rsidR="00312803" w:rsidRDefault="00312803" w:rsidP="00473F86">
      <w:pPr>
        <w:spacing w:line="360" w:lineRule="auto"/>
        <w:jc w:val="both"/>
        <w:rPr>
          <w:sz w:val="22"/>
          <w:szCs w:val="22"/>
        </w:rPr>
      </w:pPr>
    </w:p>
    <w:p w14:paraId="62E79995" w14:textId="118F1E4E" w:rsidR="00312803" w:rsidRDefault="00473F86" w:rsidP="00473F86">
      <w:pPr>
        <w:spacing w:line="360" w:lineRule="auto"/>
        <w:jc w:val="both"/>
        <w:rPr>
          <w:sz w:val="22"/>
          <w:szCs w:val="22"/>
        </w:rPr>
      </w:pPr>
      <w:r w:rsidRPr="00473F86">
        <w:rPr>
          <w:sz w:val="22"/>
          <w:szCs w:val="22"/>
        </w:rPr>
        <w:t>*</w:t>
      </w:r>
      <w:r>
        <w:rPr>
          <w:sz w:val="22"/>
          <w:szCs w:val="22"/>
        </w:rPr>
        <w:t xml:space="preserve"> </w:t>
      </w:r>
      <w:r w:rsidR="00B30E15" w:rsidRPr="00473F86">
        <w:rPr>
          <w:sz w:val="22"/>
          <w:szCs w:val="22"/>
        </w:rPr>
        <w:t xml:space="preserve">The TOXNET database has retired </w:t>
      </w:r>
      <w:proofErr w:type="gramStart"/>
      <w:r w:rsidR="00B30E15" w:rsidRPr="00473F86">
        <w:rPr>
          <w:sz w:val="22"/>
          <w:szCs w:val="22"/>
        </w:rPr>
        <w:t>on</w:t>
      </w:r>
      <w:proofErr w:type="gramEnd"/>
      <w:r w:rsidR="00B30E15" w:rsidRPr="00473F86">
        <w:rPr>
          <w:sz w:val="22"/>
          <w:szCs w:val="22"/>
        </w:rPr>
        <w:t xml:space="preserve"> December 2019 as part of a broader re-organization of National Library of Medicine’s toxicology information (</w:t>
      </w:r>
      <w:hyperlink r:id="rId8" w:history="1">
        <w:r w:rsidR="00B30E15" w:rsidRPr="00473F86">
          <w:rPr>
            <w:rStyle w:val="Hyperlink"/>
            <w:sz w:val="22"/>
            <w:szCs w:val="22"/>
          </w:rPr>
          <w:t>https://www.nlm.nih.gov/toxnet/index.html</w:t>
        </w:r>
      </w:hyperlink>
      <w:r w:rsidR="00B30E15" w:rsidRPr="00473F86">
        <w:rPr>
          <w:sz w:val="22"/>
          <w:szCs w:val="22"/>
        </w:rPr>
        <w:t>).</w:t>
      </w:r>
    </w:p>
    <w:p w14:paraId="5BDCEED2" w14:textId="77777777" w:rsidR="00312803" w:rsidRDefault="00312803">
      <w:pPr>
        <w:rPr>
          <w:sz w:val="22"/>
          <w:szCs w:val="22"/>
        </w:rPr>
      </w:pPr>
      <w:r>
        <w:rPr>
          <w:sz w:val="22"/>
          <w:szCs w:val="22"/>
        </w:rPr>
        <w:br w:type="page"/>
      </w:r>
    </w:p>
    <w:p w14:paraId="0AE1EA1C" w14:textId="6A89F373" w:rsidR="00B30E15" w:rsidRPr="00312803" w:rsidRDefault="00312803" w:rsidP="00473F86">
      <w:pPr>
        <w:spacing w:line="360" w:lineRule="auto"/>
        <w:jc w:val="both"/>
        <w:rPr>
          <w:b/>
          <w:color w:val="000000" w:themeColor="text1"/>
          <w:sz w:val="22"/>
          <w:szCs w:val="22"/>
        </w:rPr>
      </w:pPr>
      <w:r w:rsidRPr="00312803">
        <w:rPr>
          <w:b/>
          <w:color w:val="000000" w:themeColor="text1"/>
          <w:sz w:val="22"/>
          <w:szCs w:val="22"/>
        </w:rPr>
        <w:lastRenderedPageBreak/>
        <w:t xml:space="preserve">Supplement Table 3 </w:t>
      </w:r>
      <w:r w:rsidRPr="00312803">
        <w:rPr>
          <w:b/>
          <w:bCs/>
          <w:sz w:val="22"/>
          <w:szCs w:val="22"/>
        </w:rPr>
        <w:t xml:space="preserve">Definitions and acronyms of environmental arsenic exposure, arsenic metabolites and arsenic metabolism markers used in this </w:t>
      </w:r>
      <w:r>
        <w:rPr>
          <w:b/>
          <w:bCs/>
          <w:sz w:val="22"/>
          <w:szCs w:val="22"/>
        </w:rPr>
        <w:t>systematic review</w:t>
      </w:r>
      <w:r w:rsidRPr="00312803">
        <w:rPr>
          <w:b/>
          <w:bCs/>
          <w:sz w:val="22"/>
          <w:szCs w:val="22"/>
        </w:rPr>
        <w:t>.</w:t>
      </w:r>
    </w:p>
    <w:tbl>
      <w:tblPr>
        <w:tblStyle w:val="TableGrid"/>
        <w:tblW w:w="10206" w:type="dxa"/>
        <w:jc w:val="center"/>
        <w:tblLook w:val="04A0" w:firstRow="1" w:lastRow="0" w:firstColumn="1" w:lastColumn="0" w:noHBand="0" w:noVBand="1"/>
      </w:tblPr>
      <w:tblGrid>
        <w:gridCol w:w="811"/>
        <w:gridCol w:w="2241"/>
        <w:gridCol w:w="1892"/>
        <w:gridCol w:w="1010"/>
        <w:gridCol w:w="2551"/>
        <w:gridCol w:w="1701"/>
      </w:tblGrid>
      <w:tr w:rsidR="00312803" w:rsidRPr="000C6C8B" w14:paraId="037DDF55" w14:textId="77777777" w:rsidTr="000C6C8B">
        <w:trPr>
          <w:jc w:val="center"/>
        </w:trPr>
        <w:tc>
          <w:tcPr>
            <w:tcW w:w="10206" w:type="dxa"/>
            <w:gridSpan w:val="6"/>
            <w:tcBorders>
              <w:top w:val="nil"/>
              <w:left w:val="nil"/>
              <w:right w:val="nil"/>
            </w:tcBorders>
          </w:tcPr>
          <w:p w14:paraId="1EC4EB26" w14:textId="0F2E901B" w:rsidR="00312803" w:rsidRPr="000C6C8B" w:rsidRDefault="00312803" w:rsidP="00223E56">
            <w:pPr>
              <w:spacing w:line="360" w:lineRule="auto"/>
              <w:jc w:val="both"/>
              <w:rPr>
                <w:sz w:val="20"/>
                <w:szCs w:val="20"/>
              </w:rPr>
            </w:pPr>
          </w:p>
        </w:tc>
      </w:tr>
      <w:tr w:rsidR="00312803" w:rsidRPr="000C6C8B" w14:paraId="76EF6A34" w14:textId="77777777" w:rsidTr="000C6C8B">
        <w:trPr>
          <w:jc w:val="center"/>
        </w:trPr>
        <w:tc>
          <w:tcPr>
            <w:tcW w:w="4944" w:type="dxa"/>
            <w:gridSpan w:val="3"/>
            <w:tcBorders>
              <w:top w:val="single" w:sz="4" w:space="0" w:color="000000" w:themeColor="text1"/>
              <w:left w:val="single" w:sz="4" w:space="0" w:color="000000" w:themeColor="text1"/>
              <w:bottom w:val="nil"/>
              <w:right w:val="single" w:sz="4" w:space="0" w:color="000000" w:themeColor="text1"/>
            </w:tcBorders>
          </w:tcPr>
          <w:p w14:paraId="0EED8125" w14:textId="77777777" w:rsidR="00312803" w:rsidRPr="000C6C8B" w:rsidRDefault="00312803" w:rsidP="00223E56">
            <w:pPr>
              <w:spacing w:line="360" w:lineRule="auto"/>
              <w:jc w:val="both"/>
              <w:rPr>
                <w:b/>
                <w:bCs/>
                <w:sz w:val="20"/>
                <w:szCs w:val="20"/>
              </w:rPr>
            </w:pPr>
            <w:r w:rsidRPr="000C6C8B">
              <w:rPr>
                <w:b/>
                <w:bCs/>
                <w:sz w:val="20"/>
                <w:szCs w:val="20"/>
              </w:rPr>
              <w:t>Arsenic species (</w:t>
            </w:r>
            <w:proofErr w:type="spellStart"/>
            <w:r w:rsidRPr="000C6C8B">
              <w:rPr>
                <w:b/>
                <w:bCs/>
                <w:sz w:val="20"/>
                <w:szCs w:val="20"/>
              </w:rPr>
              <w:t>iAs</w:t>
            </w:r>
            <w:proofErr w:type="spellEnd"/>
            <w:r w:rsidRPr="000C6C8B">
              <w:rPr>
                <w:b/>
                <w:bCs/>
                <w:sz w:val="20"/>
                <w:szCs w:val="20"/>
              </w:rPr>
              <w:t xml:space="preserve"> and its metabolites)</w:t>
            </w:r>
          </w:p>
        </w:tc>
        <w:tc>
          <w:tcPr>
            <w:tcW w:w="5262" w:type="dxa"/>
            <w:gridSpan w:val="3"/>
            <w:tcBorders>
              <w:top w:val="nil"/>
              <w:left w:val="single" w:sz="4" w:space="0" w:color="000000" w:themeColor="text1"/>
              <w:bottom w:val="single" w:sz="4" w:space="0" w:color="000000" w:themeColor="text1"/>
              <w:right w:val="single" w:sz="4" w:space="0" w:color="000000" w:themeColor="text1"/>
            </w:tcBorders>
          </w:tcPr>
          <w:p w14:paraId="488023EF" w14:textId="77777777" w:rsidR="00312803" w:rsidRPr="000C6C8B" w:rsidRDefault="00312803" w:rsidP="00223E56">
            <w:pPr>
              <w:spacing w:line="360" w:lineRule="auto"/>
              <w:jc w:val="both"/>
              <w:rPr>
                <w:b/>
                <w:bCs/>
                <w:sz w:val="20"/>
                <w:szCs w:val="20"/>
              </w:rPr>
            </w:pPr>
            <w:r w:rsidRPr="000C6C8B">
              <w:rPr>
                <w:b/>
                <w:bCs/>
                <w:sz w:val="20"/>
                <w:szCs w:val="20"/>
              </w:rPr>
              <w:t xml:space="preserve">Arsenic metabolism markers </w:t>
            </w:r>
          </w:p>
        </w:tc>
      </w:tr>
      <w:tr w:rsidR="000C6C8B" w:rsidRPr="000C6C8B" w14:paraId="76B1A795" w14:textId="77777777" w:rsidTr="000C6C8B">
        <w:trPr>
          <w:jc w:val="center"/>
        </w:trPr>
        <w:tc>
          <w:tcPr>
            <w:tcW w:w="811" w:type="dxa"/>
            <w:tcBorders>
              <w:top w:val="single" w:sz="4" w:space="0" w:color="000000" w:themeColor="text1"/>
              <w:left w:val="single" w:sz="4" w:space="0" w:color="000000" w:themeColor="text1"/>
              <w:bottom w:val="nil"/>
              <w:right w:val="nil"/>
            </w:tcBorders>
          </w:tcPr>
          <w:p w14:paraId="59CA39AF" w14:textId="77777777" w:rsidR="00312803" w:rsidRPr="000C6C8B" w:rsidRDefault="00312803" w:rsidP="00223E56">
            <w:pPr>
              <w:spacing w:line="360" w:lineRule="auto"/>
              <w:jc w:val="both"/>
              <w:rPr>
                <w:b/>
                <w:bCs/>
                <w:sz w:val="20"/>
                <w:szCs w:val="20"/>
              </w:rPr>
            </w:pPr>
            <w:r w:rsidRPr="000C6C8B">
              <w:rPr>
                <w:b/>
                <w:bCs/>
                <w:sz w:val="20"/>
                <w:szCs w:val="20"/>
              </w:rPr>
              <w:t>Abb.</w:t>
            </w:r>
          </w:p>
        </w:tc>
        <w:tc>
          <w:tcPr>
            <w:tcW w:w="2241" w:type="dxa"/>
            <w:tcBorders>
              <w:top w:val="single" w:sz="4" w:space="0" w:color="000000" w:themeColor="text1"/>
              <w:left w:val="nil"/>
              <w:bottom w:val="nil"/>
              <w:right w:val="nil"/>
            </w:tcBorders>
          </w:tcPr>
          <w:p w14:paraId="3E13E4E3" w14:textId="77777777" w:rsidR="00312803" w:rsidRPr="000C6C8B" w:rsidRDefault="00312803" w:rsidP="00223E56">
            <w:pPr>
              <w:spacing w:line="360" w:lineRule="auto"/>
              <w:jc w:val="both"/>
              <w:rPr>
                <w:b/>
                <w:bCs/>
                <w:sz w:val="20"/>
                <w:szCs w:val="20"/>
              </w:rPr>
            </w:pPr>
            <w:r w:rsidRPr="000C6C8B">
              <w:rPr>
                <w:b/>
                <w:bCs/>
                <w:sz w:val="20"/>
                <w:szCs w:val="20"/>
              </w:rPr>
              <w:t xml:space="preserve">Definition </w:t>
            </w:r>
          </w:p>
        </w:tc>
        <w:tc>
          <w:tcPr>
            <w:tcW w:w="1892" w:type="dxa"/>
            <w:tcBorders>
              <w:top w:val="single" w:sz="4" w:space="0" w:color="000000" w:themeColor="text1"/>
              <w:left w:val="nil"/>
              <w:bottom w:val="nil"/>
              <w:right w:val="single" w:sz="4" w:space="0" w:color="000000" w:themeColor="text1"/>
            </w:tcBorders>
          </w:tcPr>
          <w:p w14:paraId="1C40AB0A" w14:textId="77777777" w:rsidR="00312803" w:rsidRPr="000C6C8B" w:rsidRDefault="00312803" w:rsidP="00223E56">
            <w:pPr>
              <w:spacing w:line="360" w:lineRule="auto"/>
              <w:jc w:val="both"/>
              <w:rPr>
                <w:sz w:val="20"/>
                <w:szCs w:val="20"/>
              </w:rPr>
            </w:pPr>
          </w:p>
        </w:tc>
        <w:tc>
          <w:tcPr>
            <w:tcW w:w="1010" w:type="dxa"/>
            <w:tcBorders>
              <w:top w:val="nil"/>
              <w:left w:val="single" w:sz="4" w:space="0" w:color="000000" w:themeColor="text1"/>
              <w:bottom w:val="single" w:sz="4" w:space="0" w:color="000000" w:themeColor="text1"/>
              <w:right w:val="nil"/>
            </w:tcBorders>
          </w:tcPr>
          <w:p w14:paraId="77EE588D" w14:textId="77777777" w:rsidR="00312803" w:rsidRPr="000C6C8B" w:rsidRDefault="00312803" w:rsidP="00223E56">
            <w:pPr>
              <w:spacing w:line="360" w:lineRule="auto"/>
              <w:jc w:val="both"/>
              <w:rPr>
                <w:b/>
                <w:bCs/>
                <w:sz w:val="20"/>
                <w:szCs w:val="20"/>
              </w:rPr>
            </w:pPr>
            <w:r w:rsidRPr="000C6C8B">
              <w:rPr>
                <w:b/>
                <w:bCs/>
                <w:sz w:val="20"/>
                <w:szCs w:val="20"/>
              </w:rPr>
              <w:t>Abb.</w:t>
            </w:r>
          </w:p>
        </w:tc>
        <w:tc>
          <w:tcPr>
            <w:tcW w:w="2551" w:type="dxa"/>
            <w:tcBorders>
              <w:top w:val="nil"/>
              <w:left w:val="nil"/>
              <w:bottom w:val="single" w:sz="4" w:space="0" w:color="000000" w:themeColor="text1"/>
              <w:right w:val="nil"/>
            </w:tcBorders>
          </w:tcPr>
          <w:p w14:paraId="0DC802BA" w14:textId="77777777" w:rsidR="00312803" w:rsidRPr="000C6C8B" w:rsidRDefault="00312803" w:rsidP="00223E56">
            <w:pPr>
              <w:spacing w:line="360" w:lineRule="auto"/>
              <w:jc w:val="both"/>
              <w:rPr>
                <w:sz w:val="20"/>
                <w:szCs w:val="20"/>
              </w:rPr>
            </w:pPr>
            <w:r w:rsidRPr="000C6C8B">
              <w:rPr>
                <w:b/>
                <w:bCs/>
                <w:sz w:val="20"/>
                <w:szCs w:val="20"/>
              </w:rPr>
              <w:t xml:space="preserve">Definition </w:t>
            </w:r>
          </w:p>
        </w:tc>
        <w:tc>
          <w:tcPr>
            <w:tcW w:w="1701" w:type="dxa"/>
            <w:tcBorders>
              <w:top w:val="nil"/>
              <w:left w:val="nil"/>
              <w:bottom w:val="single" w:sz="4" w:space="0" w:color="000000" w:themeColor="text1"/>
              <w:right w:val="single" w:sz="4" w:space="0" w:color="000000" w:themeColor="text1"/>
            </w:tcBorders>
          </w:tcPr>
          <w:p w14:paraId="4D1D4374" w14:textId="77777777" w:rsidR="00312803" w:rsidRPr="000C6C8B" w:rsidRDefault="00312803" w:rsidP="00223E56">
            <w:pPr>
              <w:spacing w:line="360" w:lineRule="auto"/>
              <w:jc w:val="both"/>
              <w:rPr>
                <w:sz w:val="20"/>
                <w:szCs w:val="20"/>
              </w:rPr>
            </w:pPr>
          </w:p>
        </w:tc>
      </w:tr>
      <w:tr w:rsidR="000C6C8B" w:rsidRPr="000C6C8B" w14:paraId="7D99B5C1" w14:textId="77777777" w:rsidTr="000C6C8B">
        <w:trPr>
          <w:jc w:val="center"/>
        </w:trPr>
        <w:tc>
          <w:tcPr>
            <w:tcW w:w="811" w:type="dxa"/>
            <w:tcBorders>
              <w:top w:val="single" w:sz="4" w:space="0" w:color="000000" w:themeColor="text1"/>
              <w:left w:val="single" w:sz="4" w:space="0" w:color="000000" w:themeColor="text1"/>
              <w:bottom w:val="nil"/>
              <w:right w:val="nil"/>
            </w:tcBorders>
          </w:tcPr>
          <w:p w14:paraId="1876F54B" w14:textId="77777777" w:rsidR="00312803" w:rsidRPr="000C6C8B" w:rsidRDefault="00312803" w:rsidP="00223E56">
            <w:pPr>
              <w:spacing w:line="360" w:lineRule="auto"/>
              <w:jc w:val="both"/>
              <w:rPr>
                <w:b/>
                <w:bCs/>
                <w:sz w:val="20"/>
                <w:szCs w:val="20"/>
                <w:vertAlign w:val="superscript"/>
              </w:rPr>
            </w:pPr>
            <w:proofErr w:type="spellStart"/>
            <w:r w:rsidRPr="000C6C8B">
              <w:rPr>
                <w:b/>
                <w:bCs/>
                <w:sz w:val="20"/>
                <w:szCs w:val="20"/>
              </w:rPr>
              <w:t>tAs</w:t>
            </w:r>
            <w:proofErr w:type="spellEnd"/>
            <w:r w:rsidRPr="000C6C8B">
              <w:rPr>
                <w:b/>
                <w:bCs/>
                <w:sz w:val="20"/>
                <w:szCs w:val="20"/>
                <w:vertAlign w:val="superscript"/>
              </w:rPr>
              <w:t>*</w:t>
            </w:r>
          </w:p>
        </w:tc>
        <w:tc>
          <w:tcPr>
            <w:tcW w:w="2241" w:type="dxa"/>
            <w:tcBorders>
              <w:top w:val="single" w:sz="4" w:space="0" w:color="000000" w:themeColor="text1"/>
              <w:left w:val="nil"/>
              <w:bottom w:val="nil"/>
              <w:right w:val="nil"/>
            </w:tcBorders>
          </w:tcPr>
          <w:p w14:paraId="26AD02F5" w14:textId="77777777" w:rsidR="00312803" w:rsidRPr="000C6C8B" w:rsidRDefault="00312803" w:rsidP="00223E56">
            <w:pPr>
              <w:spacing w:line="360" w:lineRule="auto"/>
              <w:jc w:val="both"/>
              <w:rPr>
                <w:sz w:val="20"/>
                <w:szCs w:val="20"/>
              </w:rPr>
            </w:pPr>
            <w:r w:rsidRPr="000C6C8B">
              <w:rPr>
                <w:sz w:val="20"/>
                <w:szCs w:val="20"/>
              </w:rPr>
              <w:t xml:space="preserve">total arsenic </w:t>
            </w:r>
          </w:p>
        </w:tc>
        <w:tc>
          <w:tcPr>
            <w:tcW w:w="1892" w:type="dxa"/>
            <w:tcBorders>
              <w:top w:val="single" w:sz="4" w:space="0" w:color="000000" w:themeColor="text1"/>
              <w:left w:val="nil"/>
              <w:bottom w:val="nil"/>
              <w:right w:val="single" w:sz="4" w:space="0" w:color="000000" w:themeColor="text1"/>
            </w:tcBorders>
          </w:tcPr>
          <w:p w14:paraId="56573A22" w14:textId="77777777" w:rsidR="00312803" w:rsidRPr="000C6C8B" w:rsidRDefault="00312803" w:rsidP="00223E56">
            <w:pPr>
              <w:spacing w:line="360" w:lineRule="auto"/>
              <w:jc w:val="both"/>
              <w:rPr>
                <w:sz w:val="20"/>
                <w:szCs w:val="20"/>
              </w:rPr>
            </w:pPr>
            <w:proofErr w:type="spellStart"/>
            <w:r w:rsidRPr="000C6C8B">
              <w:rPr>
                <w:sz w:val="20"/>
                <w:szCs w:val="20"/>
              </w:rPr>
              <w:t>iAs</w:t>
            </w:r>
            <w:proofErr w:type="spellEnd"/>
            <w:r w:rsidRPr="000C6C8B">
              <w:rPr>
                <w:sz w:val="20"/>
                <w:szCs w:val="20"/>
              </w:rPr>
              <w:t xml:space="preserve"> + MMA + DMA</w:t>
            </w:r>
          </w:p>
        </w:tc>
        <w:tc>
          <w:tcPr>
            <w:tcW w:w="1010" w:type="dxa"/>
            <w:tcBorders>
              <w:top w:val="nil"/>
              <w:left w:val="single" w:sz="4" w:space="0" w:color="000000" w:themeColor="text1"/>
              <w:bottom w:val="nil"/>
              <w:right w:val="nil"/>
            </w:tcBorders>
          </w:tcPr>
          <w:p w14:paraId="6B5E0EFA" w14:textId="77777777" w:rsidR="00312803" w:rsidRPr="000C6C8B" w:rsidRDefault="00312803" w:rsidP="00223E56">
            <w:pPr>
              <w:spacing w:line="360" w:lineRule="auto"/>
              <w:jc w:val="both"/>
              <w:rPr>
                <w:b/>
                <w:bCs/>
                <w:sz w:val="20"/>
                <w:szCs w:val="20"/>
              </w:rPr>
            </w:pPr>
            <w:r w:rsidRPr="000C6C8B">
              <w:rPr>
                <w:b/>
                <w:bCs/>
                <w:sz w:val="20"/>
                <w:szCs w:val="20"/>
              </w:rPr>
              <w:t>PMI</w:t>
            </w:r>
          </w:p>
        </w:tc>
        <w:tc>
          <w:tcPr>
            <w:tcW w:w="2551" w:type="dxa"/>
            <w:tcBorders>
              <w:top w:val="nil"/>
              <w:left w:val="nil"/>
              <w:bottom w:val="nil"/>
              <w:right w:val="nil"/>
            </w:tcBorders>
          </w:tcPr>
          <w:p w14:paraId="12718ADA" w14:textId="77777777" w:rsidR="00312803" w:rsidRPr="000C6C8B" w:rsidRDefault="00312803" w:rsidP="00223E56">
            <w:pPr>
              <w:spacing w:line="360" w:lineRule="auto"/>
              <w:jc w:val="both"/>
              <w:rPr>
                <w:sz w:val="20"/>
                <w:szCs w:val="20"/>
              </w:rPr>
            </w:pPr>
            <w:r w:rsidRPr="000C6C8B">
              <w:rPr>
                <w:sz w:val="20"/>
                <w:szCs w:val="20"/>
              </w:rPr>
              <w:t>primary methylation index</w:t>
            </w:r>
          </w:p>
        </w:tc>
        <w:tc>
          <w:tcPr>
            <w:tcW w:w="1701" w:type="dxa"/>
            <w:tcBorders>
              <w:top w:val="nil"/>
              <w:left w:val="nil"/>
              <w:bottom w:val="nil"/>
              <w:right w:val="single" w:sz="4" w:space="0" w:color="000000" w:themeColor="text1"/>
            </w:tcBorders>
          </w:tcPr>
          <w:p w14:paraId="28E8949B" w14:textId="77777777" w:rsidR="00312803" w:rsidRPr="000C6C8B" w:rsidRDefault="00312803" w:rsidP="00223E56">
            <w:pPr>
              <w:spacing w:line="360" w:lineRule="auto"/>
              <w:jc w:val="both"/>
              <w:rPr>
                <w:sz w:val="20"/>
                <w:szCs w:val="20"/>
              </w:rPr>
            </w:pPr>
            <w:r w:rsidRPr="000C6C8B">
              <w:rPr>
                <w:sz w:val="20"/>
                <w:szCs w:val="20"/>
              </w:rPr>
              <w:t>MMA/</w:t>
            </w:r>
            <w:proofErr w:type="spellStart"/>
            <w:r w:rsidRPr="000C6C8B">
              <w:rPr>
                <w:sz w:val="20"/>
                <w:szCs w:val="20"/>
              </w:rPr>
              <w:t>iAs</w:t>
            </w:r>
            <w:proofErr w:type="spellEnd"/>
          </w:p>
        </w:tc>
      </w:tr>
      <w:tr w:rsidR="000C6C8B" w:rsidRPr="000C6C8B" w14:paraId="7F45A5EF" w14:textId="77777777" w:rsidTr="000C6C8B">
        <w:trPr>
          <w:jc w:val="center"/>
        </w:trPr>
        <w:tc>
          <w:tcPr>
            <w:tcW w:w="811" w:type="dxa"/>
            <w:tcBorders>
              <w:top w:val="nil"/>
              <w:left w:val="single" w:sz="4" w:space="0" w:color="000000" w:themeColor="text1"/>
              <w:bottom w:val="nil"/>
              <w:right w:val="nil"/>
            </w:tcBorders>
          </w:tcPr>
          <w:p w14:paraId="0CDE96D7" w14:textId="77777777" w:rsidR="00312803" w:rsidRPr="000C6C8B" w:rsidRDefault="00312803" w:rsidP="00223E56">
            <w:pPr>
              <w:spacing w:line="360" w:lineRule="auto"/>
              <w:jc w:val="both"/>
              <w:rPr>
                <w:b/>
                <w:bCs/>
                <w:sz w:val="20"/>
                <w:szCs w:val="20"/>
                <w:vertAlign w:val="superscript"/>
              </w:rPr>
            </w:pPr>
            <w:proofErr w:type="spellStart"/>
            <w:r w:rsidRPr="000C6C8B">
              <w:rPr>
                <w:b/>
                <w:bCs/>
                <w:sz w:val="20"/>
                <w:szCs w:val="20"/>
              </w:rPr>
              <w:t>iAs</w:t>
            </w:r>
            <w:proofErr w:type="spellEnd"/>
            <w:r w:rsidRPr="000C6C8B">
              <w:rPr>
                <w:b/>
                <w:bCs/>
                <w:sz w:val="20"/>
                <w:szCs w:val="20"/>
                <w:vertAlign w:val="superscript"/>
              </w:rPr>
              <w:t>*</w:t>
            </w:r>
          </w:p>
        </w:tc>
        <w:tc>
          <w:tcPr>
            <w:tcW w:w="2241" w:type="dxa"/>
            <w:tcBorders>
              <w:top w:val="nil"/>
              <w:left w:val="nil"/>
              <w:bottom w:val="nil"/>
              <w:right w:val="nil"/>
            </w:tcBorders>
          </w:tcPr>
          <w:p w14:paraId="524D74F8" w14:textId="77777777" w:rsidR="00312803" w:rsidRPr="000C6C8B" w:rsidRDefault="00312803" w:rsidP="00223E56">
            <w:pPr>
              <w:spacing w:line="360" w:lineRule="auto"/>
              <w:jc w:val="both"/>
              <w:rPr>
                <w:sz w:val="20"/>
                <w:szCs w:val="20"/>
              </w:rPr>
            </w:pPr>
            <w:r w:rsidRPr="000C6C8B">
              <w:rPr>
                <w:sz w:val="20"/>
                <w:szCs w:val="20"/>
              </w:rPr>
              <w:t xml:space="preserve">inorganic arsenic </w:t>
            </w:r>
          </w:p>
        </w:tc>
        <w:tc>
          <w:tcPr>
            <w:tcW w:w="1892" w:type="dxa"/>
            <w:tcBorders>
              <w:top w:val="nil"/>
              <w:left w:val="nil"/>
              <w:bottom w:val="nil"/>
              <w:right w:val="single" w:sz="4" w:space="0" w:color="000000" w:themeColor="text1"/>
            </w:tcBorders>
          </w:tcPr>
          <w:p w14:paraId="008D3726" w14:textId="77777777" w:rsidR="00312803" w:rsidRPr="000C6C8B" w:rsidRDefault="00312803" w:rsidP="00223E56">
            <w:pPr>
              <w:spacing w:line="360" w:lineRule="auto"/>
              <w:jc w:val="both"/>
              <w:rPr>
                <w:sz w:val="20"/>
                <w:szCs w:val="20"/>
              </w:rPr>
            </w:pPr>
            <w:r w:rsidRPr="000C6C8B">
              <w:rPr>
                <w:sz w:val="20"/>
                <w:szCs w:val="20"/>
              </w:rPr>
              <w:t>iAs</w:t>
            </w:r>
            <w:r w:rsidRPr="000C6C8B">
              <w:rPr>
                <w:sz w:val="20"/>
                <w:szCs w:val="20"/>
                <w:vertAlign w:val="superscript"/>
              </w:rPr>
              <w:t xml:space="preserve">3+ </w:t>
            </w:r>
            <w:r w:rsidRPr="000C6C8B">
              <w:rPr>
                <w:sz w:val="20"/>
                <w:szCs w:val="20"/>
              </w:rPr>
              <w:t>+ iAs</w:t>
            </w:r>
            <w:r w:rsidRPr="000C6C8B">
              <w:rPr>
                <w:sz w:val="20"/>
                <w:szCs w:val="20"/>
                <w:vertAlign w:val="superscript"/>
              </w:rPr>
              <w:t>5+</w:t>
            </w:r>
          </w:p>
        </w:tc>
        <w:tc>
          <w:tcPr>
            <w:tcW w:w="1010" w:type="dxa"/>
            <w:tcBorders>
              <w:top w:val="nil"/>
              <w:left w:val="single" w:sz="4" w:space="0" w:color="000000" w:themeColor="text1"/>
              <w:bottom w:val="nil"/>
              <w:right w:val="nil"/>
            </w:tcBorders>
          </w:tcPr>
          <w:p w14:paraId="4489533E" w14:textId="77777777" w:rsidR="00312803" w:rsidRPr="000C6C8B" w:rsidRDefault="00312803" w:rsidP="00223E56">
            <w:pPr>
              <w:spacing w:line="360" w:lineRule="auto"/>
              <w:jc w:val="both"/>
              <w:rPr>
                <w:b/>
                <w:bCs/>
                <w:sz w:val="20"/>
                <w:szCs w:val="20"/>
              </w:rPr>
            </w:pPr>
            <w:r w:rsidRPr="000C6C8B">
              <w:rPr>
                <w:b/>
                <w:bCs/>
                <w:sz w:val="20"/>
                <w:szCs w:val="20"/>
              </w:rPr>
              <w:t>SMI</w:t>
            </w:r>
          </w:p>
        </w:tc>
        <w:tc>
          <w:tcPr>
            <w:tcW w:w="2551" w:type="dxa"/>
            <w:tcBorders>
              <w:top w:val="nil"/>
              <w:left w:val="nil"/>
              <w:bottom w:val="nil"/>
              <w:right w:val="nil"/>
            </w:tcBorders>
          </w:tcPr>
          <w:p w14:paraId="634B5255" w14:textId="77777777" w:rsidR="00312803" w:rsidRPr="000C6C8B" w:rsidRDefault="00312803" w:rsidP="00223E56">
            <w:pPr>
              <w:spacing w:line="360" w:lineRule="auto"/>
              <w:jc w:val="both"/>
              <w:rPr>
                <w:sz w:val="20"/>
                <w:szCs w:val="20"/>
              </w:rPr>
            </w:pPr>
            <w:r w:rsidRPr="000C6C8B">
              <w:rPr>
                <w:sz w:val="20"/>
                <w:szCs w:val="20"/>
              </w:rPr>
              <w:t>secondary methylation index</w:t>
            </w:r>
          </w:p>
        </w:tc>
        <w:tc>
          <w:tcPr>
            <w:tcW w:w="1701" w:type="dxa"/>
            <w:tcBorders>
              <w:top w:val="nil"/>
              <w:left w:val="nil"/>
              <w:bottom w:val="nil"/>
              <w:right w:val="single" w:sz="4" w:space="0" w:color="000000" w:themeColor="text1"/>
            </w:tcBorders>
          </w:tcPr>
          <w:p w14:paraId="5BA25FE4" w14:textId="77777777" w:rsidR="00312803" w:rsidRPr="000C6C8B" w:rsidRDefault="00312803" w:rsidP="00223E56">
            <w:pPr>
              <w:spacing w:line="360" w:lineRule="auto"/>
              <w:jc w:val="both"/>
              <w:rPr>
                <w:sz w:val="20"/>
                <w:szCs w:val="20"/>
              </w:rPr>
            </w:pPr>
            <w:r w:rsidRPr="000C6C8B">
              <w:rPr>
                <w:sz w:val="20"/>
                <w:szCs w:val="20"/>
              </w:rPr>
              <w:t>DMA/MMA</w:t>
            </w:r>
          </w:p>
        </w:tc>
      </w:tr>
      <w:tr w:rsidR="000C6C8B" w:rsidRPr="000C6C8B" w14:paraId="6CBEF85D" w14:textId="77777777" w:rsidTr="000C6C8B">
        <w:trPr>
          <w:jc w:val="center"/>
        </w:trPr>
        <w:tc>
          <w:tcPr>
            <w:tcW w:w="811" w:type="dxa"/>
            <w:tcBorders>
              <w:top w:val="nil"/>
              <w:left w:val="single" w:sz="4" w:space="0" w:color="000000" w:themeColor="text1"/>
              <w:bottom w:val="nil"/>
              <w:right w:val="nil"/>
            </w:tcBorders>
          </w:tcPr>
          <w:p w14:paraId="2DFBC88C" w14:textId="77777777" w:rsidR="00312803" w:rsidRPr="000C6C8B" w:rsidRDefault="00312803" w:rsidP="00223E56">
            <w:pPr>
              <w:spacing w:line="360" w:lineRule="auto"/>
              <w:jc w:val="both"/>
              <w:rPr>
                <w:b/>
                <w:bCs/>
                <w:sz w:val="20"/>
                <w:szCs w:val="20"/>
              </w:rPr>
            </w:pPr>
            <w:r w:rsidRPr="000C6C8B">
              <w:rPr>
                <w:b/>
                <w:bCs/>
                <w:sz w:val="20"/>
                <w:szCs w:val="20"/>
              </w:rPr>
              <w:t>MMA</w:t>
            </w:r>
          </w:p>
        </w:tc>
        <w:tc>
          <w:tcPr>
            <w:tcW w:w="2241" w:type="dxa"/>
            <w:tcBorders>
              <w:top w:val="nil"/>
              <w:left w:val="nil"/>
              <w:bottom w:val="nil"/>
              <w:right w:val="nil"/>
            </w:tcBorders>
          </w:tcPr>
          <w:p w14:paraId="2F496CF7" w14:textId="77777777" w:rsidR="00312803" w:rsidRPr="000C6C8B" w:rsidRDefault="00312803" w:rsidP="00223E56">
            <w:pPr>
              <w:spacing w:line="360" w:lineRule="auto"/>
              <w:jc w:val="both"/>
              <w:rPr>
                <w:sz w:val="20"/>
                <w:szCs w:val="20"/>
              </w:rPr>
            </w:pPr>
            <w:r w:rsidRPr="000C6C8B">
              <w:rPr>
                <w:sz w:val="20"/>
                <w:szCs w:val="20"/>
              </w:rPr>
              <w:t xml:space="preserve">monomethylated arsenic </w:t>
            </w:r>
          </w:p>
        </w:tc>
        <w:tc>
          <w:tcPr>
            <w:tcW w:w="1892" w:type="dxa"/>
            <w:tcBorders>
              <w:top w:val="nil"/>
              <w:left w:val="nil"/>
              <w:bottom w:val="nil"/>
              <w:right w:val="single" w:sz="4" w:space="0" w:color="000000" w:themeColor="text1"/>
            </w:tcBorders>
          </w:tcPr>
          <w:p w14:paraId="2EE60BDC" w14:textId="77777777" w:rsidR="00312803" w:rsidRPr="000C6C8B" w:rsidRDefault="00312803" w:rsidP="00223E56">
            <w:pPr>
              <w:spacing w:line="360" w:lineRule="auto"/>
              <w:jc w:val="both"/>
              <w:rPr>
                <w:sz w:val="20"/>
                <w:szCs w:val="20"/>
              </w:rPr>
            </w:pPr>
            <w:r w:rsidRPr="000C6C8B">
              <w:rPr>
                <w:sz w:val="20"/>
                <w:szCs w:val="20"/>
              </w:rPr>
              <w:t>MMA</w:t>
            </w:r>
            <w:r w:rsidRPr="000C6C8B">
              <w:rPr>
                <w:sz w:val="20"/>
                <w:szCs w:val="20"/>
                <w:vertAlign w:val="superscript"/>
              </w:rPr>
              <w:t xml:space="preserve">3+ </w:t>
            </w:r>
            <w:r w:rsidRPr="000C6C8B">
              <w:rPr>
                <w:sz w:val="20"/>
                <w:szCs w:val="20"/>
              </w:rPr>
              <w:t>+ MMA</w:t>
            </w:r>
            <w:r w:rsidRPr="000C6C8B">
              <w:rPr>
                <w:sz w:val="20"/>
                <w:szCs w:val="20"/>
                <w:vertAlign w:val="superscript"/>
              </w:rPr>
              <w:t>5+</w:t>
            </w:r>
          </w:p>
        </w:tc>
        <w:tc>
          <w:tcPr>
            <w:tcW w:w="1010" w:type="dxa"/>
            <w:tcBorders>
              <w:top w:val="nil"/>
              <w:left w:val="single" w:sz="4" w:space="0" w:color="000000" w:themeColor="text1"/>
              <w:bottom w:val="nil"/>
              <w:right w:val="nil"/>
            </w:tcBorders>
          </w:tcPr>
          <w:p w14:paraId="4A61BF61" w14:textId="77777777" w:rsidR="00312803" w:rsidRPr="000C6C8B" w:rsidRDefault="00312803" w:rsidP="00223E56">
            <w:pPr>
              <w:spacing w:line="360" w:lineRule="auto"/>
              <w:jc w:val="both"/>
              <w:rPr>
                <w:b/>
                <w:bCs/>
                <w:sz w:val="20"/>
                <w:szCs w:val="20"/>
              </w:rPr>
            </w:pPr>
            <w:r w:rsidRPr="000C6C8B">
              <w:rPr>
                <w:b/>
                <w:bCs/>
                <w:sz w:val="20"/>
                <w:szCs w:val="20"/>
              </w:rPr>
              <w:t xml:space="preserve">% </w:t>
            </w:r>
            <w:proofErr w:type="spellStart"/>
            <w:r w:rsidRPr="000C6C8B">
              <w:rPr>
                <w:b/>
                <w:bCs/>
                <w:sz w:val="20"/>
                <w:szCs w:val="20"/>
              </w:rPr>
              <w:t>iAs</w:t>
            </w:r>
            <w:proofErr w:type="spellEnd"/>
          </w:p>
        </w:tc>
        <w:tc>
          <w:tcPr>
            <w:tcW w:w="2551" w:type="dxa"/>
            <w:tcBorders>
              <w:top w:val="nil"/>
              <w:left w:val="nil"/>
              <w:bottom w:val="nil"/>
              <w:right w:val="nil"/>
            </w:tcBorders>
          </w:tcPr>
          <w:p w14:paraId="22F7B884" w14:textId="77777777" w:rsidR="00312803" w:rsidRPr="000C6C8B" w:rsidRDefault="00312803" w:rsidP="00223E56">
            <w:pPr>
              <w:spacing w:line="360" w:lineRule="auto"/>
              <w:jc w:val="both"/>
              <w:rPr>
                <w:sz w:val="20"/>
                <w:szCs w:val="20"/>
              </w:rPr>
            </w:pPr>
            <w:r w:rsidRPr="000C6C8B">
              <w:rPr>
                <w:sz w:val="20"/>
                <w:szCs w:val="20"/>
              </w:rPr>
              <w:t xml:space="preserve">proportion </w:t>
            </w:r>
            <w:proofErr w:type="spellStart"/>
            <w:r w:rsidRPr="000C6C8B">
              <w:rPr>
                <w:sz w:val="20"/>
                <w:szCs w:val="20"/>
              </w:rPr>
              <w:t>iAs</w:t>
            </w:r>
            <w:proofErr w:type="spellEnd"/>
          </w:p>
        </w:tc>
        <w:tc>
          <w:tcPr>
            <w:tcW w:w="1701" w:type="dxa"/>
            <w:tcBorders>
              <w:top w:val="nil"/>
              <w:left w:val="nil"/>
              <w:bottom w:val="nil"/>
              <w:right w:val="single" w:sz="4" w:space="0" w:color="000000" w:themeColor="text1"/>
            </w:tcBorders>
          </w:tcPr>
          <w:p w14:paraId="146E7659" w14:textId="77777777" w:rsidR="00312803" w:rsidRPr="000C6C8B" w:rsidRDefault="00312803" w:rsidP="00223E56">
            <w:pPr>
              <w:spacing w:line="360" w:lineRule="auto"/>
              <w:jc w:val="both"/>
              <w:rPr>
                <w:sz w:val="20"/>
                <w:szCs w:val="20"/>
              </w:rPr>
            </w:pPr>
            <w:r w:rsidRPr="000C6C8B">
              <w:rPr>
                <w:sz w:val="20"/>
                <w:szCs w:val="20"/>
              </w:rPr>
              <w:t>(</w:t>
            </w:r>
            <w:proofErr w:type="spellStart"/>
            <w:r w:rsidRPr="000C6C8B">
              <w:rPr>
                <w:sz w:val="20"/>
                <w:szCs w:val="20"/>
              </w:rPr>
              <w:t>iAs</w:t>
            </w:r>
            <w:proofErr w:type="spellEnd"/>
            <w:r w:rsidRPr="000C6C8B">
              <w:rPr>
                <w:sz w:val="20"/>
                <w:szCs w:val="20"/>
              </w:rPr>
              <w:t>/</w:t>
            </w:r>
            <w:proofErr w:type="spellStart"/>
            <w:r w:rsidRPr="000C6C8B">
              <w:rPr>
                <w:sz w:val="20"/>
                <w:szCs w:val="20"/>
              </w:rPr>
              <w:t>tAs</w:t>
            </w:r>
            <w:proofErr w:type="spellEnd"/>
            <w:r w:rsidRPr="000C6C8B">
              <w:rPr>
                <w:sz w:val="20"/>
                <w:szCs w:val="20"/>
              </w:rPr>
              <w:t>) x 100</w:t>
            </w:r>
          </w:p>
        </w:tc>
      </w:tr>
      <w:tr w:rsidR="000C6C8B" w:rsidRPr="000C6C8B" w14:paraId="593174AB" w14:textId="77777777" w:rsidTr="000C6C8B">
        <w:trPr>
          <w:jc w:val="center"/>
        </w:trPr>
        <w:tc>
          <w:tcPr>
            <w:tcW w:w="811" w:type="dxa"/>
            <w:tcBorders>
              <w:top w:val="nil"/>
              <w:left w:val="single" w:sz="4" w:space="0" w:color="000000" w:themeColor="text1"/>
              <w:bottom w:val="nil"/>
              <w:right w:val="nil"/>
            </w:tcBorders>
          </w:tcPr>
          <w:p w14:paraId="754B054A" w14:textId="77777777" w:rsidR="00312803" w:rsidRPr="000C6C8B" w:rsidRDefault="00312803" w:rsidP="00223E56">
            <w:pPr>
              <w:spacing w:line="360" w:lineRule="auto"/>
              <w:jc w:val="both"/>
              <w:rPr>
                <w:b/>
                <w:bCs/>
                <w:sz w:val="20"/>
                <w:szCs w:val="20"/>
              </w:rPr>
            </w:pPr>
            <w:r w:rsidRPr="000C6C8B">
              <w:rPr>
                <w:b/>
                <w:bCs/>
                <w:sz w:val="20"/>
                <w:szCs w:val="20"/>
              </w:rPr>
              <w:t>DMA</w:t>
            </w:r>
          </w:p>
        </w:tc>
        <w:tc>
          <w:tcPr>
            <w:tcW w:w="2241" w:type="dxa"/>
            <w:tcBorders>
              <w:top w:val="nil"/>
              <w:left w:val="nil"/>
              <w:bottom w:val="nil"/>
              <w:right w:val="nil"/>
            </w:tcBorders>
          </w:tcPr>
          <w:p w14:paraId="5A16CB50" w14:textId="77777777" w:rsidR="00312803" w:rsidRPr="000C6C8B" w:rsidRDefault="00312803" w:rsidP="00223E56">
            <w:pPr>
              <w:spacing w:line="360" w:lineRule="auto"/>
              <w:jc w:val="both"/>
              <w:rPr>
                <w:sz w:val="20"/>
                <w:szCs w:val="20"/>
              </w:rPr>
            </w:pPr>
            <w:proofErr w:type="spellStart"/>
            <w:r w:rsidRPr="000C6C8B">
              <w:rPr>
                <w:sz w:val="20"/>
                <w:szCs w:val="20"/>
              </w:rPr>
              <w:t>dimethylated</w:t>
            </w:r>
            <w:proofErr w:type="spellEnd"/>
            <w:r w:rsidRPr="000C6C8B">
              <w:rPr>
                <w:sz w:val="20"/>
                <w:szCs w:val="20"/>
              </w:rPr>
              <w:t xml:space="preserve"> arsenic </w:t>
            </w:r>
          </w:p>
        </w:tc>
        <w:tc>
          <w:tcPr>
            <w:tcW w:w="1892" w:type="dxa"/>
            <w:tcBorders>
              <w:top w:val="nil"/>
              <w:left w:val="nil"/>
              <w:bottom w:val="nil"/>
              <w:right w:val="single" w:sz="4" w:space="0" w:color="000000" w:themeColor="text1"/>
            </w:tcBorders>
          </w:tcPr>
          <w:p w14:paraId="37829767" w14:textId="77777777" w:rsidR="00312803" w:rsidRPr="000C6C8B" w:rsidRDefault="00312803" w:rsidP="00223E56">
            <w:pPr>
              <w:spacing w:line="360" w:lineRule="auto"/>
              <w:jc w:val="both"/>
              <w:rPr>
                <w:sz w:val="20"/>
                <w:szCs w:val="20"/>
              </w:rPr>
            </w:pPr>
            <w:r w:rsidRPr="000C6C8B">
              <w:rPr>
                <w:sz w:val="20"/>
                <w:szCs w:val="20"/>
              </w:rPr>
              <w:t>DMA</w:t>
            </w:r>
            <w:r w:rsidRPr="000C6C8B">
              <w:rPr>
                <w:sz w:val="20"/>
                <w:szCs w:val="20"/>
                <w:vertAlign w:val="superscript"/>
              </w:rPr>
              <w:t xml:space="preserve">3+ </w:t>
            </w:r>
            <w:r w:rsidRPr="000C6C8B">
              <w:rPr>
                <w:sz w:val="20"/>
                <w:szCs w:val="20"/>
              </w:rPr>
              <w:t>+ DMA</w:t>
            </w:r>
            <w:r w:rsidRPr="000C6C8B">
              <w:rPr>
                <w:sz w:val="20"/>
                <w:szCs w:val="20"/>
                <w:vertAlign w:val="superscript"/>
              </w:rPr>
              <w:t>5+</w:t>
            </w:r>
          </w:p>
        </w:tc>
        <w:tc>
          <w:tcPr>
            <w:tcW w:w="1010" w:type="dxa"/>
            <w:tcBorders>
              <w:top w:val="nil"/>
              <w:left w:val="single" w:sz="4" w:space="0" w:color="000000" w:themeColor="text1"/>
              <w:bottom w:val="nil"/>
              <w:right w:val="nil"/>
            </w:tcBorders>
          </w:tcPr>
          <w:p w14:paraId="27F70E01" w14:textId="77777777" w:rsidR="00312803" w:rsidRPr="000C6C8B" w:rsidRDefault="00312803" w:rsidP="00223E56">
            <w:pPr>
              <w:spacing w:line="360" w:lineRule="auto"/>
              <w:jc w:val="both"/>
              <w:rPr>
                <w:b/>
                <w:bCs/>
                <w:sz w:val="20"/>
                <w:szCs w:val="20"/>
              </w:rPr>
            </w:pPr>
            <w:r w:rsidRPr="000C6C8B">
              <w:rPr>
                <w:b/>
                <w:bCs/>
                <w:sz w:val="20"/>
                <w:szCs w:val="20"/>
              </w:rPr>
              <w:t>% MMA</w:t>
            </w:r>
          </w:p>
        </w:tc>
        <w:tc>
          <w:tcPr>
            <w:tcW w:w="2551" w:type="dxa"/>
            <w:tcBorders>
              <w:top w:val="nil"/>
              <w:left w:val="nil"/>
              <w:bottom w:val="nil"/>
              <w:right w:val="nil"/>
            </w:tcBorders>
          </w:tcPr>
          <w:p w14:paraId="4BE1100F" w14:textId="77777777" w:rsidR="00312803" w:rsidRPr="000C6C8B" w:rsidRDefault="00312803" w:rsidP="00223E56">
            <w:pPr>
              <w:spacing w:line="360" w:lineRule="auto"/>
              <w:jc w:val="both"/>
              <w:rPr>
                <w:sz w:val="20"/>
                <w:szCs w:val="20"/>
              </w:rPr>
            </w:pPr>
            <w:r w:rsidRPr="000C6C8B">
              <w:rPr>
                <w:sz w:val="20"/>
                <w:szCs w:val="20"/>
              </w:rPr>
              <w:t>proportion MMA</w:t>
            </w:r>
          </w:p>
        </w:tc>
        <w:tc>
          <w:tcPr>
            <w:tcW w:w="1701" w:type="dxa"/>
            <w:tcBorders>
              <w:top w:val="nil"/>
              <w:left w:val="nil"/>
              <w:bottom w:val="nil"/>
              <w:right w:val="single" w:sz="4" w:space="0" w:color="000000" w:themeColor="text1"/>
            </w:tcBorders>
          </w:tcPr>
          <w:p w14:paraId="1431E52C" w14:textId="77777777" w:rsidR="00312803" w:rsidRPr="000C6C8B" w:rsidRDefault="00312803" w:rsidP="00223E56">
            <w:pPr>
              <w:spacing w:line="360" w:lineRule="auto"/>
              <w:jc w:val="both"/>
              <w:rPr>
                <w:sz w:val="20"/>
                <w:szCs w:val="20"/>
              </w:rPr>
            </w:pPr>
            <w:r w:rsidRPr="000C6C8B">
              <w:rPr>
                <w:sz w:val="20"/>
                <w:szCs w:val="20"/>
              </w:rPr>
              <w:t>(MMA/</w:t>
            </w:r>
            <w:proofErr w:type="spellStart"/>
            <w:r w:rsidRPr="000C6C8B">
              <w:rPr>
                <w:sz w:val="20"/>
                <w:szCs w:val="20"/>
              </w:rPr>
              <w:t>tAs</w:t>
            </w:r>
            <w:proofErr w:type="spellEnd"/>
            <w:r w:rsidRPr="000C6C8B">
              <w:rPr>
                <w:sz w:val="20"/>
                <w:szCs w:val="20"/>
              </w:rPr>
              <w:t>) x 100</w:t>
            </w:r>
          </w:p>
        </w:tc>
      </w:tr>
      <w:tr w:rsidR="000C6C8B" w:rsidRPr="000C6C8B" w14:paraId="1309A417" w14:textId="77777777" w:rsidTr="000C6C8B">
        <w:trPr>
          <w:jc w:val="center"/>
        </w:trPr>
        <w:tc>
          <w:tcPr>
            <w:tcW w:w="811" w:type="dxa"/>
            <w:tcBorders>
              <w:top w:val="nil"/>
              <w:left w:val="single" w:sz="4" w:space="0" w:color="000000" w:themeColor="text1"/>
              <w:bottom w:val="single" w:sz="4" w:space="0" w:color="000000" w:themeColor="text1"/>
              <w:right w:val="nil"/>
            </w:tcBorders>
          </w:tcPr>
          <w:p w14:paraId="595599FD" w14:textId="77777777" w:rsidR="00312803" w:rsidRPr="000C6C8B" w:rsidRDefault="00312803" w:rsidP="00223E56">
            <w:pPr>
              <w:spacing w:line="360" w:lineRule="auto"/>
              <w:jc w:val="both"/>
              <w:rPr>
                <w:sz w:val="20"/>
                <w:szCs w:val="20"/>
              </w:rPr>
            </w:pPr>
          </w:p>
        </w:tc>
        <w:tc>
          <w:tcPr>
            <w:tcW w:w="2241" w:type="dxa"/>
            <w:tcBorders>
              <w:top w:val="nil"/>
              <w:left w:val="nil"/>
              <w:bottom w:val="single" w:sz="4" w:space="0" w:color="000000" w:themeColor="text1"/>
              <w:right w:val="nil"/>
            </w:tcBorders>
          </w:tcPr>
          <w:p w14:paraId="44015EE5" w14:textId="77777777" w:rsidR="00312803" w:rsidRPr="000C6C8B" w:rsidRDefault="00312803" w:rsidP="00223E56">
            <w:pPr>
              <w:spacing w:line="360" w:lineRule="auto"/>
              <w:jc w:val="both"/>
              <w:rPr>
                <w:sz w:val="20"/>
                <w:szCs w:val="20"/>
              </w:rPr>
            </w:pPr>
          </w:p>
        </w:tc>
        <w:tc>
          <w:tcPr>
            <w:tcW w:w="1892" w:type="dxa"/>
            <w:tcBorders>
              <w:top w:val="nil"/>
              <w:left w:val="nil"/>
              <w:bottom w:val="single" w:sz="4" w:space="0" w:color="000000" w:themeColor="text1"/>
              <w:right w:val="single" w:sz="4" w:space="0" w:color="000000" w:themeColor="text1"/>
            </w:tcBorders>
          </w:tcPr>
          <w:p w14:paraId="03A244D2" w14:textId="77777777" w:rsidR="00312803" w:rsidRPr="000C6C8B" w:rsidRDefault="00312803" w:rsidP="00223E56">
            <w:pPr>
              <w:spacing w:line="360" w:lineRule="auto"/>
              <w:jc w:val="both"/>
              <w:rPr>
                <w:sz w:val="20"/>
                <w:szCs w:val="20"/>
              </w:rPr>
            </w:pPr>
          </w:p>
        </w:tc>
        <w:tc>
          <w:tcPr>
            <w:tcW w:w="1010" w:type="dxa"/>
            <w:tcBorders>
              <w:top w:val="nil"/>
              <w:left w:val="single" w:sz="4" w:space="0" w:color="000000" w:themeColor="text1"/>
              <w:bottom w:val="single" w:sz="4" w:space="0" w:color="000000" w:themeColor="text1"/>
              <w:right w:val="nil"/>
            </w:tcBorders>
          </w:tcPr>
          <w:p w14:paraId="0336E6AA" w14:textId="77777777" w:rsidR="00312803" w:rsidRPr="000C6C8B" w:rsidRDefault="00312803" w:rsidP="00223E56">
            <w:pPr>
              <w:spacing w:line="360" w:lineRule="auto"/>
              <w:jc w:val="both"/>
              <w:rPr>
                <w:b/>
                <w:bCs/>
                <w:sz w:val="20"/>
                <w:szCs w:val="20"/>
              </w:rPr>
            </w:pPr>
            <w:r w:rsidRPr="000C6C8B">
              <w:rPr>
                <w:b/>
                <w:bCs/>
                <w:sz w:val="20"/>
                <w:szCs w:val="20"/>
              </w:rPr>
              <w:t>% DMA</w:t>
            </w:r>
          </w:p>
        </w:tc>
        <w:tc>
          <w:tcPr>
            <w:tcW w:w="2551" w:type="dxa"/>
            <w:tcBorders>
              <w:top w:val="nil"/>
              <w:left w:val="nil"/>
              <w:bottom w:val="single" w:sz="4" w:space="0" w:color="000000" w:themeColor="text1"/>
              <w:right w:val="nil"/>
            </w:tcBorders>
          </w:tcPr>
          <w:p w14:paraId="6C3BA7FA" w14:textId="77777777" w:rsidR="00312803" w:rsidRPr="000C6C8B" w:rsidRDefault="00312803" w:rsidP="00223E56">
            <w:pPr>
              <w:spacing w:line="360" w:lineRule="auto"/>
              <w:jc w:val="both"/>
              <w:rPr>
                <w:sz w:val="20"/>
                <w:szCs w:val="20"/>
              </w:rPr>
            </w:pPr>
            <w:r w:rsidRPr="000C6C8B">
              <w:rPr>
                <w:sz w:val="20"/>
                <w:szCs w:val="20"/>
              </w:rPr>
              <w:t>proportion DMA</w:t>
            </w:r>
          </w:p>
        </w:tc>
        <w:tc>
          <w:tcPr>
            <w:tcW w:w="1701" w:type="dxa"/>
            <w:tcBorders>
              <w:top w:val="nil"/>
              <w:left w:val="nil"/>
              <w:bottom w:val="single" w:sz="4" w:space="0" w:color="000000" w:themeColor="text1"/>
              <w:right w:val="single" w:sz="4" w:space="0" w:color="000000" w:themeColor="text1"/>
            </w:tcBorders>
          </w:tcPr>
          <w:p w14:paraId="47A7FFB5" w14:textId="77777777" w:rsidR="00312803" w:rsidRPr="000C6C8B" w:rsidRDefault="00312803" w:rsidP="00223E56">
            <w:pPr>
              <w:spacing w:line="360" w:lineRule="auto"/>
              <w:jc w:val="both"/>
              <w:rPr>
                <w:sz w:val="20"/>
                <w:szCs w:val="20"/>
              </w:rPr>
            </w:pPr>
            <w:r w:rsidRPr="000C6C8B">
              <w:rPr>
                <w:sz w:val="20"/>
                <w:szCs w:val="20"/>
              </w:rPr>
              <w:t>(DMA/</w:t>
            </w:r>
            <w:proofErr w:type="spellStart"/>
            <w:r w:rsidRPr="000C6C8B">
              <w:rPr>
                <w:sz w:val="20"/>
                <w:szCs w:val="20"/>
              </w:rPr>
              <w:t>tAs</w:t>
            </w:r>
            <w:proofErr w:type="spellEnd"/>
            <w:r w:rsidRPr="000C6C8B">
              <w:rPr>
                <w:sz w:val="20"/>
                <w:szCs w:val="20"/>
              </w:rPr>
              <w:t>) x 100</w:t>
            </w:r>
          </w:p>
        </w:tc>
      </w:tr>
    </w:tbl>
    <w:p w14:paraId="57170B7D" w14:textId="77777777" w:rsidR="000C6C8B" w:rsidRDefault="000C6C8B" w:rsidP="00517119">
      <w:pPr>
        <w:spacing w:line="360" w:lineRule="auto"/>
        <w:jc w:val="both"/>
        <w:rPr>
          <w:i/>
          <w:iCs/>
          <w:sz w:val="20"/>
          <w:szCs w:val="20"/>
        </w:rPr>
      </w:pPr>
    </w:p>
    <w:p w14:paraId="4E432AEC" w14:textId="711894F2" w:rsidR="00517119" w:rsidRPr="000C6C8B" w:rsidRDefault="000C6C8B" w:rsidP="00517119">
      <w:pPr>
        <w:spacing w:line="360" w:lineRule="auto"/>
        <w:jc w:val="both"/>
        <w:rPr>
          <w:i/>
          <w:iCs/>
          <w:color w:val="000000"/>
          <w:sz w:val="20"/>
          <w:szCs w:val="20"/>
          <w:highlight w:val="white"/>
        </w:rPr>
      </w:pPr>
      <w:r w:rsidRPr="000C6C8B">
        <w:rPr>
          <w:i/>
          <w:iCs/>
          <w:sz w:val="20"/>
          <w:szCs w:val="20"/>
        </w:rPr>
        <w:t xml:space="preserve">Note, after ingestion, </w:t>
      </w:r>
      <w:proofErr w:type="spellStart"/>
      <w:r w:rsidRPr="000C6C8B">
        <w:rPr>
          <w:i/>
          <w:iCs/>
          <w:sz w:val="20"/>
          <w:szCs w:val="20"/>
        </w:rPr>
        <w:t>iAs</w:t>
      </w:r>
      <w:proofErr w:type="spellEnd"/>
      <w:r w:rsidRPr="000C6C8B">
        <w:rPr>
          <w:i/>
          <w:iCs/>
          <w:sz w:val="20"/>
          <w:szCs w:val="20"/>
        </w:rPr>
        <w:t xml:space="preserve"> (predominantly iAs</w:t>
      </w:r>
      <w:r w:rsidRPr="000C6C8B">
        <w:rPr>
          <w:i/>
          <w:iCs/>
          <w:sz w:val="20"/>
          <w:szCs w:val="20"/>
          <w:vertAlign w:val="superscript"/>
        </w:rPr>
        <w:t>5+</w:t>
      </w:r>
      <w:r w:rsidRPr="000C6C8B">
        <w:rPr>
          <w:i/>
          <w:iCs/>
          <w:sz w:val="20"/>
          <w:szCs w:val="20"/>
        </w:rPr>
        <w:t xml:space="preserve"> in drinking water) is absorbed in the gastro-intestinal tract and undergoes a series of reduction-oxidation and methylation steps to generate monomethylated arsenic (MMA) and, subsequently, </w:t>
      </w:r>
      <w:proofErr w:type="spellStart"/>
      <w:r w:rsidRPr="000C6C8B">
        <w:rPr>
          <w:i/>
          <w:iCs/>
          <w:sz w:val="20"/>
          <w:szCs w:val="20"/>
        </w:rPr>
        <w:t>dimethylated</w:t>
      </w:r>
      <w:proofErr w:type="spellEnd"/>
      <w:r w:rsidRPr="000C6C8B">
        <w:rPr>
          <w:i/>
          <w:iCs/>
          <w:sz w:val="20"/>
          <w:szCs w:val="20"/>
        </w:rPr>
        <w:t xml:space="preserve"> arsenic (DMA) species, whereby DMA</w:t>
      </w:r>
      <w:r w:rsidRPr="000C6C8B">
        <w:rPr>
          <w:i/>
          <w:iCs/>
          <w:sz w:val="20"/>
          <w:szCs w:val="20"/>
          <w:vertAlign w:val="superscript"/>
        </w:rPr>
        <w:t>5+</w:t>
      </w:r>
      <w:r w:rsidRPr="000C6C8B">
        <w:rPr>
          <w:i/>
          <w:iCs/>
          <w:sz w:val="20"/>
          <w:szCs w:val="20"/>
        </w:rPr>
        <w:t xml:space="preserve"> is the human biomethylation </w:t>
      </w:r>
      <w:proofErr w:type="spellStart"/>
      <w:r w:rsidRPr="000C6C8B">
        <w:rPr>
          <w:i/>
          <w:iCs/>
          <w:sz w:val="20"/>
          <w:szCs w:val="20"/>
        </w:rPr>
        <w:t>endproduct</w:t>
      </w:r>
      <w:proofErr w:type="spellEnd"/>
      <w:r w:rsidRPr="000C6C8B">
        <w:rPr>
          <w:i/>
          <w:iCs/>
          <w:sz w:val="20"/>
          <w:szCs w:val="20"/>
        </w:rPr>
        <w:t xml:space="preserve">. </w:t>
      </w:r>
    </w:p>
    <w:p w14:paraId="02DC6A96" w14:textId="77777777" w:rsidR="00585EBE" w:rsidRDefault="00585EBE" w:rsidP="00517119">
      <w:pPr>
        <w:spacing w:line="360" w:lineRule="auto"/>
        <w:jc w:val="both"/>
        <w:rPr>
          <w:color w:val="000000"/>
          <w:sz w:val="18"/>
          <w:szCs w:val="18"/>
          <w:highlight w:val="white"/>
        </w:rPr>
      </w:pPr>
    </w:p>
    <w:p w14:paraId="62C8102B" w14:textId="5F12979D" w:rsidR="00585EBE" w:rsidRPr="003C27E0" w:rsidRDefault="00585EBE" w:rsidP="00517119">
      <w:pPr>
        <w:spacing w:line="360" w:lineRule="auto"/>
        <w:jc w:val="both"/>
        <w:rPr>
          <w:color w:val="000000"/>
          <w:sz w:val="18"/>
          <w:szCs w:val="18"/>
          <w:highlight w:val="white"/>
        </w:rPr>
        <w:sectPr w:rsidR="00585EBE" w:rsidRPr="003C27E0" w:rsidSect="00517119">
          <w:footerReference w:type="even" r:id="rId9"/>
          <w:footerReference w:type="default" r:id="rId10"/>
          <w:pgSz w:w="11906" w:h="16838"/>
          <w:pgMar w:top="1440" w:right="1440" w:bottom="1440" w:left="1440" w:header="708" w:footer="708" w:gutter="0"/>
          <w:cols w:space="708"/>
          <w:docGrid w:linePitch="360"/>
        </w:sectPr>
      </w:pPr>
      <w:r>
        <w:rPr>
          <w:sz w:val="22"/>
          <w:szCs w:val="22"/>
        </w:rPr>
        <w:t xml:space="preserve"> </w:t>
      </w:r>
    </w:p>
    <w:p w14:paraId="325B4858" w14:textId="542873FD" w:rsidR="00364C65" w:rsidRPr="00035C6D" w:rsidRDefault="0099775C" w:rsidP="0099775C">
      <w:pPr>
        <w:spacing w:line="360" w:lineRule="auto"/>
        <w:rPr>
          <w:bCs/>
          <w:color w:val="000000" w:themeColor="text1"/>
          <w:sz w:val="22"/>
          <w:szCs w:val="22"/>
        </w:rPr>
      </w:pPr>
      <w:r w:rsidRPr="00231479">
        <w:rPr>
          <w:b/>
          <w:color w:val="000000" w:themeColor="text1"/>
          <w:sz w:val="22"/>
          <w:szCs w:val="22"/>
        </w:rPr>
        <w:lastRenderedPageBreak/>
        <w:t xml:space="preserve">Supplement Table </w:t>
      </w:r>
      <w:r w:rsidR="00730C4C">
        <w:rPr>
          <w:b/>
          <w:color w:val="000000" w:themeColor="text1"/>
          <w:sz w:val="22"/>
          <w:szCs w:val="22"/>
        </w:rPr>
        <w:t>4</w:t>
      </w:r>
      <w:r w:rsidR="00035C6D">
        <w:rPr>
          <w:b/>
          <w:color w:val="000000" w:themeColor="text1"/>
          <w:sz w:val="22"/>
          <w:szCs w:val="22"/>
        </w:rPr>
        <w:t xml:space="preserve"> Overview of studies excluded in the full-text review and their reason for exclusion. </w:t>
      </w:r>
      <w:r w:rsidR="00035C6D" w:rsidRPr="00035C6D">
        <w:rPr>
          <w:bCs/>
          <w:color w:val="000000" w:themeColor="text1"/>
          <w:sz w:val="22"/>
          <w:szCs w:val="22"/>
        </w:rPr>
        <w:t xml:space="preserve">A summary of all reasons of exclusion </w:t>
      </w:r>
      <w:r w:rsidR="00035C6D">
        <w:rPr>
          <w:bCs/>
          <w:color w:val="000000" w:themeColor="text1"/>
          <w:sz w:val="22"/>
          <w:szCs w:val="22"/>
        </w:rPr>
        <w:t>c</w:t>
      </w:r>
      <w:r w:rsidR="00035C6D" w:rsidRPr="00035C6D">
        <w:rPr>
          <w:bCs/>
          <w:color w:val="000000" w:themeColor="text1"/>
          <w:sz w:val="22"/>
          <w:szCs w:val="22"/>
        </w:rPr>
        <w:t xml:space="preserve">an be found in </w:t>
      </w:r>
      <w:r w:rsidR="00035C6D" w:rsidRPr="00035C6D">
        <w:rPr>
          <w:b/>
          <w:color w:val="000000" w:themeColor="text1"/>
          <w:sz w:val="22"/>
          <w:szCs w:val="22"/>
        </w:rPr>
        <w:t>Figure 1</w:t>
      </w:r>
      <w:r w:rsidR="00035C6D" w:rsidRPr="00035C6D">
        <w:rPr>
          <w:bCs/>
          <w:color w:val="000000" w:themeColor="text1"/>
          <w:sz w:val="22"/>
          <w:szCs w:val="22"/>
        </w:rPr>
        <w:t xml:space="preserve">. </w:t>
      </w:r>
    </w:p>
    <w:tbl>
      <w:tblPr>
        <w:tblpPr w:leftFromText="180" w:rightFromText="180" w:vertAnchor="text" w:horzAnchor="margin" w:tblpXSpec="center" w:tblpY="121"/>
        <w:tblW w:w="10490" w:type="dxa"/>
        <w:tblBorders>
          <w:insideH w:val="single" w:sz="4" w:space="0" w:color="D9D9D9" w:themeColor="background1" w:themeShade="D9"/>
        </w:tblBorders>
        <w:tblLook w:val="04A0" w:firstRow="1" w:lastRow="0" w:firstColumn="1" w:lastColumn="0" w:noHBand="0" w:noVBand="1"/>
      </w:tblPr>
      <w:tblGrid>
        <w:gridCol w:w="8364"/>
        <w:gridCol w:w="2126"/>
      </w:tblGrid>
      <w:tr w:rsidR="00954185" w:rsidRPr="00954185" w14:paraId="0861685D" w14:textId="77777777" w:rsidTr="00364C65">
        <w:trPr>
          <w:trHeight w:val="600"/>
        </w:trPr>
        <w:tc>
          <w:tcPr>
            <w:tcW w:w="8364"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DC87D74" w14:textId="77777777" w:rsidR="00954185" w:rsidRPr="00954185" w:rsidRDefault="00954185" w:rsidP="00364C65">
            <w:pPr>
              <w:spacing w:line="360" w:lineRule="auto"/>
              <w:rPr>
                <w:b/>
                <w:bCs/>
                <w:sz w:val="20"/>
                <w:szCs w:val="20"/>
              </w:rPr>
            </w:pPr>
            <w:r w:rsidRPr="00954185">
              <w:rPr>
                <w:b/>
                <w:bCs/>
                <w:sz w:val="20"/>
                <w:szCs w:val="20"/>
              </w:rPr>
              <w:t xml:space="preserve">Full article reference </w:t>
            </w:r>
          </w:p>
        </w:tc>
        <w:tc>
          <w:tcPr>
            <w:tcW w:w="2126" w:type="dxa"/>
            <w:tcBorders>
              <w:top w:val="single" w:sz="4" w:space="0" w:color="000000" w:themeColor="text1"/>
              <w:bottom w:val="single" w:sz="4" w:space="0" w:color="000000" w:themeColor="text1"/>
              <w:right w:val="single" w:sz="4" w:space="0" w:color="000000" w:themeColor="text1"/>
            </w:tcBorders>
            <w:shd w:val="clear" w:color="auto" w:fill="auto"/>
            <w:noWrap/>
            <w:vAlign w:val="center"/>
          </w:tcPr>
          <w:p w14:paraId="5F818F40" w14:textId="77777777" w:rsidR="00954185" w:rsidRPr="00954185" w:rsidRDefault="00954185" w:rsidP="00364C65">
            <w:pPr>
              <w:spacing w:line="360" w:lineRule="auto"/>
              <w:rPr>
                <w:b/>
                <w:bCs/>
                <w:sz w:val="20"/>
                <w:szCs w:val="20"/>
              </w:rPr>
            </w:pPr>
            <w:r w:rsidRPr="00954185">
              <w:rPr>
                <w:b/>
                <w:bCs/>
                <w:sz w:val="20"/>
                <w:szCs w:val="20"/>
              </w:rPr>
              <w:t>Reason for exclusion</w:t>
            </w:r>
          </w:p>
        </w:tc>
      </w:tr>
      <w:tr w:rsidR="00954185" w:rsidRPr="00954185" w14:paraId="6539039B" w14:textId="77777777" w:rsidTr="00364C65">
        <w:trPr>
          <w:trHeight w:val="1200"/>
        </w:trPr>
        <w:tc>
          <w:tcPr>
            <w:tcW w:w="8364" w:type="dxa"/>
            <w:tcBorders>
              <w:left w:val="single" w:sz="4" w:space="0" w:color="000000" w:themeColor="text1"/>
            </w:tcBorders>
            <w:shd w:val="clear" w:color="auto" w:fill="auto"/>
            <w:vAlign w:val="center"/>
            <w:hideMark/>
          </w:tcPr>
          <w:p w14:paraId="1BED70A9" w14:textId="77777777" w:rsidR="00954185" w:rsidRPr="00954185" w:rsidRDefault="00954185" w:rsidP="00364C65">
            <w:pPr>
              <w:spacing w:line="360" w:lineRule="auto"/>
              <w:rPr>
                <w:sz w:val="20"/>
                <w:szCs w:val="20"/>
              </w:rPr>
            </w:pPr>
            <w:r w:rsidRPr="00954185">
              <w:rPr>
                <w:sz w:val="20"/>
                <w:szCs w:val="20"/>
              </w:rPr>
              <w:t xml:space="preserve">Abo-Hashem, E. M., </w:t>
            </w:r>
            <w:proofErr w:type="spellStart"/>
            <w:r w:rsidRPr="00954185">
              <w:rPr>
                <w:sz w:val="20"/>
                <w:szCs w:val="20"/>
              </w:rPr>
              <w:t>Elwakil</w:t>
            </w:r>
            <w:proofErr w:type="spellEnd"/>
            <w:r w:rsidRPr="00954185">
              <w:rPr>
                <w:sz w:val="20"/>
                <w:szCs w:val="20"/>
              </w:rPr>
              <w:t>, M. A., Shabana, Y. M., El-Metwally, M. A., El-</w:t>
            </w:r>
            <w:proofErr w:type="spellStart"/>
            <w:r w:rsidRPr="00954185">
              <w:rPr>
                <w:sz w:val="20"/>
                <w:szCs w:val="20"/>
              </w:rPr>
              <w:t>Kannishy</w:t>
            </w:r>
            <w:proofErr w:type="spellEnd"/>
            <w:r w:rsidRPr="00954185">
              <w:rPr>
                <w:sz w:val="20"/>
                <w:szCs w:val="20"/>
              </w:rPr>
              <w:t xml:space="preserve">, G., Anwar, R., Fawzy, E., </w:t>
            </w:r>
            <w:proofErr w:type="spellStart"/>
            <w:r w:rsidRPr="00954185">
              <w:rPr>
                <w:sz w:val="20"/>
                <w:szCs w:val="20"/>
              </w:rPr>
              <w:t>Elzayat</w:t>
            </w:r>
            <w:proofErr w:type="spellEnd"/>
            <w:r w:rsidRPr="00954185">
              <w:rPr>
                <w:sz w:val="20"/>
                <w:szCs w:val="20"/>
              </w:rPr>
              <w:t>, M., Saied, N. (2020). CYP2E1 and L-</w:t>
            </w:r>
            <w:proofErr w:type="spellStart"/>
            <w:r w:rsidRPr="00954185">
              <w:rPr>
                <w:sz w:val="20"/>
                <w:szCs w:val="20"/>
              </w:rPr>
              <w:t>myc</w:t>
            </w:r>
            <w:proofErr w:type="spellEnd"/>
            <w:r w:rsidRPr="00954185">
              <w:rPr>
                <w:sz w:val="20"/>
                <w:szCs w:val="20"/>
              </w:rPr>
              <w:t xml:space="preserve"> </w:t>
            </w:r>
            <w:proofErr w:type="spellStart"/>
            <w:r w:rsidRPr="00954185">
              <w:rPr>
                <w:sz w:val="20"/>
                <w:szCs w:val="20"/>
              </w:rPr>
              <w:t>EcoRI</w:t>
            </w:r>
            <w:proofErr w:type="spellEnd"/>
            <w:r w:rsidRPr="00954185">
              <w:rPr>
                <w:sz w:val="20"/>
                <w:szCs w:val="20"/>
              </w:rPr>
              <w:t xml:space="preserve"> Gene Polymorphisms and Heavy Metals Exposure in Hepatocellular Carcinoma Patients. International Journal of Cancer Research, 16: 48-53.</w:t>
            </w:r>
          </w:p>
        </w:tc>
        <w:tc>
          <w:tcPr>
            <w:tcW w:w="2126" w:type="dxa"/>
            <w:tcBorders>
              <w:right w:val="single" w:sz="4" w:space="0" w:color="000000" w:themeColor="text1"/>
            </w:tcBorders>
            <w:shd w:val="clear" w:color="auto" w:fill="auto"/>
            <w:noWrap/>
            <w:vAlign w:val="center"/>
            <w:hideMark/>
          </w:tcPr>
          <w:p w14:paraId="7F07B1B2" w14:textId="77777777" w:rsidR="00954185" w:rsidRPr="00954185" w:rsidRDefault="00954185" w:rsidP="00364C65">
            <w:pPr>
              <w:spacing w:line="360" w:lineRule="auto"/>
              <w:rPr>
                <w:sz w:val="20"/>
                <w:szCs w:val="20"/>
              </w:rPr>
            </w:pPr>
            <w:r w:rsidRPr="00954185">
              <w:rPr>
                <w:sz w:val="20"/>
                <w:szCs w:val="20"/>
              </w:rPr>
              <w:t xml:space="preserve">No arsenic metabolism, or arsenic-related disease </w:t>
            </w:r>
          </w:p>
        </w:tc>
      </w:tr>
      <w:tr w:rsidR="00954185" w:rsidRPr="00954185" w14:paraId="4880B130" w14:textId="77777777" w:rsidTr="00364C65">
        <w:trPr>
          <w:trHeight w:val="700"/>
        </w:trPr>
        <w:tc>
          <w:tcPr>
            <w:tcW w:w="8364" w:type="dxa"/>
            <w:tcBorders>
              <w:left w:val="single" w:sz="4" w:space="0" w:color="000000" w:themeColor="text1"/>
            </w:tcBorders>
            <w:shd w:val="clear" w:color="auto" w:fill="auto"/>
            <w:vAlign w:val="center"/>
            <w:hideMark/>
          </w:tcPr>
          <w:p w14:paraId="574C3A95" w14:textId="77777777" w:rsidR="00954185" w:rsidRPr="00954185" w:rsidRDefault="00954185" w:rsidP="00364C65">
            <w:pPr>
              <w:spacing w:line="360" w:lineRule="auto"/>
              <w:rPr>
                <w:sz w:val="20"/>
                <w:szCs w:val="20"/>
              </w:rPr>
            </w:pPr>
            <w:r w:rsidRPr="00954185">
              <w:rPr>
                <w:sz w:val="20"/>
                <w:szCs w:val="20"/>
              </w:rPr>
              <w:t xml:space="preserve">Adonis, M., Martinez, V., Marin, P., &amp; Gil, L. (2005). CYP1A1 and GSTM1 genetic polymorphisms in lung cancer populations exposed to arsenic in drinking water. </w:t>
            </w:r>
            <w:proofErr w:type="spellStart"/>
            <w:r w:rsidRPr="00954185">
              <w:rPr>
                <w:sz w:val="20"/>
                <w:szCs w:val="20"/>
              </w:rPr>
              <w:t>Xenobiotica</w:t>
            </w:r>
            <w:proofErr w:type="spellEnd"/>
            <w:r w:rsidRPr="00954185">
              <w:rPr>
                <w:sz w:val="20"/>
                <w:szCs w:val="20"/>
              </w:rPr>
              <w:t>, 35(5), 519-530.</w:t>
            </w:r>
          </w:p>
        </w:tc>
        <w:tc>
          <w:tcPr>
            <w:tcW w:w="2126" w:type="dxa"/>
            <w:tcBorders>
              <w:right w:val="single" w:sz="4" w:space="0" w:color="000000" w:themeColor="text1"/>
            </w:tcBorders>
            <w:shd w:val="clear" w:color="auto" w:fill="auto"/>
            <w:noWrap/>
            <w:vAlign w:val="center"/>
            <w:hideMark/>
          </w:tcPr>
          <w:p w14:paraId="227047D6" w14:textId="77777777" w:rsidR="00954185" w:rsidRPr="00954185" w:rsidRDefault="00954185" w:rsidP="00364C65">
            <w:pPr>
              <w:spacing w:line="360" w:lineRule="auto"/>
              <w:rPr>
                <w:sz w:val="20"/>
                <w:szCs w:val="20"/>
              </w:rPr>
            </w:pPr>
            <w:r w:rsidRPr="00954185">
              <w:rPr>
                <w:sz w:val="20"/>
                <w:szCs w:val="20"/>
              </w:rPr>
              <w:t>Lung cancer</w:t>
            </w:r>
          </w:p>
        </w:tc>
      </w:tr>
      <w:tr w:rsidR="00954185" w:rsidRPr="00954185" w14:paraId="5AADA5E9" w14:textId="77777777" w:rsidTr="00364C65">
        <w:trPr>
          <w:trHeight w:val="900"/>
        </w:trPr>
        <w:tc>
          <w:tcPr>
            <w:tcW w:w="8364" w:type="dxa"/>
            <w:tcBorders>
              <w:left w:val="single" w:sz="4" w:space="0" w:color="000000" w:themeColor="text1"/>
            </w:tcBorders>
            <w:shd w:val="clear" w:color="auto" w:fill="auto"/>
            <w:vAlign w:val="center"/>
            <w:hideMark/>
          </w:tcPr>
          <w:p w14:paraId="0C1A4D1E" w14:textId="77777777" w:rsidR="00954185" w:rsidRPr="00954185" w:rsidRDefault="00954185" w:rsidP="00364C65">
            <w:pPr>
              <w:spacing w:line="360" w:lineRule="auto"/>
              <w:rPr>
                <w:sz w:val="20"/>
                <w:szCs w:val="20"/>
              </w:rPr>
            </w:pPr>
            <w:proofErr w:type="spellStart"/>
            <w:r w:rsidRPr="00641BD3">
              <w:rPr>
                <w:sz w:val="20"/>
                <w:szCs w:val="20"/>
                <w:lang w:val="es-ES"/>
              </w:rPr>
              <w:t>Agusa</w:t>
            </w:r>
            <w:proofErr w:type="spellEnd"/>
            <w:r w:rsidRPr="00641BD3">
              <w:rPr>
                <w:sz w:val="20"/>
                <w:szCs w:val="20"/>
                <w:lang w:val="es-ES"/>
              </w:rPr>
              <w:t xml:space="preserve">, T., Iwata, H., </w:t>
            </w:r>
            <w:proofErr w:type="spellStart"/>
            <w:r w:rsidRPr="00641BD3">
              <w:rPr>
                <w:sz w:val="20"/>
                <w:szCs w:val="20"/>
                <w:lang w:val="es-ES"/>
              </w:rPr>
              <w:t>Fujihara</w:t>
            </w:r>
            <w:proofErr w:type="spellEnd"/>
            <w:r w:rsidRPr="00641BD3">
              <w:rPr>
                <w:sz w:val="20"/>
                <w:szCs w:val="20"/>
                <w:lang w:val="es-ES"/>
              </w:rPr>
              <w:t xml:space="preserve">, J., </w:t>
            </w:r>
            <w:proofErr w:type="spellStart"/>
            <w:r w:rsidRPr="00641BD3">
              <w:rPr>
                <w:sz w:val="20"/>
                <w:szCs w:val="20"/>
                <w:lang w:val="es-ES"/>
              </w:rPr>
              <w:t>Kunito</w:t>
            </w:r>
            <w:proofErr w:type="spellEnd"/>
            <w:r w:rsidRPr="00641BD3">
              <w:rPr>
                <w:sz w:val="20"/>
                <w:szCs w:val="20"/>
                <w:lang w:val="es-ES"/>
              </w:rPr>
              <w:t xml:space="preserve">, T., </w:t>
            </w:r>
            <w:proofErr w:type="spellStart"/>
            <w:r w:rsidRPr="00641BD3">
              <w:rPr>
                <w:sz w:val="20"/>
                <w:szCs w:val="20"/>
                <w:lang w:val="es-ES"/>
              </w:rPr>
              <w:t>Takeshita</w:t>
            </w:r>
            <w:proofErr w:type="spellEnd"/>
            <w:r w:rsidRPr="00641BD3">
              <w:rPr>
                <w:sz w:val="20"/>
                <w:szCs w:val="20"/>
                <w:lang w:val="es-ES"/>
              </w:rPr>
              <w:t xml:space="preserve">, H., Minh, T. B., ... </w:t>
            </w:r>
            <w:r w:rsidRPr="00954185">
              <w:rPr>
                <w:sz w:val="20"/>
                <w:szCs w:val="20"/>
              </w:rPr>
              <w:t>&amp; Tanabe, S. (2009). Genetic polymorphisms in AS3MT and arsenic metabolism in residents of the Red River Delta, Vietnam. Toxicology and applied pharmacology, 236(2), 131-141.</w:t>
            </w:r>
          </w:p>
        </w:tc>
        <w:tc>
          <w:tcPr>
            <w:tcW w:w="2126" w:type="dxa"/>
            <w:tcBorders>
              <w:right w:val="single" w:sz="4" w:space="0" w:color="000000" w:themeColor="text1"/>
            </w:tcBorders>
            <w:shd w:val="clear" w:color="auto" w:fill="auto"/>
            <w:noWrap/>
            <w:vAlign w:val="center"/>
            <w:hideMark/>
          </w:tcPr>
          <w:p w14:paraId="680D20BB"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4E50E1AD" w14:textId="77777777" w:rsidTr="00364C65">
        <w:trPr>
          <w:trHeight w:val="923"/>
        </w:trPr>
        <w:tc>
          <w:tcPr>
            <w:tcW w:w="8364" w:type="dxa"/>
            <w:tcBorders>
              <w:left w:val="single" w:sz="4" w:space="0" w:color="000000" w:themeColor="text1"/>
            </w:tcBorders>
            <w:shd w:val="clear" w:color="auto" w:fill="auto"/>
            <w:vAlign w:val="center"/>
            <w:hideMark/>
          </w:tcPr>
          <w:p w14:paraId="52C2BEC6" w14:textId="77777777" w:rsidR="00954185" w:rsidRPr="00954185" w:rsidRDefault="00954185" w:rsidP="00364C65">
            <w:pPr>
              <w:spacing w:line="360" w:lineRule="auto"/>
              <w:rPr>
                <w:sz w:val="20"/>
                <w:szCs w:val="20"/>
              </w:rPr>
            </w:pPr>
            <w:proofErr w:type="spellStart"/>
            <w:r w:rsidRPr="00641BD3">
              <w:rPr>
                <w:sz w:val="20"/>
                <w:szCs w:val="20"/>
                <w:lang w:val="es-ES"/>
              </w:rPr>
              <w:t>Agusa</w:t>
            </w:r>
            <w:proofErr w:type="spellEnd"/>
            <w:r w:rsidRPr="00641BD3">
              <w:rPr>
                <w:sz w:val="20"/>
                <w:szCs w:val="20"/>
                <w:lang w:val="es-ES"/>
              </w:rPr>
              <w:t xml:space="preserve">, T., Iwata, H., </w:t>
            </w:r>
            <w:proofErr w:type="spellStart"/>
            <w:r w:rsidRPr="00641BD3">
              <w:rPr>
                <w:sz w:val="20"/>
                <w:szCs w:val="20"/>
                <w:lang w:val="es-ES"/>
              </w:rPr>
              <w:t>Fujihara</w:t>
            </w:r>
            <w:proofErr w:type="spellEnd"/>
            <w:r w:rsidRPr="00641BD3">
              <w:rPr>
                <w:sz w:val="20"/>
                <w:szCs w:val="20"/>
                <w:lang w:val="es-ES"/>
              </w:rPr>
              <w:t xml:space="preserve">, J., </w:t>
            </w:r>
            <w:proofErr w:type="spellStart"/>
            <w:r w:rsidRPr="00641BD3">
              <w:rPr>
                <w:sz w:val="20"/>
                <w:szCs w:val="20"/>
                <w:lang w:val="es-ES"/>
              </w:rPr>
              <w:t>Kunito</w:t>
            </w:r>
            <w:proofErr w:type="spellEnd"/>
            <w:r w:rsidRPr="00641BD3">
              <w:rPr>
                <w:sz w:val="20"/>
                <w:szCs w:val="20"/>
                <w:lang w:val="es-ES"/>
              </w:rPr>
              <w:t xml:space="preserve">, T., </w:t>
            </w:r>
            <w:proofErr w:type="spellStart"/>
            <w:r w:rsidRPr="00641BD3">
              <w:rPr>
                <w:sz w:val="20"/>
                <w:szCs w:val="20"/>
                <w:lang w:val="es-ES"/>
              </w:rPr>
              <w:t>Takeshita</w:t>
            </w:r>
            <w:proofErr w:type="spellEnd"/>
            <w:r w:rsidRPr="00641BD3">
              <w:rPr>
                <w:sz w:val="20"/>
                <w:szCs w:val="20"/>
                <w:lang w:val="es-ES"/>
              </w:rPr>
              <w:t xml:space="preserve">, H., Minh, T. B., ... </w:t>
            </w:r>
            <w:r w:rsidRPr="00954185">
              <w:rPr>
                <w:sz w:val="20"/>
                <w:szCs w:val="20"/>
              </w:rPr>
              <w:t>&amp; Tanabe, S. (2010). Genetic polymorphisms in glutathione S-transferase (GST) superfamily and arsenic metabolism in residents of the Red River Delta, Vietnam. Toxicology and applied pharmacology, 242(3), 352-362.</w:t>
            </w:r>
          </w:p>
        </w:tc>
        <w:tc>
          <w:tcPr>
            <w:tcW w:w="2126" w:type="dxa"/>
            <w:tcBorders>
              <w:right w:val="single" w:sz="4" w:space="0" w:color="000000" w:themeColor="text1"/>
            </w:tcBorders>
            <w:shd w:val="clear" w:color="auto" w:fill="auto"/>
            <w:noWrap/>
            <w:vAlign w:val="center"/>
            <w:hideMark/>
          </w:tcPr>
          <w:p w14:paraId="141D97AF"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60B57133" w14:textId="77777777" w:rsidTr="00364C65">
        <w:trPr>
          <w:trHeight w:val="900"/>
        </w:trPr>
        <w:tc>
          <w:tcPr>
            <w:tcW w:w="8364" w:type="dxa"/>
            <w:tcBorders>
              <w:left w:val="single" w:sz="4" w:space="0" w:color="000000" w:themeColor="text1"/>
            </w:tcBorders>
            <w:shd w:val="clear" w:color="auto" w:fill="auto"/>
            <w:vAlign w:val="center"/>
            <w:hideMark/>
          </w:tcPr>
          <w:p w14:paraId="0FEE802B" w14:textId="77777777" w:rsidR="00954185" w:rsidRPr="00954185" w:rsidRDefault="00954185" w:rsidP="00364C65">
            <w:pPr>
              <w:spacing w:line="360" w:lineRule="auto"/>
              <w:rPr>
                <w:sz w:val="20"/>
                <w:szCs w:val="20"/>
              </w:rPr>
            </w:pPr>
            <w:proofErr w:type="spellStart"/>
            <w:r w:rsidRPr="00641BD3">
              <w:rPr>
                <w:sz w:val="20"/>
                <w:szCs w:val="20"/>
                <w:lang w:val="es-ES"/>
              </w:rPr>
              <w:t>Agusa</w:t>
            </w:r>
            <w:proofErr w:type="spellEnd"/>
            <w:r w:rsidRPr="00641BD3">
              <w:rPr>
                <w:sz w:val="20"/>
                <w:szCs w:val="20"/>
                <w:lang w:val="es-ES"/>
              </w:rPr>
              <w:t xml:space="preserve">, T., </w:t>
            </w:r>
            <w:proofErr w:type="spellStart"/>
            <w:r w:rsidRPr="00641BD3">
              <w:rPr>
                <w:sz w:val="20"/>
                <w:szCs w:val="20"/>
                <w:lang w:val="es-ES"/>
              </w:rPr>
              <w:t>Kunito</w:t>
            </w:r>
            <w:proofErr w:type="spellEnd"/>
            <w:r w:rsidRPr="00641BD3">
              <w:rPr>
                <w:sz w:val="20"/>
                <w:szCs w:val="20"/>
                <w:lang w:val="es-ES"/>
              </w:rPr>
              <w:t xml:space="preserve">, T., Tue, N. M., </w:t>
            </w:r>
            <w:proofErr w:type="spellStart"/>
            <w:r w:rsidRPr="00641BD3">
              <w:rPr>
                <w:sz w:val="20"/>
                <w:szCs w:val="20"/>
                <w:lang w:val="es-ES"/>
              </w:rPr>
              <w:t>Lan</w:t>
            </w:r>
            <w:proofErr w:type="spellEnd"/>
            <w:r w:rsidRPr="00641BD3">
              <w:rPr>
                <w:sz w:val="20"/>
                <w:szCs w:val="20"/>
                <w:lang w:val="es-ES"/>
              </w:rPr>
              <w:t xml:space="preserve">, V. T. M., </w:t>
            </w:r>
            <w:proofErr w:type="spellStart"/>
            <w:r w:rsidRPr="00641BD3">
              <w:rPr>
                <w:sz w:val="20"/>
                <w:szCs w:val="20"/>
                <w:lang w:val="es-ES"/>
              </w:rPr>
              <w:t>Fujihara</w:t>
            </w:r>
            <w:proofErr w:type="spellEnd"/>
            <w:r w:rsidRPr="00641BD3">
              <w:rPr>
                <w:sz w:val="20"/>
                <w:szCs w:val="20"/>
                <w:lang w:val="es-ES"/>
              </w:rPr>
              <w:t xml:space="preserve">, J., </w:t>
            </w:r>
            <w:proofErr w:type="spellStart"/>
            <w:r w:rsidRPr="00641BD3">
              <w:rPr>
                <w:sz w:val="20"/>
                <w:szCs w:val="20"/>
                <w:lang w:val="es-ES"/>
              </w:rPr>
              <w:t>Takeshita</w:t>
            </w:r>
            <w:proofErr w:type="spellEnd"/>
            <w:r w:rsidRPr="00641BD3">
              <w:rPr>
                <w:sz w:val="20"/>
                <w:szCs w:val="20"/>
                <w:lang w:val="es-ES"/>
              </w:rPr>
              <w:t xml:space="preserve">, H., ... &amp; Iwata, H. (2012). </w:t>
            </w:r>
            <w:r w:rsidRPr="00954185">
              <w:rPr>
                <w:sz w:val="20"/>
                <w:szCs w:val="20"/>
              </w:rPr>
              <w:t xml:space="preserve">Individual variations in </w:t>
            </w:r>
            <w:proofErr w:type="spellStart"/>
            <w:r w:rsidRPr="00954185">
              <w:rPr>
                <w:sz w:val="20"/>
                <w:szCs w:val="20"/>
              </w:rPr>
              <w:t>arsenicmetabolism</w:t>
            </w:r>
            <w:proofErr w:type="spellEnd"/>
            <w:r w:rsidRPr="00954185">
              <w:rPr>
                <w:sz w:val="20"/>
                <w:szCs w:val="20"/>
              </w:rPr>
              <w:t xml:space="preserve"> in Vietnamese: the association with arsenic exposure and GSTP1 genetic polymorphism. </w:t>
            </w:r>
            <w:proofErr w:type="spellStart"/>
            <w:r w:rsidRPr="00954185">
              <w:rPr>
                <w:sz w:val="20"/>
                <w:szCs w:val="20"/>
              </w:rPr>
              <w:t>Metallomics</w:t>
            </w:r>
            <w:proofErr w:type="spellEnd"/>
            <w:r w:rsidRPr="00954185">
              <w:rPr>
                <w:sz w:val="20"/>
                <w:szCs w:val="20"/>
              </w:rPr>
              <w:t>, 4(1), 91-100.</w:t>
            </w:r>
          </w:p>
        </w:tc>
        <w:tc>
          <w:tcPr>
            <w:tcW w:w="2126" w:type="dxa"/>
            <w:tcBorders>
              <w:right w:val="single" w:sz="4" w:space="0" w:color="000000" w:themeColor="text1"/>
            </w:tcBorders>
            <w:shd w:val="clear" w:color="auto" w:fill="auto"/>
            <w:noWrap/>
            <w:vAlign w:val="center"/>
            <w:hideMark/>
          </w:tcPr>
          <w:p w14:paraId="4BB7AEB0"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2CBAD657" w14:textId="77777777" w:rsidTr="00364C65">
        <w:trPr>
          <w:trHeight w:val="84"/>
        </w:trPr>
        <w:tc>
          <w:tcPr>
            <w:tcW w:w="8364" w:type="dxa"/>
            <w:tcBorders>
              <w:left w:val="single" w:sz="4" w:space="0" w:color="000000" w:themeColor="text1"/>
            </w:tcBorders>
            <w:shd w:val="clear" w:color="auto" w:fill="auto"/>
            <w:vAlign w:val="center"/>
            <w:hideMark/>
          </w:tcPr>
          <w:p w14:paraId="2BC49482" w14:textId="77777777" w:rsidR="00954185" w:rsidRPr="00954185" w:rsidRDefault="00954185" w:rsidP="00364C65">
            <w:pPr>
              <w:spacing w:line="360" w:lineRule="auto"/>
              <w:rPr>
                <w:sz w:val="20"/>
                <w:szCs w:val="20"/>
              </w:rPr>
            </w:pPr>
            <w:r w:rsidRPr="00954185">
              <w:rPr>
                <w:sz w:val="20"/>
                <w:szCs w:val="20"/>
              </w:rPr>
              <w:t>Ahmad, S., Arif, B., Akram, Z., Ahmed, M. W., Khan, A. U., Hussain, M. Z., ... &amp; Mahjabeen, I. (2020). Association of intronic polymorphisms (rs1549339, rs13402242) and mRNA expression variations in PSMD1 gene in arsenic-exposed workers. Environmental Science and Pollution Research, 27, 11425-11437.</w:t>
            </w:r>
          </w:p>
        </w:tc>
        <w:tc>
          <w:tcPr>
            <w:tcW w:w="2126" w:type="dxa"/>
            <w:tcBorders>
              <w:right w:val="single" w:sz="4" w:space="0" w:color="000000" w:themeColor="text1"/>
            </w:tcBorders>
            <w:shd w:val="clear" w:color="auto" w:fill="auto"/>
            <w:noWrap/>
            <w:vAlign w:val="center"/>
            <w:hideMark/>
          </w:tcPr>
          <w:p w14:paraId="2F82170B" w14:textId="77777777" w:rsidR="00954185" w:rsidRPr="00954185" w:rsidRDefault="00954185" w:rsidP="00364C65">
            <w:pPr>
              <w:spacing w:line="360" w:lineRule="auto"/>
              <w:rPr>
                <w:sz w:val="20"/>
                <w:szCs w:val="20"/>
              </w:rPr>
            </w:pPr>
            <w:r w:rsidRPr="00954185">
              <w:rPr>
                <w:sz w:val="20"/>
                <w:szCs w:val="20"/>
              </w:rPr>
              <w:t xml:space="preserve">No arsenic metabolism, or arsenic-related disease </w:t>
            </w:r>
          </w:p>
        </w:tc>
      </w:tr>
      <w:tr w:rsidR="00954185" w:rsidRPr="00954185" w14:paraId="5149E59D" w14:textId="77777777" w:rsidTr="00364C65">
        <w:trPr>
          <w:trHeight w:val="900"/>
        </w:trPr>
        <w:tc>
          <w:tcPr>
            <w:tcW w:w="8364" w:type="dxa"/>
            <w:tcBorders>
              <w:left w:val="single" w:sz="4" w:space="0" w:color="000000" w:themeColor="text1"/>
            </w:tcBorders>
            <w:shd w:val="clear" w:color="auto" w:fill="auto"/>
            <w:vAlign w:val="center"/>
            <w:hideMark/>
          </w:tcPr>
          <w:p w14:paraId="16BD9D2D" w14:textId="77777777" w:rsidR="00954185" w:rsidRPr="00954185" w:rsidRDefault="00954185" w:rsidP="00364C65">
            <w:pPr>
              <w:spacing w:line="360" w:lineRule="auto"/>
              <w:rPr>
                <w:sz w:val="20"/>
                <w:szCs w:val="20"/>
              </w:rPr>
            </w:pPr>
            <w:r w:rsidRPr="00954185">
              <w:rPr>
                <w:sz w:val="20"/>
                <w:szCs w:val="20"/>
              </w:rPr>
              <w:t xml:space="preserve">Ahsan, H., Chen, Y., </w:t>
            </w:r>
            <w:proofErr w:type="spellStart"/>
            <w:r w:rsidRPr="00954185">
              <w:rPr>
                <w:sz w:val="20"/>
                <w:szCs w:val="20"/>
              </w:rPr>
              <w:t>Kibriya</w:t>
            </w:r>
            <w:proofErr w:type="spellEnd"/>
            <w:r w:rsidRPr="00954185">
              <w:rPr>
                <w:sz w:val="20"/>
                <w:szCs w:val="20"/>
              </w:rPr>
              <w:t xml:space="preserve">, M. G., Islam, M. N., </w:t>
            </w:r>
            <w:proofErr w:type="spellStart"/>
            <w:r w:rsidRPr="00954185">
              <w:rPr>
                <w:sz w:val="20"/>
                <w:szCs w:val="20"/>
              </w:rPr>
              <w:t>Slavkovich</w:t>
            </w:r>
            <w:proofErr w:type="spellEnd"/>
            <w:r w:rsidRPr="00954185">
              <w:rPr>
                <w:sz w:val="20"/>
                <w:szCs w:val="20"/>
              </w:rPr>
              <w:t>, V. N., Graziano, J. H., &amp; Santella, R. M. (2003). Susceptibility to arsenic-induced hyperkeratosis and oxidative stress genes myeloperoxidase and catalase. Cancer letters, 201(1), 57-65.</w:t>
            </w:r>
          </w:p>
        </w:tc>
        <w:tc>
          <w:tcPr>
            <w:tcW w:w="2126" w:type="dxa"/>
            <w:tcBorders>
              <w:right w:val="single" w:sz="4" w:space="0" w:color="000000" w:themeColor="text1"/>
            </w:tcBorders>
            <w:shd w:val="clear" w:color="auto" w:fill="auto"/>
            <w:noWrap/>
            <w:vAlign w:val="center"/>
            <w:hideMark/>
          </w:tcPr>
          <w:p w14:paraId="03438B76" w14:textId="77777777" w:rsidR="00954185" w:rsidRPr="00954185" w:rsidRDefault="00954185" w:rsidP="00364C65">
            <w:pPr>
              <w:spacing w:line="360" w:lineRule="auto"/>
              <w:rPr>
                <w:sz w:val="20"/>
                <w:szCs w:val="20"/>
              </w:rPr>
            </w:pPr>
            <w:r w:rsidRPr="00954185">
              <w:rPr>
                <w:sz w:val="20"/>
                <w:szCs w:val="20"/>
              </w:rPr>
              <w:t xml:space="preserve">Skin lesions </w:t>
            </w:r>
          </w:p>
        </w:tc>
      </w:tr>
      <w:tr w:rsidR="00954185" w:rsidRPr="00954185" w14:paraId="3FA3B62D" w14:textId="77777777" w:rsidTr="00364C65">
        <w:trPr>
          <w:trHeight w:val="1200"/>
        </w:trPr>
        <w:tc>
          <w:tcPr>
            <w:tcW w:w="8364" w:type="dxa"/>
            <w:tcBorders>
              <w:left w:val="single" w:sz="4" w:space="0" w:color="000000" w:themeColor="text1"/>
            </w:tcBorders>
            <w:shd w:val="clear" w:color="auto" w:fill="auto"/>
            <w:vAlign w:val="center"/>
            <w:hideMark/>
          </w:tcPr>
          <w:p w14:paraId="1AFA9746" w14:textId="77777777" w:rsidR="00954185" w:rsidRPr="00954185" w:rsidRDefault="00954185" w:rsidP="00364C65">
            <w:pPr>
              <w:spacing w:line="360" w:lineRule="auto"/>
              <w:rPr>
                <w:sz w:val="20"/>
                <w:szCs w:val="20"/>
              </w:rPr>
            </w:pPr>
            <w:r w:rsidRPr="00954185">
              <w:rPr>
                <w:sz w:val="20"/>
                <w:szCs w:val="20"/>
              </w:rPr>
              <w:t xml:space="preserve">Ahsan, H., Chen, Y., </w:t>
            </w:r>
            <w:proofErr w:type="spellStart"/>
            <w:r w:rsidRPr="00954185">
              <w:rPr>
                <w:sz w:val="20"/>
                <w:szCs w:val="20"/>
              </w:rPr>
              <w:t>Kibriya</w:t>
            </w:r>
            <w:proofErr w:type="spellEnd"/>
            <w:r w:rsidRPr="00954185">
              <w:rPr>
                <w:sz w:val="20"/>
                <w:szCs w:val="20"/>
              </w:rPr>
              <w:t xml:space="preserve">, M. G., </w:t>
            </w:r>
            <w:proofErr w:type="spellStart"/>
            <w:r w:rsidRPr="00954185">
              <w:rPr>
                <w:sz w:val="20"/>
                <w:szCs w:val="20"/>
              </w:rPr>
              <w:t>Slavkovich</w:t>
            </w:r>
            <w:proofErr w:type="spellEnd"/>
            <w:r w:rsidRPr="00954185">
              <w:rPr>
                <w:sz w:val="20"/>
                <w:szCs w:val="20"/>
              </w:rPr>
              <w:t>, V., Parvez, F., Jasmine, F., ... &amp; Graziano, J. H. (2007). Arsenic metabolism, genetic susceptibility, and risk of premalignant skin lesions in Bangladesh. Cancer Epidemiology Biomarkers &amp; Prevention, 16(6), 1270-1278.</w:t>
            </w:r>
          </w:p>
        </w:tc>
        <w:tc>
          <w:tcPr>
            <w:tcW w:w="2126" w:type="dxa"/>
            <w:tcBorders>
              <w:right w:val="single" w:sz="4" w:space="0" w:color="000000" w:themeColor="text1"/>
            </w:tcBorders>
            <w:shd w:val="clear" w:color="auto" w:fill="auto"/>
            <w:noWrap/>
            <w:vAlign w:val="center"/>
            <w:hideMark/>
          </w:tcPr>
          <w:p w14:paraId="1A8A1DBE" w14:textId="77777777" w:rsidR="00954185" w:rsidRPr="00954185" w:rsidRDefault="00954185" w:rsidP="00364C65">
            <w:pPr>
              <w:spacing w:line="360" w:lineRule="auto"/>
              <w:rPr>
                <w:sz w:val="20"/>
                <w:szCs w:val="20"/>
              </w:rPr>
            </w:pPr>
            <w:r w:rsidRPr="00954185">
              <w:rPr>
                <w:sz w:val="20"/>
                <w:szCs w:val="20"/>
              </w:rPr>
              <w:t xml:space="preserve">Skin lesions, arsenic metabolism </w:t>
            </w:r>
          </w:p>
        </w:tc>
      </w:tr>
      <w:tr w:rsidR="00954185" w:rsidRPr="00954185" w14:paraId="305A98ED" w14:textId="77777777" w:rsidTr="00364C65">
        <w:trPr>
          <w:trHeight w:val="900"/>
        </w:trPr>
        <w:tc>
          <w:tcPr>
            <w:tcW w:w="8364" w:type="dxa"/>
            <w:tcBorders>
              <w:left w:val="single" w:sz="4" w:space="0" w:color="000000" w:themeColor="text1"/>
            </w:tcBorders>
            <w:shd w:val="clear" w:color="auto" w:fill="auto"/>
            <w:vAlign w:val="center"/>
            <w:hideMark/>
          </w:tcPr>
          <w:p w14:paraId="0690A003" w14:textId="77777777" w:rsidR="00954185" w:rsidRPr="00954185" w:rsidRDefault="00954185" w:rsidP="00364C65">
            <w:pPr>
              <w:spacing w:line="360" w:lineRule="auto"/>
              <w:rPr>
                <w:sz w:val="20"/>
                <w:szCs w:val="20"/>
              </w:rPr>
            </w:pPr>
            <w:r w:rsidRPr="00954185">
              <w:rPr>
                <w:sz w:val="20"/>
                <w:szCs w:val="20"/>
              </w:rPr>
              <w:t xml:space="preserve">Ahsan, H., Chen, Y., Wang, Q., </w:t>
            </w:r>
            <w:proofErr w:type="spellStart"/>
            <w:r w:rsidRPr="00954185">
              <w:rPr>
                <w:sz w:val="20"/>
                <w:szCs w:val="20"/>
              </w:rPr>
              <w:t>Slavkovich</w:t>
            </w:r>
            <w:proofErr w:type="spellEnd"/>
            <w:r w:rsidRPr="00954185">
              <w:rPr>
                <w:sz w:val="20"/>
                <w:szCs w:val="20"/>
              </w:rPr>
              <w:t>, V., Graziano, J. H., &amp; Santella, R. M. (2003). DNA repair gene XPD and susceptibility to arsenic-induced hyperkeratosis. Toxicology letters, 143(2), 123-131.</w:t>
            </w:r>
          </w:p>
        </w:tc>
        <w:tc>
          <w:tcPr>
            <w:tcW w:w="2126" w:type="dxa"/>
            <w:tcBorders>
              <w:right w:val="single" w:sz="4" w:space="0" w:color="000000" w:themeColor="text1"/>
            </w:tcBorders>
            <w:shd w:val="clear" w:color="auto" w:fill="auto"/>
            <w:noWrap/>
            <w:vAlign w:val="center"/>
            <w:hideMark/>
          </w:tcPr>
          <w:p w14:paraId="75574763" w14:textId="77777777" w:rsidR="00954185" w:rsidRPr="00954185" w:rsidRDefault="00954185" w:rsidP="00364C65">
            <w:pPr>
              <w:spacing w:line="360" w:lineRule="auto"/>
              <w:rPr>
                <w:sz w:val="20"/>
                <w:szCs w:val="20"/>
              </w:rPr>
            </w:pPr>
            <w:r w:rsidRPr="00954185">
              <w:rPr>
                <w:sz w:val="20"/>
                <w:szCs w:val="20"/>
              </w:rPr>
              <w:t xml:space="preserve">Skin lesions </w:t>
            </w:r>
          </w:p>
        </w:tc>
      </w:tr>
      <w:tr w:rsidR="00954185" w:rsidRPr="00954185" w14:paraId="73C8ED06" w14:textId="77777777" w:rsidTr="00364C65">
        <w:trPr>
          <w:trHeight w:val="900"/>
        </w:trPr>
        <w:tc>
          <w:tcPr>
            <w:tcW w:w="8364" w:type="dxa"/>
            <w:tcBorders>
              <w:left w:val="single" w:sz="4" w:space="0" w:color="000000" w:themeColor="text1"/>
            </w:tcBorders>
            <w:shd w:val="clear" w:color="auto" w:fill="auto"/>
            <w:vAlign w:val="center"/>
            <w:hideMark/>
          </w:tcPr>
          <w:p w14:paraId="1EA98E99" w14:textId="77777777" w:rsidR="00954185" w:rsidRPr="00954185" w:rsidRDefault="00954185" w:rsidP="00364C65">
            <w:pPr>
              <w:spacing w:line="360" w:lineRule="auto"/>
              <w:rPr>
                <w:sz w:val="20"/>
                <w:szCs w:val="20"/>
              </w:rPr>
            </w:pPr>
            <w:proofErr w:type="spellStart"/>
            <w:r w:rsidRPr="00954185">
              <w:rPr>
                <w:sz w:val="20"/>
                <w:szCs w:val="20"/>
              </w:rPr>
              <w:t>Akyüzlü</w:t>
            </w:r>
            <w:proofErr w:type="spellEnd"/>
            <w:r w:rsidRPr="00954185">
              <w:rPr>
                <w:sz w:val="20"/>
                <w:szCs w:val="20"/>
              </w:rPr>
              <w:t xml:space="preserve">, D., </w:t>
            </w:r>
            <w:proofErr w:type="spellStart"/>
            <w:r w:rsidRPr="00954185">
              <w:rPr>
                <w:sz w:val="20"/>
                <w:szCs w:val="20"/>
              </w:rPr>
              <w:t>Kayaalti</w:t>
            </w:r>
            <w:proofErr w:type="spellEnd"/>
            <w:r w:rsidRPr="00954185">
              <w:rPr>
                <w:sz w:val="20"/>
                <w:szCs w:val="20"/>
              </w:rPr>
              <w:t xml:space="preserve">, Z., Ozdemir, F., </w:t>
            </w:r>
            <w:proofErr w:type="spellStart"/>
            <w:r w:rsidRPr="00954185">
              <w:rPr>
                <w:sz w:val="20"/>
                <w:szCs w:val="20"/>
              </w:rPr>
              <w:t>Tutkun</w:t>
            </w:r>
            <w:proofErr w:type="spellEnd"/>
            <w:r w:rsidRPr="00954185">
              <w:rPr>
                <w:sz w:val="20"/>
                <w:szCs w:val="20"/>
              </w:rPr>
              <w:t xml:space="preserve">, E., &amp; </w:t>
            </w:r>
            <w:proofErr w:type="spellStart"/>
            <w:r w:rsidRPr="00954185">
              <w:rPr>
                <w:sz w:val="20"/>
                <w:szCs w:val="20"/>
              </w:rPr>
              <w:t>Soylemezoglu</w:t>
            </w:r>
            <w:proofErr w:type="spellEnd"/>
            <w:r w:rsidRPr="00954185">
              <w:rPr>
                <w:sz w:val="20"/>
                <w:szCs w:val="20"/>
              </w:rPr>
              <w:t>, T. (2016). Association between multidrug-resistance associated protein 1 (MRP1) G1666A gene polymorphism and urinary arsenic levels. Marmara Pharmaceutical Journal, 20(1).</w:t>
            </w:r>
          </w:p>
        </w:tc>
        <w:tc>
          <w:tcPr>
            <w:tcW w:w="2126" w:type="dxa"/>
            <w:tcBorders>
              <w:right w:val="single" w:sz="4" w:space="0" w:color="000000" w:themeColor="text1"/>
            </w:tcBorders>
            <w:shd w:val="clear" w:color="auto" w:fill="auto"/>
            <w:noWrap/>
            <w:vAlign w:val="center"/>
            <w:hideMark/>
          </w:tcPr>
          <w:p w14:paraId="69D03688"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6C72676F" w14:textId="77777777" w:rsidTr="00364C65">
        <w:trPr>
          <w:trHeight w:val="1200"/>
        </w:trPr>
        <w:tc>
          <w:tcPr>
            <w:tcW w:w="8364" w:type="dxa"/>
            <w:tcBorders>
              <w:left w:val="single" w:sz="4" w:space="0" w:color="000000" w:themeColor="text1"/>
            </w:tcBorders>
            <w:shd w:val="clear" w:color="auto" w:fill="auto"/>
            <w:vAlign w:val="center"/>
            <w:hideMark/>
          </w:tcPr>
          <w:p w14:paraId="7E39F56A" w14:textId="77777777" w:rsidR="00954185" w:rsidRPr="00954185" w:rsidRDefault="00954185" w:rsidP="00364C65">
            <w:pPr>
              <w:spacing w:line="360" w:lineRule="auto"/>
              <w:rPr>
                <w:sz w:val="20"/>
                <w:szCs w:val="20"/>
              </w:rPr>
            </w:pPr>
            <w:r w:rsidRPr="00954185">
              <w:rPr>
                <w:sz w:val="20"/>
                <w:szCs w:val="20"/>
              </w:rPr>
              <w:t xml:space="preserve">Al-Forkan, Mohammad, Fahmida Binta Wali, Laila Khaleda, Md Jibran Alam, </w:t>
            </w:r>
            <w:proofErr w:type="spellStart"/>
            <w:r w:rsidRPr="00954185">
              <w:rPr>
                <w:sz w:val="20"/>
                <w:szCs w:val="20"/>
              </w:rPr>
              <w:t>Rahee</w:t>
            </w:r>
            <w:proofErr w:type="spellEnd"/>
            <w:r w:rsidRPr="00954185">
              <w:rPr>
                <w:sz w:val="20"/>
                <w:szCs w:val="20"/>
              </w:rPr>
              <w:t xml:space="preserve"> Hasan Chowdhury, Amit Datta, Md Zillur Rahman et al. "Association of arsenic-induced cardiovascular disease susceptibility with genetic polymorphisms." Scientific reports 11, no. 1 (2021): 6263.</w:t>
            </w:r>
          </w:p>
        </w:tc>
        <w:tc>
          <w:tcPr>
            <w:tcW w:w="2126" w:type="dxa"/>
            <w:tcBorders>
              <w:right w:val="single" w:sz="4" w:space="0" w:color="000000" w:themeColor="text1"/>
            </w:tcBorders>
            <w:shd w:val="clear" w:color="auto" w:fill="auto"/>
            <w:noWrap/>
            <w:vAlign w:val="center"/>
            <w:hideMark/>
          </w:tcPr>
          <w:p w14:paraId="1088D57A" w14:textId="77777777" w:rsidR="00954185" w:rsidRPr="00954185" w:rsidRDefault="00954185" w:rsidP="00364C65">
            <w:pPr>
              <w:spacing w:line="360" w:lineRule="auto"/>
              <w:rPr>
                <w:sz w:val="20"/>
                <w:szCs w:val="20"/>
              </w:rPr>
            </w:pPr>
            <w:r w:rsidRPr="00954185">
              <w:rPr>
                <w:sz w:val="20"/>
                <w:szCs w:val="20"/>
              </w:rPr>
              <w:t xml:space="preserve">No arsenic metabolism, or arsenic-related disease </w:t>
            </w:r>
          </w:p>
        </w:tc>
      </w:tr>
      <w:tr w:rsidR="00954185" w:rsidRPr="00954185" w14:paraId="2D60E874" w14:textId="77777777" w:rsidTr="00364C65">
        <w:trPr>
          <w:trHeight w:val="1500"/>
        </w:trPr>
        <w:tc>
          <w:tcPr>
            <w:tcW w:w="8364" w:type="dxa"/>
            <w:tcBorders>
              <w:left w:val="single" w:sz="4" w:space="0" w:color="000000" w:themeColor="text1"/>
            </w:tcBorders>
            <w:shd w:val="clear" w:color="auto" w:fill="auto"/>
            <w:vAlign w:val="center"/>
            <w:hideMark/>
          </w:tcPr>
          <w:p w14:paraId="7BF6FD6A" w14:textId="77777777" w:rsidR="00954185" w:rsidRPr="00954185" w:rsidRDefault="00954185" w:rsidP="00364C65">
            <w:pPr>
              <w:spacing w:line="360" w:lineRule="auto"/>
              <w:rPr>
                <w:sz w:val="20"/>
                <w:szCs w:val="20"/>
              </w:rPr>
            </w:pPr>
            <w:proofErr w:type="spellStart"/>
            <w:r w:rsidRPr="00954185">
              <w:rPr>
                <w:sz w:val="20"/>
                <w:szCs w:val="20"/>
              </w:rPr>
              <w:lastRenderedPageBreak/>
              <w:t>Alfimova</w:t>
            </w:r>
            <w:proofErr w:type="spellEnd"/>
            <w:r w:rsidRPr="00954185">
              <w:rPr>
                <w:sz w:val="20"/>
                <w:szCs w:val="20"/>
              </w:rPr>
              <w:t xml:space="preserve">, M., Kondratyev, N., </w:t>
            </w:r>
            <w:proofErr w:type="spellStart"/>
            <w:r w:rsidRPr="00954185">
              <w:rPr>
                <w:sz w:val="20"/>
                <w:szCs w:val="20"/>
              </w:rPr>
              <w:t>Korovaitseva</w:t>
            </w:r>
            <w:proofErr w:type="spellEnd"/>
            <w:r w:rsidRPr="00954185">
              <w:rPr>
                <w:sz w:val="20"/>
                <w:szCs w:val="20"/>
              </w:rPr>
              <w:t xml:space="preserve">, G., </w:t>
            </w:r>
            <w:proofErr w:type="spellStart"/>
            <w:r w:rsidRPr="00954185">
              <w:rPr>
                <w:sz w:val="20"/>
                <w:szCs w:val="20"/>
              </w:rPr>
              <w:t>Lezheiko</w:t>
            </w:r>
            <w:proofErr w:type="spellEnd"/>
            <w:r w:rsidRPr="00954185">
              <w:rPr>
                <w:sz w:val="20"/>
                <w:szCs w:val="20"/>
              </w:rPr>
              <w:t xml:space="preserve">, T., </w:t>
            </w:r>
            <w:proofErr w:type="spellStart"/>
            <w:r w:rsidRPr="00954185">
              <w:rPr>
                <w:sz w:val="20"/>
                <w:szCs w:val="20"/>
              </w:rPr>
              <w:t>Plakunova</w:t>
            </w:r>
            <w:proofErr w:type="spellEnd"/>
            <w:r w:rsidRPr="00954185">
              <w:rPr>
                <w:sz w:val="20"/>
                <w:szCs w:val="20"/>
              </w:rPr>
              <w:t xml:space="preserve">, V., </w:t>
            </w:r>
            <w:proofErr w:type="spellStart"/>
            <w:r w:rsidRPr="00954185">
              <w:rPr>
                <w:sz w:val="20"/>
                <w:szCs w:val="20"/>
              </w:rPr>
              <w:t>Gabaeva</w:t>
            </w:r>
            <w:proofErr w:type="spellEnd"/>
            <w:r w:rsidRPr="00954185">
              <w:rPr>
                <w:sz w:val="20"/>
                <w:szCs w:val="20"/>
              </w:rPr>
              <w:t xml:space="preserve">, M., &amp; </w:t>
            </w:r>
            <w:proofErr w:type="spellStart"/>
            <w:r w:rsidRPr="00954185">
              <w:rPr>
                <w:sz w:val="20"/>
                <w:szCs w:val="20"/>
              </w:rPr>
              <w:t>Golimbet</w:t>
            </w:r>
            <w:proofErr w:type="spellEnd"/>
            <w:r w:rsidRPr="00954185">
              <w:rPr>
                <w:sz w:val="20"/>
                <w:szCs w:val="20"/>
              </w:rPr>
              <w:t>, V. (2022). A Role of DNA Methylation within the CYP17A1 Gene in the Association of Genetic and Environmental Risk Factors with Stress-Related Manifestations of Schizophrenia. International Journal of Molecular Sciences, 23(20), 12629.</w:t>
            </w:r>
          </w:p>
        </w:tc>
        <w:tc>
          <w:tcPr>
            <w:tcW w:w="2126" w:type="dxa"/>
            <w:tcBorders>
              <w:right w:val="single" w:sz="4" w:space="0" w:color="000000" w:themeColor="text1"/>
            </w:tcBorders>
            <w:shd w:val="clear" w:color="auto" w:fill="auto"/>
            <w:noWrap/>
            <w:vAlign w:val="center"/>
            <w:hideMark/>
          </w:tcPr>
          <w:p w14:paraId="4D64C185" w14:textId="77777777" w:rsidR="00954185" w:rsidRPr="00954185" w:rsidRDefault="00954185" w:rsidP="00364C65">
            <w:pPr>
              <w:spacing w:line="360" w:lineRule="auto"/>
              <w:rPr>
                <w:sz w:val="20"/>
                <w:szCs w:val="20"/>
              </w:rPr>
            </w:pPr>
            <w:r w:rsidRPr="00954185">
              <w:rPr>
                <w:sz w:val="20"/>
                <w:szCs w:val="20"/>
              </w:rPr>
              <w:t xml:space="preserve">No arsenic metabolism, or arsenic-related disease </w:t>
            </w:r>
          </w:p>
        </w:tc>
      </w:tr>
      <w:tr w:rsidR="00954185" w:rsidRPr="00954185" w14:paraId="3D2EBE61" w14:textId="77777777" w:rsidTr="00364C65">
        <w:trPr>
          <w:trHeight w:val="1200"/>
        </w:trPr>
        <w:tc>
          <w:tcPr>
            <w:tcW w:w="8364" w:type="dxa"/>
            <w:tcBorders>
              <w:left w:val="single" w:sz="4" w:space="0" w:color="000000" w:themeColor="text1"/>
            </w:tcBorders>
            <w:shd w:val="clear" w:color="auto" w:fill="auto"/>
            <w:vAlign w:val="center"/>
            <w:hideMark/>
          </w:tcPr>
          <w:p w14:paraId="79C27B82" w14:textId="77777777" w:rsidR="00954185" w:rsidRPr="00954185" w:rsidRDefault="00954185" w:rsidP="00364C65">
            <w:pPr>
              <w:spacing w:line="360" w:lineRule="auto"/>
              <w:rPr>
                <w:sz w:val="20"/>
                <w:szCs w:val="20"/>
              </w:rPr>
            </w:pPr>
            <w:proofErr w:type="spellStart"/>
            <w:r w:rsidRPr="00954185">
              <w:rPr>
                <w:sz w:val="20"/>
                <w:szCs w:val="20"/>
              </w:rPr>
              <w:t>Aliomrani</w:t>
            </w:r>
            <w:proofErr w:type="spellEnd"/>
            <w:r w:rsidRPr="00954185">
              <w:rPr>
                <w:sz w:val="20"/>
                <w:szCs w:val="20"/>
              </w:rPr>
              <w:t xml:space="preserve">, M., </w:t>
            </w:r>
            <w:proofErr w:type="spellStart"/>
            <w:r w:rsidRPr="00954185">
              <w:rPr>
                <w:sz w:val="20"/>
                <w:szCs w:val="20"/>
              </w:rPr>
              <w:t>Sahraian</w:t>
            </w:r>
            <w:proofErr w:type="spellEnd"/>
            <w:r w:rsidRPr="00954185">
              <w:rPr>
                <w:sz w:val="20"/>
                <w:szCs w:val="20"/>
              </w:rPr>
              <w:t xml:space="preserve">, M. A., </w:t>
            </w:r>
            <w:proofErr w:type="spellStart"/>
            <w:r w:rsidRPr="00954185">
              <w:rPr>
                <w:sz w:val="20"/>
                <w:szCs w:val="20"/>
              </w:rPr>
              <w:t>Shirkhanloo</w:t>
            </w:r>
            <w:proofErr w:type="spellEnd"/>
            <w:r w:rsidRPr="00954185">
              <w:rPr>
                <w:sz w:val="20"/>
                <w:szCs w:val="20"/>
              </w:rPr>
              <w:t xml:space="preserve">, H., Sharifzadeh, M., </w:t>
            </w:r>
            <w:proofErr w:type="spellStart"/>
            <w:r w:rsidRPr="00954185">
              <w:rPr>
                <w:sz w:val="20"/>
                <w:szCs w:val="20"/>
              </w:rPr>
              <w:t>Khoshayand</w:t>
            </w:r>
            <w:proofErr w:type="spellEnd"/>
            <w:r w:rsidRPr="00954185">
              <w:rPr>
                <w:sz w:val="20"/>
                <w:szCs w:val="20"/>
              </w:rPr>
              <w:t>, M. R., &amp; Ghahremani, M. H. (2017). Correlation between heavy metal exposure and GSTM1 polymorphism in Iranian multiple sclerosis patients. Neurological Sciences, 38, 1271-1278.</w:t>
            </w:r>
          </w:p>
        </w:tc>
        <w:tc>
          <w:tcPr>
            <w:tcW w:w="2126" w:type="dxa"/>
            <w:tcBorders>
              <w:right w:val="single" w:sz="4" w:space="0" w:color="000000" w:themeColor="text1"/>
            </w:tcBorders>
            <w:shd w:val="clear" w:color="auto" w:fill="auto"/>
            <w:noWrap/>
            <w:vAlign w:val="center"/>
            <w:hideMark/>
          </w:tcPr>
          <w:p w14:paraId="35093478" w14:textId="77777777" w:rsidR="00954185" w:rsidRPr="00954185" w:rsidRDefault="00954185" w:rsidP="00364C65">
            <w:pPr>
              <w:spacing w:line="360" w:lineRule="auto"/>
              <w:rPr>
                <w:sz w:val="20"/>
                <w:szCs w:val="20"/>
              </w:rPr>
            </w:pPr>
            <w:r w:rsidRPr="00954185">
              <w:rPr>
                <w:sz w:val="20"/>
                <w:szCs w:val="20"/>
              </w:rPr>
              <w:t xml:space="preserve">No arsenic metabolism, or arsenic-related disease </w:t>
            </w:r>
          </w:p>
        </w:tc>
      </w:tr>
      <w:tr w:rsidR="00954185" w:rsidRPr="00954185" w14:paraId="6D1F4026" w14:textId="77777777" w:rsidTr="00364C65">
        <w:trPr>
          <w:trHeight w:val="900"/>
        </w:trPr>
        <w:tc>
          <w:tcPr>
            <w:tcW w:w="8364" w:type="dxa"/>
            <w:tcBorders>
              <w:left w:val="single" w:sz="4" w:space="0" w:color="000000" w:themeColor="text1"/>
            </w:tcBorders>
            <w:shd w:val="clear" w:color="auto" w:fill="auto"/>
            <w:vAlign w:val="center"/>
            <w:hideMark/>
          </w:tcPr>
          <w:p w14:paraId="454A6076" w14:textId="77777777" w:rsidR="00954185" w:rsidRPr="00954185" w:rsidRDefault="00954185" w:rsidP="00364C65">
            <w:pPr>
              <w:spacing w:line="360" w:lineRule="auto"/>
              <w:rPr>
                <w:sz w:val="20"/>
                <w:szCs w:val="20"/>
              </w:rPr>
            </w:pPr>
            <w:r w:rsidRPr="00954185">
              <w:rPr>
                <w:sz w:val="20"/>
                <w:szCs w:val="20"/>
              </w:rPr>
              <w:t xml:space="preserve">Andrew, A. S., Mason, R. A., Kelsey, K. T., </w:t>
            </w:r>
            <w:proofErr w:type="spellStart"/>
            <w:r w:rsidRPr="00954185">
              <w:rPr>
                <w:sz w:val="20"/>
                <w:szCs w:val="20"/>
              </w:rPr>
              <w:t>Schned</w:t>
            </w:r>
            <w:proofErr w:type="spellEnd"/>
            <w:r w:rsidRPr="00954185">
              <w:rPr>
                <w:sz w:val="20"/>
                <w:szCs w:val="20"/>
              </w:rPr>
              <w:t xml:space="preserve">, A. R., </w:t>
            </w:r>
            <w:proofErr w:type="spellStart"/>
            <w:r w:rsidRPr="00954185">
              <w:rPr>
                <w:sz w:val="20"/>
                <w:szCs w:val="20"/>
              </w:rPr>
              <w:t>Marsit</w:t>
            </w:r>
            <w:proofErr w:type="spellEnd"/>
            <w:r w:rsidRPr="00954185">
              <w:rPr>
                <w:sz w:val="20"/>
                <w:szCs w:val="20"/>
              </w:rPr>
              <w:t xml:space="preserve">, C. J., Nelson, H. H., &amp; </w:t>
            </w:r>
            <w:proofErr w:type="spellStart"/>
            <w:r w:rsidRPr="00954185">
              <w:rPr>
                <w:sz w:val="20"/>
                <w:szCs w:val="20"/>
              </w:rPr>
              <w:t>Karagas</w:t>
            </w:r>
            <w:proofErr w:type="spellEnd"/>
            <w:r w:rsidRPr="00954185">
              <w:rPr>
                <w:sz w:val="20"/>
                <w:szCs w:val="20"/>
              </w:rPr>
              <w:t>, M. R. (2009). DNA repair genotype interacts with arsenic exposure to increase bladder cancer risk. Toxicology letters, 187(1), 10-14.</w:t>
            </w:r>
          </w:p>
        </w:tc>
        <w:tc>
          <w:tcPr>
            <w:tcW w:w="2126" w:type="dxa"/>
            <w:tcBorders>
              <w:right w:val="single" w:sz="4" w:space="0" w:color="000000" w:themeColor="text1"/>
            </w:tcBorders>
            <w:shd w:val="clear" w:color="auto" w:fill="auto"/>
            <w:noWrap/>
            <w:vAlign w:val="center"/>
            <w:hideMark/>
          </w:tcPr>
          <w:p w14:paraId="516364CF" w14:textId="77777777" w:rsidR="00954185" w:rsidRPr="00954185" w:rsidRDefault="00954185" w:rsidP="00364C65">
            <w:pPr>
              <w:spacing w:line="360" w:lineRule="auto"/>
              <w:rPr>
                <w:sz w:val="20"/>
                <w:szCs w:val="20"/>
              </w:rPr>
            </w:pPr>
            <w:r w:rsidRPr="00954185">
              <w:rPr>
                <w:sz w:val="20"/>
                <w:szCs w:val="20"/>
              </w:rPr>
              <w:t>Bladder cancer</w:t>
            </w:r>
          </w:p>
        </w:tc>
      </w:tr>
      <w:tr w:rsidR="00954185" w:rsidRPr="00954185" w14:paraId="2214BE27" w14:textId="77777777" w:rsidTr="00364C65">
        <w:trPr>
          <w:trHeight w:val="1200"/>
        </w:trPr>
        <w:tc>
          <w:tcPr>
            <w:tcW w:w="8364" w:type="dxa"/>
            <w:tcBorders>
              <w:left w:val="single" w:sz="4" w:space="0" w:color="000000" w:themeColor="text1"/>
            </w:tcBorders>
            <w:shd w:val="clear" w:color="auto" w:fill="auto"/>
            <w:vAlign w:val="center"/>
            <w:hideMark/>
          </w:tcPr>
          <w:p w14:paraId="62ECE1AC" w14:textId="77777777" w:rsidR="00954185" w:rsidRPr="00954185" w:rsidRDefault="00954185" w:rsidP="00364C65">
            <w:pPr>
              <w:spacing w:line="360" w:lineRule="auto"/>
              <w:rPr>
                <w:sz w:val="20"/>
                <w:szCs w:val="20"/>
              </w:rPr>
            </w:pPr>
            <w:r w:rsidRPr="00954185">
              <w:rPr>
                <w:sz w:val="20"/>
                <w:szCs w:val="20"/>
              </w:rPr>
              <w:t xml:space="preserve">Applebaum, K. M., </w:t>
            </w:r>
            <w:proofErr w:type="spellStart"/>
            <w:r w:rsidRPr="00954185">
              <w:rPr>
                <w:sz w:val="20"/>
                <w:szCs w:val="20"/>
              </w:rPr>
              <w:t>Karagas</w:t>
            </w:r>
            <w:proofErr w:type="spellEnd"/>
            <w:r w:rsidRPr="00954185">
              <w:rPr>
                <w:sz w:val="20"/>
                <w:szCs w:val="20"/>
              </w:rPr>
              <w:t>, M. R., Hunter, D. J., Catalano, P. J., Byler, S. H., Morris, S., &amp; Nelson, H. H. (2007). Polymorphisms in nucleotide excision repair genes, arsenic exposure, and non-melanoma skin cancer in New Hampshire. Environmental Health Perspectives, 115(8), 1231-1236.</w:t>
            </w:r>
          </w:p>
        </w:tc>
        <w:tc>
          <w:tcPr>
            <w:tcW w:w="2126" w:type="dxa"/>
            <w:tcBorders>
              <w:right w:val="single" w:sz="4" w:space="0" w:color="000000" w:themeColor="text1"/>
            </w:tcBorders>
            <w:shd w:val="clear" w:color="auto" w:fill="auto"/>
            <w:noWrap/>
            <w:vAlign w:val="center"/>
            <w:hideMark/>
          </w:tcPr>
          <w:p w14:paraId="349A64AB" w14:textId="77777777" w:rsidR="00954185" w:rsidRPr="00954185" w:rsidRDefault="00954185" w:rsidP="00364C65">
            <w:pPr>
              <w:spacing w:line="360" w:lineRule="auto"/>
              <w:rPr>
                <w:sz w:val="20"/>
                <w:szCs w:val="20"/>
              </w:rPr>
            </w:pPr>
            <w:r w:rsidRPr="00954185">
              <w:rPr>
                <w:sz w:val="20"/>
                <w:szCs w:val="20"/>
              </w:rPr>
              <w:t>Basal cell carcinoma, squamous cell carcinoma</w:t>
            </w:r>
          </w:p>
        </w:tc>
      </w:tr>
      <w:tr w:rsidR="00954185" w:rsidRPr="00954185" w14:paraId="5359569F" w14:textId="77777777" w:rsidTr="00364C65">
        <w:trPr>
          <w:trHeight w:val="1200"/>
        </w:trPr>
        <w:tc>
          <w:tcPr>
            <w:tcW w:w="8364" w:type="dxa"/>
            <w:tcBorders>
              <w:left w:val="single" w:sz="4" w:space="0" w:color="000000" w:themeColor="text1"/>
            </w:tcBorders>
            <w:shd w:val="clear" w:color="auto" w:fill="auto"/>
            <w:vAlign w:val="center"/>
            <w:hideMark/>
          </w:tcPr>
          <w:p w14:paraId="10CFA354" w14:textId="77777777" w:rsidR="00954185" w:rsidRPr="00954185" w:rsidRDefault="00954185" w:rsidP="00364C65">
            <w:pPr>
              <w:spacing w:line="360" w:lineRule="auto"/>
              <w:rPr>
                <w:sz w:val="20"/>
                <w:szCs w:val="20"/>
              </w:rPr>
            </w:pPr>
            <w:r w:rsidRPr="00954185">
              <w:rPr>
                <w:sz w:val="20"/>
                <w:szCs w:val="20"/>
              </w:rPr>
              <w:t>Argos, M., Tong, L., Roy, S., Sabarinathan, M., Ahmed, A., Islam, M. T., ... &amp; Pierce, B. L. (2018). Screening for gene–environment (G× E) interaction using omics data from exposed individuals: an application to gene-arsenic interaction. Mammalian genome, 29, 101-111.</w:t>
            </w:r>
          </w:p>
        </w:tc>
        <w:tc>
          <w:tcPr>
            <w:tcW w:w="2126" w:type="dxa"/>
            <w:tcBorders>
              <w:right w:val="single" w:sz="4" w:space="0" w:color="000000" w:themeColor="text1"/>
            </w:tcBorders>
            <w:shd w:val="clear" w:color="auto" w:fill="auto"/>
            <w:noWrap/>
            <w:vAlign w:val="center"/>
            <w:hideMark/>
          </w:tcPr>
          <w:p w14:paraId="08B99A19" w14:textId="77777777" w:rsidR="00954185" w:rsidRPr="00954185" w:rsidRDefault="00954185" w:rsidP="00364C65">
            <w:pPr>
              <w:spacing w:line="360" w:lineRule="auto"/>
              <w:rPr>
                <w:sz w:val="20"/>
                <w:szCs w:val="20"/>
              </w:rPr>
            </w:pPr>
            <w:r w:rsidRPr="00954185">
              <w:rPr>
                <w:sz w:val="20"/>
                <w:szCs w:val="20"/>
              </w:rPr>
              <w:t>Skin lesions</w:t>
            </w:r>
          </w:p>
        </w:tc>
      </w:tr>
      <w:tr w:rsidR="00954185" w:rsidRPr="00954185" w14:paraId="7DE6A4AD" w14:textId="77777777" w:rsidTr="00364C65">
        <w:trPr>
          <w:trHeight w:val="1500"/>
        </w:trPr>
        <w:tc>
          <w:tcPr>
            <w:tcW w:w="8364" w:type="dxa"/>
            <w:tcBorders>
              <w:left w:val="single" w:sz="4" w:space="0" w:color="000000" w:themeColor="text1"/>
            </w:tcBorders>
            <w:shd w:val="clear" w:color="auto" w:fill="auto"/>
            <w:vAlign w:val="center"/>
            <w:hideMark/>
          </w:tcPr>
          <w:p w14:paraId="255CEBAD" w14:textId="77777777" w:rsidR="00954185" w:rsidRPr="00954185" w:rsidRDefault="00954185" w:rsidP="00364C65">
            <w:pPr>
              <w:spacing w:line="360" w:lineRule="auto"/>
              <w:rPr>
                <w:sz w:val="20"/>
                <w:szCs w:val="20"/>
              </w:rPr>
            </w:pPr>
            <w:proofErr w:type="spellStart"/>
            <w:r w:rsidRPr="00641BD3">
              <w:rPr>
                <w:sz w:val="20"/>
                <w:szCs w:val="20"/>
                <w:lang w:val="es-ES"/>
              </w:rPr>
              <w:t>Balakrishnan</w:t>
            </w:r>
            <w:proofErr w:type="spellEnd"/>
            <w:r w:rsidRPr="00641BD3">
              <w:rPr>
                <w:sz w:val="20"/>
                <w:szCs w:val="20"/>
                <w:lang w:val="es-ES"/>
              </w:rPr>
              <w:t xml:space="preserve">, P., Jones, M. R., </w:t>
            </w:r>
            <w:proofErr w:type="spellStart"/>
            <w:r w:rsidRPr="00641BD3">
              <w:rPr>
                <w:sz w:val="20"/>
                <w:szCs w:val="20"/>
                <w:lang w:val="es-ES"/>
              </w:rPr>
              <w:t>Vaidya</w:t>
            </w:r>
            <w:proofErr w:type="spellEnd"/>
            <w:r w:rsidRPr="00641BD3">
              <w:rPr>
                <w:sz w:val="20"/>
                <w:szCs w:val="20"/>
                <w:lang w:val="es-ES"/>
              </w:rPr>
              <w:t xml:space="preserve">, D., </w:t>
            </w:r>
            <w:proofErr w:type="spellStart"/>
            <w:r w:rsidRPr="00641BD3">
              <w:rPr>
                <w:sz w:val="20"/>
                <w:szCs w:val="20"/>
                <w:lang w:val="es-ES"/>
              </w:rPr>
              <w:t>Tellez</w:t>
            </w:r>
            <w:proofErr w:type="spellEnd"/>
            <w:r w:rsidRPr="00641BD3">
              <w:rPr>
                <w:sz w:val="20"/>
                <w:szCs w:val="20"/>
                <w:lang w:val="es-ES"/>
              </w:rPr>
              <w:t xml:space="preserve">-Plaza, M., Post, W. S., Kaufman, J. D., ... </w:t>
            </w:r>
            <w:r w:rsidRPr="00954185">
              <w:rPr>
                <w:sz w:val="20"/>
                <w:szCs w:val="20"/>
              </w:rPr>
              <w:t>&amp; Navas-</w:t>
            </w:r>
            <w:proofErr w:type="spellStart"/>
            <w:r w:rsidRPr="00954185">
              <w:rPr>
                <w:sz w:val="20"/>
                <w:szCs w:val="20"/>
              </w:rPr>
              <w:t>Acien</w:t>
            </w:r>
            <w:proofErr w:type="spellEnd"/>
            <w:r w:rsidRPr="00954185">
              <w:rPr>
                <w:sz w:val="20"/>
                <w:szCs w:val="20"/>
              </w:rPr>
              <w:t>, A. (2018). Ethnic, geographic, and genetic differences in arsenic metabolism at low arsenic exposure: A preliminary analysis in the multi-ethnic study of atherosclerosis (mesa). International journal of environmental research and public health, 15(6), 1179.</w:t>
            </w:r>
          </w:p>
        </w:tc>
        <w:tc>
          <w:tcPr>
            <w:tcW w:w="2126" w:type="dxa"/>
            <w:tcBorders>
              <w:right w:val="single" w:sz="4" w:space="0" w:color="000000" w:themeColor="text1"/>
            </w:tcBorders>
            <w:shd w:val="clear" w:color="auto" w:fill="auto"/>
            <w:noWrap/>
            <w:vAlign w:val="center"/>
            <w:hideMark/>
          </w:tcPr>
          <w:p w14:paraId="78CA247C"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367C4D5A" w14:textId="77777777" w:rsidTr="00364C65">
        <w:trPr>
          <w:trHeight w:val="1200"/>
        </w:trPr>
        <w:tc>
          <w:tcPr>
            <w:tcW w:w="8364" w:type="dxa"/>
            <w:tcBorders>
              <w:left w:val="single" w:sz="4" w:space="0" w:color="000000" w:themeColor="text1"/>
            </w:tcBorders>
            <w:shd w:val="clear" w:color="auto" w:fill="auto"/>
            <w:vAlign w:val="center"/>
            <w:hideMark/>
          </w:tcPr>
          <w:p w14:paraId="144875D0" w14:textId="77777777" w:rsidR="00954185" w:rsidRPr="00954185" w:rsidRDefault="00954185" w:rsidP="00364C65">
            <w:pPr>
              <w:spacing w:line="360" w:lineRule="auto"/>
              <w:rPr>
                <w:sz w:val="20"/>
                <w:szCs w:val="20"/>
              </w:rPr>
            </w:pPr>
            <w:proofErr w:type="spellStart"/>
            <w:r w:rsidRPr="00641BD3">
              <w:rPr>
                <w:sz w:val="20"/>
                <w:szCs w:val="20"/>
                <w:lang w:val="es-ES"/>
              </w:rPr>
              <w:t>Balakrishnan</w:t>
            </w:r>
            <w:proofErr w:type="spellEnd"/>
            <w:r w:rsidRPr="00641BD3">
              <w:rPr>
                <w:sz w:val="20"/>
                <w:szCs w:val="20"/>
                <w:lang w:val="es-ES"/>
              </w:rPr>
              <w:t xml:space="preserve">, P., </w:t>
            </w:r>
            <w:proofErr w:type="spellStart"/>
            <w:r w:rsidRPr="00641BD3">
              <w:rPr>
                <w:sz w:val="20"/>
                <w:szCs w:val="20"/>
                <w:lang w:val="es-ES"/>
              </w:rPr>
              <w:t>Vaidya</w:t>
            </w:r>
            <w:proofErr w:type="spellEnd"/>
            <w:r w:rsidRPr="00641BD3">
              <w:rPr>
                <w:sz w:val="20"/>
                <w:szCs w:val="20"/>
                <w:lang w:val="es-ES"/>
              </w:rPr>
              <w:t xml:space="preserve">, D., </w:t>
            </w:r>
            <w:proofErr w:type="spellStart"/>
            <w:r w:rsidRPr="00641BD3">
              <w:rPr>
                <w:sz w:val="20"/>
                <w:szCs w:val="20"/>
                <w:lang w:val="es-ES"/>
              </w:rPr>
              <w:t>Franceschini</w:t>
            </w:r>
            <w:proofErr w:type="spellEnd"/>
            <w:r w:rsidRPr="00641BD3">
              <w:rPr>
                <w:sz w:val="20"/>
                <w:szCs w:val="20"/>
                <w:lang w:val="es-ES"/>
              </w:rPr>
              <w:t xml:space="preserve">, N., </w:t>
            </w:r>
            <w:proofErr w:type="spellStart"/>
            <w:r w:rsidRPr="00641BD3">
              <w:rPr>
                <w:sz w:val="20"/>
                <w:szCs w:val="20"/>
                <w:lang w:val="es-ES"/>
              </w:rPr>
              <w:t>Voruganti</w:t>
            </w:r>
            <w:proofErr w:type="spellEnd"/>
            <w:r w:rsidRPr="00641BD3">
              <w:rPr>
                <w:sz w:val="20"/>
                <w:szCs w:val="20"/>
                <w:lang w:val="es-ES"/>
              </w:rPr>
              <w:t xml:space="preserve">, V. S., </w:t>
            </w:r>
            <w:proofErr w:type="spellStart"/>
            <w:r w:rsidRPr="00641BD3">
              <w:rPr>
                <w:sz w:val="20"/>
                <w:szCs w:val="20"/>
                <w:lang w:val="es-ES"/>
              </w:rPr>
              <w:t>Gribble</w:t>
            </w:r>
            <w:proofErr w:type="spellEnd"/>
            <w:r w:rsidRPr="00641BD3">
              <w:rPr>
                <w:sz w:val="20"/>
                <w:szCs w:val="20"/>
                <w:lang w:val="es-ES"/>
              </w:rPr>
              <w:t xml:space="preserve">, M. O., </w:t>
            </w:r>
            <w:proofErr w:type="spellStart"/>
            <w:r w:rsidRPr="00641BD3">
              <w:rPr>
                <w:sz w:val="20"/>
                <w:szCs w:val="20"/>
                <w:lang w:val="es-ES"/>
              </w:rPr>
              <w:t>Haack</w:t>
            </w:r>
            <w:proofErr w:type="spellEnd"/>
            <w:r w:rsidRPr="00641BD3">
              <w:rPr>
                <w:sz w:val="20"/>
                <w:szCs w:val="20"/>
                <w:lang w:val="es-ES"/>
              </w:rPr>
              <w:t>, K., ... &amp; Navas-</w:t>
            </w:r>
            <w:proofErr w:type="spellStart"/>
            <w:r w:rsidRPr="00641BD3">
              <w:rPr>
                <w:sz w:val="20"/>
                <w:szCs w:val="20"/>
                <w:lang w:val="es-ES"/>
              </w:rPr>
              <w:t>Acien</w:t>
            </w:r>
            <w:proofErr w:type="spellEnd"/>
            <w:r w:rsidRPr="00641BD3">
              <w:rPr>
                <w:sz w:val="20"/>
                <w:szCs w:val="20"/>
                <w:lang w:val="es-ES"/>
              </w:rPr>
              <w:t xml:space="preserve">, A. (2017). </w:t>
            </w:r>
            <w:r w:rsidRPr="00954185">
              <w:rPr>
                <w:sz w:val="20"/>
                <w:szCs w:val="20"/>
              </w:rPr>
              <w:t>Association of cardiometabolic genes with arsenic metabolism biomarkers in American Indian communities: the Strong Heart Family Study (SHFS). Environmental health perspectives, 125(1), 15-22.</w:t>
            </w:r>
          </w:p>
        </w:tc>
        <w:tc>
          <w:tcPr>
            <w:tcW w:w="2126" w:type="dxa"/>
            <w:tcBorders>
              <w:right w:val="single" w:sz="4" w:space="0" w:color="000000" w:themeColor="text1"/>
            </w:tcBorders>
            <w:shd w:val="clear" w:color="auto" w:fill="auto"/>
            <w:noWrap/>
            <w:vAlign w:val="center"/>
            <w:hideMark/>
          </w:tcPr>
          <w:p w14:paraId="3ADC74DE"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01CC9D72" w14:textId="77777777" w:rsidTr="00364C65">
        <w:trPr>
          <w:trHeight w:val="1200"/>
        </w:trPr>
        <w:tc>
          <w:tcPr>
            <w:tcW w:w="8364" w:type="dxa"/>
            <w:tcBorders>
              <w:left w:val="single" w:sz="4" w:space="0" w:color="000000" w:themeColor="text1"/>
            </w:tcBorders>
            <w:shd w:val="clear" w:color="auto" w:fill="auto"/>
            <w:vAlign w:val="center"/>
            <w:hideMark/>
          </w:tcPr>
          <w:p w14:paraId="59B05454" w14:textId="77777777" w:rsidR="00954185" w:rsidRPr="00954185" w:rsidRDefault="00954185" w:rsidP="00364C65">
            <w:pPr>
              <w:spacing w:line="360" w:lineRule="auto"/>
              <w:rPr>
                <w:sz w:val="20"/>
                <w:szCs w:val="20"/>
              </w:rPr>
            </w:pPr>
            <w:r w:rsidRPr="00954185">
              <w:rPr>
                <w:sz w:val="20"/>
                <w:szCs w:val="20"/>
              </w:rPr>
              <w:t>Banerjee, M., Sarkar, J., Das, J. K., Mukherjee, A., Sarkar, A. K., Mondal, L., &amp; Giri, A. K. (2007). Polymorphism in the ERCC2 codon 751 is associated with arsenic-induced premalignant hyperkeratosis and significant chromosome aberrations. Carcinogenesis, 28(3), 672-676.</w:t>
            </w:r>
          </w:p>
        </w:tc>
        <w:tc>
          <w:tcPr>
            <w:tcW w:w="2126" w:type="dxa"/>
            <w:tcBorders>
              <w:right w:val="single" w:sz="4" w:space="0" w:color="000000" w:themeColor="text1"/>
            </w:tcBorders>
            <w:shd w:val="clear" w:color="auto" w:fill="auto"/>
            <w:noWrap/>
            <w:vAlign w:val="center"/>
            <w:hideMark/>
          </w:tcPr>
          <w:p w14:paraId="5CA0042A" w14:textId="77777777" w:rsidR="00954185" w:rsidRPr="00954185" w:rsidRDefault="00954185" w:rsidP="00364C65">
            <w:pPr>
              <w:spacing w:line="360" w:lineRule="auto"/>
              <w:rPr>
                <w:sz w:val="20"/>
                <w:szCs w:val="20"/>
              </w:rPr>
            </w:pPr>
            <w:r w:rsidRPr="00954185">
              <w:rPr>
                <w:sz w:val="20"/>
                <w:szCs w:val="20"/>
              </w:rPr>
              <w:t>Skin lesions</w:t>
            </w:r>
          </w:p>
        </w:tc>
      </w:tr>
      <w:tr w:rsidR="00954185" w:rsidRPr="00954185" w14:paraId="51AD03DA" w14:textId="77777777" w:rsidTr="00364C65">
        <w:trPr>
          <w:trHeight w:val="1200"/>
        </w:trPr>
        <w:tc>
          <w:tcPr>
            <w:tcW w:w="8364" w:type="dxa"/>
            <w:tcBorders>
              <w:left w:val="single" w:sz="4" w:space="0" w:color="000000" w:themeColor="text1"/>
            </w:tcBorders>
            <w:shd w:val="clear" w:color="auto" w:fill="auto"/>
            <w:vAlign w:val="center"/>
            <w:hideMark/>
          </w:tcPr>
          <w:p w14:paraId="21C0DE41" w14:textId="77777777" w:rsidR="00954185" w:rsidRPr="00954185" w:rsidRDefault="00954185" w:rsidP="00364C65">
            <w:pPr>
              <w:spacing w:line="360" w:lineRule="auto"/>
              <w:rPr>
                <w:sz w:val="20"/>
                <w:szCs w:val="20"/>
              </w:rPr>
            </w:pPr>
            <w:r w:rsidRPr="00954185">
              <w:rPr>
                <w:sz w:val="20"/>
                <w:szCs w:val="20"/>
              </w:rPr>
              <w:t>Banerjee, N., Nandy, S., Kearns, J. K., Bandyopadhyay, A. K., Das, J. K., Majumder, P., ... &amp; Giri, A. K. (2011). Polymorphisms in the TNF-α and IL10 gene promoters and risk of arsenic-induced skin lesions and other nondermatological health effects. Toxicological Sciences, 121(1), 132-139.</w:t>
            </w:r>
          </w:p>
        </w:tc>
        <w:tc>
          <w:tcPr>
            <w:tcW w:w="2126" w:type="dxa"/>
            <w:tcBorders>
              <w:right w:val="single" w:sz="4" w:space="0" w:color="000000" w:themeColor="text1"/>
            </w:tcBorders>
            <w:shd w:val="clear" w:color="auto" w:fill="auto"/>
            <w:noWrap/>
            <w:vAlign w:val="center"/>
            <w:hideMark/>
          </w:tcPr>
          <w:p w14:paraId="7F1B3429" w14:textId="77777777" w:rsidR="00954185" w:rsidRPr="00954185" w:rsidRDefault="00954185" w:rsidP="00364C65">
            <w:pPr>
              <w:spacing w:line="360" w:lineRule="auto"/>
              <w:rPr>
                <w:sz w:val="20"/>
                <w:szCs w:val="20"/>
              </w:rPr>
            </w:pPr>
            <w:r w:rsidRPr="00954185">
              <w:rPr>
                <w:sz w:val="20"/>
                <w:szCs w:val="20"/>
              </w:rPr>
              <w:t xml:space="preserve">Skin lesions, ocular disease, respiratory disease </w:t>
            </w:r>
          </w:p>
        </w:tc>
      </w:tr>
      <w:tr w:rsidR="00954185" w:rsidRPr="00954185" w14:paraId="50AD6CC9" w14:textId="77777777" w:rsidTr="00364C65">
        <w:trPr>
          <w:trHeight w:val="900"/>
        </w:trPr>
        <w:tc>
          <w:tcPr>
            <w:tcW w:w="8364" w:type="dxa"/>
            <w:tcBorders>
              <w:left w:val="single" w:sz="4" w:space="0" w:color="000000" w:themeColor="text1"/>
            </w:tcBorders>
            <w:shd w:val="clear" w:color="auto" w:fill="auto"/>
            <w:vAlign w:val="center"/>
            <w:hideMark/>
          </w:tcPr>
          <w:p w14:paraId="75799EE1" w14:textId="77777777" w:rsidR="00954185" w:rsidRPr="00954185" w:rsidRDefault="00954185" w:rsidP="00364C65">
            <w:pPr>
              <w:spacing w:line="360" w:lineRule="auto"/>
              <w:rPr>
                <w:sz w:val="20"/>
                <w:szCs w:val="20"/>
              </w:rPr>
            </w:pPr>
            <w:r w:rsidRPr="00954185">
              <w:rPr>
                <w:sz w:val="20"/>
                <w:szCs w:val="20"/>
              </w:rPr>
              <w:t xml:space="preserve">Basu, M., Chakraborty, B., Ghosh, S., </w:t>
            </w:r>
            <w:proofErr w:type="spellStart"/>
            <w:r w:rsidRPr="00954185">
              <w:rPr>
                <w:sz w:val="20"/>
                <w:szCs w:val="20"/>
              </w:rPr>
              <w:t>Samadder</w:t>
            </w:r>
            <w:proofErr w:type="spellEnd"/>
            <w:r w:rsidRPr="00954185">
              <w:rPr>
                <w:sz w:val="20"/>
                <w:szCs w:val="20"/>
              </w:rPr>
              <w:t>, S., Dutta, S., Roy, A., ... &amp; Panda, C. K. (2020). Divergent molecular profile of PIK3CA gene in arsenic-associated bladder carcinoma. Mutagenesis, 35(6), 499-508.</w:t>
            </w:r>
          </w:p>
        </w:tc>
        <w:tc>
          <w:tcPr>
            <w:tcW w:w="2126" w:type="dxa"/>
            <w:tcBorders>
              <w:right w:val="single" w:sz="4" w:space="0" w:color="000000" w:themeColor="text1"/>
            </w:tcBorders>
            <w:shd w:val="clear" w:color="auto" w:fill="auto"/>
            <w:noWrap/>
            <w:vAlign w:val="center"/>
            <w:hideMark/>
          </w:tcPr>
          <w:p w14:paraId="55D11207" w14:textId="77777777" w:rsidR="00954185" w:rsidRPr="00954185" w:rsidRDefault="00954185" w:rsidP="00364C65">
            <w:pPr>
              <w:spacing w:line="360" w:lineRule="auto"/>
              <w:rPr>
                <w:sz w:val="20"/>
                <w:szCs w:val="20"/>
              </w:rPr>
            </w:pPr>
            <w:r w:rsidRPr="00954185">
              <w:rPr>
                <w:sz w:val="20"/>
                <w:szCs w:val="20"/>
              </w:rPr>
              <w:t>Not human study (e.g., in vitro, in vivo, plants)</w:t>
            </w:r>
          </w:p>
        </w:tc>
      </w:tr>
      <w:tr w:rsidR="00954185" w:rsidRPr="00954185" w14:paraId="03D3F3C9" w14:textId="77777777" w:rsidTr="00364C65">
        <w:trPr>
          <w:trHeight w:val="1200"/>
        </w:trPr>
        <w:tc>
          <w:tcPr>
            <w:tcW w:w="8364" w:type="dxa"/>
            <w:tcBorders>
              <w:left w:val="single" w:sz="4" w:space="0" w:color="000000" w:themeColor="text1"/>
            </w:tcBorders>
            <w:shd w:val="clear" w:color="auto" w:fill="auto"/>
            <w:vAlign w:val="center"/>
            <w:hideMark/>
          </w:tcPr>
          <w:p w14:paraId="2833377C" w14:textId="77777777" w:rsidR="00954185" w:rsidRPr="00954185" w:rsidRDefault="00954185" w:rsidP="00364C65">
            <w:pPr>
              <w:spacing w:line="360" w:lineRule="auto"/>
              <w:rPr>
                <w:sz w:val="20"/>
                <w:szCs w:val="20"/>
              </w:rPr>
            </w:pPr>
            <w:proofErr w:type="spellStart"/>
            <w:r w:rsidRPr="00954185">
              <w:rPr>
                <w:sz w:val="20"/>
                <w:szCs w:val="20"/>
              </w:rPr>
              <w:t>Baszuk</w:t>
            </w:r>
            <w:proofErr w:type="spellEnd"/>
            <w:r w:rsidRPr="00954185">
              <w:rPr>
                <w:sz w:val="20"/>
                <w:szCs w:val="20"/>
              </w:rPr>
              <w:t>, P., Stadnik, P., Marciniak, W., Derkacz, R., Jakubowska, A., Cybulski, C., ... &amp; Lener, M. R. (2021). Low Blood-As Levels and Selected Genotypes Appears to Be Promising Biomarkers for Occurrence of Colorectal Cancer in Women. Biomedicines, 9(9), 1105.</w:t>
            </w:r>
          </w:p>
        </w:tc>
        <w:tc>
          <w:tcPr>
            <w:tcW w:w="2126" w:type="dxa"/>
            <w:tcBorders>
              <w:right w:val="single" w:sz="4" w:space="0" w:color="000000" w:themeColor="text1"/>
            </w:tcBorders>
            <w:shd w:val="clear" w:color="auto" w:fill="auto"/>
            <w:noWrap/>
            <w:vAlign w:val="center"/>
            <w:hideMark/>
          </w:tcPr>
          <w:p w14:paraId="4FE44911" w14:textId="7B98EE8F" w:rsidR="00954185" w:rsidRPr="00954185" w:rsidRDefault="000462B2" w:rsidP="00364C65">
            <w:pPr>
              <w:spacing w:line="360" w:lineRule="auto"/>
              <w:rPr>
                <w:sz w:val="20"/>
                <w:szCs w:val="20"/>
              </w:rPr>
            </w:pPr>
            <w:r w:rsidRPr="00954185">
              <w:rPr>
                <w:sz w:val="20"/>
                <w:szCs w:val="20"/>
              </w:rPr>
              <w:t>Colorectal</w:t>
            </w:r>
            <w:r w:rsidR="00954185" w:rsidRPr="00954185">
              <w:rPr>
                <w:sz w:val="20"/>
                <w:szCs w:val="20"/>
              </w:rPr>
              <w:t xml:space="preserve"> cancer</w:t>
            </w:r>
          </w:p>
        </w:tc>
      </w:tr>
      <w:tr w:rsidR="00954185" w:rsidRPr="00954185" w14:paraId="5F189A66" w14:textId="77777777" w:rsidTr="00364C65">
        <w:trPr>
          <w:trHeight w:val="1200"/>
        </w:trPr>
        <w:tc>
          <w:tcPr>
            <w:tcW w:w="8364" w:type="dxa"/>
            <w:tcBorders>
              <w:left w:val="single" w:sz="4" w:space="0" w:color="000000" w:themeColor="text1"/>
            </w:tcBorders>
            <w:shd w:val="clear" w:color="auto" w:fill="auto"/>
            <w:vAlign w:val="center"/>
            <w:hideMark/>
          </w:tcPr>
          <w:p w14:paraId="753C1AFE" w14:textId="77777777" w:rsidR="00954185" w:rsidRPr="00954185" w:rsidRDefault="00954185" w:rsidP="00364C65">
            <w:pPr>
              <w:spacing w:line="360" w:lineRule="auto"/>
              <w:rPr>
                <w:sz w:val="20"/>
                <w:szCs w:val="20"/>
              </w:rPr>
            </w:pPr>
            <w:r w:rsidRPr="00954185">
              <w:rPr>
                <w:sz w:val="20"/>
                <w:szCs w:val="20"/>
              </w:rPr>
              <w:lastRenderedPageBreak/>
              <w:t xml:space="preserve">Beebe-Dimmer, J. L., Iyer, P. T., </w:t>
            </w:r>
            <w:proofErr w:type="spellStart"/>
            <w:r w:rsidRPr="00954185">
              <w:rPr>
                <w:sz w:val="20"/>
                <w:szCs w:val="20"/>
              </w:rPr>
              <w:t>Nriagu</w:t>
            </w:r>
            <w:proofErr w:type="spellEnd"/>
            <w:r w:rsidRPr="00954185">
              <w:rPr>
                <w:sz w:val="20"/>
                <w:szCs w:val="20"/>
              </w:rPr>
              <w:t xml:space="preserve">, J. O., Keele, G. R., Mehta, S., </w:t>
            </w:r>
            <w:proofErr w:type="spellStart"/>
            <w:r w:rsidRPr="00954185">
              <w:rPr>
                <w:sz w:val="20"/>
                <w:szCs w:val="20"/>
              </w:rPr>
              <w:t>Meliker</w:t>
            </w:r>
            <w:proofErr w:type="spellEnd"/>
            <w:r w:rsidRPr="00954185">
              <w:rPr>
                <w:sz w:val="20"/>
                <w:szCs w:val="20"/>
              </w:rPr>
              <w:t>, J. R., ... &amp; Cooney, K. A. (2012). Genetic variation in glutathione S-transferase omega-1, arsenic methyltransferase and methylene-tetrahydrofolate reductase, arsenic exposure and bladder cancer: a case–control study. Environmental Health, 11, 1-15.</w:t>
            </w:r>
          </w:p>
        </w:tc>
        <w:tc>
          <w:tcPr>
            <w:tcW w:w="2126" w:type="dxa"/>
            <w:tcBorders>
              <w:right w:val="single" w:sz="4" w:space="0" w:color="000000" w:themeColor="text1"/>
            </w:tcBorders>
            <w:shd w:val="clear" w:color="auto" w:fill="auto"/>
            <w:noWrap/>
            <w:vAlign w:val="center"/>
            <w:hideMark/>
          </w:tcPr>
          <w:p w14:paraId="1DE46C39" w14:textId="77777777" w:rsidR="00954185" w:rsidRPr="00954185" w:rsidRDefault="00954185" w:rsidP="00364C65">
            <w:pPr>
              <w:spacing w:line="360" w:lineRule="auto"/>
              <w:rPr>
                <w:sz w:val="20"/>
                <w:szCs w:val="20"/>
              </w:rPr>
            </w:pPr>
            <w:r w:rsidRPr="00954185">
              <w:rPr>
                <w:sz w:val="20"/>
                <w:szCs w:val="20"/>
              </w:rPr>
              <w:t xml:space="preserve">Urothelial carcinoma </w:t>
            </w:r>
          </w:p>
        </w:tc>
      </w:tr>
      <w:tr w:rsidR="00954185" w:rsidRPr="00954185" w14:paraId="44080DB5" w14:textId="77777777" w:rsidTr="00364C65">
        <w:trPr>
          <w:trHeight w:val="1200"/>
        </w:trPr>
        <w:tc>
          <w:tcPr>
            <w:tcW w:w="8364" w:type="dxa"/>
            <w:tcBorders>
              <w:left w:val="single" w:sz="4" w:space="0" w:color="000000" w:themeColor="text1"/>
            </w:tcBorders>
            <w:shd w:val="clear" w:color="auto" w:fill="auto"/>
            <w:vAlign w:val="center"/>
            <w:hideMark/>
          </w:tcPr>
          <w:p w14:paraId="4DE83723" w14:textId="77777777" w:rsidR="00954185" w:rsidRPr="00954185" w:rsidRDefault="00954185" w:rsidP="00364C65">
            <w:pPr>
              <w:spacing w:line="360" w:lineRule="auto"/>
              <w:rPr>
                <w:sz w:val="20"/>
                <w:szCs w:val="20"/>
              </w:rPr>
            </w:pPr>
            <w:r w:rsidRPr="00954185">
              <w:rPr>
                <w:sz w:val="20"/>
                <w:szCs w:val="20"/>
              </w:rPr>
              <w:t>Bhattacharjee, P., Das, N., Chatterjee, D., Banerjee, A., Das, J. K., Basu, S., ... &amp; Giri, A. K. (2013). Association of NALP2 polymorphism with arsenic induced skin lesions and other health effects. Mutation Research/Genetic Toxicology and Environmental Mutagenesis, 755(1), 1-5.</w:t>
            </w:r>
          </w:p>
        </w:tc>
        <w:tc>
          <w:tcPr>
            <w:tcW w:w="2126" w:type="dxa"/>
            <w:tcBorders>
              <w:right w:val="single" w:sz="4" w:space="0" w:color="000000" w:themeColor="text1"/>
            </w:tcBorders>
            <w:shd w:val="clear" w:color="auto" w:fill="auto"/>
            <w:noWrap/>
            <w:vAlign w:val="center"/>
            <w:hideMark/>
          </w:tcPr>
          <w:p w14:paraId="60980BC2" w14:textId="5E912EEF" w:rsidR="00954185" w:rsidRPr="00954185" w:rsidRDefault="00954185" w:rsidP="00364C65">
            <w:pPr>
              <w:spacing w:line="360" w:lineRule="auto"/>
              <w:rPr>
                <w:sz w:val="20"/>
                <w:szCs w:val="20"/>
              </w:rPr>
            </w:pPr>
            <w:r w:rsidRPr="00954185">
              <w:rPr>
                <w:sz w:val="20"/>
                <w:szCs w:val="20"/>
              </w:rPr>
              <w:t xml:space="preserve">Skin lesions, neurological </w:t>
            </w:r>
            <w:r w:rsidR="000462B2" w:rsidRPr="00954185">
              <w:rPr>
                <w:sz w:val="20"/>
                <w:szCs w:val="20"/>
              </w:rPr>
              <w:t>abnormalities</w:t>
            </w:r>
            <w:r w:rsidRPr="00954185">
              <w:rPr>
                <w:sz w:val="20"/>
                <w:szCs w:val="20"/>
              </w:rPr>
              <w:t xml:space="preserve">, eye problems, respiratory diseases </w:t>
            </w:r>
          </w:p>
        </w:tc>
      </w:tr>
      <w:tr w:rsidR="00954185" w:rsidRPr="00954185" w14:paraId="03C2E942" w14:textId="77777777" w:rsidTr="00364C65">
        <w:trPr>
          <w:trHeight w:val="900"/>
        </w:trPr>
        <w:tc>
          <w:tcPr>
            <w:tcW w:w="8364" w:type="dxa"/>
            <w:tcBorders>
              <w:left w:val="single" w:sz="4" w:space="0" w:color="000000" w:themeColor="text1"/>
            </w:tcBorders>
            <w:shd w:val="clear" w:color="auto" w:fill="auto"/>
            <w:vAlign w:val="center"/>
            <w:hideMark/>
          </w:tcPr>
          <w:p w14:paraId="0402B8BE" w14:textId="77777777" w:rsidR="00954185" w:rsidRPr="00954185" w:rsidRDefault="00954185" w:rsidP="00364C65">
            <w:pPr>
              <w:spacing w:line="360" w:lineRule="auto"/>
              <w:rPr>
                <w:sz w:val="20"/>
                <w:szCs w:val="20"/>
              </w:rPr>
            </w:pPr>
            <w:proofErr w:type="spellStart"/>
            <w:r w:rsidRPr="00954185">
              <w:rPr>
                <w:sz w:val="20"/>
                <w:szCs w:val="20"/>
              </w:rPr>
              <w:t>Borghini</w:t>
            </w:r>
            <w:proofErr w:type="spellEnd"/>
            <w:r w:rsidRPr="00954185">
              <w:rPr>
                <w:sz w:val="20"/>
                <w:szCs w:val="20"/>
              </w:rPr>
              <w:t xml:space="preserve">, A., </w:t>
            </w:r>
            <w:proofErr w:type="spellStart"/>
            <w:r w:rsidRPr="00954185">
              <w:rPr>
                <w:sz w:val="20"/>
                <w:szCs w:val="20"/>
              </w:rPr>
              <w:t>Faita</w:t>
            </w:r>
            <w:proofErr w:type="spellEnd"/>
            <w:r w:rsidRPr="00954185">
              <w:rPr>
                <w:sz w:val="20"/>
                <w:szCs w:val="20"/>
              </w:rPr>
              <w:t xml:space="preserve">, F., Mercuri, A., </w:t>
            </w:r>
            <w:proofErr w:type="spellStart"/>
            <w:r w:rsidRPr="00954185">
              <w:rPr>
                <w:sz w:val="20"/>
                <w:szCs w:val="20"/>
              </w:rPr>
              <w:t>Minichilli</w:t>
            </w:r>
            <w:proofErr w:type="spellEnd"/>
            <w:r w:rsidRPr="00954185">
              <w:rPr>
                <w:sz w:val="20"/>
                <w:szCs w:val="20"/>
              </w:rPr>
              <w:t xml:space="preserve">, F., </w:t>
            </w:r>
            <w:proofErr w:type="spellStart"/>
            <w:r w:rsidRPr="00954185">
              <w:rPr>
                <w:sz w:val="20"/>
                <w:szCs w:val="20"/>
              </w:rPr>
              <w:t>Bustaffa</w:t>
            </w:r>
            <w:proofErr w:type="spellEnd"/>
            <w:r w:rsidRPr="00954185">
              <w:rPr>
                <w:sz w:val="20"/>
                <w:szCs w:val="20"/>
              </w:rPr>
              <w:t>, E., Bianchi, F., &amp; Andreassi, M. G. (2016). Arsenic exposure, genetic susceptibility and leukocyte telomere length in an Italian young adult population. Mutagenesis, 31(5), 539-546.</w:t>
            </w:r>
          </w:p>
        </w:tc>
        <w:tc>
          <w:tcPr>
            <w:tcW w:w="2126" w:type="dxa"/>
            <w:tcBorders>
              <w:right w:val="single" w:sz="4" w:space="0" w:color="000000" w:themeColor="text1"/>
            </w:tcBorders>
            <w:shd w:val="clear" w:color="auto" w:fill="auto"/>
            <w:noWrap/>
            <w:vAlign w:val="center"/>
            <w:hideMark/>
          </w:tcPr>
          <w:p w14:paraId="7775F848" w14:textId="77777777" w:rsidR="00954185" w:rsidRPr="00954185" w:rsidRDefault="00954185" w:rsidP="00364C65">
            <w:pPr>
              <w:spacing w:line="360" w:lineRule="auto"/>
              <w:rPr>
                <w:sz w:val="20"/>
                <w:szCs w:val="20"/>
              </w:rPr>
            </w:pPr>
            <w:r w:rsidRPr="00954185">
              <w:rPr>
                <w:sz w:val="20"/>
                <w:szCs w:val="20"/>
              </w:rPr>
              <w:t xml:space="preserve">No arsenic metabolism, or arsenic-related disease </w:t>
            </w:r>
          </w:p>
        </w:tc>
      </w:tr>
      <w:tr w:rsidR="00954185" w:rsidRPr="00954185" w14:paraId="295AC3F2" w14:textId="77777777" w:rsidTr="00364C65">
        <w:trPr>
          <w:trHeight w:val="900"/>
        </w:trPr>
        <w:tc>
          <w:tcPr>
            <w:tcW w:w="8364" w:type="dxa"/>
            <w:tcBorders>
              <w:left w:val="single" w:sz="4" w:space="0" w:color="000000" w:themeColor="text1"/>
            </w:tcBorders>
            <w:shd w:val="clear" w:color="auto" w:fill="auto"/>
            <w:vAlign w:val="center"/>
            <w:hideMark/>
          </w:tcPr>
          <w:p w14:paraId="677B2945" w14:textId="77777777" w:rsidR="00954185" w:rsidRPr="00954185" w:rsidRDefault="00954185" w:rsidP="00364C65">
            <w:pPr>
              <w:spacing w:line="360" w:lineRule="auto"/>
              <w:rPr>
                <w:sz w:val="20"/>
                <w:szCs w:val="20"/>
              </w:rPr>
            </w:pPr>
            <w:r w:rsidRPr="00954185">
              <w:rPr>
                <w:sz w:val="20"/>
                <w:szCs w:val="20"/>
              </w:rPr>
              <w:t xml:space="preserve">Breton, C. V., Zhou, W., Kile, M. L., Houseman, E. A., </w:t>
            </w:r>
            <w:proofErr w:type="spellStart"/>
            <w:r w:rsidRPr="00954185">
              <w:rPr>
                <w:sz w:val="20"/>
                <w:szCs w:val="20"/>
              </w:rPr>
              <w:t>Quamruzzaman</w:t>
            </w:r>
            <w:proofErr w:type="spellEnd"/>
            <w:r w:rsidRPr="00954185">
              <w:rPr>
                <w:sz w:val="20"/>
                <w:szCs w:val="20"/>
              </w:rPr>
              <w:t>, Q., Rahman, M., ... &amp; Christiani, D. C. (2007). Susceptibility to arsenic-induced skin lesions from polymorphisms in base excision repair genes. Carcinogenesis, 28(7), 1520-1525.</w:t>
            </w:r>
          </w:p>
        </w:tc>
        <w:tc>
          <w:tcPr>
            <w:tcW w:w="2126" w:type="dxa"/>
            <w:tcBorders>
              <w:right w:val="single" w:sz="4" w:space="0" w:color="000000" w:themeColor="text1"/>
            </w:tcBorders>
            <w:shd w:val="clear" w:color="auto" w:fill="auto"/>
            <w:noWrap/>
            <w:vAlign w:val="center"/>
            <w:hideMark/>
          </w:tcPr>
          <w:p w14:paraId="7AEB20EB" w14:textId="77777777" w:rsidR="00954185" w:rsidRPr="00954185" w:rsidRDefault="00954185" w:rsidP="00364C65">
            <w:pPr>
              <w:spacing w:line="360" w:lineRule="auto"/>
              <w:rPr>
                <w:sz w:val="20"/>
                <w:szCs w:val="20"/>
              </w:rPr>
            </w:pPr>
            <w:r w:rsidRPr="00954185">
              <w:rPr>
                <w:sz w:val="20"/>
                <w:szCs w:val="20"/>
              </w:rPr>
              <w:t xml:space="preserve">Skin lesions </w:t>
            </w:r>
          </w:p>
        </w:tc>
      </w:tr>
      <w:tr w:rsidR="00954185" w:rsidRPr="00954185" w14:paraId="3DB39E3D" w14:textId="77777777" w:rsidTr="00364C65">
        <w:trPr>
          <w:trHeight w:val="900"/>
        </w:trPr>
        <w:tc>
          <w:tcPr>
            <w:tcW w:w="8364" w:type="dxa"/>
            <w:tcBorders>
              <w:left w:val="single" w:sz="4" w:space="0" w:color="000000" w:themeColor="text1"/>
            </w:tcBorders>
            <w:shd w:val="clear" w:color="auto" w:fill="auto"/>
            <w:vAlign w:val="center"/>
            <w:hideMark/>
          </w:tcPr>
          <w:p w14:paraId="1A1BD609" w14:textId="77777777" w:rsidR="00954185" w:rsidRPr="00954185" w:rsidRDefault="00954185" w:rsidP="00364C65">
            <w:pPr>
              <w:spacing w:line="360" w:lineRule="auto"/>
              <w:rPr>
                <w:sz w:val="20"/>
                <w:szCs w:val="20"/>
              </w:rPr>
            </w:pPr>
            <w:proofErr w:type="spellStart"/>
            <w:r w:rsidRPr="00954185">
              <w:rPr>
                <w:sz w:val="20"/>
                <w:szCs w:val="20"/>
              </w:rPr>
              <w:t>Bustaffa</w:t>
            </w:r>
            <w:proofErr w:type="spellEnd"/>
            <w:r w:rsidRPr="00954185">
              <w:rPr>
                <w:sz w:val="20"/>
                <w:szCs w:val="20"/>
              </w:rPr>
              <w:t xml:space="preserve">, E., </w:t>
            </w:r>
            <w:proofErr w:type="spellStart"/>
            <w:r w:rsidRPr="00954185">
              <w:rPr>
                <w:sz w:val="20"/>
                <w:szCs w:val="20"/>
              </w:rPr>
              <w:t>Gorini</w:t>
            </w:r>
            <w:proofErr w:type="spellEnd"/>
            <w:r w:rsidRPr="00954185">
              <w:rPr>
                <w:sz w:val="20"/>
                <w:szCs w:val="20"/>
              </w:rPr>
              <w:t xml:space="preserve">, F., Bianchi, F., &amp; </w:t>
            </w:r>
            <w:proofErr w:type="spellStart"/>
            <w:r w:rsidRPr="00954185">
              <w:rPr>
                <w:sz w:val="20"/>
                <w:szCs w:val="20"/>
              </w:rPr>
              <w:t>Minichilli</w:t>
            </w:r>
            <w:proofErr w:type="spellEnd"/>
            <w:r w:rsidRPr="00954185">
              <w:rPr>
                <w:sz w:val="20"/>
                <w:szCs w:val="20"/>
              </w:rPr>
              <w:t>, F. (2020). Factors affecting arsenic methylation in contaminated Italian areas. International Journal of Environmental Research and Public Health, 17(14), 5226.</w:t>
            </w:r>
          </w:p>
        </w:tc>
        <w:tc>
          <w:tcPr>
            <w:tcW w:w="2126" w:type="dxa"/>
            <w:tcBorders>
              <w:right w:val="single" w:sz="4" w:space="0" w:color="000000" w:themeColor="text1"/>
            </w:tcBorders>
            <w:shd w:val="clear" w:color="auto" w:fill="auto"/>
            <w:noWrap/>
            <w:vAlign w:val="center"/>
            <w:hideMark/>
          </w:tcPr>
          <w:p w14:paraId="38EED6CF"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79622009" w14:textId="77777777" w:rsidTr="00364C65">
        <w:trPr>
          <w:trHeight w:val="1500"/>
        </w:trPr>
        <w:tc>
          <w:tcPr>
            <w:tcW w:w="8364" w:type="dxa"/>
            <w:tcBorders>
              <w:left w:val="single" w:sz="4" w:space="0" w:color="000000" w:themeColor="text1"/>
            </w:tcBorders>
            <w:shd w:val="clear" w:color="auto" w:fill="auto"/>
            <w:vAlign w:val="center"/>
            <w:hideMark/>
          </w:tcPr>
          <w:p w14:paraId="2ECA583D" w14:textId="77777777" w:rsidR="00954185" w:rsidRPr="00954185" w:rsidRDefault="00954185" w:rsidP="00364C65">
            <w:pPr>
              <w:spacing w:line="360" w:lineRule="auto"/>
              <w:rPr>
                <w:sz w:val="20"/>
                <w:szCs w:val="20"/>
              </w:rPr>
            </w:pPr>
            <w:proofErr w:type="spellStart"/>
            <w:r w:rsidRPr="00641BD3">
              <w:rPr>
                <w:sz w:val="20"/>
                <w:szCs w:val="20"/>
                <w:lang w:val="es-ES"/>
              </w:rPr>
              <w:t>Caceres</w:t>
            </w:r>
            <w:proofErr w:type="spellEnd"/>
            <w:r w:rsidRPr="00641BD3">
              <w:rPr>
                <w:sz w:val="20"/>
                <w:szCs w:val="20"/>
                <w:lang w:val="es-ES"/>
              </w:rPr>
              <w:t xml:space="preserve">, D. D., </w:t>
            </w:r>
            <w:proofErr w:type="spellStart"/>
            <w:r w:rsidRPr="00641BD3">
              <w:rPr>
                <w:sz w:val="20"/>
                <w:szCs w:val="20"/>
                <w:lang w:val="es-ES"/>
              </w:rPr>
              <w:t>Werlinger</w:t>
            </w:r>
            <w:proofErr w:type="spellEnd"/>
            <w:r w:rsidRPr="00641BD3">
              <w:rPr>
                <w:sz w:val="20"/>
                <w:szCs w:val="20"/>
                <w:lang w:val="es-ES"/>
              </w:rPr>
              <w:t xml:space="preserve">, F., Orellana, M., Jara, M., Rocha, R., Alvarado, S. A., &amp; Luis, Q. (2010). </w:t>
            </w:r>
            <w:r w:rsidRPr="00954185">
              <w:rPr>
                <w:sz w:val="20"/>
                <w:szCs w:val="20"/>
              </w:rPr>
              <w:t>Polymorphism of glutathione S-transferase (GST) variants and its effect on distribution of urinary arsenic species in people exposed to low inorganic arsenic in tap water: an exploratory study. Archives of Environmental &amp; Occupational Health, 65(3), 140-147.</w:t>
            </w:r>
          </w:p>
        </w:tc>
        <w:tc>
          <w:tcPr>
            <w:tcW w:w="2126" w:type="dxa"/>
            <w:tcBorders>
              <w:right w:val="single" w:sz="4" w:space="0" w:color="000000" w:themeColor="text1"/>
            </w:tcBorders>
            <w:shd w:val="clear" w:color="auto" w:fill="auto"/>
            <w:noWrap/>
            <w:vAlign w:val="center"/>
            <w:hideMark/>
          </w:tcPr>
          <w:p w14:paraId="23A7D9FA"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61766090" w14:textId="77777777" w:rsidTr="00364C65">
        <w:trPr>
          <w:trHeight w:val="1200"/>
        </w:trPr>
        <w:tc>
          <w:tcPr>
            <w:tcW w:w="8364" w:type="dxa"/>
            <w:tcBorders>
              <w:left w:val="single" w:sz="4" w:space="0" w:color="000000" w:themeColor="text1"/>
            </w:tcBorders>
            <w:shd w:val="clear" w:color="auto" w:fill="auto"/>
            <w:vAlign w:val="center"/>
            <w:hideMark/>
          </w:tcPr>
          <w:p w14:paraId="4473FFC4" w14:textId="77777777" w:rsidR="00954185" w:rsidRPr="00954185" w:rsidRDefault="00954185" w:rsidP="00364C65">
            <w:pPr>
              <w:spacing w:line="360" w:lineRule="auto"/>
              <w:rPr>
                <w:sz w:val="20"/>
                <w:szCs w:val="20"/>
              </w:rPr>
            </w:pPr>
            <w:proofErr w:type="spellStart"/>
            <w:r w:rsidRPr="00954185">
              <w:rPr>
                <w:sz w:val="20"/>
                <w:szCs w:val="20"/>
              </w:rPr>
              <w:t>Ćavar</w:t>
            </w:r>
            <w:proofErr w:type="spellEnd"/>
            <w:r w:rsidRPr="00954185">
              <w:rPr>
                <w:sz w:val="20"/>
                <w:szCs w:val="20"/>
              </w:rPr>
              <w:t xml:space="preserve">, S., Bošnjak, Z., Klapec, T., Barišić, K., </w:t>
            </w:r>
            <w:proofErr w:type="spellStart"/>
            <w:r w:rsidRPr="00954185">
              <w:rPr>
                <w:sz w:val="20"/>
                <w:szCs w:val="20"/>
              </w:rPr>
              <w:t>Čepelak</w:t>
            </w:r>
            <w:proofErr w:type="spellEnd"/>
            <w:r w:rsidRPr="00954185">
              <w:rPr>
                <w:sz w:val="20"/>
                <w:szCs w:val="20"/>
              </w:rPr>
              <w:t xml:space="preserve">, I., </w:t>
            </w:r>
            <w:proofErr w:type="spellStart"/>
            <w:r w:rsidRPr="00954185">
              <w:rPr>
                <w:sz w:val="20"/>
                <w:szCs w:val="20"/>
              </w:rPr>
              <w:t>Jurasović</w:t>
            </w:r>
            <w:proofErr w:type="spellEnd"/>
            <w:r w:rsidRPr="00954185">
              <w:rPr>
                <w:sz w:val="20"/>
                <w:szCs w:val="20"/>
              </w:rPr>
              <w:t xml:space="preserve">, J., &amp; </w:t>
            </w:r>
            <w:proofErr w:type="spellStart"/>
            <w:r w:rsidRPr="00954185">
              <w:rPr>
                <w:sz w:val="20"/>
                <w:szCs w:val="20"/>
              </w:rPr>
              <w:t>Milić</w:t>
            </w:r>
            <w:proofErr w:type="spellEnd"/>
            <w:r w:rsidRPr="00954185">
              <w:rPr>
                <w:sz w:val="20"/>
                <w:szCs w:val="20"/>
              </w:rPr>
              <w:t>, M. (2010). Blood selenium, glutathione peroxidase activity and antioxidant supplementation of subjects exposed to arsenic via drinking water. Environmental Toxicology and Pharmacology, 29(2), 138-143.</w:t>
            </w:r>
          </w:p>
        </w:tc>
        <w:tc>
          <w:tcPr>
            <w:tcW w:w="2126" w:type="dxa"/>
            <w:tcBorders>
              <w:right w:val="single" w:sz="4" w:space="0" w:color="000000" w:themeColor="text1"/>
            </w:tcBorders>
            <w:shd w:val="clear" w:color="auto" w:fill="auto"/>
            <w:noWrap/>
            <w:vAlign w:val="center"/>
            <w:hideMark/>
          </w:tcPr>
          <w:p w14:paraId="3127DDD7" w14:textId="77777777" w:rsidR="00954185" w:rsidRPr="00954185" w:rsidRDefault="00954185" w:rsidP="00364C65">
            <w:pPr>
              <w:spacing w:line="360" w:lineRule="auto"/>
              <w:rPr>
                <w:sz w:val="20"/>
                <w:szCs w:val="20"/>
              </w:rPr>
            </w:pPr>
            <w:r w:rsidRPr="00954185">
              <w:rPr>
                <w:sz w:val="20"/>
                <w:szCs w:val="20"/>
              </w:rPr>
              <w:t xml:space="preserve">No arsenic metabolism, or arsenic-related disease </w:t>
            </w:r>
          </w:p>
        </w:tc>
      </w:tr>
      <w:tr w:rsidR="00954185" w:rsidRPr="00954185" w14:paraId="795B9188" w14:textId="77777777" w:rsidTr="00364C65">
        <w:trPr>
          <w:trHeight w:val="1200"/>
        </w:trPr>
        <w:tc>
          <w:tcPr>
            <w:tcW w:w="8364" w:type="dxa"/>
            <w:tcBorders>
              <w:left w:val="single" w:sz="4" w:space="0" w:color="000000" w:themeColor="text1"/>
            </w:tcBorders>
            <w:shd w:val="clear" w:color="auto" w:fill="auto"/>
            <w:vAlign w:val="center"/>
            <w:hideMark/>
          </w:tcPr>
          <w:p w14:paraId="15635DE4" w14:textId="77777777" w:rsidR="00954185" w:rsidRPr="00954185" w:rsidRDefault="00954185" w:rsidP="00364C65">
            <w:pPr>
              <w:spacing w:line="360" w:lineRule="auto"/>
              <w:rPr>
                <w:sz w:val="20"/>
                <w:szCs w:val="20"/>
              </w:rPr>
            </w:pPr>
            <w:r w:rsidRPr="00954185">
              <w:rPr>
                <w:sz w:val="20"/>
                <w:szCs w:val="20"/>
              </w:rPr>
              <w:t>Chanda, S., Roy, J., Chakraborty, T., &amp; Mazumder, D. G. (2020). Skin lesions associated with chronic arsenic exposure through food chain is associated with GST and CYP 450 polymorphism. International Journal of Chemical and Environmental Sciences, 1(4), 18-29.</w:t>
            </w:r>
          </w:p>
        </w:tc>
        <w:tc>
          <w:tcPr>
            <w:tcW w:w="2126" w:type="dxa"/>
            <w:tcBorders>
              <w:right w:val="single" w:sz="4" w:space="0" w:color="000000" w:themeColor="text1"/>
            </w:tcBorders>
            <w:shd w:val="clear" w:color="auto" w:fill="auto"/>
            <w:noWrap/>
            <w:vAlign w:val="center"/>
            <w:hideMark/>
          </w:tcPr>
          <w:p w14:paraId="2015A4AF" w14:textId="77777777" w:rsidR="00954185" w:rsidRPr="00954185" w:rsidRDefault="00954185" w:rsidP="00364C65">
            <w:pPr>
              <w:spacing w:line="360" w:lineRule="auto"/>
              <w:rPr>
                <w:sz w:val="20"/>
                <w:szCs w:val="20"/>
              </w:rPr>
            </w:pPr>
            <w:r w:rsidRPr="00954185">
              <w:rPr>
                <w:sz w:val="20"/>
                <w:szCs w:val="20"/>
              </w:rPr>
              <w:t>Skin lesions</w:t>
            </w:r>
          </w:p>
        </w:tc>
      </w:tr>
      <w:tr w:rsidR="00954185" w:rsidRPr="00954185" w14:paraId="0114D578" w14:textId="77777777" w:rsidTr="00364C65">
        <w:trPr>
          <w:trHeight w:val="900"/>
        </w:trPr>
        <w:tc>
          <w:tcPr>
            <w:tcW w:w="8364" w:type="dxa"/>
            <w:tcBorders>
              <w:left w:val="single" w:sz="4" w:space="0" w:color="000000" w:themeColor="text1"/>
            </w:tcBorders>
            <w:shd w:val="clear" w:color="auto" w:fill="auto"/>
            <w:vAlign w:val="center"/>
            <w:hideMark/>
          </w:tcPr>
          <w:p w14:paraId="48EB04F1" w14:textId="77777777" w:rsidR="00954185" w:rsidRPr="00954185" w:rsidRDefault="00954185" w:rsidP="00364C65">
            <w:pPr>
              <w:spacing w:line="360" w:lineRule="auto"/>
              <w:rPr>
                <w:sz w:val="20"/>
                <w:szCs w:val="20"/>
              </w:rPr>
            </w:pPr>
            <w:r w:rsidRPr="00954185">
              <w:rPr>
                <w:sz w:val="20"/>
                <w:szCs w:val="20"/>
              </w:rPr>
              <w:t>Chanda, S., Roy, J., Guha Mazumder, D., &amp; Chakraborty, T. (2020). Role of glutathione-S-transferase polymorphism on arsenic-induced protein carbonylation and urinary deoxy guanosine status. Exposure and Health, 12, 539-546.</w:t>
            </w:r>
          </w:p>
        </w:tc>
        <w:tc>
          <w:tcPr>
            <w:tcW w:w="2126" w:type="dxa"/>
            <w:tcBorders>
              <w:right w:val="single" w:sz="4" w:space="0" w:color="000000" w:themeColor="text1"/>
            </w:tcBorders>
            <w:shd w:val="clear" w:color="auto" w:fill="auto"/>
            <w:noWrap/>
            <w:vAlign w:val="center"/>
            <w:hideMark/>
          </w:tcPr>
          <w:p w14:paraId="7B297906" w14:textId="77777777" w:rsidR="00954185" w:rsidRPr="00954185" w:rsidRDefault="00954185" w:rsidP="00364C65">
            <w:pPr>
              <w:spacing w:line="360" w:lineRule="auto"/>
              <w:rPr>
                <w:sz w:val="20"/>
                <w:szCs w:val="20"/>
              </w:rPr>
            </w:pPr>
            <w:r w:rsidRPr="00954185">
              <w:rPr>
                <w:sz w:val="20"/>
                <w:szCs w:val="20"/>
              </w:rPr>
              <w:t xml:space="preserve">No arsenic metabolism, or arsenic-related disease </w:t>
            </w:r>
          </w:p>
        </w:tc>
      </w:tr>
      <w:tr w:rsidR="00954185" w:rsidRPr="00954185" w14:paraId="0C336000" w14:textId="77777777" w:rsidTr="00364C65">
        <w:trPr>
          <w:trHeight w:val="1200"/>
        </w:trPr>
        <w:tc>
          <w:tcPr>
            <w:tcW w:w="8364" w:type="dxa"/>
            <w:tcBorders>
              <w:left w:val="single" w:sz="4" w:space="0" w:color="000000" w:themeColor="text1"/>
            </w:tcBorders>
            <w:shd w:val="clear" w:color="auto" w:fill="auto"/>
            <w:vAlign w:val="center"/>
            <w:hideMark/>
          </w:tcPr>
          <w:p w14:paraId="174DFA7E" w14:textId="77777777" w:rsidR="00954185" w:rsidRPr="00954185" w:rsidRDefault="00954185" w:rsidP="00364C65">
            <w:pPr>
              <w:spacing w:line="360" w:lineRule="auto"/>
              <w:rPr>
                <w:sz w:val="20"/>
                <w:szCs w:val="20"/>
              </w:rPr>
            </w:pPr>
            <w:r w:rsidRPr="00954185">
              <w:rPr>
                <w:sz w:val="20"/>
                <w:szCs w:val="20"/>
              </w:rPr>
              <w:t xml:space="preserve">Chanda, S., Roy, J., Mukhopadhyay, A., Chakraborty, T., &amp; Mazumder, D. G. (2021). Modification of DNMTs Gene Expressions by GST O1 and GST O2 Polymorphism in Chronic Arsenic Exposed People </w:t>
            </w:r>
            <w:proofErr w:type="gramStart"/>
            <w:r w:rsidRPr="00954185">
              <w:rPr>
                <w:sz w:val="20"/>
                <w:szCs w:val="20"/>
              </w:rPr>
              <w:t>With</w:t>
            </w:r>
            <w:proofErr w:type="gramEnd"/>
            <w:r w:rsidRPr="00954185">
              <w:rPr>
                <w:sz w:val="20"/>
                <w:szCs w:val="20"/>
              </w:rPr>
              <w:t xml:space="preserve"> and Without Malignancy from West Bengal, India. Exposure and Health, 1-12.</w:t>
            </w:r>
          </w:p>
        </w:tc>
        <w:tc>
          <w:tcPr>
            <w:tcW w:w="2126" w:type="dxa"/>
            <w:tcBorders>
              <w:right w:val="single" w:sz="4" w:space="0" w:color="000000" w:themeColor="text1"/>
            </w:tcBorders>
            <w:shd w:val="clear" w:color="auto" w:fill="auto"/>
            <w:noWrap/>
            <w:vAlign w:val="center"/>
            <w:hideMark/>
          </w:tcPr>
          <w:p w14:paraId="258F7976" w14:textId="77777777" w:rsidR="00954185" w:rsidRPr="00954185" w:rsidRDefault="00954185" w:rsidP="00364C65">
            <w:pPr>
              <w:spacing w:line="360" w:lineRule="auto"/>
              <w:rPr>
                <w:sz w:val="20"/>
                <w:szCs w:val="20"/>
              </w:rPr>
            </w:pPr>
            <w:r w:rsidRPr="00954185">
              <w:rPr>
                <w:sz w:val="20"/>
                <w:szCs w:val="20"/>
              </w:rPr>
              <w:t>Skin lesions</w:t>
            </w:r>
          </w:p>
        </w:tc>
      </w:tr>
      <w:tr w:rsidR="00954185" w:rsidRPr="00954185" w14:paraId="09E0DFBE" w14:textId="77777777" w:rsidTr="00364C65">
        <w:trPr>
          <w:trHeight w:val="880"/>
        </w:trPr>
        <w:tc>
          <w:tcPr>
            <w:tcW w:w="8364" w:type="dxa"/>
            <w:tcBorders>
              <w:left w:val="single" w:sz="4" w:space="0" w:color="000000" w:themeColor="text1"/>
            </w:tcBorders>
            <w:shd w:val="clear" w:color="auto" w:fill="auto"/>
            <w:vAlign w:val="center"/>
            <w:hideMark/>
          </w:tcPr>
          <w:p w14:paraId="29F69DB5" w14:textId="77777777" w:rsidR="00954185" w:rsidRPr="00954185" w:rsidRDefault="00954185" w:rsidP="00364C65">
            <w:pPr>
              <w:spacing w:line="360" w:lineRule="auto"/>
              <w:rPr>
                <w:sz w:val="20"/>
                <w:szCs w:val="20"/>
              </w:rPr>
            </w:pPr>
            <w:r w:rsidRPr="00954185">
              <w:rPr>
                <w:sz w:val="20"/>
                <w:szCs w:val="20"/>
              </w:rPr>
              <w:t>Chen, T. H., Huang, J. J., Lee, H. Y., Kung, W. S., Luo, K. H., Lu, J. Y., &amp; Chuang, H. Y. (2021). The association of renal function and plasma metals modified by EGFR and TNF-α gene polymorphisms in metal industrial workers and general population. International Journal of Environmental Research and Public Health, 18(17), 8965.</w:t>
            </w:r>
          </w:p>
        </w:tc>
        <w:tc>
          <w:tcPr>
            <w:tcW w:w="2126" w:type="dxa"/>
            <w:tcBorders>
              <w:right w:val="single" w:sz="4" w:space="0" w:color="000000" w:themeColor="text1"/>
            </w:tcBorders>
            <w:shd w:val="clear" w:color="auto" w:fill="auto"/>
            <w:noWrap/>
            <w:vAlign w:val="center"/>
            <w:hideMark/>
          </w:tcPr>
          <w:p w14:paraId="750CDF56" w14:textId="77777777" w:rsidR="00954185" w:rsidRPr="00954185" w:rsidRDefault="00954185" w:rsidP="00364C65">
            <w:pPr>
              <w:spacing w:line="360" w:lineRule="auto"/>
              <w:rPr>
                <w:sz w:val="20"/>
                <w:szCs w:val="20"/>
              </w:rPr>
            </w:pPr>
            <w:r w:rsidRPr="00954185">
              <w:rPr>
                <w:sz w:val="20"/>
                <w:szCs w:val="20"/>
              </w:rPr>
              <w:t>Duplicate</w:t>
            </w:r>
          </w:p>
        </w:tc>
      </w:tr>
      <w:tr w:rsidR="00954185" w:rsidRPr="00954185" w14:paraId="5385F6A0" w14:textId="77777777" w:rsidTr="00364C65">
        <w:trPr>
          <w:trHeight w:val="1200"/>
        </w:trPr>
        <w:tc>
          <w:tcPr>
            <w:tcW w:w="8364" w:type="dxa"/>
            <w:tcBorders>
              <w:left w:val="single" w:sz="4" w:space="0" w:color="000000" w:themeColor="text1"/>
            </w:tcBorders>
            <w:shd w:val="clear" w:color="auto" w:fill="auto"/>
            <w:vAlign w:val="center"/>
            <w:hideMark/>
          </w:tcPr>
          <w:p w14:paraId="12F430B3" w14:textId="77777777" w:rsidR="00954185" w:rsidRPr="00954185" w:rsidRDefault="00954185" w:rsidP="00364C65">
            <w:pPr>
              <w:spacing w:line="360" w:lineRule="auto"/>
              <w:rPr>
                <w:sz w:val="20"/>
                <w:szCs w:val="20"/>
              </w:rPr>
            </w:pPr>
            <w:r w:rsidRPr="00954185">
              <w:rPr>
                <w:sz w:val="20"/>
                <w:szCs w:val="20"/>
              </w:rPr>
              <w:lastRenderedPageBreak/>
              <w:t>Chen, T. H., Huang, J. J., Lee, H. Y., Kung, W. S., Luo, K. H., Lu, J. Y., &amp; Chuang, H. Y. (2021). The association of renal function and plasma metals modified by EGFR and TNF-α gene polymorphisms in metal industrial workers and general population. International Journal of Environmental Research and Public Health, 18(17), 8965.</w:t>
            </w:r>
          </w:p>
        </w:tc>
        <w:tc>
          <w:tcPr>
            <w:tcW w:w="2126" w:type="dxa"/>
            <w:tcBorders>
              <w:right w:val="single" w:sz="4" w:space="0" w:color="000000" w:themeColor="text1"/>
            </w:tcBorders>
            <w:shd w:val="clear" w:color="auto" w:fill="auto"/>
            <w:noWrap/>
            <w:vAlign w:val="center"/>
            <w:hideMark/>
          </w:tcPr>
          <w:p w14:paraId="3CFD111A" w14:textId="77777777" w:rsidR="00954185" w:rsidRPr="00954185" w:rsidRDefault="00954185" w:rsidP="00364C65">
            <w:pPr>
              <w:spacing w:line="360" w:lineRule="auto"/>
              <w:rPr>
                <w:sz w:val="20"/>
                <w:szCs w:val="20"/>
              </w:rPr>
            </w:pPr>
            <w:r w:rsidRPr="00954185">
              <w:rPr>
                <w:sz w:val="20"/>
                <w:szCs w:val="20"/>
              </w:rPr>
              <w:t>Renal function</w:t>
            </w:r>
          </w:p>
        </w:tc>
      </w:tr>
      <w:tr w:rsidR="00954185" w:rsidRPr="00954185" w14:paraId="0BB21D03" w14:textId="77777777" w:rsidTr="00364C65">
        <w:trPr>
          <w:trHeight w:val="1200"/>
        </w:trPr>
        <w:tc>
          <w:tcPr>
            <w:tcW w:w="8364" w:type="dxa"/>
            <w:tcBorders>
              <w:left w:val="single" w:sz="4" w:space="0" w:color="000000" w:themeColor="text1"/>
            </w:tcBorders>
            <w:shd w:val="clear" w:color="auto" w:fill="auto"/>
            <w:vAlign w:val="center"/>
            <w:hideMark/>
          </w:tcPr>
          <w:p w14:paraId="55532C58" w14:textId="77777777" w:rsidR="00954185" w:rsidRPr="00954185" w:rsidRDefault="00954185" w:rsidP="00364C65">
            <w:pPr>
              <w:spacing w:line="360" w:lineRule="auto"/>
              <w:rPr>
                <w:sz w:val="20"/>
                <w:szCs w:val="20"/>
              </w:rPr>
            </w:pPr>
            <w:r w:rsidRPr="00954185">
              <w:rPr>
                <w:sz w:val="20"/>
                <w:szCs w:val="20"/>
              </w:rPr>
              <w:t>Chen, W. J., Huang, Y. L., Shiue, H. S., Chen, T. W., Lin, Y. F., Huang, C. Y., ... &amp; Hsueh, Y. M. (2014). Renin–angiotensin–aldosterone system related gene polymorphisms and urinary total arsenic is related to chronic kidney disease. Toxicology and applied pharmacology, 279(2), 95-102.</w:t>
            </w:r>
          </w:p>
        </w:tc>
        <w:tc>
          <w:tcPr>
            <w:tcW w:w="2126" w:type="dxa"/>
            <w:tcBorders>
              <w:right w:val="single" w:sz="4" w:space="0" w:color="000000" w:themeColor="text1"/>
            </w:tcBorders>
            <w:shd w:val="clear" w:color="auto" w:fill="auto"/>
            <w:noWrap/>
            <w:vAlign w:val="center"/>
            <w:hideMark/>
          </w:tcPr>
          <w:p w14:paraId="72D90C19" w14:textId="77777777" w:rsidR="00954185" w:rsidRPr="00954185" w:rsidRDefault="00954185" w:rsidP="00364C65">
            <w:pPr>
              <w:spacing w:line="360" w:lineRule="auto"/>
              <w:rPr>
                <w:sz w:val="20"/>
                <w:szCs w:val="20"/>
              </w:rPr>
            </w:pPr>
            <w:r w:rsidRPr="00954185">
              <w:rPr>
                <w:sz w:val="20"/>
                <w:szCs w:val="20"/>
              </w:rPr>
              <w:t xml:space="preserve">Chronic kidney disease </w:t>
            </w:r>
          </w:p>
        </w:tc>
      </w:tr>
      <w:tr w:rsidR="00954185" w:rsidRPr="00954185" w14:paraId="6AFF00B0" w14:textId="77777777" w:rsidTr="00364C65">
        <w:trPr>
          <w:trHeight w:val="900"/>
        </w:trPr>
        <w:tc>
          <w:tcPr>
            <w:tcW w:w="8364" w:type="dxa"/>
            <w:tcBorders>
              <w:left w:val="single" w:sz="4" w:space="0" w:color="000000" w:themeColor="text1"/>
            </w:tcBorders>
            <w:shd w:val="clear" w:color="auto" w:fill="auto"/>
            <w:vAlign w:val="center"/>
            <w:hideMark/>
          </w:tcPr>
          <w:p w14:paraId="4B0FAE37" w14:textId="77777777" w:rsidR="00954185" w:rsidRPr="00954185" w:rsidRDefault="00954185" w:rsidP="00364C65">
            <w:pPr>
              <w:spacing w:line="360" w:lineRule="auto"/>
              <w:rPr>
                <w:sz w:val="20"/>
                <w:szCs w:val="20"/>
              </w:rPr>
            </w:pPr>
            <w:r w:rsidRPr="00954185">
              <w:rPr>
                <w:sz w:val="20"/>
                <w:szCs w:val="20"/>
              </w:rPr>
              <w:t>Chen, X., Guo, X., He, P., Nie, J., Yan, X., Zhu, J., ... &amp; Ren, X. (2017). Interactive influence of N6AMT1 and As3MT genetic variations on arsenic metabolism in the population of inner Mongolia, China. Toxicological Sciences, 155(1), 124-134.</w:t>
            </w:r>
          </w:p>
        </w:tc>
        <w:tc>
          <w:tcPr>
            <w:tcW w:w="2126" w:type="dxa"/>
            <w:tcBorders>
              <w:right w:val="single" w:sz="4" w:space="0" w:color="000000" w:themeColor="text1"/>
            </w:tcBorders>
            <w:shd w:val="clear" w:color="auto" w:fill="auto"/>
            <w:noWrap/>
            <w:vAlign w:val="center"/>
            <w:hideMark/>
          </w:tcPr>
          <w:p w14:paraId="339B61AD"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6E2D45ED" w14:textId="77777777" w:rsidTr="00364C65">
        <w:trPr>
          <w:trHeight w:val="900"/>
        </w:trPr>
        <w:tc>
          <w:tcPr>
            <w:tcW w:w="8364" w:type="dxa"/>
            <w:tcBorders>
              <w:left w:val="single" w:sz="4" w:space="0" w:color="000000" w:themeColor="text1"/>
            </w:tcBorders>
            <w:shd w:val="clear" w:color="auto" w:fill="auto"/>
            <w:vAlign w:val="center"/>
            <w:hideMark/>
          </w:tcPr>
          <w:p w14:paraId="53CA4DC8" w14:textId="77777777" w:rsidR="00954185" w:rsidRPr="00954185" w:rsidRDefault="00954185" w:rsidP="00364C65">
            <w:pPr>
              <w:spacing w:line="360" w:lineRule="auto"/>
              <w:rPr>
                <w:sz w:val="20"/>
                <w:szCs w:val="20"/>
              </w:rPr>
            </w:pPr>
            <w:r w:rsidRPr="00954185">
              <w:rPr>
                <w:sz w:val="20"/>
                <w:szCs w:val="20"/>
              </w:rPr>
              <w:t>Chen, Y. C., Xu, L., Guo, Y. L. L., Su, H. J. J., Hsueh, Y. M., Smith, T. J., ... &amp; Christiani, D. C. (2003). Genetic polymorphism in p53 codon 72 and skin cancer in southwestern Taiwan. Journal of Environmental Science and Health, Part A, 38(1), 201-211.</w:t>
            </w:r>
          </w:p>
        </w:tc>
        <w:tc>
          <w:tcPr>
            <w:tcW w:w="2126" w:type="dxa"/>
            <w:tcBorders>
              <w:right w:val="single" w:sz="4" w:space="0" w:color="000000" w:themeColor="text1"/>
            </w:tcBorders>
            <w:shd w:val="clear" w:color="auto" w:fill="auto"/>
            <w:noWrap/>
            <w:vAlign w:val="center"/>
            <w:hideMark/>
          </w:tcPr>
          <w:p w14:paraId="1316D670" w14:textId="77777777" w:rsidR="00954185" w:rsidRPr="00954185" w:rsidRDefault="00954185" w:rsidP="00364C65">
            <w:pPr>
              <w:spacing w:line="360" w:lineRule="auto"/>
              <w:rPr>
                <w:sz w:val="20"/>
                <w:szCs w:val="20"/>
              </w:rPr>
            </w:pPr>
            <w:r w:rsidRPr="00954185">
              <w:rPr>
                <w:sz w:val="20"/>
                <w:szCs w:val="20"/>
              </w:rPr>
              <w:t xml:space="preserve">No arsenic metabolism, or arsenic-related disease </w:t>
            </w:r>
          </w:p>
        </w:tc>
      </w:tr>
      <w:tr w:rsidR="00954185" w:rsidRPr="00954185" w14:paraId="40EE3E20" w14:textId="77777777" w:rsidTr="00364C65">
        <w:trPr>
          <w:trHeight w:val="900"/>
        </w:trPr>
        <w:tc>
          <w:tcPr>
            <w:tcW w:w="8364" w:type="dxa"/>
            <w:tcBorders>
              <w:left w:val="single" w:sz="4" w:space="0" w:color="000000" w:themeColor="text1"/>
            </w:tcBorders>
            <w:shd w:val="clear" w:color="auto" w:fill="auto"/>
            <w:vAlign w:val="center"/>
            <w:hideMark/>
          </w:tcPr>
          <w:p w14:paraId="59E07AA0" w14:textId="77777777" w:rsidR="00954185" w:rsidRPr="00954185" w:rsidRDefault="00954185" w:rsidP="00364C65">
            <w:pPr>
              <w:spacing w:line="360" w:lineRule="auto"/>
              <w:rPr>
                <w:sz w:val="20"/>
                <w:szCs w:val="20"/>
              </w:rPr>
            </w:pPr>
            <w:r w:rsidRPr="00954185">
              <w:rPr>
                <w:sz w:val="20"/>
                <w:szCs w:val="20"/>
              </w:rPr>
              <w:t>Chen, Y. C., Xu, L., Guo, Y. L. L., Su, H. J. J., Smith, T. J., Ryan, L. M., ... &amp; Christiani, D. C. (2004). Polymorphisms in GSTT1 and p53 and urinary transitional cell carcinoma in south-western Taiwan: a preliminary study. Biomarkers, 9(4-5), 386-394.</w:t>
            </w:r>
          </w:p>
        </w:tc>
        <w:tc>
          <w:tcPr>
            <w:tcW w:w="2126" w:type="dxa"/>
            <w:tcBorders>
              <w:right w:val="single" w:sz="4" w:space="0" w:color="000000" w:themeColor="text1"/>
            </w:tcBorders>
            <w:shd w:val="clear" w:color="auto" w:fill="auto"/>
            <w:noWrap/>
            <w:vAlign w:val="center"/>
            <w:hideMark/>
          </w:tcPr>
          <w:p w14:paraId="13CD2AC3" w14:textId="77777777" w:rsidR="00954185" w:rsidRPr="00954185" w:rsidRDefault="00954185" w:rsidP="00364C65">
            <w:pPr>
              <w:spacing w:line="360" w:lineRule="auto"/>
              <w:rPr>
                <w:sz w:val="20"/>
                <w:szCs w:val="20"/>
              </w:rPr>
            </w:pPr>
            <w:r w:rsidRPr="00954185">
              <w:rPr>
                <w:sz w:val="20"/>
                <w:szCs w:val="20"/>
              </w:rPr>
              <w:t xml:space="preserve">No arsenic metabolism, or arsenic-related disease </w:t>
            </w:r>
          </w:p>
        </w:tc>
      </w:tr>
      <w:tr w:rsidR="00954185" w:rsidRPr="00954185" w14:paraId="5FAC85F7" w14:textId="77777777" w:rsidTr="00364C65">
        <w:trPr>
          <w:trHeight w:val="1200"/>
        </w:trPr>
        <w:tc>
          <w:tcPr>
            <w:tcW w:w="8364" w:type="dxa"/>
            <w:tcBorders>
              <w:left w:val="single" w:sz="4" w:space="0" w:color="000000" w:themeColor="text1"/>
            </w:tcBorders>
            <w:shd w:val="clear" w:color="auto" w:fill="auto"/>
            <w:vAlign w:val="center"/>
            <w:hideMark/>
          </w:tcPr>
          <w:p w14:paraId="0ED22FD0" w14:textId="77777777" w:rsidR="00954185" w:rsidRPr="00954185" w:rsidRDefault="00954185" w:rsidP="00364C65">
            <w:pPr>
              <w:spacing w:line="360" w:lineRule="auto"/>
              <w:rPr>
                <w:sz w:val="20"/>
                <w:szCs w:val="20"/>
              </w:rPr>
            </w:pPr>
            <w:r w:rsidRPr="00954185">
              <w:rPr>
                <w:sz w:val="20"/>
                <w:szCs w:val="20"/>
              </w:rPr>
              <w:t xml:space="preserve">Chen, Z., Liu, C., An, L., Zhang, N., Ren, D., Yuan, F., ... &amp; He, G. (2019). Single nucleotide polymorphism rs11191454 in </w:t>
            </w:r>
            <w:proofErr w:type="spellStart"/>
            <w:r w:rsidRPr="00954185">
              <w:rPr>
                <w:sz w:val="20"/>
                <w:szCs w:val="20"/>
              </w:rPr>
              <w:t>arsenite</w:t>
            </w:r>
            <w:proofErr w:type="spellEnd"/>
            <w:r w:rsidRPr="00954185">
              <w:rPr>
                <w:sz w:val="20"/>
                <w:szCs w:val="20"/>
              </w:rPr>
              <w:t xml:space="preserve"> methyltransferase is associated with flow in Chinese students: a genetic study on flow experience. Journal of Bio-X Research, 2(03), 140-144.</w:t>
            </w:r>
          </w:p>
        </w:tc>
        <w:tc>
          <w:tcPr>
            <w:tcW w:w="2126" w:type="dxa"/>
            <w:tcBorders>
              <w:right w:val="single" w:sz="4" w:space="0" w:color="000000" w:themeColor="text1"/>
            </w:tcBorders>
            <w:shd w:val="clear" w:color="auto" w:fill="auto"/>
            <w:noWrap/>
            <w:vAlign w:val="center"/>
            <w:hideMark/>
          </w:tcPr>
          <w:p w14:paraId="3080FE67" w14:textId="77777777" w:rsidR="00954185" w:rsidRPr="00954185" w:rsidRDefault="00954185" w:rsidP="00364C65">
            <w:pPr>
              <w:spacing w:line="360" w:lineRule="auto"/>
              <w:rPr>
                <w:sz w:val="20"/>
                <w:szCs w:val="20"/>
              </w:rPr>
            </w:pPr>
            <w:r w:rsidRPr="00954185">
              <w:rPr>
                <w:sz w:val="20"/>
                <w:szCs w:val="20"/>
              </w:rPr>
              <w:t xml:space="preserve">No arsenic metabolism, or arsenic-related disease </w:t>
            </w:r>
          </w:p>
        </w:tc>
      </w:tr>
      <w:tr w:rsidR="00954185" w:rsidRPr="00954185" w14:paraId="16E6BED3" w14:textId="77777777" w:rsidTr="00364C65">
        <w:trPr>
          <w:trHeight w:val="900"/>
        </w:trPr>
        <w:tc>
          <w:tcPr>
            <w:tcW w:w="8364" w:type="dxa"/>
            <w:tcBorders>
              <w:left w:val="single" w:sz="4" w:space="0" w:color="000000" w:themeColor="text1"/>
            </w:tcBorders>
            <w:shd w:val="clear" w:color="auto" w:fill="auto"/>
            <w:vAlign w:val="center"/>
            <w:hideMark/>
          </w:tcPr>
          <w:p w14:paraId="789C38AF" w14:textId="77777777" w:rsidR="00954185" w:rsidRPr="00954185" w:rsidRDefault="00954185" w:rsidP="00364C65">
            <w:pPr>
              <w:spacing w:line="360" w:lineRule="auto"/>
              <w:rPr>
                <w:sz w:val="20"/>
                <w:szCs w:val="20"/>
              </w:rPr>
            </w:pPr>
            <w:r w:rsidRPr="00954185">
              <w:rPr>
                <w:sz w:val="20"/>
                <w:szCs w:val="20"/>
              </w:rPr>
              <w:t>Cheng Y.-Y., Pan S.-C., Guo H.-R. &amp; Shen K.-H. (2012). Role of genes to modify health effects of environmental exposure. Epidemiology, 23(5 SUPPL. 1), S271. https://doi.org/10.1097/01.ede.0000416871.13121.dc</w:t>
            </w:r>
          </w:p>
        </w:tc>
        <w:tc>
          <w:tcPr>
            <w:tcW w:w="2126" w:type="dxa"/>
            <w:tcBorders>
              <w:right w:val="single" w:sz="4" w:space="0" w:color="000000" w:themeColor="text1"/>
            </w:tcBorders>
            <w:shd w:val="clear" w:color="auto" w:fill="auto"/>
            <w:noWrap/>
            <w:vAlign w:val="center"/>
            <w:hideMark/>
          </w:tcPr>
          <w:p w14:paraId="1C377741" w14:textId="77777777" w:rsidR="00954185" w:rsidRPr="00954185" w:rsidRDefault="00954185" w:rsidP="00364C65">
            <w:pPr>
              <w:spacing w:line="360" w:lineRule="auto"/>
              <w:rPr>
                <w:sz w:val="20"/>
                <w:szCs w:val="20"/>
              </w:rPr>
            </w:pPr>
            <w:r w:rsidRPr="00954185">
              <w:rPr>
                <w:sz w:val="20"/>
                <w:szCs w:val="20"/>
              </w:rPr>
              <w:t>Conference abstract</w:t>
            </w:r>
          </w:p>
        </w:tc>
      </w:tr>
      <w:tr w:rsidR="00954185" w:rsidRPr="00954185" w14:paraId="229BE2BE" w14:textId="77777777" w:rsidTr="00364C65">
        <w:trPr>
          <w:trHeight w:val="1200"/>
        </w:trPr>
        <w:tc>
          <w:tcPr>
            <w:tcW w:w="8364" w:type="dxa"/>
            <w:tcBorders>
              <w:left w:val="single" w:sz="4" w:space="0" w:color="000000" w:themeColor="text1"/>
            </w:tcBorders>
            <w:shd w:val="clear" w:color="auto" w:fill="auto"/>
            <w:vAlign w:val="center"/>
            <w:hideMark/>
          </w:tcPr>
          <w:p w14:paraId="2D335FB3" w14:textId="77777777" w:rsidR="00954185" w:rsidRPr="00954185" w:rsidRDefault="00954185" w:rsidP="00364C65">
            <w:pPr>
              <w:spacing w:line="360" w:lineRule="auto"/>
              <w:rPr>
                <w:sz w:val="20"/>
                <w:szCs w:val="20"/>
              </w:rPr>
            </w:pPr>
            <w:r w:rsidRPr="00954185">
              <w:rPr>
                <w:sz w:val="20"/>
                <w:szCs w:val="20"/>
              </w:rPr>
              <w:t>Cheng, J., Li, Y., He, Q., Luo, L., Zhang, Y., Gao, Y., ... &amp; Sun, D. (2021). Essential hypertension in patients exposed to high-arsenic exposed areas in western China: Genetic susceptibility and urinary arsenic metabolism characteristics. Journal of Trace Elements in Medicine and Biology, 67, 126778.</w:t>
            </w:r>
          </w:p>
        </w:tc>
        <w:tc>
          <w:tcPr>
            <w:tcW w:w="2126" w:type="dxa"/>
            <w:tcBorders>
              <w:right w:val="single" w:sz="4" w:space="0" w:color="000000" w:themeColor="text1"/>
            </w:tcBorders>
            <w:shd w:val="clear" w:color="auto" w:fill="auto"/>
            <w:noWrap/>
            <w:vAlign w:val="center"/>
            <w:hideMark/>
          </w:tcPr>
          <w:p w14:paraId="26EB0E9A" w14:textId="77777777" w:rsidR="00954185" w:rsidRPr="00954185" w:rsidRDefault="00954185" w:rsidP="00364C65">
            <w:pPr>
              <w:spacing w:line="360" w:lineRule="auto"/>
              <w:rPr>
                <w:sz w:val="20"/>
                <w:szCs w:val="20"/>
              </w:rPr>
            </w:pPr>
            <w:r w:rsidRPr="00954185">
              <w:rPr>
                <w:sz w:val="20"/>
                <w:szCs w:val="20"/>
              </w:rPr>
              <w:t xml:space="preserve">No arsenic metabolism, or arsenic-related disease </w:t>
            </w:r>
          </w:p>
        </w:tc>
      </w:tr>
      <w:tr w:rsidR="00954185" w:rsidRPr="00954185" w14:paraId="42632D1B" w14:textId="77777777" w:rsidTr="00364C65">
        <w:trPr>
          <w:trHeight w:val="900"/>
        </w:trPr>
        <w:tc>
          <w:tcPr>
            <w:tcW w:w="8364" w:type="dxa"/>
            <w:tcBorders>
              <w:left w:val="single" w:sz="4" w:space="0" w:color="000000" w:themeColor="text1"/>
            </w:tcBorders>
            <w:shd w:val="clear" w:color="auto" w:fill="auto"/>
            <w:vAlign w:val="center"/>
            <w:hideMark/>
          </w:tcPr>
          <w:p w14:paraId="515660B9" w14:textId="77777777" w:rsidR="00954185" w:rsidRPr="00954185" w:rsidRDefault="00954185" w:rsidP="00364C65">
            <w:pPr>
              <w:spacing w:line="360" w:lineRule="auto"/>
              <w:rPr>
                <w:sz w:val="20"/>
                <w:szCs w:val="20"/>
              </w:rPr>
            </w:pPr>
            <w:r w:rsidRPr="00954185">
              <w:rPr>
                <w:sz w:val="20"/>
                <w:szCs w:val="20"/>
              </w:rPr>
              <w:t>Cheng, Y. Y., Guo, H. R., Wang, Y. J., Yang, Y. C., Cheng, H. L., &amp; Chen, C. H. (2011). Functional STK15 Phe31Ile and p53 Pro72Arg polymorphism and bladder cancer in southwestern Taiwan. Epidemiology, 22(1), S136.</w:t>
            </w:r>
          </w:p>
        </w:tc>
        <w:tc>
          <w:tcPr>
            <w:tcW w:w="2126" w:type="dxa"/>
            <w:tcBorders>
              <w:right w:val="single" w:sz="4" w:space="0" w:color="000000" w:themeColor="text1"/>
            </w:tcBorders>
            <w:shd w:val="clear" w:color="auto" w:fill="auto"/>
            <w:noWrap/>
            <w:vAlign w:val="center"/>
            <w:hideMark/>
          </w:tcPr>
          <w:p w14:paraId="79C980E8" w14:textId="77777777" w:rsidR="00954185" w:rsidRPr="00954185" w:rsidRDefault="00954185" w:rsidP="00364C65">
            <w:pPr>
              <w:spacing w:line="360" w:lineRule="auto"/>
              <w:rPr>
                <w:sz w:val="20"/>
                <w:szCs w:val="20"/>
              </w:rPr>
            </w:pPr>
            <w:r w:rsidRPr="00954185">
              <w:rPr>
                <w:sz w:val="20"/>
                <w:szCs w:val="20"/>
              </w:rPr>
              <w:t>Conference abstract</w:t>
            </w:r>
          </w:p>
        </w:tc>
      </w:tr>
      <w:tr w:rsidR="00954185" w:rsidRPr="00954185" w14:paraId="5B171CA6" w14:textId="77777777" w:rsidTr="00364C65">
        <w:trPr>
          <w:trHeight w:val="1200"/>
        </w:trPr>
        <w:tc>
          <w:tcPr>
            <w:tcW w:w="8364" w:type="dxa"/>
            <w:tcBorders>
              <w:left w:val="single" w:sz="4" w:space="0" w:color="000000" w:themeColor="text1"/>
            </w:tcBorders>
            <w:shd w:val="clear" w:color="auto" w:fill="auto"/>
            <w:vAlign w:val="center"/>
            <w:hideMark/>
          </w:tcPr>
          <w:p w14:paraId="71C64324" w14:textId="77777777" w:rsidR="00954185" w:rsidRPr="00954185" w:rsidRDefault="00954185" w:rsidP="00364C65">
            <w:pPr>
              <w:spacing w:line="360" w:lineRule="auto"/>
              <w:rPr>
                <w:sz w:val="20"/>
                <w:szCs w:val="20"/>
              </w:rPr>
            </w:pPr>
            <w:r w:rsidRPr="00954185">
              <w:rPr>
                <w:sz w:val="20"/>
                <w:szCs w:val="20"/>
              </w:rPr>
              <w:t xml:space="preserve">Chernoff, M. B., Delgado, D., Tong, L., Chen, L., Oliva, M., Tamayo, L. I., ... &amp; Pierce, B. L. (2023). Sequencing-based fine-mapping and in silico functional characterization of the 10q24. 32 arsenic metabolism efficiency </w:t>
            </w:r>
            <w:proofErr w:type="gramStart"/>
            <w:r w:rsidRPr="00954185">
              <w:rPr>
                <w:sz w:val="20"/>
                <w:szCs w:val="20"/>
              </w:rPr>
              <w:t>locus</w:t>
            </w:r>
            <w:proofErr w:type="gramEnd"/>
            <w:r w:rsidRPr="00954185">
              <w:rPr>
                <w:sz w:val="20"/>
                <w:szCs w:val="20"/>
              </w:rPr>
              <w:t xml:space="preserve"> across multiple arsenic-exposed populations. </w:t>
            </w:r>
            <w:proofErr w:type="spellStart"/>
            <w:r w:rsidRPr="00954185">
              <w:rPr>
                <w:sz w:val="20"/>
                <w:szCs w:val="20"/>
              </w:rPr>
              <w:t>PLoS</w:t>
            </w:r>
            <w:proofErr w:type="spellEnd"/>
            <w:r w:rsidRPr="00954185">
              <w:rPr>
                <w:sz w:val="20"/>
                <w:szCs w:val="20"/>
              </w:rPr>
              <w:t xml:space="preserve"> Genetics, 19(1), e1010588.</w:t>
            </w:r>
          </w:p>
        </w:tc>
        <w:tc>
          <w:tcPr>
            <w:tcW w:w="2126" w:type="dxa"/>
            <w:tcBorders>
              <w:right w:val="single" w:sz="4" w:space="0" w:color="000000" w:themeColor="text1"/>
            </w:tcBorders>
            <w:shd w:val="clear" w:color="auto" w:fill="auto"/>
            <w:noWrap/>
            <w:vAlign w:val="center"/>
            <w:hideMark/>
          </w:tcPr>
          <w:p w14:paraId="5E0AB037"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7AB18B11" w14:textId="77777777" w:rsidTr="00364C65">
        <w:trPr>
          <w:trHeight w:val="1200"/>
        </w:trPr>
        <w:tc>
          <w:tcPr>
            <w:tcW w:w="8364" w:type="dxa"/>
            <w:tcBorders>
              <w:left w:val="single" w:sz="4" w:space="0" w:color="000000" w:themeColor="text1"/>
            </w:tcBorders>
            <w:shd w:val="clear" w:color="auto" w:fill="auto"/>
            <w:vAlign w:val="center"/>
            <w:hideMark/>
          </w:tcPr>
          <w:p w14:paraId="20B2F103" w14:textId="77777777" w:rsidR="00954185" w:rsidRPr="00954185" w:rsidRDefault="00954185" w:rsidP="00364C65">
            <w:pPr>
              <w:spacing w:line="360" w:lineRule="auto"/>
              <w:rPr>
                <w:sz w:val="20"/>
                <w:szCs w:val="20"/>
              </w:rPr>
            </w:pPr>
            <w:r w:rsidRPr="00954185">
              <w:rPr>
                <w:sz w:val="20"/>
                <w:szCs w:val="20"/>
              </w:rPr>
              <w:t xml:space="preserve">Chernoff, M., Tong, L., </w:t>
            </w:r>
            <w:proofErr w:type="spellStart"/>
            <w:r w:rsidRPr="00954185">
              <w:rPr>
                <w:sz w:val="20"/>
                <w:szCs w:val="20"/>
              </w:rPr>
              <w:t>Demanelis</w:t>
            </w:r>
            <w:proofErr w:type="spellEnd"/>
            <w:r w:rsidRPr="00954185">
              <w:rPr>
                <w:sz w:val="20"/>
                <w:szCs w:val="20"/>
              </w:rPr>
              <w:t xml:space="preserve">, K., Vander Griend, D., Ahsan, H., &amp; Pierce, B. L. (2020). Genetic determinants of reduced arsenic metabolism efficiency in the 10q24. 32 </w:t>
            </w:r>
            <w:proofErr w:type="gramStart"/>
            <w:r w:rsidRPr="00954185">
              <w:rPr>
                <w:sz w:val="20"/>
                <w:szCs w:val="20"/>
              </w:rPr>
              <w:t>region</w:t>
            </w:r>
            <w:proofErr w:type="gramEnd"/>
            <w:r w:rsidRPr="00954185">
              <w:rPr>
                <w:sz w:val="20"/>
                <w:szCs w:val="20"/>
              </w:rPr>
              <w:t xml:space="preserve"> are associated with reduced AS3MT expression in multiple human tissue types. Toxicological Sciences, 176(2), 382-395.</w:t>
            </w:r>
          </w:p>
        </w:tc>
        <w:tc>
          <w:tcPr>
            <w:tcW w:w="2126" w:type="dxa"/>
            <w:tcBorders>
              <w:right w:val="single" w:sz="4" w:space="0" w:color="000000" w:themeColor="text1"/>
            </w:tcBorders>
            <w:shd w:val="clear" w:color="auto" w:fill="auto"/>
            <w:noWrap/>
            <w:vAlign w:val="center"/>
            <w:hideMark/>
          </w:tcPr>
          <w:p w14:paraId="0BD4B85D"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5812F690" w14:textId="77777777" w:rsidTr="00364C65">
        <w:trPr>
          <w:trHeight w:val="1200"/>
        </w:trPr>
        <w:tc>
          <w:tcPr>
            <w:tcW w:w="8364" w:type="dxa"/>
            <w:tcBorders>
              <w:left w:val="single" w:sz="4" w:space="0" w:color="000000" w:themeColor="text1"/>
            </w:tcBorders>
            <w:shd w:val="clear" w:color="auto" w:fill="auto"/>
            <w:vAlign w:val="center"/>
            <w:hideMark/>
          </w:tcPr>
          <w:p w14:paraId="08310FBA" w14:textId="77777777" w:rsidR="00954185" w:rsidRPr="00954185" w:rsidRDefault="00954185" w:rsidP="00364C65">
            <w:pPr>
              <w:spacing w:line="360" w:lineRule="auto"/>
              <w:rPr>
                <w:sz w:val="20"/>
                <w:szCs w:val="20"/>
              </w:rPr>
            </w:pPr>
            <w:r w:rsidRPr="00954185">
              <w:rPr>
                <w:sz w:val="20"/>
                <w:szCs w:val="20"/>
              </w:rPr>
              <w:lastRenderedPageBreak/>
              <w:t>Chiang, C. I., Huang, Y. L., Chen, W. J., Shiue, H. S., Huang, C. Y., Pu, Y. S., ... &amp; Hsueh, Y. M. (2014). XRCC1 Arg194Trp and Arg399Gln polymorphisms and arsenic methylation capacity are associated with urothelial carcinoma. Toxicology and applied pharmacology, 279(3), 373-379.</w:t>
            </w:r>
          </w:p>
        </w:tc>
        <w:tc>
          <w:tcPr>
            <w:tcW w:w="2126" w:type="dxa"/>
            <w:tcBorders>
              <w:right w:val="single" w:sz="4" w:space="0" w:color="000000" w:themeColor="text1"/>
            </w:tcBorders>
            <w:shd w:val="clear" w:color="auto" w:fill="auto"/>
            <w:noWrap/>
            <w:vAlign w:val="center"/>
            <w:hideMark/>
          </w:tcPr>
          <w:p w14:paraId="5D35127C" w14:textId="77777777" w:rsidR="00954185" w:rsidRPr="00954185" w:rsidRDefault="00954185" w:rsidP="00364C65">
            <w:pPr>
              <w:spacing w:line="360" w:lineRule="auto"/>
              <w:rPr>
                <w:sz w:val="20"/>
                <w:szCs w:val="20"/>
              </w:rPr>
            </w:pPr>
            <w:r w:rsidRPr="00954185">
              <w:rPr>
                <w:sz w:val="20"/>
                <w:szCs w:val="20"/>
              </w:rPr>
              <w:t xml:space="preserve">Arsenic metabolism, urothelial carcinoma </w:t>
            </w:r>
          </w:p>
        </w:tc>
      </w:tr>
      <w:tr w:rsidR="00954185" w:rsidRPr="00954185" w14:paraId="41D8B9C0" w14:textId="77777777" w:rsidTr="00364C65">
        <w:trPr>
          <w:trHeight w:val="1200"/>
        </w:trPr>
        <w:tc>
          <w:tcPr>
            <w:tcW w:w="8364" w:type="dxa"/>
            <w:tcBorders>
              <w:left w:val="single" w:sz="4" w:space="0" w:color="000000" w:themeColor="text1"/>
            </w:tcBorders>
            <w:shd w:val="clear" w:color="auto" w:fill="auto"/>
            <w:vAlign w:val="center"/>
            <w:hideMark/>
          </w:tcPr>
          <w:p w14:paraId="6A89D225" w14:textId="77777777" w:rsidR="00954185" w:rsidRPr="00954185" w:rsidRDefault="00954185" w:rsidP="00364C65">
            <w:pPr>
              <w:spacing w:line="360" w:lineRule="auto"/>
              <w:rPr>
                <w:sz w:val="20"/>
                <w:szCs w:val="20"/>
              </w:rPr>
            </w:pPr>
            <w:r w:rsidRPr="00954185">
              <w:rPr>
                <w:sz w:val="20"/>
                <w:szCs w:val="20"/>
              </w:rPr>
              <w:t>Chiou, H. Y., Hsueh, Y. M., Hsieh, L. L., Hsu, L. I., Hsu, Y. H., Hsieh, F. I., ... &amp; Chen, C. J. (1997). Arsenic methylation capacity, body retention, and null genotypes of glutathione S-transferase M1 and T1 among current arsenic-exposed residents in Taiwan. Mutation Research/Reviews in Mutation Research, 386(3), 197-207.</w:t>
            </w:r>
          </w:p>
        </w:tc>
        <w:tc>
          <w:tcPr>
            <w:tcW w:w="2126" w:type="dxa"/>
            <w:tcBorders>
              <w:right w:val="single" w:sz="4" w:space="0" w:color="000000" w:themeColor="text1"/>
            </w:tcBorders>
            <w:shd w:val="clear" w:color="auto" w:fill="auto"/>
            <w:noWrap/>
            <w:vAlign w:val="center"/>
            <w:hideMark/>
          </w:tcPr>
          <w:p w14:paraId="444FBB7E"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7A51819F" w14:textId="77777777" w:rsidTr="00364C65">
        <w:trPr>
          <w:trHeight w:val="1200"/>
        </w:trPr>
        <w:tc>
          <w:tcPr>
            <w:tcW w:w="8364" w:type="dxa"/>
            <w:tcBorders>
              <w:left w:val="single" w:sz="4" w:space="0" w:color="000000" w:themeColor="text1"/>
            </w:tcBorders>
            <w:shd w:val="clear" w:color="auto" w:fill="auto"/>
            <w:vAlign w:val="center"/>
            <w:hideMark/>
          </w:tcPr>
          <w:p w14:paraId="325AC096" w14:textId="77777777" w:rsidR="00954185" w:rsidRPr="00954185" w:rsidRDefault="00954185" w:rsidP="00364C65">
            <w:pPr>
              <w:spacing w:line="360" w:lineRule="auto"/>
              <w:rPr>
                <w:sz w:val="20"/>
                <w:szCs w:val="20"/>
              </w:rPr>
            </w:pPr>
            <w:r w:rsidRPr="00954185">
              <w:rPr>
                <w:sz w:val="20"/>
                <w:szCs w:val="20"/>
              </w:rPr>
              <w:t xml:space="preserve">Chiou, H. Y., Wang, I. H., Hsueh, Y. M., Chiou, S. T., Chou, Y. L., </w:t>
            </w:r>
            <w:proofErr w:type="spellStart"/>
            <w:r w:rsidRPr="00954185">
              <w:rPr>
                <w:sz w:val="20"/>
                <w:szCs w:val="20"/>
              </w:rPr>
              <w:t>Teh</w:t>
            </w:r>
            <w:proofErr w:type="spellEnd"/>
            <w:r w:rsidRPr="00954185">
              <w:rPr>
                <w:sz w:val="20"/>
                <w:szCs w:val="20"/>
              </w:rPr>
              <w:t xml:space="preserve">, H. W., &amp; Chen, C. J. (2001). Arsenic Exposure, Null Genotypes of Glutathione S-Transferase M1, T1 and P1, and Risk of Carotid Atherosclerosis among Residents in the </w:t>
            </w:r>
            <w:proofErr w:type="spellStart"/>
            <w:r w:rsidRPr="00954185">
              <w:rPr>
                <w:sz w:val="20"/>
                <w:szCs w:val="20"/>
              </w:rPr>
              <w:t>Lanyang</w:t>
            </w:r>
            <w:proofErr w:type="spellEnd"/>
            <w:r w:rsidRPr="00954185">
              <w:rPr>
                <w:sz w:val="20"/>
                <w:szCs w:val="20"/>
              </w:rPr>
              <w:t xml:space="preserve"> Basin of Taiwan. Arsenic Exposure and Health Effects IV, 207-219.</w:t>
            </w:r>
          </w:p>
        </w:tc>
        <w:tc>
          <w:tcPr>
            <w:tcW w:w="2126" w:type="dxa"/>
            <w:tcBorders>
              <w:right w:val="single" w:sz="4" w:space="0" w:color="000000" w:themeColor="text1"/>
            </w:tcBorders>
            <w:shd w:val="clear" w:color="auto" w:fill="auto"/>
            <w:noWrap/>
            <w:vAlign w:val="center"/>
            <w:hideMark/>
          </w:tcPr>
          <w:p w14:paraId="5E9AF90E" w14:textId="77777777" w:rsidR="00954185" w:rsidRPr="00954185" w:rsidRDefault="00954185" w:rsidP="00364C65">
            <w:pPr>
              <w:spacing w:line="360" w:lineRule="auto"/>
              <w:rPr>
                <w:sz w:val="20"/>
                <w:szCs w:val="20"/>
              </w:rPr>
            </w:pPr>
            <w:r w:rsidRPr="00954185">
              <w:rPr>
                <w:sz w:val="20"/>
                <w:szCs w:val="20"/>
              </w:rPr>
              <w:t>Overlapping population with Wang et al. 2007</w:t>
            </w:r>
          </w:p>
        </w:tc>
      </w:tr>
      <w:tr w:rsidR="00954185" w:rsidRPr="00954185" w14:paraId="028EC0A7" w14:textId="77777777" w:rsidTr="00364C65">
        <w:trPr>
          <w:trHeight w:val="1200"/>
        </w:trPr>
        <w:tc>
          <w:tcPr>
            <w:tcW w:w="8364" w:type="dxa"/>
            <w:tcBorders>
              <w:left w:val="single" w:sz="4" w:space="0" w:color="000000" w:themeColor="text1"/>
            </w:tcBorders>
            <w:shd w:val="clear" w:color="auto" w:fill="auto"/>
            <w:vAlign w:val="center"/>
            <w:hideMark/>
          </w:tcPr>
          <w:p w14:paraId="23E6B46A" w14:textId="77777777" w:rsidR="00954185" w:rsidRPr="00954185" w:rsidRDefault="00954185" w:rsidP="00364C65">
            <w:pPr>
              <w:spacing w:line="360" w:lineRule="auto"/>
              <w:rPr>
                <w:sz w:val="20"/>
                <w:szCs w:val="20"/>
              </w:rPr>
            </w:pPr>
            <w:r w:rsidRPr="00954185">
              <w:rPr>
                <w:sz w:val="20"/>
                <w:szCs w:val="20"/>
              </w:rPr>
              <w:t>Chou, Y. L., Chiou, S. T., Hsueh, Y. M., Chiou, H. Y., &amp; Chen, C. J. (2001). A study on the association between carotid atherosclerosis and genetic polymorphisms of apolipoprotein E among various arsenic exposure people. Taiwan Journal of Public Health, 20(5), 365-371.</w:t>
            </w:r>
          </w:p>
        </w:tc>
        <w:tc>
          <w:tcPr>
            <w:tcW w:w="2126" w:type="dxa"/>
            <w:tcBorders>
              <w:right w:val="single" w:sz="4" w:space="0" w:color="000000" w:themeColor="text1"/>
            </w:tcBorders>
            <w:shd w:val="clear" w:color="auto" w:fill="auto"/>
            <w:noWrap/>
            <w:vAlign w:val="center"/>
            <w:hideMark/>
          </w:tcPr>
          <w:p w14:paraId="64A3FF87" w14:textId="77777777" w:rsidR="00954185" w:rsidRPr="00954185" w:rsidRDefault="00954185" w:rsidP="00364C65">
            <w:pPr>
              <w:spacing w:line="360" w:lineRule="auto"/>
              <w:rPr>
                <w:sz w:val="20"/>
                <w:szCs w:val="20"/>
              </w:rPr>
            </w:pPr>
            <w:r w:rsidRPr="00954185">
              <w:rPr>
                <w:sz w:val="20"/>
                <w:szCs w:val="20"/>
              </w:rPr>
              <w:t xml:space="preserve">Unable to access full text </w:t>
            </w:r>
          </w:p>
        </w:tc>
      </w:tr>
      <w:tr w:rsidR="00954185" w:rsidRPr="00954185" w14:paraId="0BC621BF" w14:textId="77777777" w:rsidTr="00364C65">
        <w:trPr>
          <w:trHeight w:val="1200"/>
        </w:trPr>
        <w:tc>
          <w:tcPr>
            <w:tcW w:w="8364" w:type="dxa"/>
            <w:tcBorders>
              <w:left w:val="single" w:sz="4" w:space="0" w:color="000000" w:themeColor="text1"/>
            </w:tcBorders>
            <w:shd w:val="clear" w:color="auto" w:fill="auto"/>
            <w:vAlign w:val="center"/>
            <w:hideMark/>
          </w:tcPr>
          <w:p w14:paraId="39817BA5" w14:textId="77777777" w:rsidR="00954185" w:rsidRPr="00954185" w:rsidRDefault="00954185" w:rsidP="00364C65">
            <w:pPr>
              <w:spacing w:line="360" w:lineRule="auto"/>
              <w:rPr>
                <w:sz w:val="20"/>
                <w:szCs w:val="20"/>
              </w:rPr>
            </w:pPr>
            <w:r w:rsidRPr="00954185">
              <w:rPr>
                <w:sz w:val="20"/>
                <w:szCs w:val="20"/>
              </w:rPr>
              <w:t>Chung, C. J., Bao, B. Y., Lin, Y. C., Huang, Y. L., Shiue, H. S., Ao, P. L., ... &amp; Hsueh, Y. M. (2020). Polymorphism of nucleotide binding domain-like receptor protein 3 (NLRP3) increases susceptibility of total urinary arsenic to renal cell carcinoma. Scientific Reports, 10(1), 6640.</w:t>
            </w:r>
          </w:p>
        </w:tc>
        <w:tc>
          <w:tcPr>
            <w:tcW w:w="2126" w:type="dxa"/>
            <w:tcBorders>
              <w:right w:val="single" w:sz="4" w:space="0" w:color="000000" w:themeColor="text1"/>
            </w:tcBorders>
            <w:shd w:val="clear" w:color="auto" w:fill="auto"/>
            <w:noWrap/>
            <w:vAlign w:val="center"/>
            <w:hideMark/>
          </w:tcPr>
          <w:p w14:paraId="37712C88" w14:textId="77777777" w:rsidR="00954185" w:rsidRPr="00954185" w:rsidRDefault="00954185" w:rsidP="00364C65">
            <w:pPr>
              <w:spacing w:line="360" w:lineRule="auto"/>
              <w:rPr>
                <w:sz w:val="20"/>
                <w:szCs w:val="20"/>
              </w:rPr>
            </w:pPr>
            <w:r w:rsidRPr="00954185">
              <w:rPr>
                <w:sz w:val="20"/>
                <w:szCs w:val="20"/>
              </w:rPr>
              <w:t xml:space="preserve">Renal cell carcinoma </w:t>
            </w:r>
          </w:p>
        </w:tc>
      </w:tr>
      <w:tr w:rsidR="00954185" w:rsidRPr="00954185" w14:paraId="36949DA3" w14:textId="77777777" w:rsidTr="00364C65">
        <w:trPr>
          <w:trHeight w:val="1200"/>
        </w:trPr>
        <w:tc>
          <w:tcPr>
            <w:tcW w:w="8364" w:type="dxa"/>
            <w:tcBorders>
              <w:left w:val="single" w:sz="4" w:space="0" w:color="000000" w:themeColor="text1"/>
            </w:tcBorders>
            <w:shd w:val="clear" w:color="auto" w:fill="auto"/>
            <w:vAlign w:val="center"/>
            <w:hideMark/>
          </w:tcPr>
          <w:p w14:paraId="4B0942AD" w14:textId="77777777" w:rsidR="00954185" w:rsidRPr="00954185" w:rsidRDefault="00954185" w:rsidP="00364C65">
            <w:pPr>
              <w:spacing w:line="360" w:lineRule="auto"/>
              <w:rPr>
                <w:sz w:val="20"/>
                <w:szCs w:val="20"/>
              </w:rPr>
            </w:pPr>
            <w:r w:rsidRPr="00954185">
              <w:rPr>
                <w:sz w:val="20"/>
                <w:szCs w:val="20"/>
              </w:rPr>
              <w:t>Chung, C. J., Bao, B. Y., Lin, Y. C., Huang, Y. L., Shiue, H. S., Ao, P. L., ... &amp; Hsueh, Y. M. (2020). Polymorphism of nucleotide binding domain-like receptor protein 3 (NLRP3) increases susceptibility of total urinary arsenic to renal cell carcinoma. Scientific Reports, 10(1), 6640.</w:t>
            </w:r>
          </w:p>
        </w:tc>
        <w:tc>
          <w:tcPr>
            <w:tcW w:w="2126" w:type="dxa"/>
            <w:tcBorders>
              <w:right w:val="single" w:sz="4" w:space="0" w:color="000000" w:themeColor="text1"/>
            </w:tcBorders>
            <w:shd w:val="clear" w:color="auto" w:fill="auto"/>
            <w:noWrap/>
            <w:vAlign w:val="center"/>
            <w:hideMark/>
          </w:tcPr>
          <w:p w14:paraId="3D4FB9B8" w14:textId="77777777" w:rsidR="00954185" w:rsidRPr="00954185" w:rsidRDefault="00954185" w:rsidP="00364C65">
            <w:pPr>
              <w:spacing w:line="360" w:lineRule="auto"/>
              <w:rPr>
                <w:sz w:val="20"/>
                <w:szCs w:val="20"/>
              </w:rPr>
            </w:pPr>
            <w:r w:rsidRPr="00954185">
              <w:rPr>
                <w:sz w:val="20"/>
                <w:szCs w:val="20"/>
              </w:rPr>
              <w:t xml:space="preserve">Renal cell carcinoma </w:t>
            </w:r>
          </w:p>
        </w:tc>
      </w:tr>
      <w:tr w:rsidR="00954185" w:rsidRPr="00954185" w14:paraId="4A893125" w14:textId="77777777" w:rsidTr="00364C65">
        <w:trPr>
          <w:trHeight w:val="900"/>
        </w:trPr>
        <w:tc>
          <w:tcPr>
            <w:tcW w:w="8364" w:type="dxa"/>
            <w:tcBorders>
              <w:left w:val="single" w:sz="4" w:space="0" w:color="000000" w:themeColor="text1"/>
            </w:tcBorders>
            <w:shd w:val="clear" w:color="auto" w:fill="auto"/>
            <w:vAlign w:val="center"/>
            <w:hideMark/>
          </w:tcPr>
          <w:p w14:paraId="7E704F3A" w14:textId="77777777" w:rsidR="00954185" w:rsidRPr="00954185" w:rsidRDefault="00954185" w:rsidP="00364C65">
            <w:pPr>
              <w:spacing w:line="360" w:lineRule="auto"/>
              <w:rPr>
                <w:sz w:val="20"/>
                <w:szCs w:val="20"/>
              </w:rPr>
            </w:pPr>
            <w:r w:rsidRPr="00954185">
              <w:rPr>
                <w:sz w:val="20"/>
                <w:szCs w:val="20"/>
              </w:rPr>
              <w:t>Chung, C. J., Hsueh, Y. M., Bai, C. H., Huang, Y. K., Huang, Y. L., Yang, M. H., &amp; Chen, C. J. (2009). Polymorphisms in arsenic metabolism genes, urinary arsenic methylation profile and cancer. Cancer causes &amp; control, 20, 1653-1661.</w:t>
            </w:r>
          </w:p>
        </w:tc>
        <w:tc>
          <w:tcPr>
            <w:tcW w:w="2126" w:type="dxa"/>
            <w:tcBorders>
              <w:right w:val="single" w:sz="4" w:space="0" w:color="000000" w:themeColor="text1"/>
            </w:tcBorders>
            <w:shd w:val="clear" w:color="auto" w:fill="auto"/>
            <w:noWrap/>
            <w:vAlign w:val="center"/>
            <w:hideMark/>
          </w:tcPr>
          <w:p w14:paraId="359C5C2E"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448BCA33" w14:textId="77777777" w:rsidTr="00364C65">
        <w:trPr>
          <w:trHeight w:val="900"/>
        </w:trPr>
        <w:tc>
          <w:tcPr>
            <w:tcW w:w="8364" w:type="dxa"/>
            <w:tcBorders>
              <w:left w:val="single" w:sz="4" w:space="0" w:color="000000" w:themeColor="text1"/>
            </w:tcBorders>
            <w:shd w:val="clear" w:color="auto" w:fill="auto"/>
            <w:vAlign w:val="center"/>
            <w:hideMark/>
          </w:tcPr>
          <w:p w14:paraId="0C2F2984" w14:textId="77777777" w:rsidR="00954185" w:rsidRPr="00954185" w:rsidRDefault="00954185" w:rsidP="00364C65">
            <w:pPr>
              <w:spacing w:line="360" w:lineRule="auto"/>
              <w:rPr>
                <w:sz w:val="20"/>
                <w:szCs w:val="20"/>
              </w:rPr>
            </w:pPr>
            <w:r w:rsidRPr="00954185">
              <w:rPr>
                <w:sz w:val="20"/>
                <w:szCs w:val="20"/>
              </w:rPr>
              <w:t>Chung, C. J., Huang, C. J., Pu, Y. S., Su, C. T., Huang, Y. K., Chen, Y. T., &amp; Hsueh, Y. M. (2008). Polymorphisms in cell cycle regulatory genes, urinary arsenic profile and urothelial carcinoma. Toxicology and applied pharmacology, 232(2), 203-209.</w:t>
            </w:r>
          </w:p>
        </w:tc>
        <w:tc>
          <w:tcPr>
            <w:tcW w:w="2126" w:type="dxa"/>
            <w:tcBorders>
              <w:right w:val="single" w:sz="4" w:space="0" w:color="000000" w:themeColor="text1"/>
            </w:tcBorders>
            <w:shd w:val="clear" w:color="auto" w:fill="auto"/>
            <w:noWrap/>
            <w:vAlign w:val="center"/>
            <w:hideMark/>
          </w:tcPr>
          <w:p w14:paraId="085874F7" w14:textId="77777777" w:rsidR="00954185" w:rsidRPr="00954185" w:rsidRDefault="00954185" w:rsidP="00364C65">
            <w:pPr>
              <w:spacing w:line="360" w:lineRule="auto"/>
              <w:rPr>
                <w:sz w:val="20"/>
                <w:szCs w:val="20"/>
              </w:rPr>
            </w:pPr>
            <w:r w:rsidRPr="00954185">
              <w:rPr>
                <w:sz w:val="20"/>
                <w:szCs w:val="20"/>
              </w:rPr>
              <w:t xml:space="preserve">Urothelial carcinoma </w:t>
            </w:r>
          </w:p>
        </w:tc>
      </w:tr>
      <w:tr w:rsidR="00954185" w:rsidRPr="00954185" w14:paraId="2C2DCD9C" w14:textId="77777777" w:rsidTr="00364C65">
        <w:trPr>
          <w:trHeight w:val="1200"/>
        </w:trPr>
        <w:tc>
          <w:tcPr>
            <w:tcW w:w="8364" w:type="dxa"/>
            <w:tcBorders>
              <w:left w:val="single" w:sz="4" w:space="0" w:color="000000" w:themeColor="text1"/>
            </w:tcBorders>
            <w:shd w:val="clear" w:color="auto" w:fill="auto"/>
            <w:vAlign w:val="center"/>
            <w:hideMark/>
          </w:tcPr>
          <w:p w14:paraId="41D8CF48" w14:textId="77777777" w:rsidR="00954185" w:rsidRPr="00954185" w:rsidRDefault="00954185" w:rsidP="00364C65">
            <w:pPr>
              <w:spacing w:line="360" w:lineRule="auto"/>
              <w:rPr>
                <w:sz w:val="20"/>
                <w:szCs w:val="20"/>
              </w:rPr>
            </w:pPr>
            <w:r w:rsidRPr="00954185">
              <w:rPr>
                <w:sz w:val="20"/>
                <w:szCs w:val="20"/>
              </w:rPr>
              <w:t>Chung, C. J., Huang, C. Y., Pu, Y. S., Shiue, H. S., Su, C. T., &amp; Hsueh, Y. M. (2013). The effect of cigarette smoke and arsenic exposure on urothelial carcinoma risk is modified by glutathione S-transferase M1 gene null genotype. Toxicology and applied pharmacology, 266(2), 254-259.</w:t>
            </w:r>
          </w:p>
        </w:tc>
        <w:tc>
          <w:tcPr>
            <w:tcW w:w="2126" w:type="dxa"/>
            <w:tcBorders>
              <w:right w:val="single" w:sz="4" w:space="0" w:color="000000" w:themeColor="text1"/>
            </w:tcBorders>
            <w:shd w:val="clear" w:color="auto" w:fill="auto"/>
            <w:noWrap/>
            <w:vAlign w:val="center"/>
            <w:hideMark/>
          </w:tcPr>
          <w:p w14:paraId="3594E54F" w14:textId="77777777" w:rsidR="00954185" w:rsidRPr="00954185" w:rsidRDefault="00954185" w:rsidP="00364C65">
            <w:pPr>
              <w:spacing w:line="360" w:lineRule="auto"/>
              <w:rPr>
                <w:sz w:val="20"/>
                <w:szCs w:val="20"/>
              </w:rPr>
            </w:pPr>
            <w:r w:rsidRPr="00954185">
              <w:rPr>
                <w:sz w:val="20"/>
                <w:szCs w:val="20"/>
              </w:rPr>
              <w:t xml:space="preserve">Urothelial carcinoma </w:t>
            </w:r>
          </w:p>
        </w:tc>
      </w:tr>
      <w:tr w:rsidR="00954185" w:rsidRPr="00954185" w14:paraId="7AB91D6E" w14:textId="77777777" w:rsidTr="00364C65">
        <w:trPr>
          <w:trHeight w:val="900"/>
        </w:trPr>
        <w:tc>
          <w:tcPr>
            <w:tcW w:w="8364" w:type="dxa"/>
            <w:tcBorders>
              <w:left w:val="single" w:sz="4" w:space="0" w:color="000000" w:themeColor="text1"/>
            </w:tcBorders>
            <w:shd w:val="clear" w:color="auto" w:fill="auto"/>
            <w:vAlign w:val="center"/>
            <w:hideMark/>
          </w:tcPr>
          <w:p w14:paraId="74359F34" w14:textId="77777777" w:rsidR="00954185" w:rsidRPr="00954185" w:rsidRDefault="00954185" w:rsidP="00364C65">
            <w:pPr>
              <w:spacing w:line="360" w:lineRule="auto"/>
              <w:rPr>
                <w:sz w:val="20"/>
                <w:szCs w:val="20"/>
              </w:rPr>
            </w:pPr>
            <w:r w:rsidRPr="00954185">
              <w:rPr>
                <w:sz w:val="20"/>
                <w:szCs w:val="20"/>
              </w:rPr>
              <w:t>Chung, C. J., Pu, Y. S., Su, C. T., Chen, H. W., Huang, Y. K., Shiue, H. S., &amp; Hsueh, Y. M. (2010). Polymorphisms in one-carbon metabolism pathway genes, urinary arsenic profile, and urothelial carcinoma. Cancer Causes &amp; Control, 21, 1605-1613.</w:t>
            </w:r>
          </w:p>
        </w:tc>
        <w:tc>
          <w:tcPr>
            <w:tcW w:w="2126" w:type="dxa"/>
            <w:tcBorders>
              <w:right w:val="single" w:sz="4" w:space="0" w:color="000000" w:themeColor="text1"/>
            </w:tcBorders>
            <w:shd w:val="clear" w:color="auto" w:fill="auto"/>
            <w:noWrap/>
            <w:vAlign w:val="center"/>
            <w:hideMark/>
          </w:tcPr>
          <w:p w14:paraId="48297D4F"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07FCD5D8" w14:textId="77777777" w:rsidTr="00364C65">
        <w:trPr>
          <w:trHeight w:val="1200"/>
        </w:trPr>
        <w:tc>
          <w:tcPr>
            <w:tcW w:w="8364" w:type="dxa"/>
            <w:tcBorders>
              <w:left w:val="single" w:sz="4" w:space="0" w:color="000000" w:themeColor="text1"/>
            </w:tcBorders>
            <w:shd w:val="clear" w:color="auto" w:fill="auto"/>
            <w:vAlign w:val="center"/>
            <w:hideMark/>
          </w:tcPr>
          <w:p w14:paraId="2AAB0E15" w14:textId="77777777" w:rsidR="00954185" w:rsidRPr="00954185" w:rsidRDefault="00954185" w:rsidP="00364C65">
            <w:pPr>
              <w:spacing w:line="360" w:lineRule="auto"/>
              <w:rPr>
                <w:sz w:val="20"/>
                <w:szCs w:val="20"/>
              </w:rPr>
            </w:pPr>
            <w:r w:rsidRPr="00641BD3">
              <w:rPr>
                <w:sz w:val="20"/>
                <w:szCs w:val="20"/>
                <w:lang w:val="es-ES"/>
              </w:rPr>
              <w:t xml:space="preserve">Chung, C. J., Pu, Y. S., Su, C. T., Huang, C. Y., &amp; </w:t>
            </w:r>
            <w:proofErr w:type="spellStart"/>
            <w:r w:rsidRPr="00641BD3">
              <w:rPr>
                <w:sz w:val="20"/>
                <w:szCs w:val="20"/>
                <w:lang w:val="es-ES"/>
              </w:rPr>
              <w:t>Hsueh</w:t>
            </w:r>
            <w:proofErr w:type="spellEnd"/>
            <w:r w:rsidRPr="00641BD3">
              <w:rPr>
                <w:sz w:val="20"/>
                <w:szCs w:val="20"/>
                <w:lang w:val="es-ES"/>
              </w:rPr>
              <w:t xml:space="preserve">, Y. M. (2011). </w:t>
            </w:r>
            <w:r w:rsidRPr="00954185">
              <w:rPr>
                <w:sz w:val="20"/>
                <w:szCs w:val="20"/>
              </w:rPr>
              <w:t>Gene polymorphisms of glutathione S-transferase omega 1 and 2, urinary arsenic methylation profile and urothelial carcinoma. Science of the total environment, 409(3), 465-470.</w:t>
            </w:r>
          </w:p>
        </w:tc>
        <w:tc>
          <w:tcPr>
            <w:tcW w:w="2126" w:type="dxa"/>
            <w:tcBorders>
              <w:right w:val="single" w:sz="4" w:space="0" w:color="000000" w:themeColor="text1"/>
            </w:tcBorders>
            <w:shd w:val="clear" w:color="auto" w:fill="auto"/>
            <w:noWrap/>
            <w:vAlign w:val="center"/>
            <w:hideMark/>
          </w:tcPr>
          <w:p w14:paraId="7F47FE89"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498FAEC1" w14:textId="77777777" w:rsidTr="00364C65">
        <w:trPr>
          <w:trHeight w:val="1200"/>
        </w:trPr>
        <w:tc>
          <w:tcPr>
            <w:tcW w:w="8364" w:type="dxa"/>
            <w:tcBorders>
              <w:left w:val="single" w:sz="4" w:space="0" w:color="000000" w:themeColor="text1"/>
            </w:tcBorders>
            <w:shd w:val="clear" w:color="auto" w:fill="auto"/>
            <w:vAlign w:val="center"/>
            <w:hideMark/>
          </w:tcPr>
          <w:p w14:paraId="09A46D8E" w14:textId="77777777" w:rsidR="00954185" w:rsidRPr="00954185" w:rsidRDefault="00954185" w:rsidP="00364C65">
            <w:pPr>
              <w:spacing w:line="360" w:lineRule="auto"/>
              <w:rPr>
                <w:sz w:val="20"/>
                <w:szCs w:val="20"/>
              </w:rPr>
            </w:pPr>
            <w:proofErr w:type="spellStart"/>
            <w:r w:rsidRPr="00641BD3">
              <w:rPr>
                <w:sz w:val="20"/>
                <w:szCs w:val="20"/>
                <w:lang w:val="es-ES"/>
              </w:rPr>
              <w:lastRenderedPageBreak/>
              <w:t>Cordova</w:t>
            </w:r>
            <w:proofErr w:type="spellEnd"/>
            <w:r w:rsidRPr="00641BD3">
              <w:rPr>
                <w:sz w:val="20"/>
                <w:szCs w:val="20"/>
                <w:lang w:val="es-ES"/>
              </w:rPr>
              <w:t xml:space="preserve">, E. J., Valenzuela, O. L., Sánchez-Peña, L. C., Escamilla-Guerrero, G., </w:t>
            </w:r>
            <w:proofErr w:type="spellStart"/>
            <w:r w:rsidRPr="00641BD3">
              <w:rPr>
                <w:sz w:val="20"/>
                <w:szCs w:val="20"/>
                <w:lang w:val="es-ES"/>
              </w:rPr>
              <w:t>Hernandez</w:t>
            </w:r>
            <w:proofErr w:type="spellEnd"/>
            <w:r w:rsidRPr="00641BD3">
              <w:rPr>
                <w:sz w:val="20"/>
                <w:szCs w:val="20"/>
                <w:lang w:val="es-ES"/>
              </w:rPr>
              <w:t xml:space="preserve">-Zavala, A., Orozco, L., &amp; Razo, L. D. (2014). </w:t>
            </w:r>
            <w:r w:rsidRPr="00954185">
              <w:rPr>
                <w:sz w:val="20"/>
                <w:szCs w:val="20"/>
              </w:rPr>
              <w:t>Nuclear factor erythroid 2-related factor gene variants and susceptibility of arsenic-related skin lesions. Human &amp; experimental toxicology, 33(6), 582-589.</w:t>
            </w:r>
          </w:p>
        </w:tc>
        <w:tc>
          <w:tcPr>
            <w:tcW w:w="2126" w:type="dxa"/>
            <w:tcBorders>
              <w:right w:val="single" w:sz="4" w:space="0" w:color="000000" w:themeColor="text1"/>
            </w:tcBorders>
            <w:shd w:val="clear" w:color="auto" w:fill="auto"/>
            <w:noWrap/>
            <w:vAlign w:val="center"/>
            <w:hideMark/>
          </w:tcPr>
          <w:p w14:paraId="040B88E7" w14:textId="77777777" w:rsidR="00954185" w:rsidRPr="00954185" w:rsidRDefault="00954185" w:rsidP="00364C65">
            <w:pPr>
              <w:spacing w:line="360" w:lineRule="auto"/>
              <w:rPr>
                <w:sz w:val="20"/>
                <w:szCs w:val="20"/>
              </w:rPr>
            </w:pPr>
            <w:r w:rsidRPr="00954185">
              <w:rPr>
                <w:sz w:val="20"/>
                <w:szCs w:val="20"/>
              </w:rPr>
              <w:t>Skin lesions</w:t>
            </w:r>
          </w:p>
        </w:tc>
      </w:tr>
      <w:tr w:rsidR="00954185" w:rsidRPr="00954185" w14:paraId="44BD45C8" w14:textId="77777777" w:rsidTr="00364C65">
        <w:trPr>
          <w:trHeight w:val="1200"/>
        </w:trPr>
        <w:tc>
          <w:tcPr>
            <w:tcW w:w="8364" w:type="dxa"/>
            <w:tcBorders>
              <w:left w:val="single" w:sz="4" w:space="0" w:color="000000" w:themeColor="text1"/>
            </w:tcBorders>
            <w:shd w:val="clear" w:color="auto" w:fill="auto"/>
            <w:vAlign w:val="center"/>
            <w:hideMark/>
          </w:tcPr>
          <w:p w14:paraId="282FFBBB" w14:textId="77777777" w:rsidR="00954185" w:rsidRPr="00954185" w:rsidRDefault="00954185" w:rsidP="00364C65">
            <w:pPr>
              <w:spacing w:line="360" w:lineRule="auto"/>
              <w:rPr>
                <w:sz w:val="20"/>
                <w:szCs w:val="20"/>
              </w:rPr>
            </w:pPr>
            <w:r w:rsidRPr="00954185">
              <w:rPr>
                <w:sz w:val="20"/>
                <w:szCs w:val="20"/>
              </w:rPr>
              <w:t>Das, N., Giri, A., Chakraborty, S., &amp; Bhattacharjee, P. (2016). Association of single nucleotide polymorphism with arsenic-induced skin lesions and genetic damage in exposed population of West Bengal, India. Mutation Research/Genetic Toxicology and Environmental Mutagenesis, 809, 50-56.</w:t>
            </w:r>
          </w:p>
        </w:tc>
        <w:tc>
          <w:tcPr>
            <w:tcW w:w="2126" w:type="dxa"/>
            <w:tcBorders>
              <w:right w:val="single" w:sz="4" w:space="0" w:color="000000" w:themeColor="text1"/>
            </w:tcBorders>
            <w:shd w:val="clear" w:color="auto" w:fill="auto"/>
            <w:noWrap/>
            <w:vAlign w:val="center"/>
            <w:hideMark/>
          </w:tcPr>
          <w:p w14:paraId="53D8F1B3" w14:textId="77777777" w:rsidR="00954185" w:rsidRPr="00954185" w:rsidRDefault="00954185" w:rsidP="00364C65">
            <w:pPr>
              <w:spacing w:line="360" w:lineRule="auto"/>
              <w:rPr>
                <w:sz w:val="20"/>
                <w:szCs w:val="20"/>
              </w:rPr>
            </w:pPr>
            <w:r w:rsidRPr="00954185">
              <w:rPr>
                <w:sz w:val="20"/>
                <w:szCs w:val="20"/>
              </w:rPr>
              <w:t xml:space="preserve">Skin lesions </w:t>
            </w:r>
          </w:p>
        </w:tc>
      </w:tr>
      <w:tr w:rsidR="00954185" w:rsidRPr="00954185" w14:paraId="29749D2D" w14:textId="77777777" w:rsidTr="00364C65">
        <w:trPr>
          <w:trHeight w:val="1200"/>
        </w:trPr>
        <w:tc>
          <w:tcPr>
            <w:tcW w:w="8364" w:type="dxa"/>
            <w:tcBorders>
              <w:left w:val="single" w:sz="4" w:space="0" w:color="000000" w:themeColor="text1"/>
            </w:tcBorders>
            <w:shd w:val="clear" w:color="auto" w:fill="auto"/>
            <w:vAlign w:val="center"/>
            <w:hideMark/>
          </w:tcPr>
          <w:p w14:paraId="2C2AD6C2" w14:textId="77777777" w:rsidR="00954185" w:rsidRPr="00954185" w:rsidRDefault="00954185" w:rsidP="00364C65">
            <w:pPr>
              <w:spacing w:line="360" w:lineRule="auto"/>
              <w:rPr>
                <w:sz w:val="20"/>
                <w:szCs w:val="20"/>
              </w:rPr>
            </w:pPr>
            <w:r w:rsidRPr="00641BD3">
              <w:rPr>
                <w:sz w:val="20"/>
                <w:szCs w:val="20"/>
                <w:lang w:val="es-ES"/>
              </w:rPr>
              <w:t xml:space="preserve">De </w:t>
            </w:r>
            <w:proofErr w:type="spellStart"/>
            <w:r w:rsidRPr="00641BD3">
              <w:rPr>
                <w:sz w:val="20"/>
                <w:szCs w:val="20"/>
                <w:lang w:val="es-ES"/>
              </w:rPr>
              <w:t>Chaudhuri</w:t>
            </w:r>
            <w:proofErr w:type="spellEnd"/>
            <w:r w:rsidRPr="00641BD3">
              <w:rPr>
                <w:sz w:val="20"/>
                <w:szCs w:val="20"/>
                <w:lang w:val="es-ES"/>
              </w:rPr>
              <w:t xml:space="preserve">, S., Ghosh, P., </w:t>
            </w:r>
            <w:proofErr w:type="spellStart"/>
            <w:r w:rsidRPr="00641BD3">
              <w:rPr>
                <w:sz w:val="20"/>
                <w:szCs w:val="20"/>
                <w:lang w:val="es-ES"/>
              </w:rPr>
              <w:t>Sarma</w:t>
            </w:r>
            <w:proofErr w:type="spellEnd"/>
            <w:r w:rsidRPr="00641BD3">
              <w:rPr>
                <w:sz w:val="20"/>
                <w:szCs w:val="20"/>
                <w:lang w:val="es-ES"/>
              </w:rPr>
              <w:t xml:space="preserve">, N., </w:t>
            </w:r>
            <w:proofErr w:type="spellStart"/>
            <w:r w:rsidRPr="00641BD3">
              <w:rPr>
                <w:sz w:val="20"/>
                <w:szCs w:val="20"/>
                <w:lang w:val="es-ES"/>
              </w:rPr>
              <w:t>Majumdar</w:t>
            </w:r>
            <w:proofErr w:type="spellEnd"/>
            <w:r w:rsidRPr="00641BD3">
              <w:rPr>
                <w:sz w:val="20"/>
                <w:szCs w:val="20"/>
                <w:lang w:val="es-ES"/>
              </w:rPr>
              <w:t xml:space="preserve">, P., </w:t>
            </w:r>
            <w:proofErr w:type="spellStart"/>
            <w:r w:rsidRPr="00641BD3">
              <w:rPr>
                <w:sz w:val="20"/>
                <w:szCs w:val="20"/>
                <w:lang w:val="es-ES"/>
              </w:rPr>
              <w:t>Sau</w:t>
            </w:r>
            <w:proofErr w:type="spellEnd"/>
            <w:r w:rsidRPr="00641BD3">
              <w:rPr>
                <w:sz w:val="20"/>
                <w:szCs w:val="20"/>
                <w:lang w:val="es-ES"/>
              </w:rPr>
              <w:t xml:space="preserve">, T. J., </w:t>
            </w:r>
            <w:proofErr w:type="spellStart"/>
            <w:r w:rsidRPr="00641BD3">
              <w:rPr>
                <w:sz w:val="20"/>
                <w:szCs w:val="20"/>
                <w:lang w:val="es-ES"/>
              </w:rPr>
              <w:t>Basu</w:t>
            </w:r>
            <w:proofErr w:type="spellEnd"/>
            <w:r w:rsidRPr="00641BD3">
              <w:rPr>
                <w:sz w:val="20"/>
                <w:szCs w:val="20"/>
                <w:lang w:val="es-ES"/>
              </w:rPr>
              <w:t xml:space="preserve">, S., ... </w:t>
            </w:r>
            <w:r w:rsidRPr="00954185">
              <w:rPr>
                <w:sz w:val="20"/>
                <w:szCs w:val="20"/>
              </w:rPr>
              <w:t>&amp; Giri, A. K. (2008). Genetic variants associated with arsenic susceptibility: study of purine nucleoside phosphorylase, arsenic (+ 3) methyltransferase, and glutathione S-transferase omega genes. Environmental health perspectives, 116(4), 501-505.</w:t>
            </w:r>
          </w:p>
        </w:tc>
        <w:tc>
          <w:tcPr>
            <w:tcW w:w="2126" w:type="dxa"/>
            <w:tcBorders>
              <w:right w:val="single" w:sz="4" w:space="0" w:color="000000" w:themeColor="text1"/>
            </w:tcBorders>
            <w:shd w:val="clear" w:color="auto" w:fill="auto"/>
            <w:noWrap/>
            <w:vAlign w:val="center"/>
            <w:hideMark/>
          </w:tcPr>
          <w:p w14:paraId="027DA6CC" w14:textId="77777777" w:rsidR="00954185" w:rsidRPr="00954185" w:rsidRDefault="00954185" w:rsidP="00364C65">
            <w:pPr>
              <w:spacing w:line="360" w:lineRule="auto"/>
              <w:rPr>
                <w:sz w:val="20"/>
                <w:szCs w:val="20"/>
              </w:rPr>
            </w:pPr>
            <w:r w:rsidRPr="00954185">
              <w:rPr>
                <w:sz w:val="20"/>
                <w:szCs w:val="20"/>
              </w:rPr>
              <w:t xml:space="preserve">Skin lesions </w:t>
            </w:r>
          </w:p>
        </w:tc>
      </w:tr>
      <w:tr w:rsidR="00954185" w:rsidRPr="00954185" w14:paraId="0EFDDFC9" w14:textId="77777777" w:rsidTr="00364C65">
        <w:trPr>
          <w:trHeight w:val="1500"/>
        </w:trPr>
        <w:tc>
          <w:tcPr>
            <w:tcW w:w="8364" w:type="dxa"/>
            <w:tcBorders>
              <w:left w:val="single" w:sz="4" w:space="0" w:color="000000" w:themeColor="text1"/>
            </w:tcBorders>
            <w:shd w:val="clear" w:color="auto" w:fill="auto"/>
            <w:vAlign w:val="center"/>
            <w:hideMark/>
          </w:tcPr>
          <w:p w14:paraId="79BEA29C" w14:textId="77777777" w:rsidR="00954185" w:rsidRPr="00954185" w:rsidRDefault="00954185" w:rsidP="00364C65">
            <w:pPr>
              <w:spacing w:line="360" w:lineRule="auto"/>
              <w:rPr>
                <w:sz w:val="20"/>
                <w:szCs w:val="20"/>
              </w:rPr>
            </w:pPr>
            <w:r w:rsidRPr="00641BD3">
              <w:rPr>
                <w:sz w:val="20"/>
                <w:szCs w:val="20"/>
                <w:lang w:val="es-ES"/>
              </w:rPr>
              <w:t xml:space="preserve">De </w:t>
            </w:r>
            <w:proofErr w:type="spellStart"/>
            <w:r w:rsidRPr="00641BD3">
              <w:rPr>
                <w:sz w:val="20"/>
                <w:szCs w:val="20"/>
                <w:lang w:val="es-ES"/>
              </w:rPr>
              <w:t>Chaudhuri</w:t>
            </w:r>
            <w:proofErr w:type="spellEnd"/>
            <w:r w:rsidRPr="00641BD3">
              <w:rPr>
                <w:sz w:val="20"/>
                <w:szCs w:val="20"/>
                <w:lang w:val="es-ES"/>
              </w:rPr>
              <w:t xml:space="preserve">, S., </w:t>
            </w:r>
            <w:proofErr w:type="spellStart"/>
            <w:r w:rsidRPr="00641BD3">
              <w:rPr>
                <w:sz w:val="20"/>
                <w:szCs w:val="20"/>
                <w:lang w:val="es-ES"/>
              </w:rPr>
              <w:t>Mahata</w:t>
            </w:r>
            <w:proofErr w:type="spellEnd"/>
            <w:r w:rsidRPr="00641BD3">
              <w:rPr>
                <w:sz w:val="20"/>
                <w:szCs w:val="20"/>
                <w:lang w:val="es-ES"/>
              </w:rPr>
              <w:t xml:space="preserve">, J., Das, J. K., </w:t>
            </w:r>
            <w:proofErr w:type="spellStart"/>
            <w:r w:rsidRPr="00641BD3">
              <w:rPr>
                <w:sz w:val="20"/>
                <w:szCs w:val="20"/>
                <w:lang w:val="es-ES"/>
              </w:rPr>
              <w:t>Mukherjee</w:t>
            </w:r>
            <w:proofErr w:type="spellEnd"/>
            <w:r w:rsidRPr="00641BD3">
              <w:rPr>
                <w:sz w:val="20"/>
                <w:szCs w:val="20"/>
                <w:lang w:val="es-ES"/>
              </w:rPr>
              <w:t xml:space="preserve">, A., Ghosh, P., </w:t>
            </w:r>
            <w:proofErr w:type="spellStart"/>
            <w:r w:rsidRPr="00641BD3">
              <w:rPr>
                <w:sz w:val="20"/>
                <w:szCs w:val="20"/>
                <w:lang w:val="es-ES"/>
              </w:rPr>
              <w:t>Sau</w:t>
            </w:r>
            <w:proofErr w:type="spellEnd"/>
            <w:r w:rsidRPr="00641BD3">
              <w:rPr>
                <w:sz w:val="20"/>
                <w:szCs w:val="20"/>
                <w:lang w:val="es-ES"/>
              </w:rPr>
              <w:t xml:space="preserve">, T. J., ... </w:t>
            </w:r>
            <w:r w:rsidRPr="00954185">
              <w:rPr>
                <w:sz w:val="20"/>
                <w:szCs w:val="20"/>
              </w:rPr>
              <w:t>&amp; Roychoudhury, S. (2006). Association of specific p53 polymorphisms with keratosis in individuals exposed to arsenic through drinking water in West Bengal, India. Mutation Research/Fundamental and Molecular Mechanisms of Mutagenesis, 601(1-2), 102-112.</w:t>
            </w:r>
          </w:p>
        </w:tc>
        <w:tc>
          <w:tcPr>
            <w:tcW w:w="2126" w:type="dxa"/>
            <w:tcBorders>
              <w:right w:val="single" w:sz="4" w:space="0" w:color="000000" w:themeColor="text1"/>
            </w:tcBorders>
            <w:shd w:val="clear" w:color="auto" w:fill="auto"/>
            <w:noWrap/>
            <w:vAlign w:val="center"/>
            <w:hideMark/>
          </w:tcPr>
          <w:p w14:paraId="217134A8" w14:textId="77777777" w:rsidR="00954185" w:rsidRPr="00954185" w:rsidRDefault="00954185" w:rsidP="00364C65">
            <w:pPr>
              <w:spacing w:line="360" w:lineRule="auto"/>
              <w:rPr>
                <w:sz w:val="20"/>
                <w:szCs w:val="20"/>
              </w:rPr>
            </w:pPr>
            <w:r w:rsidRPr="00954185">
              <w:rPr>
                <w:sz w:val="20"/>
                <w:szCs w:val="20"/>
              </w:rPr>
              <w:t xml:space="preserve">Skin lesions </w:t>
            </w:r>
          </w:p>
        </w:tc>
      </w:tr>
      <w:tr w:rsidR="00954185" w:rsidRPr="00954185" w14:paraId="224FABF3" w14:textId="77777777" w:rsidTr="00364C65">
        <w:trPr>
          <w:trHeight w:val="1500"/>
        </w:trPr>
        <w:tc>
          <w:tcPr>
            <w:tcW w:w="8364" w:type="dxa"/>
            <w:tcBorders>
              <w:left w:val="single" w:sz="4" w:space="0" w:color="000000" w:themeColor="text1"/>
            </w:tcBorders>
            <w:shd w:val="clear" w:color="auto" w:fill="auto"/>
            <w:vAlign w:val="center"/>
            <w:hideMark/>
          </w:tcPr>
          <w:p w14:paraId="3C7ED1D3" w14:textId="77777777" w:rsidR="00954185" w:rsidRPr="00954185" w:rsidRDefault="00954185" w:rsidP="00364C65">
            <w:pPr>
              <w:spacing w:line="360" w:lineRule="auto"/>
              <w:rPr>
                <w:sz w:val="20"/>
                <w:szCs w:val="20"/>
              </w:rPr>
            </w:pPr>
            <w:r w:rsidRPr="00641BD3">
              <w:rPr>
                <w:sz w:val="20"/>
                <w:szCs w:val="20"/>
                <w:lang w:val="es-ES"/>
              </w:rPr>
              <w:t xml:space="preserve">De la Rosa, R., </w:t>
            </w:r>
            <w:proofErr w:type="spellStart"/>
            <w:r w:rsidRPr="00641BD3">
              <w:rPr>
                <w:sz w:val="20"/>
                <w:szCs w:val="20"/>
                <w:lang w:val="es-ES"/>
              </w:rPr>
              <w:t>Steinmaus</w:t>
            </w:r>
            <w:proofErr w:type="spellEnd"/>
            <w:r w:rsidRPr="00641BD3">
              <w:rPr>
                <w:sz w:val="20"/>
                <w:szCs w:val="20"/>
                <w:lang w:val="es-ES"/>
              </w:rPr>
              <w:t xml:space="preserve">, C., </w:t>
            </w:r>
            <w:proofErr w:type="spellStart"/>
            <w:r w:rsidRPr="00641BD3">
              <w:rPr>
                <w:sz w:val="20"/>
                <w:szCs w:val="20"/>
                <w:lang w:val="es-ES"/>
              </w:rPr>
              <w:t>Akers</w:t>
            </w:r>
            <w:proofErr w:type="spellEnd"/>
            <w:r w:rsidRPr="00641BD3">
              <w:rPr>
                <w:sz w:val="20"/>
                <w:szCs w:val="20"/>
                <w:lang w:val="es-ES"/>
              </w:rPr>
              <w:t xml:space="preserve">, N. K., Conde, L., Ferreccio, C., Kalman, D., ... </w:t>
            </w:r>
            <w:r w:rsidRPr="00954185">
              <w:rPr>
                <w:sz w:val="20"/>
                <w:szCs w:val="20"/>
              </w:rPr>
              <w:t xml:space="preserve">&amp; Smith, M. T. (2017). Associations between arsenic (+ 3 oxidation state) methyltransferase (AS3MT) and N‐6 adenine‐specific DNA methyltransferase 1 (N6AMT1) polymorphisms, arsenic metabolism, and cancer risk in a </w:t>
            </w:r>
            <w:proofErr w:type="spellStart"/>
            <w:r w:rsidRPr="00954185">
              <w:rPr>
                <w:sz w:val="20"/>
                <w:szCs w:val="20"/>
              </w:rPr>
              <w:t>chilean</w:t>
            </w:r>
            <w:proofErr w:type="spellEnd"/>
            <w:r w:rsidRPr="00954185">
              <w:rPr>
                <w:sz w:val="20"/>
                <w:szCs w:val="20"/>
              </w:rPr>
              <w:t xml:space="preserve"> population. Environmental and molecular mutagenesis, 58(6), 411-422.</w:t>
            </w:r>
          </w:p>
        </w:tc>
        <w:tc>
          <w:tcPr>
            <w:tcW w:w="2126" w:type="dxa"/>
            <w:tcBorders>
              <w:right w:val="single" w:sz="4" w:space="0" w:color="000000" w:themeColor="text1"/>
            </w:tcBorders>
            <w:shd w:val="clear" w:color="auto" w:fill="auto"/>
            <w:noWrap/>
            <w:vAlign w:val="center"/>
            <w:hideMark/>
          </w:tcPr>
          <w:p w14:paraId="68446125" w14:textId="77777777" w:rsidR="00954185" w:rsidRPr="00954185" w:rsidRDefault="00954185" w:rsidP="00364C65">
            <w:pPr>
              <w:spacing w:line="360" w:lineRule="auto"/>
              <w:rPr>
                <w:sz w:val="20"/>
                <w:szCs w:val="20"/>
              </w:rPr>
            </w:pPr>
            <w:r w:rsidRPr="00954185">
              <w:rPr>
                <w:sz w:val="20"/>
                <w:szCs w:val="20"/>
              </w:rPr>
              <w:t xml:space="preserve">Arsenic metabolism, lung cancer, bladder cancer </w:t>
            </w:r>
          </w:p>
        </w:tc>
      </w:tr>
      <w:tr w:rsidR="00954185" w:rsidRPr="00954185" w14:paraId="0350112B" w14:textId="77777777" w:rsidTr="00364C65">
        <w:trPr>
          <w:trHeight w:val="900"/>
        </w:trPr>
        <w:tc>
          <w:tcPr>
            <w:tcW w:w="8364" w:type="dxa"/>
            <w:tcBorders>
              <w:left w:val="single" w:sz="4" w:space="0" w:color="000000" w:themeColor="text1"/>
            </w:tcBorders>
            <w:shd w:val="clear" w:color="auto" w:fill="auto"/>
            <w:vAlign w:val="center"/>
            <w:hideMark/>
          </w:tcPr>
          <w:p w14:paraId="65844525" w14:textId="77777777" w:rsidR="00954185" w:rsidRPr="00954185" w:rsidRDefault="00954185" w:rsidP="00364C65">
            <w:pPr>
              <w:spacing w:line="360" w:lineRule="auto"/>
              <w:rPr>
                <w:sz w:val="20"/>
                <w:szCs w:val="20"/>
              </w:rPr>
            </w:pPr>
            <w:r w:rsidRPr="00641BD3">
              <w:rPr>
                <w:sz w:val="20"/>
                <w:szCs w:val="20"/>
                <w:lang w:val="es-ES"/>
              </w:rPr>
              <w:t xml:space="preserve">De Loma, J., </w:t>
            </w:r>
            <w:proofErr w:type="spellStart"/>
            <w:r w:rsidRPr="00641BD3">
              <w:rPr>
                <w:sz w:val="20"/>
                <w:szCs w:val="20"/>
                <w:lang w:val="es-ES"/>
              </w:rPr>
              <w:t>Skröder</w:t>
            </w:r>
            <w:proofErr w:type="spellEnd"/>
            <w:r w:rsidRPr="00641BD3">
              <w:rPr>
                <w:sz w:val="20"/>
                <w:szCs w:val="20"/>
                <w:lang w:val="es-ES"/>
              </w:rPr>
              <w:t xml:space="preserve">, H., </w:t>
            </w:r>
            <w:proofErr w:type="spellStart"/>
            <w:r w:rsidRPr="00641BD3">
              <w:rPr>
                <w:sz w:val="20"/>
                <w:szCs w:val="20"/>
                <w:lang w:val="es-ES"/>
              </w:rPr>
              <w:t>Raqib</w:t>
            </w:r>
            <w:proofErr w:type="spellEnd"/>
            <w:r w:rsidRPr="00641BD3">
              <w:rPr>
                <w:sz w:val="20"/>
                <w:szCs w:val="20"/>
                <w:lang w:val="es-ES"/>
              </w:rPr>
              <w:t xml:space="preserve">, R., </w:t>
            </w:r>
            <w:proofErr w:type="spellStart"/>
            <w:r w:rsidRPr="00641BD3">
              <w:rPr>
                <w:sz w:val="20"/>
                <w:szCs w:val="20"/>
                <w:lang w:val="es-ES"/>
              </w:rPr>
              <w:t>Vahter</w:t>
            </w:r>
            <w:proofErr w:type="spellEnd"/>
            <w:r w:rsidRPr="00641BD3">
              <w:rPr>
                <w:sz w:val="20"/>
                <w:szCs w:val="20"/>
                <w:lang w:val="es-ES"/>
              </w:rPr>
              <w:t xml:space="preserve">, M., &amp; </w:t>
            </w:r>
            <w:proofErr w:type="spellStart"/>
            <w:r w:rsidRPr="00641BD3">
              <w:rPr>
                <w:sz w:val="20"/>
                <w:szCs w:val="20"/>
                <w:lang w:val="es-ES"/>
              </w:rPr>
              <w:t>Broberg</w:t>
            </w:r>
            <w:proofErr w:type="spellEnd"/>
            <w:r w:rsidRPr="00641BD3">
              <w:rPr>
                <w:sz w:val="20"/>
                <w:szCs w:val="20"/>
                <w:lang w:val="es-ES"/>
              </w:rPr>
              <w:t xml:space="preserve">, K. (2018). </w:t>
            </w:r>
            <w:proofErr w:type="spellStart"/>
            <w:r w:rsidRPr="00954185">
              <w:rPr>
                <w:sz w:val="20"/>
                <w:szCs w:val="20"/>
              </w:rPr>
              <w:t>Arsenite</w:t>
            </w:r>
            <w:proofErr w:type="spellEnd"/>
            <w:r w:rsidRPr="00954185">
              <w:rPr>
                <w:sz w:val="20"/>
                <w:szCs w:val="20"/>
              </w:rPr>
              <w:t xml:space="preserve"> methyltransferase (AS3MT) polymorphisms and arsenic methylation in children in rural Bangladesh. Toxicology and Applied Pharmacology, 357, 80-87.</w:t>
            </w:r>
          </w:p>
        </w:tc>
        <w:tc>
          <w:tcPr>
            <w:tcW w:w="2126" w:type="dxa"/>
            <w:tcBorders>
              <w:right w:val="single" w:sz="4" w:space="0" w:color="000000" w:themeColor="text1"/>
            </w:tcBorders>
            <w:shd w:val="clear" w:color="auto" w:fill="auto"/>
            <w:noWrap/>
            <w:vAlign w:val="center"/>
            <w:hideMark/>
          </w:tcPr>
          <w:p w14:paraId="1E5D7B4E"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6E514C34" w14:textId="77777777" w:rsidTr="00364C65">
        <w:trPr>
          <w:trHeight w:val="900"/>
        </w:trPr>
        <w:tc>
          <w:tcPr>
            <w:tcW w:w="8364" w:type="dxa"/>
            <w:tcBorders>
              <w:left w:val="single" w:sz="4" w:space="0" w:color="000000" w:themeColor="text1"/>
            </w:tcBorders>
            <w:shd w:val="clear" w:color="auto" w:fill="auto"/>
            <w:vAlign w:val="center"/>
            <w:hideMark/>
          </w:tcPr>
          <w:p w14:paraId="31AF4A15" w14:textId="77777777" w:rsidR="00954185" w:rsidRPr="00954185" w:rsidRDefault="00954185" w:rsidP="00364C65">
            <w:pPr>
              <w:spacing w:line="360" w:lineRule="auto"/>
              <w:rPr>
                <w:sz w:val="20"/>
                <w:szCs w:val="20"/>
              </w:rPr>
            </w:pPr>
            <w:r w:rsidRPr="00641BD3">
              <w:rPr>
                <w:sz w:val="20"/>
                <w:szCs w:val="20"/>
                <w:lang w:val="es-ES"/>
              </w:rPr>
              <w:t xml:space="preserve">De Loma, J., Vicente, M., Tirado, N., </w:t>
            </w:r>
            <w:proofErr w:type="spellStart"/>
            <w:r w:rsidRPr="00641BD3">
              <w:rPr>
                <w:sz w:val="20"/>
                <w:szCs w:val="20"/>
                <w:lang w:val="es-ES"/>
              </w:rPr>
              <w:t>Ascui</w:t>
            </w:r>
            <w:proofErr w:type="spellEnd"/>
            <w:r w:rsidRPr="00641BD3">
              <w:rPr>
                <w:sz w:val="20"/>
                <w:szCs w:val="20"/>
                <w:lang w:val="es-ES"/>
              </w:rPr>
              <w:t xml:space="preserve">, F., </w:t>
            </w:r>
            <w:proofErr w:type="spellStart"/>
            <w:r w:rsidRPr="00641BD3">
              <w:rPr>
                <w:sz w:val="20"/>
                <w:szCs w:val="20"/>
                <w:lang w:val="es-ES"/>
              </w:rPr>
              <w:t>Vahter</w:t>
            </w:r>
            <w:proofErr w:type="spellEnd"/>
            <w:r w:rsidRPr="00641BD3">
              <w:rPr>
                <w:sz w:val="20"/>
                <w:szCs w:val="20"/>
                <w:lang w:val="es-ES"/>
              </w:rPr>
              <w:t xml:space="preserve">, M., </w:t>
            </w:r>
            <w:proofErr w:type="spellStart"/>
            <w:r w:rsidRPr="00641BD3">
              <w:rPr>
                <w:sz w:val="20"/>
                <w:szCs w:val="20"/>
                <w:lang w:val="es-ES"/>
              </w:rPr>
              <w:t>Gardon</w:t>
            </w:r>
            <w:proofErr w:type="spellEnd"/>
            <w:r w:rsidRPr="00641BD3">
              <w:rPr>
                <w:sz w:val="20"/>
                <w:szCs w:val="20"/>
                <w:lang w:val="es-ES"/>
              </w:rPr>
              <w:t xml:space="preserve">, J., ... </w:t>
            </w:r>
            <w:r w:rsidRPr="00954185">
              <w:rPr>
                <w:sz w:val="20"/>
                <w:szCs w:val="20"/>
              </w:rPr>
              <w:t>&amp; Broberg, K. (2022). Human adaptation to arsenic in Bolivians living in the Andes. Chemosphere, 301, 134764.</w:t>
            </w:r>
          </w:p>
        </w:tc>
        <w:tc>
          <w:tcPr>
            <w:tcW w:w="2126" w:type="dxa"/>
            <w:tcBorders>
              <w:right w:val="single" w:sz="4" w:space="0" w:color="000000" w:themeColor="text1"/>
            </w:tcBorders>
            <w:shd w:val="clear" w:color="auto" w:fill="auto"/>
            <w:noWrap/>
            <w:vAlign w:val="center"/>
            <w:hideMark/>
          </w:tcPr>
          <w:p w14:paraId="2CB9C898"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74B98968" w14:textId="77777777" w:rsidTr="00364C65">
        <w:trPr>
          <w:trHeight w:val="1200"/>
        </w:trPr>
        <w:tc>
          <w:tcPr>
            <w:tcW w:w="8364" w:type="dxa"/>
            <w:tcBorders>
              <w:left w:val="single" w:sz="4" w:space="0" w:color="000000" w:themeColor="text1"/>
            </w:tcBorders>
            <w:shd w:val="clear" w:color="auto" w:fill="auto"/>
            <w:vAlign w:val="center"/>
            <w:hideMark/>
          </w:tcPr>
          <w:p w14:paraId="3FE550B1" w14:textId="77777777" w:rsidR="00954185" w:rsidRPr="00954185" w:rsidRDefault="00954185" w:rsidP="00364C65">
            <w:pPr>
              <w:spacing w:line="360" w:lineRule="auto"/>
              <w:rPr>
                <w:sz w:val="20"/>
                <w:szCs w:val="20"/>
              </w:rPr>
            </w:pPr>
            <w:r w:rsidRPr="00954185">
              <w:rPr>
                <w:sz w:val="20"/>
                <w:szCs w:val="20"/>
              </w:rPr>
              <w:t>Delgado, D. A., Chernoff, M., Huang, L., Tong, L., Chen, L., Jasmine, F., ... &amp; Pierce, B. L. (2021). Rare, protein-altering variants in AS3MT and arsenic metabolism efficiency: A multi-population association study. Environmental health perspectives, 129(4), 047007.</w:t>
            </w:r>
          </w:p>
        </w:tc>
        <w:tc>
          <w:tcPr>
            <w:tcW w:w="2126" w:type="dxa"/>
            <w:tcBorders>
              <w:right w:val="single" w:sz="4" w:space="0" w:color="000000" w:themeColor="text1"/>
            </w:tcBorders>
            <w:shd w:val="clear" w:color="auto" w:fill="auto"/>
            <w:noWrap/>
            <w:vAlign w:val="center"/>
            <w:hideMark/>
          </w:tcPr>
          <w:p w14:paraId="5B555C0F"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1754C112" w14:textId="77777777" w:rsidTr="00364C65">
        <w:trPr>
          <w:trHeight w:val="900"/>
        </w:trPr>
        <w:tc>
          <w:tcPr>
            <w:tcW w:w="8364" w:type="dxa"/>
            <w:tcBorders>
              <w:left w:val="single" w:sz="4" w:space="0" w:color="000000" w:themeColor="text1"/>
            </w:tcBorders>
            <w:shd w:val="clear" w:color="auto" w:fill="auto"/>
            <w:vAlign w:val="center"/>
            <w:hideMark/>
          </w:tcPr>
          <w:p w14:paraId="0CD95272" w14:textId="77777777" w:rsidR="00954185" w:rsidRPr="00954185" w:rsidRDefault="00954185" w:rsidP="00364C65">
            <w:pPr>
              <w:spacing w:line="360" w:lineRule="auto"/>
              <w:rPr>
                <w:sz w:val="20"/>
                <w:szCs w:val="20"/>
              </w:rPr>
            </w:pPr>
            <w:r w:rsidRPr="00954185">
              <w:rPr>
                <w:sz w:val="20"/>
                <w:szCs w:val="20"/>
              </w:rPr>
              <w:t>Deng, F., &amp; Guo, X. (2011). Association of 5, 10-Methylenetetrahydrofolate reductase polymorphisms, arsenic metabolism, and arsenic skin lesions in residents chronically exposed to arsenic in drinking water. Epidemiology, 22(1), S135.</w:t>
            </w:r>
          </w:p>
        </w:tc>
        <w:tc>
          <w:tcPr>
            <w:tcW w:w="2126" w:type="dxa"/>
            <w:tcBorders>
              <w:right w:val="single" w:sz="4" w:space="0" w:color="000000" w:themeColor="text1"/>
            </w:tcBorders>
            <w:shd w:val="clear" w:color="auto" w:fill="auto"/>
            <w:noWrap/>
            <w:vAlign w:val="center"/>
            <w:hideMark/>
          </w:tcPr>
          <w:p w14:paraId="083C960A" w14:textId="77777777" w:rsidR="00954185" w:rsidRPr="00954185" w:rsidRDefault="00954185" w:rsidP="00364C65">
            <w:pPr>
              <w:spacing w:line="360" w:lineRule="auto"/>
              <w:rPr>
                <w:sz w:val="20"/>
                <w:szCs w:val="20"/>
              </w:rPr>
            </w:pPr>
            <w:r w:rsidRPr="00954185">
              <w:rPr>
                <w:sz w:val="20"/>
                <w:szCs w:val="20"/>
              </w:rPr>
              <w:t>Conference abstract</w:t>
            </w:r>
          </w:p>
        </w:tc>
      </w:tr>
      <w:tr w:rsidR="00954185" w:rsidRPr="00954185" w14:paraId="7DC54C55" w14:textId="77777777" w:rsidTr="00364C65">
        <w:trPr>
          <w:trHeight w:val="1200"/>
        </w:trPr>
        <w:tc>
          <w:tcPr>
            <w:tcW w:w="8364" w:type="dxa"/>
            <w:tcBorders>
              <w:left w:val="single" w:sz="4" w:space="0" w:color="000000" w:themeColor="text1"/>
            </w:tcBorders>
            <w:shd w:val="clear" w:color="auto" w:fill="auto"/>
            <w:vAlign w:val="center"/>
            <w:hideMark/>
          </w:tcPr>
          <w:p w14:paraId="297F954D" w14:textId="77777777" w:rsidR="00954185" w:rsidRPr="00954185" w:rsidRDefault="00954185" w:rsidP="00364C65">
            <w:pPr>
              <w:spacing w:line="360" w:lineRule="auto"/>
              <w:rPr>
                <w:sz w:val="20"/>
                <w:szCs w:val="20"/>
              </w:rPr>
            </w:pPr>
            <w:proofErr w:type="spellStart"/>
            <w:r w:rsidRPr="00954185">
              <w:rPr>
                <w:sz w:val="20"/>
                <w:szCs w:val="20"/>
              </w:rPr>
              <w:t>Deyssenroth</w:t>
            </w:r>
            <w:proofErr w:type="spellEnd"/>
            <w:r w:rsidRPr="00954185">
              <w:rPr>
                <w:sz w:val="20"/>
                <w:szCs w:val="20"/>
              </w:rPr>
              <w:t xml:space="preserve">, M. A., Peng, S., Hao, K., </w:t>
            </w:r>
            <w:proofErr w:type="spellStart"/>
            <w:r w:rsidRPr="00954185">
              <w:rPr>
                <w:sz w:val="20"/>
                <w:szCs w:val="20"/>
              </w:rPr>
              <w:t>Marsit</w:t>
            </w:r>
            <w:proofErr w:type="spellEnd"/>
            <w:r w:rsidRPr="00954185">
              <w:rPr>
                <w:sz w:val="20"/>
                <w:szCs w:val="20"/>
              </w:rPr>
              <w:t>, C. J., &amp; Chen, J. (2022). Placental Gene Transcript Proportions are Altered in the Presence of In Utero Arsenic and Cadmium Exposures, Genetic Variants, and Birth Weight Differences. Frontiers in Genetics, 13, 865449.</w:t>
            </w:r>
          </w:p>
        </w:tc>
        <w:tc>
          <w:tcPr>
            <w:tcW w:w="2126" w:type="dxa"/>
            <w:tcBorders>
              <w:right w:val="single" w:sz="4" w:space="0" w:color="000000" w:themeColor="text1"/>
            </w:tcBorders>
            <w:shd w:val="clear" w:color="auto" w:fill="auto"/>
            <w:noWrap/>
            <w:vAlign w:val="center"/>
            <w:hideMark/>
          </w:tcPr>
          <w:p w14:paraId="1E8F6292" w14:textId="1141BB46" w:rsidR="00954185" w:rsidRPr="00954185" w:rsidRDefault="00954185" w:rsidP="00364C65">
            <w:pPr>
              <w:spacing w:line="360" w:lineRule="auto"/>
              <w:rPr>
                <w:sz w:val="20"/>
                <w:szCs w:val="20"/>
              </w:rPr>
            </w:pPr>
            <w:r w:rsidRPr="00954185">
              <w:rPr>
                <w:sz w:val="20"/>
                <w:szCs w:val="20"/>
              </w:rPr>
              <w:t xml:space="preserve">No genetic </w:t>
            </w:r>
            <w:r w:rsidR="000462B2" w:rsidRPr="00954185">
              <w:rPr>
                <w:sz w:val="20"/>
                <w:szCs w:val="20"/>
              </w:rPr>
              <w:t>susceptibility</w:t>
            </w:r>
            <w:r w:rsidRPr="00954185">
              <w:rPr>
                <w:sz w:val="20"/>
                <w:szCs w:val="20"/>
              </w:rPr>
              <w:t>, or not SNP</w:t>
            </w:r>
          </w:p>
        </w:tc>
      </w:tr>
      <w:tr w:rsidR="00954185" w:rsidRPr="00954185" w14:paraId="7ECEF4E0" w14:textId="77777777" w:rsidTr="00364C65">
        <w:trPr>
          <w:trHeight w:val="1200"/>
        </w:trPr>
        <w:tc>
          <w:tcPr>
            <w:tcW w:w="8364" w:type="dxa"/>
            <w:tcBorders>
              <w:left w:val="single" w:sz="4" w:space="0" w:color="000000" w:themeColor="text1"/>
            </w:tcBorders>
            <w:shd w:val="clear" w:color="auto" w:fill="auto"/>
            <w:vAlign w:val="center"/>
            <w:hideMark/>
          </w:tcPr>
          <w:p w14:paraId="150E5C28" w14:textId="77777777" w:rsidR="00954185" w:rsidRPr="00954185" w:rsidRDefault="00954185" w:rsidP="00364C65">
            <w:pPr>
              <w:spacing w:line="360" w:lineRule="auto"/>
              <w:rPr>
                <w:sz w:val="20"/>
                <w:szCs w:val="20"/>
              </w:rPr>
            </w:pPr>
            <w:r w:rsidRPr="00641BD3">
              <w:rPr>
                <w:sz w:val="20"/>
                <w:szCs w:val="20"/>
                <w:lang w:val="es-ES"/>
              </w:rPr>
              <w:t>Diaz-</w:t>
            </w:r>
            <w:proofErr w:type="spellStart"/>
            <w:r w:rsidRPr="00641BD3">
              <w:rPr>
                <w:sz w:val="20"/>
                <w:szCs w:val="20"/>
                <w:lang w:val="es-ES"/>
              </w:rPr>
              <w:t>Villasenor</w:t>
            </w:r>
            <w:proofErr w:type="spellEnd"/>
            <w:r w:rsidRPr="00641BD3">
              <w:rPr>
                <w:sz w:val="20"/>
                <w:szCs w:val="20"/>
                <w:lang w:val="es-ES"/>
              </w:rPr>
              <w:t xml:space="preserve">, A., Cruz, L., </w:t>
            </w:r>
            <w:proofErr w:type="spellStart"/>
            <w:r w:rsidRPr="00641BD3">
              <w:rPr>
                <w:sz w:val="20"/>
                <w:szCs w:val="20"/>
                <w:lang w:val="es-ES"/>
              </w:rPr>
              <w:t>Cebrian</w:t>
            </w:r>
            <w:proofErr w:type="spellEnd"/>
            <w:r w:rsidRPr="00641BD3">
              <w:rPr>
                <w:sz w:val="20"/>
                <w:szCs w:val="20"/>
                <w:lang w:val="es-ES"/>
              </w:rPr>
              <w:t xml:space="preserve">, A., </w:t>
            </w:r>
            <w:proofErr w:type="spellStart"/>
            <w:r w:rsidRPr="00641BD3">
              <w:rPr>
                <w:sz w:val="20"/>
                <w:szCs w:val="20"/>
                <w:lang w:val="es-ES"/>
              </w:rPr>
              <w:t>Hernandez-Ramirez</w:t>
            </w:r>
            <w:proofErr w:type="spellEnd"/>
            <w:r w:rsidRPr="00641BD3">
              <w:rPr>
                <w:sz w:val="20"/>
                <w:szCs w:val="20"/>
                <w:lang w:val="es-ES"/>
              </w:rPr>
              <w:t xml:space="preserve">, R. U., Hiriart, M., </w:t>
            </w:r>
            <w:proofErr w:type="spellStart"/>
            <w:r w:rsidRPr="00641BD3">
              <w:rPr>
                <w:sz w:val="20"/>
                <w:szCs w:val="20"/>
                <w:lang w:val="es-ES"/>
              </w:rPr>
              <w:t>Garcia</w:t>
            </w:r>
            <w:proofErr w:type="spellEnd"/>
            <w:r w:rsidRPr="00641BD3">
              <w:rPr>
                <w:sz w:val="20"/>
                <w:szCs w:val="20"/>
                <w:lang w:val="es-ES"/>
              </w:rPr>
              <w:t xml:space="preserve">-Vargas, G., ... </w:t>
            </w:r>
            <w:r w:rsidRPr="00954185">
              <w:rPr>
                <w:sz w:val="20"/>
                <w:szCs w:val="20"/>
              </w:rPr>
              <w:t xml:space="preserve">&amp; Ostrosky-Wegman, P. (2013). Arsenic exposure and calpain-10 polymorphisms impair the function of pancreatic beta-cells in humans: a pilot study of risk factors for T2DM. </w:t>
            </w:r>
            <w:proofErr w:type="spellStart"/>
            <w:r w:rsidRPr="00954185">
              <w:rPr>
                <w:sz w:val="20"/>
                <w:szCs w:val="20"/>
              </w:rPr>
              <w:t>PLoS</w:t>
            </w:r>
            <w:proofErr w:type="spellEnd"/>
            <w:r w:rsidRPr="00954185">
              <w:rPr>
                <w:sz w:val="20"/>
                <w:szCs w:val="20"/>
              </w:rPr>
              <w:t xml:space="preserve"> One, 8(1), e51642.</w:t>
            </w:r>
          </w:p>
        </w:tc>
        <w:tc>
          <w:tcPr>
            <w:tcW w:w="2126" w:type="dxa"/>
            <w:tcBorders>
              <w:right w:val="single" w:sz="4" w:space="0" w:color="000000" w:themeColor="text1"/>
            </w:tcBorders>
            <w:shd w:val="clear" w:color="auto" w:fill="auto"/>
            <w:noWrap/>
            <w:vAlign w:val="center"/>
            <w:hideMark/>
          </w:tcPr>
          <w:p w14:paraId="62F226FF" w14:textId="7DCE28C9" w:rsidR="00954185" w:rsidRPr="00954185" w:rsidRDefault="00954185" w:rsidP="00364C65">
            <w:pPr>
              <w:spacing w:line="360" w:lineRule="auto"/>
              <w:rPr>
                <w:sz w:val="20"/>
                <w:szCs w:val="20"/>
              </w:rPr>
            </w:pPr>
            <w:r w:rsidRPr="00954185">
              <w:rPr>
                <w:sz w:val="20"/>
                <w:szCs w:val="20"/>
              </w:rPr>
              <w:t xml:space="preserve">No genetic </w:t>
            </w:r>
            <w:r w:rsidR="000462B2" w:rsidRPr="00954185">
              <w:rPr>
                <w:sz w:val="20"/>
                <w:szCs w:val="20"/>
              </w:rPr>
              <w:t>susceptibility</w:t>
            </w:r>
            <w:r w:rsidRPr="00954185">
              <w:rPr>
                <w:sz w:val="20"/>
                <w:szCs w:val="20"/>
              </w:rPr>
              <w:t>, or not SNP</w:t>
            </w:r>
          </w:p>
        </w:tc>
      </w:tr>
      <w:tr w:rsidR="00954185" w:rsidRPr="00954185" w14:paraId="5EB9707B" w14:textId="77777777" w:rsidTr="00364C65">
        <w:trPr>
          <w:trHeight w:val="900"/>
        </w:trPr>
        <w:tc>
          <w:tcPr>
            <w:tcW w:w="8364" w:type="dxa"/>
            <w:tcBorders>
              <w:left w:val="single" w:sz="4" w:space="0" w:color="000000" w:themeColor="text1"/>
            </w:tcBorders>
            <w:shd w:val="clear" w:color="auto" w:fill="auto"/>
            <w:vAlign w:val="center"/>
            <w:hideMark/>
          </w:tcPr>
          <w:p w14:paraId="64953952" w14:textId="77777777" w:rsidR="00954185" w:rsidRPr="00954185" w:rsidRDefault="00954185" w:rsidP="00364C65">
            <w:pPr>
              <w:spacing w:line="360" w:lineRule="auto"/>
              <w:rPr>
                <w:sz w:val="20"/>
                <w:szCs w:val="20"/>
              </w:rPr>
            </w:pPr>
            <w:r w:rsidRPr="00954185">
              <w:rPr>
                <w:sz w:val="20"/>
                <w:szCs w:val="20"/>
              </w:rPr>
              <w:lastRenderedPageBreak/>
              <w:t xml:space="preserve">Dilek, K. A., ÖZDEMİR, F., &amp; KAYAALTI, Z. Effect of chronic arsenic exposure and GLUT1 polymorphism in the development of diabetes mellitus. The Turkish Journal </w:t>
            </w:r>
            <w:proofErr w:type="gramStart"/>
            <w:r w:rsidRPr="00954185">
              <w:rPr>
                <w:sz w:val="20"/>
                <w:szCs w:val="20"/>
              </w:rPr>
              <w:t>Of</w:t>
            </w:r>
            <w:proofErr w:type="gramEnd"/>
            <w:r w:rsidRPr="00954185">
              <w:rPr>
                <w:sz w:val="20"/>
                <w:szCs w:val="20"/>
              </w:rPr>
              <w:t xml:space="preserve"> Occupational/Environmental Medicine and Safety, 1(1 (2)).</w:t>
            </w:r>
          </w:p>
        </w:tc>
        <w:tc>
          <w:tcPr>
            <w:tcW w:w="2126" w:type="dxa"/>
            <w:tcBorders>
              <w:right w:val="single" w:sz="4" w:space="0" w:color="000000" w:themeColor="text1"/>
            </w:tcBorders>
            <w:shd w:val="clear" w:color="auto" w:fill="auto"/>
            <w:noWrap/>
            <w:vAlign w:val="center"/>
            <w:hideMark/>
          </w:tcPr>
          <w:p w14:paraId="4BC4FA0C" w14:textId="77777777" w:rsidR="00954185" w:rsidRPr="00954185" w:rsidRDefault="00954185" w:rsidP="00364C65">
            <w:pPr>
              <w:spacing w:line="360" w:lineRule="auto"/>
              <w:rPr>
                <w:sz w:val="20"/>
                <w:szCs w:val="20"/>
              </w:rPr>
            </w:pPr>
            <w:r w:rsidRPr="00954185">
              <w:rPr>
                <w:sz w:val="20"/>
                <w:szCs w:val="20"/>
              </w:rPr>
              <w:t>Conference abstract</w:t>
            </w:r>
          </w:p>
        </w:tc>
      </w:tr>
      <w:tr w:rsidR="00954185" w:rsidRPr="00954185" w14:paraId="380927B6" w14:textId="77777777" w:rsidTr="00364C65">
        <w:trPr>
          <w:trHeight w:val="1200"/>
        </w:trPr>
        <w:tc>
          <w:tcPr>
            <w:tcW w:w="8364" w:type="dxa"/>
            <w:tcBorders>
              <w:left w:val="single" w:sz="4" w:space="0" w:color="000000" w:themeColor="text1"/>
            </w:tcBorders>
            <w:shd w:val="clear" w:color="auto" w:fill="auto"/>
            <w:vAlign w:val="center"/>
            <w:hideMark/>
          </w:tcPr>
          <w:p w14:paraId="0B1CFB86" w14:textId="77777777" w:rsidR="00954185" w:rsidRPr="00954185" w:rsidRDefault="00954185" w:rsidP="00364C65">
            <w:pPr>
              <w:spacing w:line="360" w:lineRule="auto"/>
              <w:rPr>
                <w:sz w:val="20"/>
                <w:szCs w:val="20"/>
              </w:rPr>
            </w:pPr>
            <w:proofErr w:type="spellStart"/>
            <w:r w:rsidRPr="00954185">
              <w:rPr>
                <w:sz w:val="20"/>
                <w:szCs w:val="20"/>
              </w:rPr>
              <w:t>Drobná</w:t>
            </w:r>
            <w:proofErr w:type="spellEnd"/>
            <w:r w:rsidRPr="00954185">
              <w:rPr>
                <w:sz w:val="20"/>
                <w:szCs w:val="20"/>
              </w:rPr>
              <w:t xml:space="preserve">, Z., Martin, E., Kim, K. S., Smeester, L., Bommarito, P., Rubio-Andrade, M., ... &amp; Fry, R. C. (2016). Analysis of maternal polymorphisms in arsenic (+ 3 oxidation state)-methyltransferase AS3MT and </w:t>
            </w:r>
            <w:proofErr w:type="spellStart"/>
            <w:r w:rsidRPr="00954185">
              <w:rPr>
                <w:sz w:val="20"/>
                <w:szCs w:val="20"/>
              </w:rPr>
              <w:t>fetal</w:t>
            </w:r>
            <w:proofErr w:type="spellEnd"/>
            <w:r w:rsidRPr="00954185">
              <w:rPr>
                <w:sz w:val="20"/>
                <w:szCs w:val="20"/>
              </w:rPr>
              <w:t xml:space="preserve"> sex in relation to arsenic metabolism and infant birth outcomes: Implications for risk analysis. Reproductive Toxicology, 61, 28-38.</w:t>
            </w:r>
          </w:p>
        </w:tc>
        <w:tc>
          <w:tcPr>
            <w:tcW w:w="2126" w:type="dxa"/>
            <w:tcBorders>
              <w:right w:val="single" w:sz="4" w:space="0" w:color="000000" w:themeColor="text1"/>
            </w:tcBorders>
            <w:shd w:val="clear" w:color="auto" w:fill="auto"/>
            <w:noWrap/>
            <w:vAlign w:val="center"/>
            <w:hideMark/>
          </w:tcPr>
          <w:p w14:paraId="71E9F92D"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1D054F36" w14:textId="77777777" w:rsidTr="00364C65">
        <w:trPr>
          <w:trHeight w:val="900"/>
        </w:trPr>
        <w:tc>
          <w:tcPr>
            <w:tcW w:w="8364" w:type="dxa"/>
            <w:tcBorders>
              <w:left w:val="single" w:sz="4" w:space="0" w:color="000000" w:themeColor="text1"/>
            </w:tcBorders>
            <w:shd w:val="clear" w:color="auto" w:fill="auto"/>
            <w:vAlign w:val="center"/>
            <w:hideMark/>
          </w:tcPr>
          <w:p w14:paraId="52454E67" w14:textId="77777777" w:rsidR="00954185" w:rsidRPr="00954185" w:rsidRDefault="00954185" w:rsidP="00364C65">
            <w:pPr>
              <w:spacing w:line="360" w:lineRule="auto"/>
              <w:rPr>
                <w:sz w:val="20"/>
                <w:szCs w:val="20"/>
              </w:rPr>
            </w:pPr>
            <w:r w:rsidRPr="00954185">
              <w:rPr>
                <w:sz w:val="20"/>
                <w:szCs w:val="20"/>
              </w:rPr>
              <w:t>Edwards, M., Hall, J., Gong, G., &amp; O’Bryant, S. E. (2014). Arsenic exposure, AS3MT polymorphism, and neuropsychological functioning among rural dwelling adults and elders: a cross-sectional study. Environmental Health, 13, 1-7.</w:t>
            </w:r>
          </w:p>
        </w:tc>
        <w:tc>
          <w:tcPr>
            <w:tcW w:w="2126" w:type="dxa"/>
            <w:tcBorders>
              <w:right w:val="single" w:sz="4" w:space="0" w:color="000000" w:themeColor="text1"/>
            </w:tcBorders>
            <w:shd w:val="clear" w:color="auto" w:fill="auto"/>
            <w:noWrap/>
            <w:vAlign w:val="center"/>
            <w:hideMark/>
          </w:tcPr>
          <w:p w14:paraId="47DDA4BA" w14:textId="77777777" w:rsidR="00954185" w:rsidRPr="00954185" w:rsidRDefault="00954185" w:rsidP="00364C65">
            <w:pPr>
              <w:spacing w:line="360" w:lineRule="auto"/>
              <w:rPr>
                <w:sz w:val="20"/>
                <w:szCs w:val="20"/>
              </w:rPr>
            </w:pPr>
            <w:r w:rsidRPr="00954185">
              <w:rPr>
                <w:sz w:val="20"/>
                <w:szCs w:val="20"/>
              </w:rPr>
              <w:t xml:space="preserve">Cognitive functioning </w:t>
            </w:r>
          </w:p>
        </w:tc>
      </w:tr>
      <w:tr w:rsidR="00954185" w:rsidRPr="00954185" w14:paraId="14744B98" w14:textId="77777777" w:rsidTr="00364C65">
        <w:trPr>
          <w:trHeight w:val="900"/>
        </w:trPr>
        <w:tc>
          <w:tcPr>
            <w:tcW w:w="8364" w:type="dxa"/>
            <w:tcBorders>
              <w:left w:val="single" w:sz="4" w:space="0" w:color="000000" w:themeColor="text1"/>
            </w:tcBorders>
            <w:shd w:val="clear" w:color="auto" w:fill="auto"/>
            <w:vAlign w:val="center"/>
            <w:hideMark/>
          </w:tcPr>
          <w:p w14:paraId="6FBC83B6" w14:textId="77777777" w:rsidR="00954185" w:rsidRPr="00954185" w:rsidRDefault="00954185" w:rsidP="00364C65">
            <w:pPr>
              <w:spacing w:line="360" w:lineRule="auto"/>
              <w:rPr>
                <w:sz w:val="20"/>
                <w:szCs w:val="20"/>
              </w:rPr>
            </w:pPr>
            <w:r w:rsidRPr="00954185">
              <w:rPr>
                <w:sz w:val="20"/>
                <w:szCs w:val="20"/>
              </w:rPr>
              <w:t xml:space="preserve">Engström, K. S., Broberg, K., Concha, G., </w:t>
            </w:r>
            <w:proofErr w:type="spellStart"/>
            <w:r w:rsidRPr="00954185">
              <w:rPr>
                <w:sz w:val="20"/>
                <w:szCs w:val="20"/>
              </w:rPr>
              <w:t>Nermell</w:t>
            </w:r>
            <w:proofErr w:type="spellEnd"/>
            <w:r w:rsidRPr="00954185">
              <w:rPr>
                <w:sz w:val="20"/>
                <w:szCs w:val="20"/>
              </w:rPr>
              <w:t xml:space="preserve">, B., Warholm, M., &amp; </w:t>
            </w:r>
            <w:proofErr w:type="spellStart"/>
            <w:r w:rsidRPr="00954185">
              <w:rPr>
                <w:sz w:val="20"/>
                <w:szCs w:val="20"/>
              </w:rPr>
              <w:t>Vahter</w:t>
            </w:r>
            <w:proofErr w:type="spellEnd"/>
            <w:r w:rsidRPr="00954185">
              <w:rPr>
                <w:sz w:val="20"/>
                <w:szCs w:val="20"/>
              </w:rPr>
              <w:t>, M. (2007). Genetic polymorphisms influencing arsenic metabolism: evidence from Argentina. Environmental health perspectives, 115(4), 599-605.</w:t>
            </w:r>
          </w:p>
        </w:tc>
        <w:tc>
          <w:tcPr>
            <w:tcW w:w="2126" w:type="dxa"/>
            <w:tcBorders>
              <w:right w:val="single" w:sz="4" w:space="0" w:color="000000" w:themeColor="text1"/>
            </w:tcBorders>
            <w:shd w:val="clear" w:color="auto" w:fill="auto"/>
            <w:noWrap/>
            <w:vAlign w:val="center"/>
            <w:hideMark/>
          </w:tcPr>
          <w:p w14:paraId="2E15C6B1"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41083B69" w14:textId="77777777" w:rsidTr="00364C65">
        <w:trPr>
          <w:trHeight w:val="900"/>
        </w:trPr>
        <w:tc>
          <w:tcPr>
            <w:tcW w:w="8364" w:type="dxa"/>
            <w:tcBorders>
              <w:left w:val="single" w:sz="4" w:space="0" w:color="000000" w:themeColor="text1"/>
            </w:tcBorders>
            <w:shd w:val="clear" w:color="auto" w:fill="auto"/>
            <w:vAlign w:val="center"/>
            <w:hideMark/>
          </w:tcPr>
          <w:p w14:paraId="4C84D126" w14:textId="77777777" w:rsidR="00954185" w:rsidRPr="00954185" w:rsidRDefault="00954185" w:rsidP="00364C65">
            <w:pPr>
              <w:spacing w:line="360" w:lineRule="auto"/>
              <w:rPr>
                <w:sz w:val="20"/>
                <w:szCs w:val="20"/>
              </w:rPr>
            </w:pPr>
            <w:r w:rsidRPr="00954185">
              <w:rPr>
                <w:sz w:val="20"/>
                <w:szCs w:val="20"/>
              </w:rPr>
              <w:t xml:space="preserve">Engström, K. S., Hossain, M. B., </w:t>
            </w:r>
            <w:proofErr w:type="spellStart"/>
            <w:r w:rsidRPr="00954185">
              <w:rPr>
                <w:sz w:val="20"/>
                <w:szCs w:val="20"/>
              </w:rPr>
              <w:t>Lauss</w:t>
            </w:r>
            <w:proofErr w:type="spellEnd"/>
            <w:r w:rsidRPr="00954185">
              <w:rPr>
                <w:sz w:val="20"/>
                <w:szCs w:val="20"/>
              </w:rPr>
              <w:t xml:space="preserve">, M., Ahmed, S., Raqib, R., </w:t>
            </w:r>
            <w:proofErr w:type="spellStart"/>
            <w:r w:rsidRPr="00954185">
              <w:rPr>
                <w:sz w:val="20"/>
                <w:szCs w:val="20"/>
              </w:rPr>
              <w:t>Vahter</w:t>
            </w:r>
            <w:proofErr w:type="spellEnd"/>
            <w:r w:rsidRPr="00954185">
              <w:rPr>
                <w:sz w:val="20"/>
                <w:szCs w:val="20"/>
              </w:rPr>
              <w:t xml:space="preserve">, M., &amp; Broberg, K. (2013). Efficient arsenic metabolism—the AS3MT haplotype is associated with DNA methylation and expression of multiple genes around AS3MT. </w:t>
            </w:r>
            <w:proofErr w:type="spellStart"/>
            <w:r w:rsidRPr="00954185">
              <w:rPr>
                <w:sz w:val="20"/>
                <w:szCs w:val="20"/>
              </w:rPr>
              <w:t>PloS</w:t>
            </w:r>
            <w:proofErr w:type="spellEnd"/>
            <w:r w:rsidRPr="00954185">
              <w:rPr>
                <w:sz w:val="20"/>
                <w:szCs w:val="20"/>
              </w:rPr>
              <w:t xml:space="preserve"> one, 8(1), e53732.</w:t>
            </w:r>
          </w:p>
        </w:tc>
        <w:tc>
          <w:tcPr>
            <w:tcW w:w="2126" w:type="dxa"/>
            <w:tcBorders>
              <w:right w:val="single" w:sz="4" w:space="0" w:color="000000" w:themeColor="text1"/>
            </w:tcBorders>
            <w:shd w:val="clear" w:color="auto" w:fill="auto"/>
            <w:noWrap/>
            <w:vAlign w:val="center"/>
            <w:hideMark/>
          </w:tcPr>
          <w:p w14:paraId="1E586ADC" w14:textId="77777777" w:rsidR="00954185" w:rsidRPr="00954185" w:rsidRDefault="00954185" w:rsidP="00364C65">
            <w:pPr>
              <w:spacing w:line="360" w:lineRule="auto"/>
              <w:rPr>
                <w:sz w:val="20"/>
                <w:szCs w:val="20"/>
              </w:rPr>
            </w:pPr>
            <w:r w:rsidRPr="00954185">
              <w:rPr>
                <w:sz w:val="20"/>
                <w:szCs w:val="20"/>
              </w:rPr>
              <w:t xml:space="preserve">No arsenic metabolism, or arsenic-related disease </w:t>
            </w:r>
          </w:p>
        </w:tc>
      </w:tr>
      <w:tr w:rsidR="00954185" w:rsidRPr="00954185" w14:paraId="1A9E6483" w14:textId="77777777" w:rsidTr="00364C65">
        <w:trPr>
          <w:trHeight w:val="1200"/>
        </w:trPr>
        <w:tc>
          <w:tcPr>
            <w:tcW w:w="8364" w:type="dxa"/>
            <w:tcBorders>
              <w:left w:val="single" w:sz="4" w:space="0" w:color="000000" w:themeColor="text1"/>
            </w:tcBorders>
            <w:shd w:val="clear" w:color="auto" w:fill="auto"/>
            <w:vAlign w:val="center"/>
            <w:hideMark/>
          </w:tcPr>
          <w:p w14:paraId="73DBFB8A" w14:textId="77777777" w:rsidR="00954185" w:rsidRPr="00954185" w:rsidRDefault="00954185" w:rsidP="00364C65">
            <w:pPr>
              <w:spacing w:line="360" w:lineRule="auto"/>
              <w:rPr>
                <w:sz w:val="20"/>
                <w:szCs w:val="20"/>
              </w:rPr>
            </w:pPr>
            <w:r w:rsidRPr="00954185">
              <w:rPr>
                <w:sz w:val="20"/>
                <w:szCs w:val="20"/>
              </w:rPr>
              <w:t xml:space="preserve">Engström, K. S., </w:t>
            </w:r>
            <w:proofErr w:type="spellStart"/>
            <w:r w:rsidRPr="00954185">
              <w:rPr>
                <w:sz w:val="20"/>
                <w:szCs w:val="20"/>
              </w:rPr>
              <w:t>Nermell</w:t>
            </w:r>
            <w:proofErr w:type="spellEnd"/>
            <w:r w:rsidRPr="00954185">
              <w:rPr>
                <w:sz w:val="20"/>
                <w:szCs w:val="20"/>
              </w:rPr>
              <w:t xml:space="preserve">, B., Concha, G., Strömberg, U., </w:t>
            </w:r>
            <w:proofErr w:type="spellStart"/>
            <w:r w:rsidRPr="00954185">
              <w:rPr>
                <w:sz w:val="20"/>
                <w:szCs w:val="20"/>
              </w:rPr>
              <w:t>Vahter</w:t>
            </w:r>
            <w:proofErr w:type="spellEnd"/>
            <w:r w:rsidRPr="00954185">
              <w:rPr>
                <w:sz w:val="20"/>
                <w:szCs w:val="20"/>
              </w:rPr>
              <w:t>, M., &amp; Broberg, K. (2009). Arsenic metabolism is influenced by polymorphisms in genes involved in one-carbon metabolism and reduction reactions. Mutation Research/Fundamental and Molecular Mechanisms of Mutagenesis, 667(1-2), 4-14.</w:t>
            </w:r>
          </w:p>
        </w:tc>
        <w:tc>
          <w:tcPr>
            <w:tcW w:w="2126" w:type="dxa"/>
            <w:tcBorders>
              <w:right w:val="single" w:sz="4" w:space="0" w:color="000000" w:themeColor="text1"/>
            </w:tcBorders>
            <w:shd w:val="clear" w:color="auto" w:fill="auto"/>
            <w:noWrap/>
            <w:vAlign w:val="center"/>
            <w:hideMark/>
          </w:tcPr>
          <w:p w14:paraId="594DD983"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70A8B416" w14:textId="77777777" w:rsidTr="00364C65">
        <w:trPr>
          <w:trHeight w:val="1200"/>
        </w:trPr>
        <w:tc>
          <w:tcPr>
            <w:tcW w:w="8364" w:type="dxa"/>
            <w:tcBorders>
              <w:left w:val="single" w:sz="4" w:space="0" w:color="000000" w:themeColor="text1"/>
            </w:tcBorders>
            <w:shd w:val="clear" w:color="auto" w:fill="auto"/>
            <w:vAlign w:val="center"/>
            <w:hideMark/>
          </w:tcPr>
          <w:p w14:paraId="4982BAF9" w14:textId="77777777" w:rsidR="00954185" w:rsidRPr="00954185" w:rsidRDefault="00954185" w:rsidP="00364C65">
            <w:pPr>
              <w:spacing w:line="360" w:lineRule="auto"/>
              <w:rPr>
                <w:sz w:val="20"/>
                <w:szCs w:val="20"/>
              </w:rPr>
            </w:pPr>
            <w:r w:rsidRPr="00954185">
              <w:rPr>
                <w:sz w:val="20"/>
                <w:szCs w:val="20"/>
              </w:rPr>
              <w:t xml:space="preserve">Engström, K. S., </w:t>
            </w:r>
            <w:proofErr w:type="spellStart"/>
            <w:r w:rsidRPr="00954185">
              <w:rPr>
                <w:sz w:val="20"/>
                <w:szCs w:val="20"/>
              </w:rPr>
              <w:t>Vahter</w:t>
            </w:r>
            <w:proofErr w:type="spellEnd"/>
            <w:r w:rsidRPr="00954185">
              <w:rPr>
                <w:sz w:val="20"/>
                <w:szCs w:val="20"/>
              </w:rPr>
              <w:t xml:space="preserve">, M., Fletcher, T., Leonardi, G., </w:t>
            </w:r>
            <w:proofErr w:type="spellStart"/>
            <w:r w:rsidRPr="00954185">
              <w:rPr>
                <w:sz w:val="20"/>
                <w:szCs w:val="20"/>
              </w:rPr>
              <w:t>Goessler</w:t>
            </w:r>
            <w:proofErr w:type="spellEnd"/>
            <w:r w:rsidRPr="00954185">
              <w:rPr>
                <w:sz w:val="20"/>
                <w:szCs w:val="20"/>
              </w:rPr>
              <w:t xml:space="preserve">, W., </w:t>
            </w:r>
            <w:proofErr w:type="spellStart"/>
            <w:r w:rsidRPr="00954185">
              <w:rPr>
                <w:sz w:val="20"/>
                <w:szCs w:val="20"/>
              </w:rPr>
              <w:t>Gurzau</w:t>
            </w:r>
            <w:proofErr w:type="spellEnd"/>
            <w:r w:rsidRPr="00954185">
              <w:rPr>
                <w:sz w:val="20"/>
                <w:szCs w:val="20"/>
              </w:rPr>
              <w:t xml:space="preserve">, E., ... &amp; Broberg, K. (2015). Genetic variation in arsenic (+ 3 oxidation state) methyltransferase (AS3MT), arsenic metabolism and risk of basal cell carcinoma in a E </w:t>
            </w:r>
            <w:proofErr w:type="spellStart"/>
            <w:r w:rsidRPr="00954185">
              <w:rPr>
                <w:sz w:val="20"/>
                <w:szCs w:val="20"/>
              </w:rPr>
              <w:t>uropean</w:t>
            </w:r>
            <w:proofErr w:type="spellEnd"/>
            <w:r w:rsidRPr="00954185">
              <w:rPr>
                <w:sz w:val="20"/>
                <w:szCs w:val="20"/>
              </w:rPr>
              <w:t xml:space="preserve"> population. Environmental and molecular mutagenesis, 56(1), 60-69.</w:t>
            </w:r>
          </w:p>
        </w:tc>
        <w:tc>
          <w:tcPr>
            <w:tcW w:w="2126" w:type="dxa"/>
            <w:tcBorders>
              <w:right w:val="single" w:sz="4" w:space="0" w:color="000000" w:themeColor="text1"/>
            </w:tcBorders>
            <w:shd w:val="clear" w:color="auto" w:fill="auto"/>
            <w:noWrap/>
            <w:vAlign w:val="center"/>
            <w:hideMark/>
          </w:tcPr>
          <w:p w14:paraId="374BC3F1" w14:textId="77777777" w:rsidR="00954185" w:rsidRPr="00954185" w:rsidRDefault="00954185" w:rsidP="00364C65">
            <w:pPr>
              <w:spacing w:line="360" w:lineRule="auto"/>
              <w:rPr>
                <w:sz w:val="20"/>
                <w:szCs w:val="20"/>
              </w:rPr>
            </w:pPr>
            <w:r w:rsidRPr="00954185">
              <w:rPr>
                <w:sz w:val="20"/>
                <w:szCs w:val="20"/>
              </w:rPr>
              <w:t xml:space="preserve">Arsenic metabolism, basal cell carcinoma </w:t>
            </w:r>
          </w:p>
        </w:tc>
      </w:tr>
      <w:tr w:rsidR="00954185" w:rsidRPr="00954185" w14:paraId="31844C41" w14:textId="77777777" w:rsidTr="00364C65">
        <w:trPr>
          <w:trHeight w:val="1200"/>
        </w:trPr>
        <w:tc>
          <w:tcPr>
            <w:tcW w:w="8364" w:type="dxa"/>
            <w:tcBorders>
              <w:left w:val="single" w:sz="4" w:space="0" w:color="000000" w:themeColor="text1"/>
            </w:tcBorders>
            <w:shd w:val="clear" w:color="auto" w:fill="auto"/>
            <w:vAlign w:val="center"/>
            <w:hideMark/>
          </w:tcPr>
          <w:p w14:paraId="1311B165" w14:textId="77777777" w:rsidR="00954185" w:rsidRPr="00954185" w:rsidRDefault="00954185" w:rsidP="00364C65">
            <w:pPr>
              <w:spacing w:line="360" w:lineRule="auto"/>
              <w:rPr>
                <w:sz w:val="20"/>
                <w:szCs w:val="20"/>
              </w:rPr>
            </w:pPr>
            <w:r w:rsidRPr="00954185">
              <w:rPr>
                <w:sz w:val="20"/>
                <w:szCs w:val="20"/>
              </w:rPr>
              <w:t xml:space="preserve">Engström, K., </w:t>
            </w:r>
            <w:proofErr w:type="spellStart"/>
            <w:r w:rsidRPr="00954185">
              <w:rPr>
                <w:sz w:val="20"/>
                <w:szCs w:val="20"/>
              </w:rPr>
              <w:t>Vahter</w:t>
            </w:r>
            <w:proofErr w:type="spellEnd"/>
            <w:r w:rsidRPr="00954185">
              <w:rPr>
                <w:sz w:val="20"/>
                <w:szCs w:val="20"/>
              </w:rPr>
              <w:t xml:space="preserve">, M., Mlakar, S. J., Concha, G., </w:t>
            </w:r>
            <w:proofErr w:type="spellStart"/>
            <w:r w:rsidRPr="00954185">
              <w:rPr>
                <w:sz w:val="20"/>
                <w:szCs w:val="20"/>
              </w:rPr>
              <w:t>Nermell</w:t>
            </w:r>
            <w:proofErr w:type="spellEnd"/>
            <w:r w:rsidRPr="00954185">
              <w:rPr>
                <w:sz w:val="20"/>
                <w:szCs w:val="20"/>
              </w:rPr>
              <w:t>, B., Raqib, R., ... &amp; Broberg, K. (2011). Polymorphisms in arsenic (+ III oxidation state) methyltransferase (AS3MT) predict gene expression of AS3MT as well as arsenic metabolism. Environmental health perspectives, 119(2), 182-188.</w:t>
            </w:r>
          </w:p>
        </w:tc>
        <w:tc>
          <w:tcPr>
            <w:tcW w:w="2126" w:type="dxa"/>
            <w:tcBorders>
              <w:right w:val="single" w:sz="4" w:space="0" w:color="000000" w:themeColor="text1"/>
            </w:tcBorders>
            <w:shd w:val="clear" w:color="auto" w:fill="auto"/>
            <w:noWrap/>
            <w:vAlign w:val="center"/>
            <w:hideMark/>
          </w:tcPr>
          <w:p w14:paraId="28CF3DD8"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0321D12B" w14:textId="77777777" w:rsidTr="00364C65">
        <w:trPr>
          <w:trHeight w:val="1200"/>
        </w:trPr>
        <w:tc>
          <w:tcPr>
            <w:tcW w:w="8364" w:type="dxa"/>
            <w:tcBorders>
              <w:left w:val="single" w:sz="4" w:space="0" w:color="000000" w:themeColor="text1"/>
            </w:tcBorders>
            <w:shd w:val="clear" w:color="auto" w:fill="auto"/>
            <w:vAlign w:val="center"/>
            <w:hideMark/>
          </w:tcPr>
          <w:p w14:paraId="3B6E29B6" w14:textId="77777777" w:rsidR="00954185" w:rsidRPr="00954185" w:rsidRDefault="00954185" w:rsidP="00364C65">
            <w:pPr>
              <w:spacing w:line="360" w:lineRule="auto"/>
              <w:rPr>
                <w:sz w:val="20"/>
                <w:szCs w:val="20"/>
              </w:rPr>
            </w:pPr>
            <w:proofErr w:type="spellStart"/>
            <w:r w:rsidRPr="00954185">
              <w:rPr>
                <w:sz w:val="20"/>
                <w:szCs w:val="20"/>
              </w:rPr>
              <w:t>Eqani</w:t>
            </w:r>
            <w:proofErr w:type="spellEnd"/>
            <w:r w:rsidRPr="00954185">
              <w:rPr>
                <w:sz w:val="20"/>
                <w:szCs w:val="20"/>
              </w:rPr>
              <w:t>, S. A. M. A. S., Khuram, F., Alamdar, A., Tahir, A., Shah, S. T. A., Nasir, A., ... &amp; Shen, H. (2020). Environmental exposure pathway analysis of trace elements and autism risk in Pakistani children population. Science of the Total Environment, 712, 136471.</w:t>
            </w:r>
          </w:p>
        </w:tc>
        <w:tc>
          <w:tcPr>
            <w:tcW w:w="2126" w:type="dxa"/>
            <w:tcBorders>
              <w:right w:val="single" w:sz="4" w:space="0" w:color="000000" w:themeColor="text1"/>
            </w:tcBorders>
            <w:shd w:val="clear" w:color="auto" w:fill="auto"/>
            <w:noWrap/>
            <w:vAlign w:val="center"/>
            <w:hideMark/>
          </w:tcPr>
          <w:p w14:paraId="0C430BA1" w14:textId="77777777" w:rsidR="00954185" w:rsidRPr="00954185" w:rsidRDefault="00954185" w:rsidP="00364C65">
            <w:pPr>
              <w:spacing w:line="360" w:lineRule="auto"/>
              <w:rPr>
                <w:sz w:val="20"/>
                <w:szCs w:val="20"/>
              </w:rPr>
            </w:pPr>
            <w:r w:rsidRPr="00954185">
              <w:rPr>
                <w:sz w:val="20"/>
                <w:szCs w:val="20"/>
              </w:rPr>
              <w:t xml:space="preserve">No arsenic metabolism, or arsenic-related disease </w:t>
            </w:r>
          </w:p>
        </w:tc>
      </w:tr>
      <w:tr w:rsidR="00954185" w:rsidRPr="00954185" w14:paraId="7914E48F" w14:textId="77777777" w:rsidTr="00364C65">
        <w:trPr>
          <w:trHeight w:val="900"/>
        </w:trPr>
        <w:tc>
          <w:tcPr>
            <w:tcW w:w="8364" w:type="dxa"/>
            <w:tcBorders>
              <w:left w:val="single" w:sz="4" w:space="0" w:color="000000" w:themeColor="text1"/>
            </w:tcBorders>
            <w:shd w:val="clear" w:color="auto" w:fill="auto"/>
            <w:vAlign w:val="center"/>
            <w:hideMark/>
          </w:tcPr>
          <w:p w14:paraId="43622282" w14:textId="77777777" w:rsidR="00954185" w:rsidRPr="00954185" w:rsidRDefault="00954185" w:rsidP="00364C65">
            <w:pPr>
              <w:spacing w:line="360" w:lineRule="auto"/>
              <w:rPr>
                <w:sz w:val="20"/>
                <w:szCs w:val="20"/>
              </w:rPr>
            </w:pPr>
            <w:r w:rsidRPr="00954185">
              <w:rPr>
                <w:sz w:val="20"/>
                <w:szCs w:val="20"/>
              </w:rPr>
              <w:t>Fan, W., Shen, C., Wu, M., Zhou, Z. Y., &amp; Guo, Z. R. (2015). Association and interaction of PPARα, δ, and γ gene polymorphisms with low-density lipoprotein-cholesterol in a Chinese Han population. Genetic Testing and Molecular Biomarkers, 19(7), 379-386.</w:t>
            </w:r>
          </w:p>
        </w:tc>
        <w:tc>
          <w:tcPr>
            <w:tcW w:w="2126" w:type="dxa"/>
            <w:tcBorders>
              <w:right w:val="single" w:sz="4" w:space="0" w:color="000000" w:themeColor="text1"/>
            </w:tcBorders>
            <w:shd w:val="clear" w:color="auto" w:fill="auto"/>
            <w:noWrap/>
            <w:vAlign w:val="center"/>
            <w:hideMark/>
          </w:tcPr>
          <w:p w14:paraId="26D29E70" w14:textId="77777777" w:rsidR="00954185" w:rsidRPr="00954185" w:rsidRDefault="00954185" w:rsidP="00364C65">
            <w:pPr>
              <w:spacing w:line="360" w:lineRule="auto"/>
              <w:rPr>
                <w:sz w:val="20"/>
                <w:szCs w:val="20"/>
              </w:rPr>
            </w:pPr>
            <w:r w:rsidRPr="00954185">
              <w:rPr>
                <w:sz w:val="20"/>
                <w:szCs w:val="20"/>
              </w:rPr>
              <w:t xml:space="preserve">No arsenic metabolism, or arsenic-related disease </w:t>
            </w:r>
          </w:p>
        </w:tc>
      </w:tr>
      <w:tr w:rsidR="00954185" w:rsidRPr="00954185" w14:paraId="4E6E7CE9" w14:textId="77777777" w:rsidTr="00364C65">
        <w:trPr>
          <w:trHeight w:val="1200"/>
        </w:trPr>
        <w:tc>
          <w:tcPr>
            <w:tcW w:w="8364" w:type="dxa"/>
            <w:tcBorders>
              <w:left w:val="single" w:sz="4" w:space="0" w:color="000000" w:themeColor="text1"/>
            </w:tcBorders>
            <w:shd w:val="clear" w:color="auto" w:fill="auto"/>
            <w:vAlign w:val="center"/>
            <w:hideMark/>
          </w:tcPr>
          <w:p w14:paraId="319132CB" w14:textId="77777777" w:rsidR="00954185" w:rsidRPr="00954185" w:rsidRDefault="00954185" w:rsidP="00364C65">
            <w:pPr>
              <w:spacing w:line="360" w:lineRule="auto"/>
              <w:rPr>
                <w:sz w:val="20"/>
                <w:szCs w:val="20"/>
              </w:rPr>
            </w:pPr>
            <w:r w:rsidRPr="00954185">
              <w:rPr>
                <w:sz w:val="20"/>
                <w:szCs w:val="20"/>
              </w:rPr>
              <w:t>Fan, X., Chen, Y., Lu, J., Li, W., Li, X., Guo, H., ... &amp; Xia, H. (2021). AS3MT polymorphism: A risk factor for epilepsy susceptibility and adverse drug reactions to valproic acid and oxcarbazepine treatment in children from south China. Frontiers in Neuroscience, 15, 705297.</w:t>
            </w:r>
          </w:p>
        </w:tc>
        <w:tc>
          <w:tcPr>
            <w:tcW w:w="2126" w:type="dxa"/>
            <w:tcBorders>
              <w:right w:val="single" w:sz="4" w:space="0" w:color="000000" w:themeColor="text1"/>
            </w:tcBorders>
            <w:shd w:val="clear" w:color="auto" w:fill="auto"/>
            <w:noWrap/>
            <w:vAlign w:val="center"/>
            <w:hideMark/>
          </w:tcPr>
          <w:p w14:paraId="2A565E5A" w14:textId="77777777" w:rsidR="00954185" w:rsidRPr="00954185" w:rsidRDefault="00954185" w:rsidP="00364C65">
            <w:pPr>
              <w:spacing w:line="360" w:lineRule="auto"/>
              <w:rPr>
                <w:sz w:val="20"/>
                <w:szCs w:val="20"/>
              </w:rPr>
            </w:pPr>
            <w:r w:rsidRPr="00954185">
              <w:rPr>
                <w:sz w:val="20"/>
                <w:szCs w:val="20"/>
              </w:rPr>
              <w:t xml:space="preserve">No arsenic metabolism, or arsenic-related disease </w:t>
            </w:r>
          </w:p>
        </w:tc>
      </w:tr>
      <w:tr w:rsidR="00954185" w:rsidRPr="00954185" w14:paraId="5109434A" w14:textId="77777777" w:rsidTr="00364C65">
        <w:trPr>
          <w:trHeight w:val="1500"/>
        </w:trPr>
        <w:tc>
          <w:tcPr>
            <w:tcW w:w="8364" w:type="dxa"/>
            <w:tcBorders>
              <w:left w:val="single" w:sz="4" w:space="0" w:color="000000" w:themeColor="text1"/>
            </w:tcBorders>
            <w:shd w:val="clear" w:color="auto" w:fill="auto"/>
            <w:vAlign w:val="center"/>
            <w:hideMark/>
          </w:tcPr>
          <w:p w14:paraId="7FBAC4CB" w14:textId="77777777" w:rsidR="00954185" w:rsidRPr="00954185" w:rsidRDefault="00954185" w:rsidP="00364C65">
            <w:pPr>
              <w:spacing w:line="360" w:lineRule="auto"/>
              <w:rPr>
                <w:sz w:val="20"/>
                <w:szCs w:val="20"/>
              </w:rPr>
            </w:pPr>
            <w:r w:rsidRPr="00954185">
              <w:rPr>
                <w:sz w:val="20"/>
                <w:szCs w:val="20"/>
              </w:rPr>
              <w:lastRenderedPageBreak/>
              <w:t xml:space="preserve">Fang, Y. J., Lin, K. L., Lee, J. H., Luo, K. H., Chen, T. H., Yang, C. C., &amp; Chuang, H. Y. (2022). Interaction between Single Nucleotide Polymorphisms (SNP) of </w:t>
            </w:r>
            <w:proofErr w:type="spellStart"/>
            <w:r w:rsidRPr="00954185">
              <w:rPr>
                <w:sz w:val="20"/>
                <w:szCs w:val="20"/>
              </w:rPr>
              <w:t>Tumor</w:t>
            </w:r>
            <w:proofErr w:type="spellEnd"/>
            <w:r w:rsidRPr="00954185">
              <w:rPr>
                <w:sz w:val="20"/>
                <w:szCs w:val="20"/>
              </w:rPr>
              <w:t xml:space="preserve"> Necrosis Factor-Alpha (TNF-α) Gene and Plasma Arsenic and the Effect on Estimated Glomerular Filtration Rate (eGFR). International Journal of Environmental Research and Public Health, 19(7), 4404.</w:t>
            </w:r>
          </w:p>
        </w:tc>
        <w:tc>
          <w:tcPr>
            <w:tcW w:w="2126" w:type="dxa"/>
            <w:tcBorders>
              <w:right w:val="single" w:sz="4" w:space="0" w:color="000000" w:themeColor="text1"/>
            </w:tcBorders>
            <w:shd w:val="clear" w:color="auto" w:fill="auto"/>
            <w:noWrap/>
            <w:vAlign w:val="center"/>
            <w:hideMark/>
          </w:tcPr>
          <w:p w14:paraId="3B1C8AE5" w14:textId="77777777" w:rsidR="00954185" w:rsidRPr="00954185" w:rsidRDefault="00954185" w:rsidP="00364C65">
            <w:pPr>
              <w:spacing w:line="360" w:lineRule="auto"/>
              <w:rPr>
                <w:sz w:val="20"/>
                <w:szCs w:val="20"/>
              </w:rPr>
            </w:pPr>
            <w:r w:rsidRPr="00954185">
              <w:rPr>
                <w:sz w:val="20"/>
                <w:szCs w:val="20"/>
              </w:rPr>
              <w:t>Duplicate</w:t>
            </w:r>
          </w:p>
        </w:tc>
      </w:tr>
      <w:tr w:rsidR="00954185" w:rsidRPr="00954185" w14:paraId="60614278" w14:textId="77777777" w:rsidTr="00364C65">
        <w:trPr>
          <w:trHeight w:val="1500"/>
        </w:trPr>
        <w:tc>
          <w:tcPr>
            <w:tcW w:w="8364" w:type="dxa"/>
            <w:tcBorders>
              <w:left w:val="single" w:sz="4" w:space="0" w:color="000000" w:themeColor="text1"/>
            </w:tcBorders>
            <w:shd w:val="clear" w:color="auto" w:fill="auto"/>
            <w:vAlign w:val="center"/>
            <w:hideMark/>
          </w:tcPr>
          <w:p w14:paraId="6B674E63" w14:textId="77777777" w:rsidR="00954185" w:rsidRPr="00954185" w:rsidRDefault="00954185" w:rsidP="00364C65">
            <w:pPr>
              <w:spacing w:line="360" w:lineRule="auto"/>
              <w:rPr>
                <w:sz w:val="20"/>
                <w:szCs w:val="20"/>
              </w:rPr>
            </w:pPr>
            <w:r w:rsidRPr="00954185">
              <w:rPr>
                <w:sz w:val="20"/>
                <w:szCs w:val="20"/>
              </w:rPr>
              <w:t xml:space="preserve">Fang, Y. J., Lin, K. L., Lee, J. H., Luo, K. H., Chen, T. H., Yang, C. C., &amp; Chuang, H. Y. (2022). Interaction between Single Nucleotide Polymorphisms (SNP) of </w:t>
            </w:r>
            <w:proofErr w:type="spellStart"/>
            <w:r w:rsidRPr="00954185">
              <w:rPr>
                <w:sz w:val="20"/>
                <w:szCs w:val="20"/>
              </w:rPr>
              <w:t>Tumor</w:t>
            </w:r>
            <w:proofErr w:type="spellEnd"/>
            <w:r w:rsidRPr="00954185">
              <w:rPr>
                <w:sz w:val="20"/>
                <w:szCs w:val="20"/>
              </w:rPr>
              <w:t xml:space="preserve"> Necrosis Factor-Alpha (TNF-α) Gene and Plasma Arsenic and the Effect on Estimated Glomerular Filtration Rate (eGFR). International Journal of Environmental Research and Public Health, 19(7), 4404.</w:t>
            </w:r>
          </w:p>
        </w:tc>
        <w:tc>
          <w:tcPr>
            <w:tcW w:w="2126" w:type="dxa"/>
            <w:tcBorders>
              <w:right w:val="single" w:sz="4" w:space="0" w:color="000000" w:themeColor="text1"/>
            </w:tcBorders>
            <w:shd w:val="clear" w:color="auto" w:fill="auto"/>
            <w:noWrap/>
            <w:vAlign w:val="center"/>
            <w:hideMark/>
          </w:tcPr>
          <w:p w14:paraId="75372A5E" w14:textId="77777777" w:rsidR="00954185" w:rsidRPr="00954185" w:rsidRDefault="00954185" w:rsidP="00364C65">
            <w:pPr>
              <w:spacing w:line="360" w:lineRule="auto"/>
              <w:rPr>
                <w:sz w:val="20"/>
                <w:szCs w:val="20"/>
              </w:rPr>
            </w:pPr>
            <w:r w:rsidRPr="00954185">
              <w:rPr>
                <w:sz w:val="20"/>
                <w:szCs w:val="20"/>
              </w:rPr>
              <w:t>Renal function</w:t>
            </w:r>
          </w:p>
        </w:tc>
      </w:tr>
      <w:tr w:rsidR="00954185" w:rsidRPr="00954185" w14:paraId="7A83340A" w14:textId="77777777" w:rsidTr="00364C65">
        <w:trPr>
          <w:trHeight w:val="900"/>
        </w:trPr>
        <w:tc>
          <w:tcPr>
            <w:tcW w:w="8364" w:type="dxa"/>
            <w:tcBorders>
              <w:left w:val="single" w:sz="4" w:space="0" w:color="000000" w:themeColor="text1"/>
            </w:tcBorders>
            <w:shd w:val="clear" w:color="auto" w:fill="auto"/>
            <w:vAlign w:val="center"/>
            <w:hideMark/>
          </w:tcPr>
          <w:p w14:paraId="0E3FEC35" w14:textId="77777777" w:rsidR="00954185" w:rsidRPr="00954185" w:rsidRDefault="00954185" w:rsidP="00364C65">
            <w:pPr>
              <w:spacing w:line="360" w:lineRule="auto"/>
              <w:rPr>
                <w:sz w:val="20"/>
                <w:szCs w:val="20"/>
              </w:rPr>
            </w:pPr>
            <w:proofErr w:type="spellStart"/>
            <w:r w:rsidRPr="00641BD3">
              <w:rPr>
                <w:sz w:val="20"/>
                <w:szCs w:val="20"/>
                <w:lang w:val="es-ES"/>
              </w:rPr>
              <w:t>Fernandez</w:t>
            </w:r>
            <w:proofErr w:type="spellEnd"/>
            <w:r w:rsidRPr="00641BD3">
              <w:rPr>
                <w:sz w:val="20"/>
                <w:szCs w:val="20"/>
                <w:lang w:val="es-ES"/>
              </w:rPr>
              <w:t xml:space="preserve">, M. I., Vial, C., Valdebenito, P., Chaparro, E., Espinoza, K., &amp; Repetto, G. (2015). </w:t>
            </w:r>
            <w:r w:rsidRPr="00954185">
              <w:rPr>
                <w:sz w:val="20"/>
                <w:szCs w:val="20"/>
              </w:rPr>
              <w:t xml:space="preserve">MP68-16 Association of genetic variants with the </w:t>
            </w:r>
            <w:proofErr w:type="spellStart"/>
            <w:r w:rsidRPr="00954185">
              <w:rPr>
                <w:sz w:val="20"/>
                <w:szCs w:val="20"/>
              </w:rPr>
              <w:t>occurance</w:t>
            </w:r>
            <w:proofErr w:type="spellEnd"/>
            <w:r w:rsidRPr="00954185">
              <w:rPr>
                <w:sz w:val="20"/>
                <w:szCs w:val="20"/>
              </w:rPr>
              <w:t xml:space="preserve"> of bladder cancer in an arsenic-exposed population. The Journal of Urology, 193(4S), e863-e864.</w:t>
            </w:r>
          </w:p>
        </w:tc>
        <w:tc>
          <w:tcPr>
            <w:tcW w:w="2126" w:type="dxa"/>
            <w:tcBorders>
              <w:right w:val="single" w:sz="4" w:space="0" w:color="000000" w:themeColor="text1"/>
            </w:tcBorders>
            <w:shd w:val="clear" w:color="auto" w:fill="auto"/>
            <w:noWrap/>
            <w:vAlign w:val="center"/>
            <w:hideMark/>
          </w:tcPr>
          <w:p w14:paraId="45557556" w14:textId="77777777" w:rsidR="00954185" w:rsidRPr="00954185" w:rsidRDefault="00954185" w:rsidP="00364C65">
            <w:pPr>
              <w:spacing w:line="360" w:lineRule="auto"/>
              <w:rPr>
                <w:sz w:val="20"/>
                <w:szCs w:val="20"/>
              </w:rPr>
            </w:pPr>
            <w:r w:rsidRPr="00954185">
              <w:rPr>
                <w:sz w:val="20"/>
                <w:szCs w:val="20"/>
              </w:rPr>
              <w:t>Conference abstract</w:t>
            </w:r>
          </w:p>
        </w:tc>
      </w:tr>
      <w:tr w:rsidR="00954185" w:rsidRPr="00954185" w14:paraId="309ADED7" w14:textId="77777777" w:rsidTr="00364C65">
        <w:trPr>
          <w:trHeight w:val="1200"/>
        </w:trPr>
        <w:tc>
          <w:tcPr>
            <w:tcW w:w="8364" w:type="dxa"/>
            <w:tcBorders>
              <w:left w:val="single" w:sz="4" w:space="0" w:color="000000" w:themeColor="text1"/>
            </w:tcBorders>
            <w:shd w:val="clear" w:color="auto" w:fill="auto"/>
            <w:vAlign w:val="center"/>
            <w:hideMark/>
          </w:tcPr>
          <w:p w14:paraId="16704EA2" w14:textId="77777777" w:rsidR="00954185" w:rsidRPr="00954185" w:rsidRDefault="00954185" w:rsidP="00364C65">
            <w:pPr>
              <w:spacing w:line="360" w:lineRule="auto"/>
              <w:rPr>
                <w:sz w:val="20"/>
                <w:szCs w:val="20"/>
              </w:rPr>
            </w:pPr>
            <w:r w:rsidRPr="00641BD3">
              <w:rPr>
                <w:sz w:val="20"/>
                <w:szCs w:val="20"/>
                <w:lang w:val="es-ES"/>
              </w:rPr>
              <w:t xml:space="preserve">Fu, S., Wu, J., Li, Y., Liu, Y., Gao, Y., Yao, F., ... </w:t>
            </w:r>
            <w:r w:rsidRPr="00954185">
              <w:rPr>
                <w:sz w:val="20"/>
                <w:szCs w:val="20"/>
              </w:rPr>
              <w:t>&amp; Sun, D. (2014). Urinary arsenic metabolism in a Western Chinese population exposed to high-dose inorganic arsenic in drinking water: Influence of ethnicity and genetic polymorphisms. Toxicology and applied pharmacology, 274(1), 117-123.</w:t>
            </w:r>
          </w:p>
        </w:tc>
        <w:tc>
          <w:tcPr>
            <w:tcW w:w="2126" w:type="dxa"/>
            <w:tcBorders>
              <w:right w:val="single" w:sz="4" w:space="0" w:color="000000" w:themeColor="text1"/>
            </w:tcBorders>
            <w:shd w:val="clear" w:color="auto" w:fill="auto"/>
            <w:noWrap/>
            <w:vAlign w:val="center"/>
            <w:hideMark/>
          </w:tcPr>
          <w:p w14:paraId="6D855F03"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55219399" w14:textId="77777777" w:rsidTr="00364C65">
        <w:trPr>
          <w:trHeight w:val="600"/>
        </w:trPr>
        <w:tc>
          <w:tcPr>
            <w:tcW w:w="8364" w:type="dxa"/>
            <w:tcBorders>
              <w:left w:val="single" w:sz="4" w:space="0" w:color="000000" w:themeColor="text1"/>
            </w:tcBorders>
            <w:shd w:val="clear" w:color="auto" w:fill="auto"/>
            <w:vAlign w:val="center"/>
            <w:hideMark/>
          </w:tcPr>
          <w:p w14:paraId="4063B566" w14:textId="77777777" w:rsidR="00954185" w:rsidRPr="00954185" w:rsidRDefault="00954185" w:rsidP="00364C65">
            <w:pPr>
              <w:spacing w:line="360" w:lineRule="auto"/>
              <w:rPr>
                <w:sz w:val="20"/>
                <w:szCs w:val="20"/>
              </w:rPr>
            </w:pPr>
            <w:proofErr w:type="spellStart"/>
            <w:r w:rsidRPr="00641BD3">
              <w:rPr>
                <w:sz w:val="20"/>
                <w:szCs w:val="20"/>
                <w:lang w:val="es-ES"/>
              </w:rPr>
              <w:t>Fujihara</w:t>
            </w:r>
            <w:proofErr w:type="spellEnd"/>
            <w:r w:rsidRPr="00641BD3">
              <w:rPr>
                <w:sz w:val="20"/>
                <w:szCs w:val="20"/>
                <w:lang w:val="es-ES"/>
              </w:rPr>
              <w:t xml:space="preserve">, J., </w:t>
            </w:r>
            <w:proofErr w:type="spellStart"/>
            <w:r w:rsidRPr="00641BD3">
              <w:rPr>
                <w:sz w:val="20"/>
                <w:szCs w:val="20"/>
                <w:lang w:val="es-ES"/>
              </w:rPr>
              <w:t>Yasuda</w:t>
            </w:r>
            <w:proofErr w:type="spellEnd"/>
            <w:r w:rsidRPr="00641BD3">
              <w:rPr>
                <w:sz w:val="20"/>
                <w:szCs w:val="20"/>
                <w:lang w:val="es-ES"/>
              </w:rPr>
              <w:t xml:space="preserve">, T., Iwata, H., </w:t>
            </w:r>
            <w:proofErr w:type="spellStart"/>
            <w:r w:rsidRPr="00641BD3">
              <w:rPr>
                <w:sz w:val="20"/>
                <w:szCs w:val="20"/>
                <w:lang w:val="es-ES"/>
              </w:rPr>
              <w:t>Tanabe</w:t>
            </w:r>
            <w:proofErr w:type="spellEnd"/>
            <w:r w:rsidRPr="00641BD3">
              <w:rPr>
                <w:sz w:val="20"/>
                <w:szCs w:val="20"/>
                <w:lang w:val="es-ES"/>
              </w:rPr>
              <w:t xml:space="preserve">, S., &amp; </w:t>
            </w:r>
            <w:proofErr w:type="spellStart"/>
            <w:r w:rsidRPr="00641BD3">
              <w:rPr>
                <w:sz w:val="20"/>
                <w:szCs w:val="20"/>
                <w:lang w:val="es-ES"/>
              </w:rPr>
              <w:t>Takeshita</w:t>
            </w:r>
            <w:proofErr w:type="spellEnd"/>
            <w:r w:rsidRPr="00641BD3">
              <w:rPr>
                <w:sz w:val="20"/>
                <w:szCs w:val="20"/>
                <w:lang w:val="es-ES"/>
              </w:rPr>
              <w:t xml:space="preserve">, H. (2016). </w:t>
            </w:r>
            <w:r w:rsidRPr="00954185">
              <w:rPr>
                <w:sz w:val="20"/>
                <w:szCs w:val="20"/>
              </w:rPr>
              <w:t>Association of XRCC1 polymorphisms with arsenic methylation. Archives of toxicology, 90, 1009-1012.</w:t>
            </w:r>
          </w:p>
        </w:tc>
        <w:tc>
          <w:tcPr>
            <w:tcW w:w="2126" w:type="dxa"/>
            <w:tcBorders>
              <w:right w:val="single" w:sz="4" w:space="0" w:color="000000" w:themeColor="text1"/>
            </w:tcBorders>
            <w:shd w:val="clear" w:color="auto" w:fill="auto"/>
            <w:noWrap/>
            <w:vAlign w:val="center"/>
            <w:hideMark/>
          </w:tcPr>
          <w:p w14:paraId="4C32D4FC"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0FAA153A" w14:textId="77777777" w:rsidTr="00364C65">
        <w:trPr>
          <w:trHeight w:val="1500"/>
        </w:trPr>
        <w:tc>
          <w:tcPr>
            <w:tcW w:w="8364" w:type="dxa"/>
            <w:tcBorders>
              <w:left w:val="single" w:sz="4" w:space="0" w:color="000000" w:themeColor="text1"/>
            </w:tcBorders>
            <w:shd w:val="clear" w:color="auto" w:fill="auto"/>
            <w:vAlign w:val="center"/>
            <w:hideMark/>
          </w:tcPr>
          <w:p w14:paraId="04283C70" w14:textId="77777777" w:rsidR="00954185" w:rsidRPr="00954185" w:rsidRDefault="00954185" w:rsidP="00364C65">
            <w:pPr>
              <w:spacing w:line="360" w:lineRule="auto"/>
              <w:rPr>
                <w:sz w:val="20"/>
                <w:szCs w:val="20"/>
              </w:rPr>
            </w:pPr>
            <w:proofErr w:type="spellStart"/>
            <w:r w:rsidRPr="00641BD3">
              <w:rPr>
                <w:sz w:val="20"/>
                <w:szCs w:val="20"/>
                <w:lang w:val="es-ES"/>
              </w:rPr>
              <w:t>Galvez-Fernandez</w:t>
            </w:r>
            <w:proofErr w:type="spellEnd"/>
            <w:r w:rsidRPr="00641BD3">
              <w:rPr>
                <w:sz w:val="20"/>
                <w:szCs w:val="20"/>
                <w:lang w:val="es-ES"/>
              </w:rPr>
              <w:t xml:space="preserve">, M., </w:t>
            </w:r>
            <w:proofErr w:type="spellStart"/>
            <w:r w:rsidRPr="00641BD3">
              <w:rPr>
                <w:sz w:val="20"/>
                <w:szCs w:val="20"/>
                <w:lang w:val="es-ES"/>
              </w:rPr>
              <w:t>Sanchez-Saez</w:t>
            </w:r>
            <w:proofErr w:type="spellEnd"/>
            <w:r w:rsidRPr="00641BD3">
              <w:rPr>
                <w:sz w:val="20"/>
                <w:szCs w:val="20"/>
                <w:lang w:val="es-ES"/>
              </w:rPr>
              <w:t>, F., Domingo-</w:t>
            </w:r>
            <w:proofErr w:type="spellStart"/>
            <w:r w:rsidRPr="00641BD3">
              <w:rPr>
                <w:sz w:val="20"/>
                <w:szCs w:val="20"/>
                <w:lang w:val="es-ES"/>
              </w:rPr>
              <w:t>Relloso</w:t>
            </w:r>
            <w:proofErr w:type="spellEnd"/>
            <w:r w:rsidRPr="00641BD3">
              <w:rPr>
                <w:sz w:val="20"/>
                <w:szCs w:val="20"/>
                <w:lang w:val="es-ES"/>
              </w:rPr>
              <w:t xml:space="preserve">, A., </w:t>
            </w:r>
            <w:proofErr w:type="spellStart"/>
            <w:r w:rsidRPr="00641BD3">
              <w:rPr>
                <w:sz w:val="20"/>
                <w:szCs w:val="20"/>
                <w:lang w:val="es-ES"/>
              </w:rPr>
              <w:t>Rodriguez-Hernandez</w:t>
            </w:r>
            <w:proofErr w:type="spellEnd"/>
            <w:r w:rsidRPr="00641BD3">
              <w:rPr>
                <w:sz w:val="20"/>
                <w:szCs w:val="20"/>
                <w:lang w:val="es-ES"/>
              </w:rPr>
              <w:t xml:space="preserve">, Z., Tarazona, S., </w:t>
            </w:r>
            <w:proofErr w:type="spellStart"/>
            <w:r w:rsidRPr="00641BD3">
              <w:rPr>
                <w:sz w:val="20"/>
                <w:szCs w:val="20"/>
                <w:lang w:val="es-ES"/>
              </w:rPr>
              <w:t>Gonzalez-Marrachelli</w:t>
            </w:r>
            <w:proofErr w:type="spellEnd"/>
            <w:r w:rsidRPr="00641BD3">
              <w:rPr>
                <w:sz w:val="20"/>
                <w:szCs w:val="20"/>
                <w:lang w:val="es-ES"/>
              </w:rPr>
              <w:t xml:space="preserve">, V., ... </w:t>
            </w:r>
            <w:r w:rsidRPr="00954185">
              <w:rPr>
                <w:sz w:val="20"/>
                <w:szCs w:val="20"/>
              </w:rPr>
              <w:t xml:space="preserve">&amp; </w:t>
            </w:r>
            <w:proofErr w:type="spellStart"/>
            <w:r w:rsidRPr="00954185">
              <w:rPr>
                <w:sz w:val="20"/>
                <w:szCs w:val="20"/>
              </w:rPr>
              <w:t>Monleon</w:t>
            </w:r>
            <w:proofErr w:type="spellEnd"/>
            <w:r w:rsidRPr="00954185">
              <w:rPr>
                <w:sz w:val="20"/>
                <w:szCs w:val="20"/>
              </w:rPr>
              <w:t xml:space="preserve">, D. (2022). Gene-environment interaction analysis of redox-related metals and genetic variants with plasma metabolic patterns in a general population from Spain: The </w:t>
            </w:r>
            <w:proofErr w:type="spellStart"/>
            <w:r w:rsidRPr="00954185">
              <w:rPr>
                <w:sz w:val="20"/>
                <w:szCs w:val="20"/>
              </w:rPr>
              <w:t>Hortega</w:t>
            </w:r>
            <w:proofErr w:type="spellEnd"/>
            <w:r w:rsidRPr="00954185">
              <w:rPr>
                <w:sz w:val="20"/>
                <w:szCs w:val="20"/>
              </w:rPr>
              <w:t xml:space="preserve"> Study. Redox Biology, 52, 102314.</w:t>
            </w:r>
          </w:p>
        </w:tc>
        <w:tc>
          <w:tcPr>
            <w:tcW w:w="2126" w:type="dxa"/>
            <w:tcBorders>
              <w:right w:val="single" w:sz="4" w:space="0" w:color="000000" w:themeColor="text1"/>
            </w:tcBorders>
            <w:shd w:val="clear" w:color="auto" w:fill="auto"/>
            <w:noWrap/>
            <w:vAlign w:val="center"/>
            <w:hideMark/>
          </w:tcPr>
          <w:p w14:paraId="16A33EBA" w14:textId="77777777" w:rsidR="00954185" w:rsidRPr="00954185" w:rsidRDefault="00954185" w:rsidP="00364C65">
            <w:pPr>
              <w:spacing w:line="360" w:lineRule="auto"/>
              <w:rPr>
                <w:sz w:val="20"/>
                <w:szCs w:val="20"/>
              </w:rPr>
            </w:pPr>
            <w:r w:rsidRPr="00954185">
              <w:rPr>
                <w:sz w:val="20"/>
                <w:szCs w:val="20"/>
              </w:rPr>
              <w:t xml:space="preserve">No arsenic metabolism, or arsenic-related disease </w:t>
            </w:r>
          </w:p>
        </w:tc>
      </w:tr>
      <w:tr w:rsidR="00954185" w:rsidRPr="00954185" w14:paraId="14C11E7F" w14:textId="77777777" w:rsidTr="00364C65">
        <w:trPr>
          <w:trHeight w:val="1200"/>
        </w:trPr>
        <w:tc>
          <w:tcPr>
            <w:tcW w:w="8364" w:type="dxa"/>
            <w:tcBorders>
              <w:left w:val="single" w:sz="4" w:space="0" w:color="000000" w:themeColor="text1"/>
            </w:tcBorders>
            <w:shd w:val="clear" w:color="auto" w:fill="auto"/>
            <w:vAlign w:val="center"/>
            <w:hideMark/>
          </w:tcPr>
          <w:p w14:paraId="0AFD19A1" w14:textId="77777777" w:rsidR="00954185" w:rsidRPr="00954185" w:rsidRDefault="00954185" w:rsidP="00364C65">
            <w:pPr>
              <w:spacing w:line="360" w:lineRule="auto"/>
              <w:rPr>
                <w:sz w:val="20"/>
                <w:szCs w:val="20"/>
              </w:rPr>
            </w:pPr>
            <w:r w:rsidRPr="00641BD3">
              <w:rPr>
                <w:sz w:val="20"/>
                <w:szCs w:val="20"/>
                <w:lang w:val="es-ES"/>
              </w:rPr>
              <w:t xml:space="preserve">Gamboa-Loira, B., Hernández-Alcaraz, C., Gandolfi, A. J., Cebrián, M. E., Burguete-García, A., García-Martínez, A., &amp; López-Carrillo, L. (2018). </w:t>
            </w:r>
            <w:r w:rsidRPr="00954185">
              <w:rPr>
                <w:sz w:val="20"/>
                <w:szCs w:val="20"/>
              </w:rPr>
              <w:t>Arsenic methylation capacity in relation to nutrient intake and genetic polymorphisms in one-carbon metabolism. Environmental research, 164, 18-23.</w:t>
            </w:r>
          </w:p>
        </w:tc>
        <w:tc>
          <w:tcPr>
            <w:tcW w:w="2126" w:type="dxa"/>
            <w:tcBorders>
              <w:right w:val="single" w:sz="4" w:space="0" w:color="000000" w:themeColor="text1"/>
            </w:tcBorders>
            <w:shd w:val="clear" w:color="auto" w:fill="auto"/>
            <w:noWrap/>
            <w:vAlign w:val="center"/>
            <w:hideMark/>
          </w:tcPr>
          <w:p w14:paraId="2ACCFAE0"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75E2F28A" w14:textId="77777777" w:rsidTr="00364C65">
        <w:trPr>
          <w:trHeight w:val="1200"/>
        </w:trPr>
        <w:tc>
          <w:tcPr>
            <w:tcW w:w="8364" w:type="dxa"/>
            <w:tcBorders>
              <w:left w:val="single" w:sz="4" w:space="0" w:color="000000" w:themeColor="text1"/>
            </w:tcBorders>
            <w:shd w:val="clear" w:color="auto" w:fill="auto"/>
            <w:vAlign w:val="center"/>
            <w:hideMark/>
          </w:tcPr>
          <w:p w14:paraId="4FBBADAD" w14:textId="77777777" w:rsidR="00954185" w:rsidRPr="00954185" w:rsidRDefault="00954185" w:rsidP="00364C65">
            <w:pPr>
              <w:spacing w:line="360" w:lineRule="auto"/>
              <w:rPr>
                <w:sz w:val="20"/>
                <w:szCs w:val="20"/>
              </w:rPr>
            </w:pPr>
            <w:r w:rsidRPr="00641BD3">
              <w:rPr>
                <w:sz w:val="20"/>
                <w:szCs w:val="20"/>
                <w:lang w:val="es-ES"/>
              </w:rPr>
              <w:t xml:space="preserve">Gamboa-Loira, B., Mérida-Ortega, Á., </w:t>
            </w:r>
            <w:proofErr w:type="spellStart"/>
            <w:r w:rsidRPr="00641BD3">
              <w:rPr>
                <w:sz w:val="20"/>
                <w:szCs w:val="20"/>
                <w:lang w:val="es-ES"/>
              </w:rPr>
              <w:t>Rothenberg</w:t>
            </w:r>
            <w:proofErr w:type="spellEnd"/>
            <w:r w:rsidRPr="00641BD3">
              <w:rPr>
                <w:sz w:val="20"/>
                <w:szCs w:val="20"/>
                <w:lang w:val="es-ES"/>
              </w:rPr>
              <w:t xml:space="preserve">, S. J., Cebrián, M. E., &amp; López-Carrillo, L. (2022). </w:t>
            </w:r>
            <w:r w:rsidRPr="00954185">
              <w:rPr>
                <w:sz w:val="20"/>
                <w:szCs w:val="20"/>
              </w:rPr>
              <w:t>Metal exposure and breast cancer among Northern Mexican women: assessment of genetic susceptibility. Environmental Science and Pollution Research, 29(59), 89002-89013.</w:t>
            </w:r>
          </w:p>
        </w:tc>
        <w:tc>
          <w:tcPr>
            <w:tcW w:w="2126" w:type="dxa"/>
            <w:tcBorders>
              <w:right w:val="single" w:sz="4" w:space="0" w:color="000000" w:themeColor="text1"/>
            </w:tcBorders>
            <w:shd w:val="clear" w:color="auto" w:fill="auto"/>
            <w:noWrap/>
            <w:vAlign w:val="center"/>
            <w:hideMark/>
          </w:tcPr>
          <w:p w14:paraId="6E02A0E2" w14:textId="77777777" w:rsidR="00954185" w:rsidRPr="00954185" w:rsidRDefault="00954185" w:rsidP="00364C65">
            <w:pPr>
              <w:spacing w:line="360" w:lineRule="auto"/>
              <w:rPr>
                <w:sz w:val="20"/>
                <w:szCs w:val="20"/>
              </w:rPr>
            </w:pPr>
            <w:r w:rsidRPr="00954185">
              <w:rPr>
                <w:sz w:val="20"/>
                <w:szCs w:val="20"/>
              </w:rPr>
              <w:t xml:space="preserve">Breast cancer </w:t>
            </w:r>
          </w:p>
        </w:tc>
      </w:tr>
      <w:tr w:rsidR="00954185" w:rsidRPr="00954185" w14:paraId="36C8D329" w14:textId="77777777" w:rsidTr="00364C65">
        <w:trPr>
          <w:trHeight w:val="1200"/>
        </w:trPr>
        <w:tc>
          <w:tcPr>
            <w:tcW w:w="8364" w:type="dxa"/>
            <w:tcBorders>
              <w:left w:val="single" w:sz="4" w:space="0" w:color="000000" w:themeColor="text1"/>
            </w:tcBorders>
            <w:shd w:val="clear" w:color="auto" w:fill="auto"/>
            <w:vAlign w:val="center"/>
            <w:hideMark/>
          </w:tcPr>
          <w:p w14:paraId="1E7F7C50" w14:textId="77777777" w:rsidR="00954185" w:rsidRPr="00954185" w:rsidRDefault="00954185" w:rsidP="00364C65">
            <w:pPr>
              <w:spacing w:line="360" w:lineRule="auto"/>
              <w:rPr>
                <w:sz w:val="20"/>
                <w:szCs w:val="20"/>
              </w:rPr>
            </w:pPr>
            <w:r w:rsidRPr="00954185">
              <w:rPr>
                <w:sz w:val="20"/>
                <w:szCs w:val="20"/>
              </w:rPr>
              <w:t xml:space="preserve">Gao, J., Tong, L., Argos, M., Bryan, M. S., Ahmed, A., </w:t>
            </w:r>
            <w:proofErr w:type="spellStart"/>
            <w:r w:rsidRPr="00954185">
              <w:rPr>
                <w:sz w:val="20"/>
                <w:szCs w:val="20"/>
              </w:rPr>
              <w:t>Rakibuz</w:t>
            </w:r>
            <w:proofErr w:type="spellEnd"/>
            <w:r w:rsidRPr="00954185">
              <w:rPr>
                <w:sz w:val="20"/>
                <w:szCs w:val="20"/>
              </w:rPr>
              <w:t>-Zaman, M., ... &amp; Pierce, B. L. (2015). The genetic architecture of arsenic metabolism efficiency: a SNP-based heritability study of Bangladeshi adults. Environmental health perspectives, 123(10), 985-992.</w:t>
            </w:r>
          </w:p>
        </w:tc>
        <w:tc>
          <w:tcPr>
            <w:tcW w:w="2126" w:type="dxa"/>
            <w:tcBorders>
              <w:right w:val="single" w:sz="4" w:space="0" w:color="000000" w:themeColor="text1"/>
            </w:tcBorders>
            <w:shd w:val="clear" w:color="auto" w:fill="auto"/>
            <w:noWrap/>
            <w:vAlign w:val="center"/>
            <w:hideMark/>
          </w:tcPr>
          <w:p w14:paraId="1BD0DD5C"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6F0A3CFB" w14:textId="77777777" w:rsidTr="00364C65">
        <w:trPr>
          <w:trHeight w:val="900"/>
        </w:trPr>
        <w:tc>
          <w:tcPr>
            <w:tcW w:w="8364" w:type="dxa"/>
            <w:tcBorders>
              <w:left w:val="single" w:sz="4" w:space="0" w:color="000000" w:themeColor="text1"/>
            </w:tcBorders>
            <w:shd w:val="clear" w:color="auto" w:fill="auto"/>
            <w:vAlign w:val="center"/>
            <w:hideMark/>
          </w:tcPr>
          <w:p w14:paraId="5159A356" w14:textId="77777777" w:rsidR="00954185" w:rsidRPr="00954185" w:rsidRDefault="00954185" w:rsidP="00364C65">
            <w:pPr>
              <w:spacing w:line="360" w:lineRule="auto"/>
              <w:rPr>
                <w:sz w:val="20"/>
                <w:szCs w:val="20"/>
              </w:rPr>
            </w:pPr>
            <w:r w:rsidRPr="00641BD3">
              <w:rPr>
                <w:sz w:val="20"/>
                <w:szCs w:val="20"/>
                <w:lang w:val="es-ES"/>
              </w:rPr>
              <w:t xml:space="preserve">Gao, S., </w:t>
            </w:r>
            <w:proofErr w:type="spellStart"/>
            <w:r w:rsidRPr="00641BD3">
              <w:rPr>
                <w:sz w:val="20"/>
                <w:szCs w:val="20"/>
                <w:lang w:val="es-ES"/>
              </w:rPr>
              <w:t>Mostofa</w:t>
            </w:r>
            <w:proofErr w:type="spellEnd"/>
            <w:r w:rsidRPr="00641BD3">
              <w:rPr>
                <w:sz w:val="20"/>
                <w:szCs w:val="20"/>
                <w:lang w:val="es-ES"/>
              </w:rPr>
              <w:t xml:space="preserve">, M. G., </w:t>
            </w:r>
            <w:proofErr w:type="spellStart"/>
            <w:r w:rsidRPr="00641BD3">
              <w:rPr>
                <w:sz w:val="20"/>
                <w:szCs w:val="20"/>
                <w:lang w:val="es-ES"/>
              </w:rPr>
              <w:t>Quamruzzaman</w:t>
            </w:r>
            <w:proofErr w:type="spellEnd"/>
            <w:r w:rsidRPr="00641BD3">
              <w:rPr>
                <w:sz w:val="20"/>
                <w:szCs w:val="20"/>
                <w:lang w:val="es-ES"/>
              </w:rPr>
              <w:t xml:space="preserve">, Q., Rahman, M., Rahman, M., Su, L., ... </w:t>
            </w:r>
            <w:r w:rsidRPr="00954185">
              <w:rPr>
                <w:sz w:val="20"/>
                <w:szCs w:val="20"/>
              </w:rPr>
              <w:t>&amp; Christiani, D. C. (2019). Gene-environment interaction and maternal arsenic methylation efficiency during pregnancy. Environment international, 125, 43-50.</w:t>
            </w:r>
          </w:p>
        </w:tc>
        <w:tc>
          <w:tcPr>
            <w:tcW w:w="2126" w:type="dxa"/>
            <w:tcBorders>
              <w:right w:val="single" w:sz="4" w:space="0" w:color="000000" w:themeColor="text1"/>
            </w:tcBorders>
            <w:shd w:val="clear" w:color="auto" w:fill="auto"/>
            <w:noWrap/>
            <w:vAlign w:val="center"/>
            <w:hideMark/>
          </w:tcPr>
          <w:p w14:paraId="76DBF31B" w14:textId="77777777" w:rsidR="00954185" w:rsidRPr="00954185" w:rsidRDefault="00954185" w:rsidP="00364C65">
            <w:pPr>
              <w:spacing w:line="360" w:lineRule="auto"/>
              <w:rPr>
                <w:sz w:val="20"/>
                <w:szCs w:val="20"/>
              </w:rPr>
            </w:pPr>
            <w:r w:rsidRPr="00954185">
              <w:rPr>
                <w:sz w:val="20"/>
                <w:szCs w:val="20"/>
              </w:rPr>
              <w:t>Duplicate</w:t>
            </w:r>
          </w:p>
        </w:tc>
      </w:tr>
      <w:tr w:rsidR="00954185" w:rsidRPr="00954185" w14:paraId="465960E2" w14:textId="77777777" w:rsidTr="00364C65">
        <w:trPr>
          <w:trHeight w:val="900"/>
        </w:trPr>
        <w:tc>
          <w:tcPr>
            <w:tcW w:w="8364" w:type="dxa"/>
            <w:tcBorders>
              <w:left w:val="single" w:sz="4" w:space="0" w:color="000000" w:themeColor="text1"/>
            </w:tcBorders>
            <w:shd w:val="clear" w:color="auto" w:fill="auto"/>
            <w:vAlign w:val="center"/>
            <w:hideMark/>
          </w:tcPr>
          <w:p w14:paraId="76D251DB" w14:textId="77777777" w:rsidR="00954185" w:rsidRPr="00954185" w:rsidRDefault="00954185" w:rsidP="00364C65">
            <w:pPr>
              <w:spacing w:line="360" w:lineRule="auto"/>
              <w:rPr>
                <w:sz w:val="20"/>
                <w:szCs w:val="20"/>
              </w:rPr>
            </w:pPr>
            <w:r w:rsidRPr="00641BD3">
              <w:rPr>
                <w:sz w:val="20"/>
                <w:szCs w:val="20"/>
                <w:lang w:val="es-ES"/>
              </w:rPr>
              <w:t xml:space="preserve">Gao, S., </w:t>
            </w:r>
            <w:proofErr w:type="spellStart"/>
            <w:r w:rsidRPr="00641BD3">
              <w:rPr>
                <w:sz w:val="20"/>
                <w:szCs w:val="20"/>
                <w:lang w:val="es-ES"/>
              </w:rPr>
              <w:t>Mostofa</w:t>
            </w:r>
            <w:proofErr w:type="spellEnd"/>
            <w:r w:rsidRPr="00641BD3">
              <w:rPr>
                <w:sz w:val="20"/>
                <w:szCs w:val="20"/>
                <w:lang w:val="es-ES"/>
              </w:rPr>
              <w:t xml:space="preserve">, M. G., </w:t>
            </w:r>
            <w:proofErr w:type="spellStart"/>
            <w:r w:rsidRPr="00641BD3">
              <w:rPr>
                <w:sz w:val="20"/>
                <w:szCs w:val="20"/>
                <w:lang w:val="es-ES"/>
              </w:rPr>
              <w:t>Quamruzzaman</w:t>
            </w:r>
            <w:proofErr w:type="spellEnd"/>
            <w:r w:rsidRPr="00641BD3">
              <w:rPr>
                <w:sz w:val="20"/>
                <w:szCs w:val="20"/>
                <w:lang w:val="es-ES"/>
              </w:rPr>
              <w:t xml:space="preserve">, Q., Rahman, M., Rahman, M., Su, L., ... </w:t>
            </w:r>
            <w:r w:rsidRPr="00954185">
              <w:rPr>
                <w:sz w:val="20"/>
                <w:szCs w:val="20"/>
              </w:rPr>
              <w:t>&amp; Christiani, D. C. (2019). Gene-environment interaction and maternal arsenic methylation efficiency during pregnancy. Environment international, 125, 43-50.</w:t>
            </w:r>
          </w:p>
        </w:tc>
        <w:tc>
          <w:tcPr>
            <w:tcW w:w="2126" w:type="dxa"/>
            <w:tcBorders>
              <w:right w:val="single" w:sz="4" w:space="0" w:color="000000" w:themeColor="text1"/>
            </w:tcBorders>
            <w:shd w:val="clear" w:color="auto" w:fill="auto"/>
            <w:noWrap/>
            <w:vAlign w:val="center"/>
            <w:hideMark/>
          </w:tcPr>
          <w:p w14:paraId="7D9B3551"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529BBA7F" w14:textId="77777777" w:rsidTr="00364C65">
        <w:trPr>
          <w:trHeight w:val="900"/>
        </w:trPr>
        <w:tc>
          <w:tcPr>
            <w:tcW w:w="8364" w:type="dxa"/>
            <w:tcBorders>
              <w:left w:val="single" w:sz="4" w:space="0" w:color="000000" w:themeColor="text1"/>
            </w:tcBorders>
            <w:shd w:val="clear" w:color="auto" w:fill="auto"/>
            <w:vAlign w:val="center"/>
            <w:hideMark/>
          </w:tcPr>
          <w:p w14:paraId="6DE68CB3" w14:textId="77777777" w:rsidR="00954185" w:rsidRPr="00954185" w:rsidRDefault="00954185" w:rsidP="00364C65">
            <w:pPr>
              <w:spacing w:line="360" w:lineRule="auto"/>
              <w:rPr>
                <w:sz w:val="20"/>
                <w:szCs w:val="20"/>
              </w:rPr>
            </w:pPr>
            <w:r w:rsidRPr="00954185">
              <w:rPr>
                <w:sz w:val="20"/>
                <w:szCs w:val="20"/>
              </w:rPr>
              <w:lastRenderedPageBreak/>
              <w:t xml:space="preserve">Gardner, R. M., Engström, K., </w:t>
            </w:r>
            <w:proofErr w:type="spellStart"/>
            <w:r w:rsidRPr="00954185">
              <w:rPr>
                <w:sz w:val="20"/>
                <w:szCs w:val="20"/>
              </w:rPr>
              <w:t>Bottai</w:t>
            </w:r>
            <w:proofErr w:type="spellEnd"/>
            <w:r w:rsidRPr="00954185">
              <w:rPr>
                <w:sz w:val="20"/>
                <w:szCs w:val="20"/>
              </w:rPr>
              <w:t xml:space="preserve">, M., Hoque, W. A., Raqib, R., Broberg, K., &amp; </w:t>
            </w:r>
            <w:proofErr w:type="spellStart"/>
            <w:r w:rsidRPr="00954185">
              <w:rPr>
                <w:sz w:val="20"/>
                <w:szCs w:val="20"/>
              </w:rPr>
              <w:t>Vahter</w:t>
            </w:r>
            <w:proofErr w:type="spellEnd"/>
            <w:r w:rsidRPr="00954185">
              <w:rPr>
                <w:sz w:val="20"/>
                <w:szCs w:val="20"/>
              </w:rPr>
              <w:t>, M. (2012). Pregnancy and the methyltransferase genotype independently influence the arsenic methylation phenotype. Pharmacogenetics and genomics, 22(7), 508-516.</w:t>
            </w:r>
          </w:p>
        </w:tc>
        <w:tc>
          <w:tcPr>
            <w:tcW w:w="2126" w:type="dxa"/>
            <w:tcBorders>
              <w:right w:val="single" w:sz="4" w:space="0" w:color="000000" w:themeColor="text1"/>
            </w:tcBorders>
            <w:shd w:val="clear" w:color="auto" w:fill="auto"/>
            <w:noWrap/>
            <w:vAlign w:val="center"/>
            <w:hideMark/>
          </w:tcPr>
          <w:p w14:paraId="40B09D9F" w14:textId="37B88A18" w:rsidR="00954185" w:rsidRPr="00954185" w:rsidRDefault="00954185" w:rsidP="00364C65">
            <w:pPr>
              <w:spacing w:line="360" w:lineRule="auto"/>
              <w:rPr>
                <w:sz w:val="20"/>
                <w:szCs w:val="20"/>
              </w:rPr>
            </w:pPr>
            <w:r w:rsidRPr="00954185">
              <w:rPr>
                <w:sz w:val="20"/>
                <w:szCs w:val="20"/>
              </w:rPr>
              <w:t xml:space="preserve">No genetic </w:t>
            </w:r>
            <w:r w:rsidR="000462B2" w:rsidRPr="00954185">
              <w:rPr>
                <w:sz w:val="20"/>
                <w:szCs w:val="20"/>
              </w:rPr>
              <w:t>susceptibility</w:t>
            </w:r>
            <w:r w:rsidRPr="00954185">
              <w:rPr>
                <w:sz w:val="20"/>
                <w:szCs w:val="20"/>
              </w:rPr>
              <w:t>, or not SNP</w:t>
            </w:r>
          </w:p>
        </w:tc>
      </w:tr>
      <w:tr w:rsidR="00954185" w:rsidRPr="00954185" w14:paraId="7E4E6726" w14:textId="77777777" w:rsidTr="00364C65">
        <w:trPr>
          <w:trHeight w:val="600"/>
        </w:trPr>
        <w:tc>
          <w:tcPr>
            <w:tcW w:w="8364" w:type="dxa"/>
            <w:tcBorders>
              <w:left w:val="single" w:sz="4" w:space="0" w:color="000000" w:themeColor="text1"/>
            </w:tcBorders>
            <w:shd w:val="clear" w:color="auto" w:fill="auto"/>
            <w:vAlign w:val="center"/>
            <w:hideMark/>
          </w:tcPr>
          <w:p w14:paraId="3B4E7CE5" w14:textId="77777777" w:rsidR="00954185" w:rsidRPr="00954185" w:rsidRDefault="00954185" w:rsidP="00364C65">
            <w:pPr>
              <w:spacing w:line="360" w:lineRule="auto"/>
              <w:rPr>
                <w:sz w:val="20"/>
                <w:szCs w:val="20"/>
              </w:rPr>
            </w:pPr>
            <w:proofErr w:type="spellStart"/>
            <w:r w:rsidRPr="00641BD3">
              <w:rPr>
                <w:sz w:val="20"/>
                <w:szCs w:val="20"/>
                <w:lang w:val="es-ES"/>
              </w:rPr>
              <w:t>Gasmi</w:t>
            </w:r>
            <w:proofErr w:type="spellEnd"/>
            <w:r w:rsidRPr="00641BD3">
              <w:rPr>
                <w:sz w:val="20"/>
                <w:szCs w:val="20"/>
                <w:lang w:val="es-ES"/>
              </w:rPr>
              <w:t xml:space="preserve">, A., </w:t>
            </w:r>
            <w:proofErr w:type="spellStart"/>
            <w:r w:rsidRPr="00641BD3">
              <w:rPr>
                <w:sz w:val="20"/>
                <w:szCs w:val="20"/>
                <w:lang w:val="es-ES"/>
              </w:rPr>
              <w:t>Menzel</w:t>
            </w:r>
            <w:proofErr w:type="spellEnd"/>
            <w:r w:rsidRPr="00641BD3">
              <w:rPr>
                <w:sz w:val="20"/>
                <w:szCs w:val="20"/>
                <w:lang w:val="es-ES"/>
              </w:rPr>
              <w:t xml:space="preserve">, A., </w:t>
            </w:r>
            <w:proofErr w:type="spellStart"/>
            <w:r w:rsidRPr="00641BD3">
              <w:rPr>
                <w:sz w:val="20"/>
                <w:szCs w:val="20"/>
                <w:lang w:val="es-ES"/>
              </w:rPr>
              <w:t>Piscopo</w:t>
            </w:r>
            <w:proofErr w:type="spellEnd"/>
            <w:r w:rsidRPr="00641BD3">
              <w:rPr>
                <w:sz w:val="20"/>
                <w:szCs w:val="20"/>
                <w:lang w:val="es-ES"/>
              </w:rPr>
              <w:t xml:space="preserve">, S., &amp; Noor, S. (2022). </w:t>
            </w:r>
            <w:r w:rsidRPr="00954185">
              <w:rPr>
                <w:sz w:val="20"/>
                <w:szCs w:val="20"/>
              </w:rPr>
              <w:t>Toxic Metals Exposure and APOE4 Gene Variant in Cognitive Decline Disorders. Archives of Razi Institute, 77(1), 1.</w:t>
            </w:r>
          </w:p>
        </w:tc>
        <w:tc>
          <w:tcPr>
            <w:tcW w:w="2126" w:type="dxa"/>
            <w:tcBorders>
              <w:right w:val="single" w:sz="4" w:space="0" w:color="000000" w:themeColor="text1"/>
            </w:tcBorders>
            <w:shd w:val="clear" w:color="auto" w:fill="auto"/>
            <w:noWrap/>
            <w:vAlign w:val="center"/>
            <w:hideMark/>
          </w:tcPr>
          <w:p w14:paraId="4D1A201A" w14:textId="77777777" w:rsidR="00954185" w:rsidRPr="00954185" w:rsidRDefault="00954185" w:rsidP="00364C65">
            <w:pPr>
              <w:spacing w:line="360" w:lineRule="auto"/>
              <w:rPr>
                <w:sz w:val="20"/>
                <w:szCs w:val="20"/>
              </w:rPr>
            </w:pPr>
            <w:r w:rsidRPr="00954185">
              <w:rPr>
                <w:sz w:val="20"/>
                <w:szCs w:val="20"/>
              </w:rPr>
              <w:t>Secondary study design (e.g., review, meta-analysis)</w:t>
            </w:r>
          </w:p>
        </w:tc>
      </w:tr>
      <w:tr w:rsidR="00954185" w:rsidRPr="00954185" w14:paraId="57A0E530" w14:textId="77777777" w:rsidTr="00364C65">
        <w:trPr>
          <w:trHeight w:val="900"/>
        </w:trPr>
        <w:tc>
          <w:tcPr>
            <w:tcW w:w="8364" w:type="dxa"/>
            <w:tcBorders>
              <w:left w:val="single" w:sz="4" w:space="0" w:color="000000" w:themeColor="text1"/>
            </w:tcBorders>
            <w:shd w:val="clear" w:color="auto" w:fill="auto"/>
            <w:vAlign w:val="center"/>
            <w:hideMark/>
          </w:tcPr>
          <w:p w14:paraId="20D8179D" w14:textId="77777777" w:rsidR="00954185" w:rsidRPr="00954185" w:rsidRDefault="00954185" w:rsidP="00364C65">
            <w:pPr>
              <w:spacing w:line="360" w:lineRule="auto"/>
              <w:rPr>
                <w:sz w:val="20"/>
                <w:szCs w:val="20"/>
              </w:rPr>
            </w:pPr>
            <w:proofErr w:type="spellStart"/>
            <w:r w:rsidRPr="00641BD3">
              <w:rPr>
                <w:sz w:val="20"/>
                <w:szCs w:val="20"/>
                <w:lang w:val="es-ES"/>
              </w:rPr>
              <w:t>Gauer</w:t>
            </w:r>
            <w:proofErr w:type="spellEnd"/>
            <w:r w:rsidRPr="00641BD3">
              <w:rPr>
                <w:sz w:val="20"/>
                <w:szCs w:val="20"/>
                <w:lang w:val="es-ES"/>
              </w:rPr>
              <w:t xml:space="preserve">, B., Sauer, E., Nascimento, S., </w:t>
            </w:r>
            <w:proofErr w:type="spellStart"/>
            <w:r w:rsidRPr="00641BD3">
              <w:rPr>
                <w:sz w:val="20"/>
                <w:szCs w:val="20"/>
                <w:lang w:val="es-ES"/>
              </w:rPr>
              <w:t>Göethel</w:t>
            </w:r>
            <w:proofErr w:type="spellEnd"/>
            <w:r w:rsidRPr="00641BD3">
              <w:rPr>
                <w:sz w:val="20"/>
                <w:szCs w:val="20"/>
                <w:lang w:val="es-ES"/>
              </w:rPr>
              <w:t xml:space="preserve">, G., Peruzzi, C., </w:t>
            </w:r>
            <w:proofErr w:type="spellStart"/>
            <w:r w:rsidRPr="00641BD3">
              <w:rPr>
                <w:sz w:val="20"/>
                <w:szCs w:val="20"/>
                <w:lang w:val="es-ES"/>
              </w:rPr>
              <w:t>Flesch</w:t>
            </w:r>
            <w:proofErr w:type="spellEnd"/>
            <w:r w:rsidRPr="00641BD3">
              <w:rPr>
                <w:sz w:val="20"/>
                <w:szCs w:val="20"/>
                <w:lang w:val="es-ES"/>
              </w:rPr>
              <w:t xml:space="preserve">, I., ... </w:t>
            </w:r>
            <w:r w:rsidRPr="00954185">
              <w:rPr>
                <w:sz w:val="20"/>
                <w:szCs w:val="20"/>
              </w:rPr>
              <w:t xml:space="preserve">&amp; Garcia, S. C. (2021). Cellular response to chemicals </w:t>
            </w:r>
            <w:proofErr w:type="gramStart"/>
            <w:r w:rsidRPr="00954185">
              <w:rPr>
                <w:sz w:val="20"/>
                <w:szCs w:val="20"/>
              </w:rPr>
              <w:t>present</w:t>
            </w:r>
            <w:proofErr w:type="gramEnd"/>
            <w:r w:rsidRPr="00954185">
              <w:rPr>
                <w:sz w:val="20"/>
                <w:szCs w:val="20"/>
              </w:rPr>
              <w:t xml:space="preserve"> in air pollution in occupationally exposed workers and its potential cancer susceptibility. Chemosphere, 263, 127857.</w:t>
            </w:r>
          </w:p>
        </w:tc>
        <w:tc>
          <w:tcPr>
            <w:tcW w:w="2126" w:type="dxa"/>
            <w:tcBorders>
              <w:right w:val="single" w:sz="4" w:space="0" w:color="000000" w:themeColor="text1"/>
            </w:tcBorders>
            <w:shd w:val="clear" w:color="auto" w:fill="auto"/>
            <w:noWrap/>
            <w:vAlign w:val="center"/>
            <w:hideMark/>
          </w:tcPr>
          <w:p w14:paraId="1D0EB0CA" w14:textId="3038447A" w:rsidR="00954185" w:rsidRPr="00954185" w:rsidRDefault="00954185" w:rsidP="00364C65">
            <w:pPr>
              <w:spacing w:line="360" w:lineRule="auto"/>
              <w:rPr>
                <w:sz w:val="20"/>
                <w:szCs w:val="20"/>
              </w:rPr>
            </w:pPr>
            <w:r w:rsidRPr="00954185">
              <w:rPr>
                <w:sz w:val="20"/>
                <w:szCs w:val="20"/>
              </w:rPr>
              <w:t xml:space="preserve">No genetic </w:t>
            </w:r>
            <w:r w:rsidR="000462B2" w:rsidRPr="00954185">
              <w:rPr>
                <w:sz w:val="20"/>
                <w:szCs w:val="20"/>
              </w:rPr>
              <w:t>susceptibility</w:t>
            </w:r>
            <w:r w:rsidRPr="00954185">
              <w:rPr>
                <w:sz w:val="20"/>
                <w:szCs w:val="20"/>
              </w:rPr>
              <w:t>, or not SNP</w:t>
            </w:r>
          </w:p>
        </w:tc>
      </w:tr>
      <w:tr w:rsidR="00954185" w:rsidRPr="00954185" w14:paraId="5DF64DF6" w14:textId="77777777" w:rsidTr="00364C65">
        <w:trPr>
          <w:trHeight w:val="1200"/>
        </w:trPr>
        <w:tc>
          <w:tcPr>
            <w:tcW w:w="8364" w:type="dxa"/>
            <w:tcBorders>
              <w:left w:val="single" w:sz="4" w:space="0" w:color="000000" w:themeColor="text1"/>
            </w:tcBorders>
            <w:shd w:val="clear" w:color="auto" w:fill="auto"/>
            <w:vAlign w:val="center"/>
            <w:hideMark/>
          </w:tcPr>
          <w:p w14:paraId="528537EE" w14:textId="77777777" w:rsidR="00954185" w:rsidRPr="00954185" w:rsidRDefault="00954185" w:rsidP="00364C65">
            <w:pPr>
              <w:spacing w:line="360" w:lineRule="auto"/>
              <w:rPr>
                <w:sz w:val="20"/>
                <w:szCs w:val="20"/>
              </w:rPr>
            </w:pPr>
            <w:r w:rsidRPr="00641BD3">
              <w:rPr>
                <w:sz w:val="20"/>
                <w:szCs w:val="20"/>
                <w:lang w:val="es-ES"/>
              </w:rPr>
              <w:t xml:space="preserve">Ghosh, P., </w:t>
            </w:r>
            <w:proofErr w:type="spellStart"/>
            <w:r w:rsidRPr="00641BD3">
              <w:rPr>
                <w:sz w:val="20"/>
                <w:szCs w:val="20"/>
                <w:lang w:val="es-ES"/>
              </w:rPr>
              <w:t>Basu</w:t>
            </w:r>
            <w:proofErr w:type="spellEnd"/>
            <w:r w:rsidRPr="00641BD3">
              <w:rPr>
                <w:sz w:val="20"/>
                <w:szCs w:val="20"/>
                <w:lang w:val="es-ES"/>
              </w:rPr>
              <w:t xml:space="preserve">, A., </w:t>
            </w:r>
            <w:proofErr w:type="spellStart"/>
            <w:r w:rsidRPr="00641BD3">
              <w:rPr>
                <w:sz w:val="20"/>
                <w:szCs w:val="20"/>
                <w:lang w:val="es-ES"/>
              </w:rPr>
              <w:t>Mahata</w:t>
            </w:r>
            <w:proofErr w:type="spellEnd"/>
            <w:r w:rsidRPr="00641BD3">
              <w:rPr>
                <w:sz w:val="20"/>
                <w:szCs w:val="20"/>
                <w:lang w:val="es-ES"/>
              </w:rPr>
              <w:t xml:space="preserve">, J., </w:t>
            </w:r>
            <w:proofErr w:type="spellStart"/>
            <w:r w:rsidRPr="00641BD3">
              <w:rPr>
                <w:sz w:val="20"/>
                <w:szCs w:val="20"/>
                <w:lang w:val="es-ES"/>
              </w:rPr>
              <w:t>Basu</w:t>
            </w:r>
            <w:proofErr w:type="spellEnd"/>
            <w:r w:rsidRPr="00641BD3">
              <w:rPr>
                <w:sz w:val="20"/>
                <w:szCs w:val="20"/>
                <w:lang w:val="es-ES"/>
              </w:rPr>
              <w:t xml:space="preserve">, S., Sengupta, M., Das, J. K., ... </w:t>
            </w:r>
            <w:r w:rsidRPr="00954185">
              <w:rPr>
                <w:sz w:val="20"/>
                <w:szCs w:val="20"/>
              </w:rPr>
              <w:t>&amp; Giri, A. K. (2006). Cytogenetic damage and genetic variants in the individuals susceptible to arsenic‐induced cancer through drinking water. International journal of cancer, 118(10), 2470-2478.</w:t>
            </w:r>
          </w:p>
        </w:tc>
        <w:tc>
          <w:tcPr>
            <w:tcW w:w="2126" w:type="dxa"/>
            <w:tcBorders>
              <w:right w:val="single" w:sz="4" w:space="0" w:color="000000" w:themeColor="text1"/>
            </w:tcBorders>
            <w:shd w:val="clear" w:color="auto" w:fill="auto"/>
            <w:noWrap/>
            <w:vAlign w:val="center"/>
            <w:hideMark/>
          </w:tcPr>
          <w:p w14:paraId="5BBF88F7" w14:textId="77777777" w:rsidR="00954185" w:rsidRPr="00954185" w:rsidRDefault="00954185" w:rsidP="00364C65">
            <w:pPr>
              <w:spacing w:line="360" w:lineRule="auto"/>
              <w:rPr>
                <w:sz w:val="20"/>
                <w:szCs w:val="20"/>
              </w:rPr>
            </w:pPr>
            <w:r w:rsidRPr="00954185">
              <w:rPr>
                <w:sz w:val="20"/>
                <w:szCs w:val="20"/>
              </w:rPr>
              <w:t>Skin lesions</w:t>
            </w:r>
          </w:p>
        </w:tc>
      </w:tr>
      <w:tr w:rsidR="00954185" w:rsidRPr="00954185" w14:paraId="330FBE2A" w14:textId="77777777" w:rsidTr="00364C65">
        <w:trPr>
          <w:trHeight w:val="900"/>
        </w:trPr>
        <w:tc>
          <w:tcPr>
            <w:tcW w:w="8364" w:type="dxa"/>
            <w:tcBorders>
              <w:left w:val="single" w:sz="4" w:space="0" w:color="000000" w:themeColor="text1"/>
            </w:tcBorders>
            <w:shd w:val="clear" w:color="auto" w:fill="auto"/>
            <w:vAlign w:val="center"/>
            <w:hideMark/>
          </w:tcPr>
          <w:p w14:paraId="4D19B53A" w14:textId="77777777" w:rsidR="00954185" w:rsidRPr="00954185" w:rsidRDefault="00954185" w:rsidP="00364C65">
            <w:pPr>
              <w:spacing w:line="360" w:lineRule="auto"/>
              <w:rPr>
                <w:sz w:val="20"/>
                <w:szCs w:val="20"/>
              </w:rPr>
            </w:pPr>
            <w:r w:rsidRPr="00954185">
              <w:rPr>
                <w:sz w:val="20"/>
                <w:szCs w:val="20"/>
              </w:rPr>
              <w:t>Gong, G., &amp; O'Bryant, S. E. (2012). Low-level arsenic exposure, AS3MT gene polymorphism and cardiovascular diseases in rural Texas counties. Environmental research, 113, 52-57.</w:t>
            </w:r>
          </w:p>
        </w:tc>
        <w:tc>
          <w:tcPr>
            <w:tcW w:w="2126" w:type="dxa"/>
            <w:tcBorders>
              <w:right w:val="single" w:sz="4" w:space="0" w:color="000000" w:themeColor="text1"/>
            </w:tcBorders>
            <w:shd w:val="clear" w:color="auto" w:fill="auto"/>
            <w:noWrap/>
            <w:vAlign w:val="center"/>
            <w:hideMark/>
          </w:tcPr>
          <w:p w14:paraId="6E4A4A42" w14:textId="77777777" w:rsidR="00954185" w:rsidRPr="00954185" w:rsidRDefault="00954185" w:rsidP="00364C65">
            <w:pPr>
              <w:spacing w:line="360" w:lineRule="auto"/>
              <w:rPr>
                <w:sz w:val="20"/>
                <w:szCs w:val="20"/>
              </w:rPr>
            </w:pPr>
            <w:r w:rsidRPr="00954185">
              <w:rPr>
                <w:sz w:val="20"/>
                <w:szCs w:val="20"/>
              </w:rPr>
              <w:t xml:space="preserve">No arsenic metabolism, or arsenic-related disease </w:t>
            </w:r>
          </w:p>
        </w:tc>
      </w:tr>
      <w:tr w:rsidR="00954185" w:rsidRPr="00954185" w14:paraId="475484CD" w14:textId="77777777" w:rsidTr="00364C65">
        <w:trPr>
          <w:trHeight w:val="1200"/>
        </w:trPr>
        <w:tc>
          <w:tcPr>
            <w:tcW w:w="8364" w:type="dxa"/>
            <w:tcBorders>
              <w:left w:val="single" w:sz="4" w:space="0" w:color="000000" w:themeColor="text1"/>
            </w:tcBorders>
            <w:shd w:val="clear" w:color="auto" w:fill="auto"/>
            <w:vAlign w:val="center"/>
            <w:hideMark/>
          </w:tcPr>
          <w:p w14:paraId="7DFF1238" w14:textId="77777777" w:rsidR="00954185" w:rsidRPr="00954185" w:rsidRDefault="00954185" w:rsidP="00364C65">
            <w:pPr>
              <w:spacing w:line="360" w:lineRule="auto"/>
              <w:rPr>
                <w:sz w:val="20"/>
                <w:szCs w:val="20"/>
              </w:rPr>
            </w:pPr>
            <w:r w:rsidRPr="00641BD3">
              <w:rPr>
                <w:sz w:val="20"/>
                <w:szCs w:val="20"/>
                <w:lang w:val="es-ES"/>
              </w:rPr>
              <w:t xml:space="preserve">González-Martínez, F., Sánchez-Rodas, D., Cáceres, D. D., Martínez, M. F., Quiñones, L. A., &amp; Johnson-Restrepo, B. (2018). </w:t>
            </w:r>
            <w:r w:rsidRPr="00954185">
              <w:rPr>
                <w:sz w:val="20"/>
                <w:szCs w:val="20"/>
              </w:rPr>
              <w:t xml:space="preserve">Arsenic exposure, profiles of urinary arsenic species, and polymorphism effects of glutathione-s-transferase and </w:t>
            </w:r>
            <w:proofErr w:type="spellStart"/>
            <w:r w:rsidRPr="00954185">
              <w:rPr>
                <w:sz w:val="20"/>
                <w:szCs w:val="20"/>
              </w:rPr>
              <w:t>metallothioneins</w:t>
            </w:r>
            <w:proofErr w:type="spellEnd"/>
            <w:r w:rsidRPr="00954185">
              <w:rPr>
                <w:sz w:val="20"/>
                <w:szCs w:val="20"/>
              </w:rPr>
              <w:t>. Chemosphere, 212, 927-936.</w:t>
            </w:r>
          </w:p>
        </w:tc>
        <w:tc>
          <w:tcPr>
            <w:tcW w:w="2126" w:type="dxa"/>
            <w:tcBorders>
              <w:right w:val="single" w:sz="4" w:space="0" w:color="000000" w:themeColor="text1"/>
            </w:tcBorders>
            <w:shd w:val="clear" w:color="auto" w:fill="auto"/>
            <w:noWrap/>
            <w:vAlign w:val="center"/>
            <w:hideMark/>
          </w:tcPr>
          <w:p w14:paraId="3D6ADAB1"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259C7236" w14:textId="77777777" w:rsidTr="00364C65">
        <w:trPr>
          <w:trHeight w:val="1200"/>
        </w:trPr>
        <w:tc>
          <w:tcPr>
            <w:tcW w:w="8364" w:type="dxa"/>
            <w:tcBorders>
              <w:left w:val="single" w:sz="4" w:space="0" w:color="000000" w:themeColor="text1"/>
            </w:tcBorders>
            <w:shd w:val="clear" w:color="auto" w:fill="auto"/>
            <w:vAlign w:val="center"/>
            <w:hideMark/>
          </w:tcPr>
          <w:p w14:paraId="107797C6" w14:textId="77777777" w:rsidR="00954185" w:rsidRPr="00954185" w:rsidRDefault="00954185" w:rsidP="00364C65">
            <w:pPr>
              <w:spacing w:line="360" w:lineRule="auto"/>
              <w:rPr>
                <w:sz w:val="20"/>
                <w:szCs w:val="20"/>
              </w:rPr>
            </w:pPr>
            <w:r w:rsidRPr="00641BD3">
              <w:rPr>
                <w:sz w:val="20"/>
                <w:szCs w:val="20"/>
                <w:lang w:val="es-ES"/>
              </w:rPr>
              <w:t xml:space="preserve">González-Martínez, F., Sánchez-Rodas, D., Varela, N. M., Sandoval, C. A., Quiñones, L. A., &amp; Johnson-Restrepo, B. (2020). </w:t>
            </w:r>
            <w:r w:rsidRPr="00954185">
              <w:rPr>
                <w:sz w:val="20"/>
                <w:szCs w:val="20"/>
              </w:rPr>
              <w:t>As3MT and GST polymorphisms influencing arsenic metabolism in human exposure to drinking groundwater. International Journal of Molecular Sciences, 21(14), 4832.</w:t>
            </w:r>
          </w:p>
        </w:tc>
        <w:tc>
          <w:tcPr>
            <w:tcW w:w="2126" w:type="dxa"/>
            <w:tcBorders>
              <w:right w:val="single" w:sz="4" w:space="0" w:color="000000" w:themeColor="text1"/>
            </w:tcBorders>
            <w:shd w:val="clear" w:color="auto" w:fill="auto"/>
            <w:noWrap/>
            <w:vAlign w:val="center"/>
            <w:hideMark/>
          </w:tcPr>
          <w:p w14:paraId="57063E9A"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6218F244" w14:textId="77777777" w:rsidTr="00364C65">
        <w:trPr>
          <w:trHeight w:val="900"/>
        </w:trPr>
        <w:tc>
          <w:tcPr>
            <w:tcW w:w="8364" w:type="dxa"/>
            <w:tcBorders>
              <w:left w:val="single" w:sz="4" w:space="0" w:color="000000" w:themeColor="text1"/>
            </w:tcBorders>
            <w:shd w:val="clear" w:color="auto" w:fill="auto"/>
            <w:vAlign w:val="center"/>
            <w:hideMark/>
          </w:tcPr>
          <w:p w14:paraId="7DD65A67" w14:textId="77777777" w:rsidR="00954185" w:rsidRPr="00954185" w:rsidRDefault="00954185" w:rsidP="00364C65">
            <w:pPr>
              <w:spacing w:line="360" w:lineRule="auto"/>
              <w:rPr>
                <w:sz w:val="20"/>
                <w:szCs w:val="20"/>
              </w:rPr>
            </w:pPr>
            <w:r w:rsidRPr="00954185">
              <w:rPr>
                <w:sz w:val="20"/>
                <w:szCs w:val="20"/>
              </w:rPr>
              <w:t xml:space="preserve">Granja, F., Morari, E. C., </w:t>
            </w:r>
            <w:proofErr w:type="spellStart"/>
            <w:r w:rsidRPr="00954185">
              <w:rPr>
                <w:sz w:val="20"/>
                <w:szCs w:val="20"/>
              </w:rPr>
              <w:t>Assumpcao</w:t>
            </w:r>
            <w:proofErr w:type="spellEnd"/>
            <w:r w:rsidRPr="00954185">
              <w:rPr>
                <w:sz w:val="20"/>
                <w:szCs w:val="20"/>
              </w:rPr>
              <w:t>, L. V. M., &amp; Ward, L. S. (2005). GSTO polymorphism analysis in thyroid nodules suggest that GSTO1 variants do not influence the risk for malignancy. European Journal of Cancer Prevention, 277-280.</w:t>
            </w:r>
          </w:p>
        </w:tc>
        <w:tc>
          <w:tcPr>
            <w:tcW w:w="2126" w:type="dxa"/>
            <w:tcBorders>
              <w:right w:val="single" w:sz="4" w:space="0" w:color="000000" w:themeColor="text1"/>
            </w:tcBorders>
            <w:shd w:val="clear" w:color="auto" w:fill="auto"/>
            <w:noWrap/>
            <w:vAlign w:val="center"/>
            <w:hideMark/>
          </w:tcPr>
          <w:p w14:paraId="23572AFD" w14:textId="77777777" w:rsidR="00954185" w:rsidRPr="00954185" w:rsidRDefault="00954185" w:rsidP="00364C65">
            <w:pPr>
              <w:spacing w:line="360" w:lineRule="auto"/>
              <w:rPr>
                <w:sz w:val="20"/>
                <w:szCs w:val="20"/>
              </w:rPr>
            </w:pPr>
            <w:r w:rsidRPr="00954185">
              <w:rPr>
                <w:sz w:val="20"/>
                <w:szCs w:val="20"/>
              </w:rPr>
              <w:t xml:space="preserve">No arsenic metabolism, or arsenic-related disease </w:t>
            </w:r>
          </w:p>
        </w:tc>
      </w:tr>
      <w:tr w:rsidR="00954185" w:rsidRPr="00954185" w14:paraId="30E6E3B5" w14:textId="77777777" w:rsidTr="00364C65">
        <w:trPr>
          <w:trHeight w:val="900"/>
        </w:trPr>
        <w:tc>
          <w:tcPr>
            <w:tcW w:w="8364" w:type="dxa"/>
            <w:tcBorders>
              <w:left w:val="single" w:sz="4" w:space="0" w:color="000000" w:themeColor="text1"/>
            </w:tcBorders>
            <w:shd w:val="clear" w:color="auto" w:fill="auto"/>
            <w:vAlign w:val="center"/>
            <w:hideMark/>
          </w:tcPr>
          <w:p w14:paraId="72130A0B" w14:textId="77777777" w:rsidR="00954185" w:rsidRPr="00954185" w:rsidRDefault="00954185" w:rsidP="00364C65">
            <w:pPr>
              <w:spacing w:line="360" w:lineRule="auto"/>
              <w:rPr>
                <w:sz w:val="20"/>
                <w:szCs w:val="20"/>
              </w:rPr>
            </w:pPr>
            <w:r w:rsidRPr="00954185">
              <w:rPr>
                <w:sz w:val="20"/>
                <w:szCs w:val="20"/>
              </w:rPr>
              <w:t>Gribble, M. O., Voruganti, V. S., Cole, S. A., Haack, K., Balakrishnan, P., Laston, S. L., ... &amp; Navas-</w:t>
            </w:r>
            <w:proofErr w:type="spellStart"/>
            <w:r w:rsidRPr="00954185">
              <w:rPr>
                <w:sz w:val="20"/>
                <w:szCs w:val="20"/>
              </w:rPr>
              <w:t>Acien</w:t>
            </w:r>
            <w:proofErr w:type="spellEnd"/>
            <w:r w:rsidRPr="00954185">
              <w:rPr>
                <w:sz w:val="20"/>
                <w:szCs w:val="20"/>
              </w:rPr>
              <w:t>, A. (2015). Linkage analysis of urine arsenic species patterns in the strong heart family study. Toxicological Sciences, 148(1), 89-100.</w:t>
            </w:r>
          </w:p>
        </w:tc>
        <w:tc>
          <w:tcPr>
            <w:tcW w:w="2126" w:type="dxa"/>
            <w:tcBorders>
              <w:right w:val="single" w:sz="4" w:space="0" w:color="000000" w:themeColor="text1"/>
            </w:tcBorders>
            <w:shd w:val="clear" w:color="auto" w:fill="auto"/>
            <w:noWrap/>
            <w:vAlign w:val="center"/>
            <w:hideMark/>
          </w:tcPr>
          <w:p w14:paraId="5F75450D"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13E9C00B" w14:textId="77777777" w:rsidTr="00364C65">
        <w:trPr>
          <w:trHeight w:val="900"/>
        </w:trPr>
        <w:tc>
          <w:tcPr>
            <w:tcW w:w="8364" w:type="dxa"/>
            <w:tcBorders>
              <w:left w:val="single" w:sz="4" w:space="0" w:color="000000" w:themeColor="text1"/>
            </w:tcBorders>
            <w:shd w:val="clear" w:color="auto" w:fill="auto"/>
            <w:vAlign w:val="center"/>
            <w:hideMark/>
          </w:tcPr>
          <w:p w14:paraId="24BA6462" w14:textId="77777777" w:rsidR="00954185" w:rsidRPr="00954185" w:rsidRDefault="00954185" w:rsidP="00364C65">
            <w:pPr>
              <w:spacing w:line="360" w:lineRule="auto"/>
              <w:rPr>
                <w:sz w:val="20"/>
                <w:szCs w:val="20"/>
              </w:rPr>
            </w:pPr>
            <w:r w:rsidRPr="00954185">
              <w:rPr>
                <w:sz w:val="20"/>
                <w:szCs w:val="20"/>
              </w:rPr>
              <w:t xml:space="preserve">Gribble, M. O., Voruganti, V. S., Cropp, C. D., Francesconi, K. A., </w:t>
            </w:r>
            <w:proofErr w:type="spellStart"/>
            <w:r w:rsidRPr="00954185">
              <w:rPr>
                <w:sz w:val="20"/>
                <w:szCs w:val="20"/>
              </w:rPr>
              <w:t>Goessler</w:t>
            </w:r>
            <w:proofErr w:type="spellEnd"/>
            <w:r w:rsidRPr="00954185">
              <w:rPr>
                <w:sz w:val="20"/>
                <w:szCs w:val="20"/>
              </w:rPr>
              <w:t>, W., Umans, J. G., ... &amp; Navas-</w:t>
            </w:r>
            <w:proofErr w:type="spellStart"/>
            <w:r w:rsidRPr="00954185">
              <w:rPr>
                <w:sz w:val="20"/>
                <w:szCs w:val="20"/>
              </w:rPr>
              <w:t>Acien</w:t>
            </w:r>
            <w:proofErr w:type="spellEnd"/>
            <w:r w:rsidRPr="00954185">
              <w:rPr>
                <w:sz w:val="20"/>
                <w:szCs w:val="20"/>
              </w:rPr>
              <w:t>, A. (2013). SLCO1B1 variants and urine arsenic metabolites in the Strong Heart Family Study. toxicological sciences, 136(1), 19-25.</w:t>
            </w:r>
          </w:p>
        </w:tc>
        <w:tc>
          <w:tcPr>
            <w:tcW w:w="2126" w:type="dxa"/>
            <w:tcBorders>
              <w:right w:val="single" w:sz="4" w:space="0" w:color="000000" w:themeColor="text1"/>
            </w:tcBorders>
            <w:shd w:val="clear" w:color="auto" w:fill="auto"/>
            <w:noWrap/>
            <w:vAlign w:val="center"/>
            <w:hideMark/>
          </w:tcPr>
          <w:p w14:paraId="1DA9BDF9"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4ED937F9" w14:textId="77777777" w:rsidTr="00364C65">
        <w:trPr>
          <w:trHeight w:val="900"/>
        </w:trPr>
        <w:tc>
          <w:tcPr>
            <w:tcW w:w="8364" w:type="dxa"/>
            <w:tcBorders>
              <w:left w:val="single" w:sz="4" w:space="0" w:color="000000" w:themeColor="text1"/>
            </w:tcBorders>
            <w:shd w:val="clear" w:color="auto" w:fill="auto"/>
            <w:vAlign w:val="center"/>
            <w:hideMark/>
          </w:tcPr>
          <w:p w14:paraId="09791D86" w14:textId="77777777" w:rsidR="00954185" w:rsidRPr="00954185" w:rsidRDefault="00954185" w:rsidP="00364C65">
            <w:pPr>
              <w:spacing w:line="360" w:lineRule="auto"/>
              <w:rPr>
                <w:sz w:val="20"/>
                <w:szCs w:val="20"/>
              </w:rPr>
            </w:pPr>
            <w:r w:rsidRPr="00641BD3">
              <w:rPr>
                <w:sz w:val="20"/>
                <w:szCs w:val="20"/>
                <w:lang w:val="es-ES"/>
              </w:rPr>
              <w:t xml:space="preserve">Harari, F., </w:t>
            </w:r>
            <w:proofErr w:type="spellStart"/>
            <w:r w:rsidRPr="00641BD3">
              <w:rPr>
                <w:sz w:val="20"/>
                <w:szCs w:val="20"/>
                <w:lang w:val="es-ES"/>
              </w:rPr>
              <w:t>Engström</w:t>
            </w:r>
            <w:proofErr w:type="spellEnd"/>
            <w:r w:rsidRPr="00641BD3">
              <w:rPr>
                <w:sz w:val="20"/>
                <w:szCs w:val="20"/>
                <w:lang w:val="es-ES"/>
              </w:rPr>
              <w:t xml:space="preserve">, K., Concha, G., Colque, G., </w:t>
            </w:r>
            <w:proofErr w:type="spellStart"/>
            <w:r w:rsidRPr="00641BD3">
              <w:rPr>
                <w:sz w:val="20"/>
                <w:szCs w:val="20"/>
                <w:lang w:val="es-ES"/>
              </w:rPr>
              <w:t>Vahter</w:t>
            </w:r>
            <w:proofErr w:type="spellEnd"/>
            <w:r w:rsidRPr="00641BD3">
              <w:rPr>
                <w:sz w:val="20"/>
                <w:szCs w:val="20"/>
                <w:lang w:val="es-ES"/>
              </w:rPr>
              <w:t xml:space="preserve">, M., &amp; </w:t>
            </w:r>
            <w:proofErr w:type="spellStart"/>
            <w:r w:rsidRPr="00641BD3">
              <w:rPr>
                <w:sz w:val="20"/>
                <w:szCs w:val="20"/>
                <w:lang w:val="es-ES"/>
              </w:rPr>
              <w:t>Broberg</w:t>
            </w:r>
            <w:proofErr w:type="spellEnd"/>
            <w:r w:rsidRPr="00641BD3">
              <w:rPr>
                <w:sz w:val="20"/>
                <w:szCs w:val="20"/>
                <w:lang w:val="es-ES"/>
              </w:rPr>
              <w:t xml:space="preserve">, K. (2013). </w:t>
            </w:r>
            <w:r w:rsidRPr="00954185">
              <w:rPr>
                <w:sz w:val="20"/>
                <w:szCs w:val="20"/>
              </w:rPr>
              <w:t>N-6-adenine-specific DNA methyltransferase 1 (N6AMT1) polymorphisms and arsenic methylation in Andean women. Environmental Health Perspectives, 121(7), 797-803.</w:t>
            </w:r>
          </w:p>
        </w:tc>
        <w:tc>
          <w:tcPr>
            <w:tcW w:w="2126" w:type="dxa"/>
            <w:tcBorders>
              <w:right w:val="single" w:sz="4" w:space="0" w:color="000000" w:themeColor="text1"/>
            </w:tcBorders>
            <w:shd w:val="clear" w:color="auto" w:fill="auto"/>
            <w:noWrap/>
            <w:vAlign w:val="center"/>
            <w:hideMark/>
          </w:tcPr>
          <w:p w14:paraId="066E41A6"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5FFD830C" w14:textId="77777777" w:rsidTr="00364C65">
        <w:trPr>
          <w:trHeight w:val="900"/>
        </w:trPr>
        <w:tc>
          <w:tcPr>
            <w:tcW w:w="8364" w:type="dxa"/>
            <w:tcBorders>
              <w:left w:val="single" w:sz="4" w:space="0" w:color="000000" w:themeColor="text1"/>
            </w:tcBorders>
            <w:shd w:val="clear" w:color="auto" w:fill="auto"/>
            <w:vAlign w:val="center"/>
            <w:hideMark/>
          </w:tcPr>
          <w:p w14:paraId="7E452DE9" w14:textId="77777777" w:rsidR="00954185" w:rsidRPr="00954185" w:rsidRDefault="00954185" w:rsidP="00364C65">
            <w:pPr>
              <w:spacing w:line="360" w:lineRule="auto"/>
              <w:rPr>
                <w:sz w:val="20"/>
                <w:szCs w:val="20"/>
              </w:rPr>
            </w:pPr>
            <w:r w:rsidRPr="00641BD3">
              <w:rPr>
                <w:sz w:val="20"/>
                <w:szCs w:val="20"/>
                <w:lang w:val="es-ES"/>
              </w:rPr>
              <w:t xml:space="preserve">Hernández, A., </w:t>
            </w:r>
            <w:proofErr w:type="spellStart"/>
            <w:r w:rsidRPr="00641BD3">
              <w:rPr>
                <w:sz w:val="20"/>
                <w:szCs w:val="20"/>
                <w:lang w:val="es-ES"/>
              </w:rPr>
              <w:t>Xamena</w:t>
            </w:r>
            <w:proofErr w:type="spellEnd"/>
            <w:r w:rsidRPr="00641BD3">
              <w:rPr>
                <w:sz w:val="20"/>
                <w:szCs w:val="20"/>
                <w:lang w:val="es-ES"/>
              </w:rPr>
              <w:t xml:space="preserve">, N., </w:t>
            </w:r>
            <w:proofErr w:type="spellStart"/>
            <w:r w:rsidRPr="00641BD3">
              <w:rPr>
                <w:sz w:val="20"/>
                <w:szCs w:val="20"/>
                <w:lang w:val="es-ES"/>
              </w:rPr>
              <w:t>Sekaran</w:t>
            </w:r>
            <w:proofErr w:type="spellEnd"/>
            <w:r w:rsidRPr="00641BD3">
              <w:rPr>
                <w:sz w:val="20"/>
                <w:szCs w:val="20"/>
                <w:lang w:val="es-ES"/>
              </w:rPr>
              <w:t xml:space="preserve">, C., </w:t>
            </w:r>
            <w:proofErr w:type="spellStart"/>
            <w:r w:rsidRPr="00641BD3">
              <w:rPr>
                <w:sz w:val="20"/>
                <w:szCs w:val="20"/>
                <w:lang w:val="es-ES"/>
              </w:rPr>
              <w:t>Tokunaga</w:t>
            </w:r>
            <w:proofErr w:type="spellEnd"/>
            <w:r w:rsidRPr="00641BD3">
              <w:rPr>
                <w:sz w:val="20"/>
                <w:szCs w:val="20"/>
                <w:lang w:val="es-ES"/>
              </w:rPr>
              <w:t xml:space="preserve">, H., Sampayo-Reyes, A., Quinteros, D., ... </w:t>
            </w:r>
            <w:r w:rsidRPr="00954185">
              <w:rPr>
                <w:sz w:val="20"/>
                <w:szCs w:val="20"/>
              </w:rPr>
              <w:t>&amp; Marcos, R. (2008). High arsenic metabolic efficiency in AS3MT287Thr allele carriers. Pharmacogenetics and genomics, 18(4), 349-355.</w:t>
            </w:r>
          </w:p>
        </w:tc>
        <w:tc>
          <w:tcPr>
            <w:tcW w:w="2126" w:type="dxa"/>
            <w:tcBorders>
              <w:right w:val="single" w:sz="4" w:space="0" w:color="000000" w:themeColor="text1"/>
            </w:tcBorders>
            <w:shd w:val="clear" w:color="auto" w:fill="auto"/>
            <w:noWrap/>
            <w:vAlign w:val="center"/>
            <w:hideMark/>
          </w:tcPr>
          <w:p w14:paraId="3EFF3769"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39A7AACF" w14:textId="77777777" w:rsidTr="00364C65">
        <w:trPr>
          <w:trHeight w:val="1200"/>
        </w:trPr>
        <w:tc>
          <w:tcPr>
            <w:tcW w:w="8364" w:type="dxa"/>
            <w:tcBorders>
              <w:left w:val="single" w:sz="4" w:space="0" w:color="000000" w:themeColor="text1"/>
            </w:tcBorders>
            <w:shd w:val="clear" w:color="auto" w:fill="auto"/>
            <w:vAlign w:val="center"/>
            <w:hideMark/>
          </w:tcPr>
          <w:p w14:paraId="1B993D47" w14:textId="77777777" w:rsidR="00954185" w:rsidRPr="00954185" w:rsidRDefault="00954185" w:rsidP="00364C65">
            <w:pPr>
              <w:spacing w:line="360" w:lineRule="auto"/>
              <w:rPr>
                <w:sz w:val="20"/>
                <w:szCs w:val="20"/>
              </w:rPr>
            </w:pPr>
            <w:r w:rsidRPr="00641BD3">
              <w:rPr>
                <w:sz w:val="20"/>
                <w:szCs w:val="20"/>
                <w:lang w:val="es-ES"/>
              </w:rPr>
              <w:lastRenderedPageBreak/>
              <w:t xml:space="preserve">Hernández, A., </w:t>
            </w:r>
            <w:proofErr w:type="spellStart"/>
            <w:r w:rsidRPr="00641BD3">
              <w:rPr>
                <w:sz w:val="20"/>
                <w:szCs w:val="20"/>
                <w:lang w:val="es-ES"/>
              </w:rPr>
              <w:t>Xamena</w:t>
            </w:r>
            <w:proofErr w:type="spellEnd"/>
            <w:r w:rsidRPr="00641BD3">
              <w:rPr>
                <w:sz w:val="20"/>
                <w:szCs w:val="20"/>
                <w:lang w:val="es-ES"/>
              </w:rPr>
              <w:t xml:space="preserve">, N., </w:t>
            </w:r>
            <w:proofErr w:type="spellStart"/>
            <w:r w:rsidRPr="00641BD3">
              <w:rPr>
                <w:sz w:val="20"/>
                <w:szCs w:val="20"/>
                <w:lang w:val="es-ES"/>
              </w:rPr>
              <w:t>Surrallés</w:t>
            </w:r>
            <w:proofErr w:type="spellEnd"/>
            <w:r w:rsidRPr="00641BD3">
              <w:rPr>
                <w:sz w:val="20"/>
                <w:szCs w:val="20"/>
                <w:lang w:val="es-ES"/>
              </w:rPr>
              <w:t xml:space="preserve">, J., </w:t>
            </w:r>
            <w:proofErr w:type="spellStart"/>
            <w:r w:rsidRPr="00641BD3">
              <w:rPr>
                <w:sz w:val="20"/>
                <w:szCs w:val="20"/>
                <w:lang w:val="es-ES"/>
              </w:rPr>
              <w:t>Sekaran</w:t>
            </w:r>
            <w:proofErr w:type="spellEnd"/>
            <w:r w:rsidRPr="00641BD3">
              <w:rPr>
                <w:sz w:val="20"/>
                <w:szCs w:val="20"/>
                <w:lang w:val="es-ES"/>
              </w:rPr>
              <w:t xml:space="preserve">, C., </w:t>
            </w:r>
            <w:proofErr w:type="spellStart"/>
            <w:r w:rsidRPr="00641BD3">
              <w:rPr>
                <w:sz w:val="20"/>
                <w:szCs w:val="20"/>
                <w:lang w:val="es-ES"/>
              </w:rPr>
              <w:t>Tokunaga</w:t>
            </w:r>
            <w:proofErr w:type="spellEnd"/>
            <w:r w:rsidRPr="00641BD3">
              <w:rPr>
                <w:sz w:val="20"/>
                <w:szCs w:val="20"/>
                <w:lang w:val="es-ES"/>
              </w:rPr>
              <w:t xml:space="preserve">, H., Quinteros, D., ... </w:t>
            </w:r>
            <w:r w:rsidRPr="00954185">
              <w:rPr>
                <w:sz w:val="20"/>
                <w:szCs w:val="20"/>
              </w:rPr>
              <w:t>&amp; Marcos, R. (2008). Role of the Met287Thr polymorphism in the AS3MT gene on the metabolic arsenic profile. Mutation Research/Fundamental and Molecular Mechanisms of Mutagenesis, 637(1-2), 80-92.</w:t>
            </w:r>
          </w:p>
        </w:tc>
        <w:tc>
          <w:tcPr>
            <w:tcW w:w="2126" w:type="dxa"/>
            <w:tcBorders>
              <w:right w:val="single" w:sz="4" w:space="0" w:color="000000" w:themeColor="text1"/>
            </w:tcBorders>
            <w:shd w:val="clear" w:color="auto" w:fill="auto"/>
            <w:noWrap/>
            <w:vAlign w:val="center"/>
            <w:hideMark/>
          </w:tcPr>
          <w:p w14:paraId="60D07F11"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473B5420" w14:textId="77777777" w:rsidTr="00364C65">
        <w:trPr>
          <w:trHeight w:val="900"/>
        </w:trPr>
        <w:tc>
          <w:tcPr>
            <w:tcW w:w="8364" w:type="dxa"/>
            <w:tcBorders>
              <w:left w:val="single" w:sz="4" w:space="0" w:color="000000" w:themeColor="text1"/>
            </w:tcBorders>
            <w:shd w:val="clear" w:color="auto" w:fill="auto"/>
            <w:vAlign w:val="center"/>
            <w:hideMark/>
          </w:tcPr>
          <w:p w14:paraId="705095CC" w14:textId="77777777" w:rsidR="00954185" w:rsidRPr="00954185" w:rsidRDefault="00954185" w:rsidP="00364C65">
            <w:pPr>
              <w:spacing w:line="360" w:lineRule="auto"/>
              <w:rPr>
                <w:sz w:val="20"/>
                <w:szCs w:val="20"/>
              </w:rPr>
            </w:pPr>
            <w:r w:rsidRPr="00954185">
              <w:rPr>
                <w:sz w:val="20"/>
                <w:szCs w:val="20"/>
              </w:rPr>
              <w:t xml:space="preserve">Hou, W-S., Zhang, L-F, Pei, Q-L. (2013). Relationship between arsenic (+ 3 oxidation state) methyltransferase genetic polymorphisms and susceptibility to endemic </w:t>
            </w:r>
            <w:proofErr w:type="spellStart"/>
            <w:r w:rsidRPr="00954185">
              <w:rPr>
                <w:sz w:val="20"/>
                <w:szCs w:val="20"/>
              </w:rPr>
              <w:t>arsenism</w:t>
            </w:r>
            <w:proofErr w:type="spellEnd"/>
            <w:r w:rsidRPr="00954185">
              <w:rPr>
                <w:sz w:val="20"/>
                <w:szCs w:val="20"/>
              </w:rPr>
              <w:t xml:space="preserve">. Chinese Journal of </w:t>
            </w:r>
            <w:proofErr w:type="spellStart"/>
            <w:r w:rsidRPr="00954185">
              <w:rPr>
                <w:sz w:val="20"/>
                <w:szCs w:val="20"/>
              </w:rPr>
              <w:t>Endemiology</w:t>
            </w:r>
            <w:proofErr w:type="spellEnd"/>
            <w:r w:rsidRPr="00954185">
              <w:rPr>
                <w:sz w:val="20"/>
                <w:szCs w:val="20"/>
              </w:rPr>
              <w:t>, 33-37.</w:t>
            </w:r>
          </w:p>
        </w:tc>
        <w:tc>
          <w:tcPr>
            <w:tcW w:w="2126" w:type="dxa"/>
            <w:tcBorders>
              <w:right w:val="single" w:sz="4" w:space="0" w:color="000000" w:themeColor="text1"/>
            </w:tcBorders>
            <w:shd w:val="clear" w:color="auto" w:fill="auto"/>
            <w:noWrap/>
            <w:vAlign w:val="center"/>
            <w:hideMark/>
          </w:tcPr>
          <w:p w14:paraId="5E8FA1B4" w14:textId="77777777" w:rsidR="00954185" w:rsidRPr="00954185" w:rsidRDefault="00954185" w:rsidP="00364C65">
            <w:pPr>
              <w:spacing w:line="360" w:lineRule="auto"/>
              <w:rPr>
                <w:sz w:val="20"/>
                <w:szCs w:val="20"/>
              </w:rPr>
            </w:pPr>
            <w:r w:rsidRPr="00954185">
              <w:rPr>
                <w:sz w:val="20"/>
                <w:szCs w:val="20"/>
              </w:rPr>
              <w:t>Skin lesions</w:t>
            </w:r>
          </w:p>
        </w:tc>
      </w:tr>
      <w:tr w:rsidR="00954185" w:rsidRPr="00954185" w14:paraId="21252F4C" w14:textId="77777777" w:rsidTr="00364C65">
        <w:trPr>
          <w:trHeight w:val="1200"/>
        </w:trPr>
        <w:tc>
          <w:tcPr>
            <w:tcW w:w="8364" w:type="dxa"/>
            <w:tcBorders>
              <w:left w:val="single" w:sz="4" w:space="0" w:color="000000" w:themeColor="text1"/>
            </w:tcBorders>
            <w:shd w:val="clear" w:color="auto" w:fill="auto"/>
            <w:vAlign w:val="center"/>
            <w:hideMark/>
          </w:tcPr>
          <w:p w14:paraId="4A173261" w14:textId="77777777" w:rsidR="00954185" w:rsidRPr="00954185" w:rsidRDefault="00954185" w:rsidP="00364C65">
            <w:pPr>
              <w:spacing w:line="360" w:lineRule="auto"/>
              <w:rPr>
                <w:sz w:val="20"/>
                <w:szCs w:val="20"/>
              </w:rPr>
            </w:pPr>
            <w:r w:rsidRPr="00954185">
              <w:rPr>
                <w:sz w:val="20"/>
                <w:szCs w:val="20"/>
              </w:rPr>
              <w:t>Hsieh, R. L., Su, C. T., Shiue, H. S., Chen, W. J., Huang, S. R., Lin, Y. C., ... &amp; Hsueh, Y. M. (2017). Relation of polymorphism of arsenic metabolism genes to arsenic methylation capacity and developmental delay in preschool children in Taiwan. Toxicology and applied pharmacology, 321, 37-47.</w:t>
            </w:r>
          </w:p>
        </w:tc>
        <w:tc>
          <w:tcPr>
            <w:tcW w:w="2126" w:type="dxa"/>
            <w:tcBorders>
              <w:right w:val="single" w:sz="4" w:space="0" w:color="000000" w:themeColor="text1"/>
            </w:tcBorders>
            <w:shd w:val="clear" w:color="auto" w:fill="auto"/>
            <w:noWrap/>
            <w:vAlign w:val="center"/>
            <w:hideMark/>
          </w:tcPr>
          <w:p w14:paraId="76F49C82" w14:textId="77777777" w:rsidR="00954185" w:rsidRPr="00954185" w:rsidRDefault="00954185" w:rsidP="00364C65">
            <w:pPr>
              <w:spacing w:line="360" w:lineRule="auto"/>
              <w:rPr>
                <w:sz w:val="20"/>
                <w:szCs w:val="20"/>
              </w:rPr>
            </w:pPr>
            <w:r w:rsidRPr="00954185">
              <w:rPr>
                <w:sz w:val="20"/>
                <w:szCs w:val="20"/>
              </w:rPr>
              <w:t xml:space="preserve">Arsenic metabolism, developmental delay </w:t>
            </w:r>
          </w:p>
        </w:tc>
      </w:tr>
      <w:tr w:rsidR="00954185" w:rsidRPr="00954185" w14:paraId="04ABD60B" w14:textId="77777777" w:rsidTr="00364C65">
        <w:trPr>
          <w:trHeight w:val="1200"/>
        </w:trPr>
        <w:tc>
          <w:tcPr>
            <w:tcW w:w="8364" w:type="dxa"/>
            <w:tcBorders>
              <w:left w:val="single" w:sz="4" w:space="0" w:color="000000" w:themeColor="text1"/>
            </w:tcBorders>
            <w:shd w:val="clear" w:color="auto" w:fill="auto"/>
            <w:vAlign w:val="center"/>
            <w:hideMark/>
          </w:tcPr>
          <w:p w14:paraId="2A944B0E" w14:textId="77777777" w:rsidR="00954185" w:rsidRPr="00954185" w:rsidRDefault="00954185" w:rsidP="00364C65">
            <w:pPr>
              <w:spacing w:line="360" w:lineRule="auto"/>
              <w:rPr>
                <w:sz w:val="20"/>
                <w:szCs w:val="20"/>
              </w:rPr>
            </w:pPr>
            <w:r w:rsidRPr="00954185">
              <w:rPr>
                <w:sz w:val="20"/>
                <w:szCs w:val="20"/>
              </w:rPr>
              <w:t>Hsu, L. I., Chen, W. P., Yang, T. Y., Chen, Y. H., Lo, W. C., Wang, Y. H., ... &amp; Chen, C. J. (2011). Genetic polymorphisms in glutathione S-transferase (GST) superfamily and risk of arsenic-induced urothelial carcinoma in residents of southwestern Taiwan. Journal of biomedical science, 18(1), 1-11.</w:t>
            </w:r>
          </w:p>
        </w:tc>
        <w:tc>
          <w:tcPr>
            <w:tcW w:w="2126" w:type="dxa"/>
            <w:tcBorders>
              <w:right w:val="single" w:sz="4" w:space="0" w:color="000000" w:themeColor="text1"/>
            </w:tcBorders>
            <w:shd w:val="clear" w:color="auto" w:fill="auto"/>
            <w:noWrap/>
            <w:vAlign w:val="center"/>
            <w:hideMark/>
          </w:tcPr>
          <w:p w14:paraId="161026C3" w14:textId="77777777" w:rsidR="00954185" w:rsidRPr="00954185" w:rsidRDefault="00954185" w:rsidP="00364C65">
            <w:pPr>
              <w:spacing w:line="360" w:lineRule="auto"/>
              <w:rPr>
                <w:sz w:val="20"/>
                <w:szCs w:val="20"/>
              </w:rPr>
            </w:pPr>
            <w:r w:rsidRPr="00954185">
              <w:rPr>
                <w:sz w:val="20"/>
                <w:szCs w:val="20"/>
              </w:rPr>
              <w:t xml:space="preserve">Urothelial carcinoma </w:t>
            </w:r>
          </w:p>
        </w:tc>
      </w:tr>
      <w:tr w:rsidR="00954185" w:rsidRPr="00954185" w14:paraId="38261235" w14:textId="77777777" w:rsidTr="00364C65">
        <w:trPr>
          <w:trHeight w:val="1200"/>
        </w:trPr>
        <w:tc>
          <w:tcPr>
            <w:tcW w:w="8364" w:type="dxa"/>
            <w:tcBorders>
              <w:left w:val="single" w:sz="4" w:space="0" w:color="000000" w:themeColor="text1"/>
            </w:tcBorders>
            <w:shd w:val="clear" w:color="auto" w:fill="auto"/>
            <w:vAlign w:val="center"/>
            <w:hideMark/>
          </w:tcPr>
          <w:p w14:paraId="4F3F173F" w14:textId="77777777" w:rsidR="00954185" w:rsidRPr="00954185" w:rsidRDefault="00954185" w:rsidP="00364C65">
            <w:pPr>
              <w:spacing w:line="360" w:lineRule="auto"/>
              <w:rPr>
                <w:sz w:val="20"/>
                <w:szCs w:val="20"/>
              </w:rPr>
            </w:pPr>
            <w:r w:rsidRPr="00954185">
              <w:rPr>
                <w:sz w:val="20"/>
                <w:szCs w:val="20"/>
              </w:rPr>
              <w:t>Hsu, L. I., Chiu, A. W., Huan, S. K., Chen, C. L., Wang, Y. H., Hsieh, F. I., ... &amp; Chen, C. J. (2008). SNPs of GSTM1, T1, P1, epoxide hydrolase and DNA repair enzyme XRCC1 and risk of urinary transitional cell carcinoma in southwestern Taiwan. Toxicology and applied pharmacology, 228(2), 144-155.</w:t>
            </w:r>
          </w:p>
        </w:tc>
        <w:tc>
          <w:tcPr>
            <w:tcW w:w="2126" w:type="dxa"/>
            <w:tcBorders>
              <w:right w:val="single" w:sz="4" w:space="0" w:color="000000" w:themeColor="text1"/>
            </w:tcBorders>
            <w:shd w:val="clear" w:color="auto" w:fill="auto"/>
            <w:noWrap/>
            <w:vAlign w:val="center"/>
            <w:hideMark/>
          </w:tcPr>
          <w:p w14:paraId="426BAF04" w14:textId="77777777" w:rsidR="00954185" w:rsidRPr="00954185" w:rsidRDefault="00954185" w:rsidP="00364C65">
            <w:pPr>
              <w:spacing w:line="360" w:lineRule="auto"/>
              <w:rPr>
                <w:sz w:val="20"/>
                <w:szCs w:val="20"/>
              </w:rPr>
            </w:pPr>
            <w:r w:rsidRPr="00954185">
              <w:rPr>
                <w:sz w:val="20"/>
                <w:szCs w:val="20"/>
              </w:rPr>
              <w:t xml:space="preserve">Urinary transitional cell carcinoma </w:t>
            </w:r>
          </w:p>
        </w:tc>
      </w:tr>
      <w:tr w:rsidR="00954185" w:rsidRPr="00954185" w14:paraId="640CC34E" w14:textId="77777777" w:rsidTr="00364C65">
        <w:trPr>
          <w:trHeight w:val="900"/>
        </w:trPr>
        <w:tc>
          <w:tcPr>
            <w:tcW w:w="8364" w:type="dxa"/>
            <w:tcBorders>
              <w:left w:val="single" w:sz="4" w:space="0" w:color="000000" w:themeColor="text1"/>
            </w:tcBorders>
            <w:shd w:val="clear" w:color="auto" w:fill="auto"/>
            <w:vAlign w:val="center"/>
            <w:hideMark/>
          </w:tcPr>
          <w:p w14:paraId="2795485B" w14:textId="77777777" w:rsidR="00954185" w:rsidRPr="00954185" w:rsidRDefault="00954185" w:rsidP="00364C65">
            <w:pPr>
              <w:spacing w:line="360" w:lineRule="auto"/>
              <w:rPr>
                <w:sz w:val="20"/>
                <w:szCs w:val="20"/>
              </w:rPr>
            </w:pPr>
            <w:r w:rsidRPr="00954185">
              <w:rPr>
                <w:sz w:val="20"/>
                <w:szCs w:val="20"/>
              </w:rPr>
              <w:t>Hsu, L. I., Wu, M. M., Wang, Y. H., Lee, C. Y., Yang, T. Y., Hsiao, B. Y., &amp; Chen, C. J. (2015). Association of environmental arsenic exposure, genetic polymorphisms of susceptible genes, and skin cancers in Taiwan. BioMed research international, 2015.</w:t>
            </w:r>
          </w:p>
        </w:tc>
        <w:tc>
          <w:tcPr>
            <w:tcW w:w="2126" w:type="dxa"/>
            <w:tcBorders>
              <w:right w:val="single" w:sz="4" w:space="0" w:color="000000" w:themeColor="text1"/>
            </w:tcBorders>
            <w:shd w:val="clear" w:color="auto" w:fill="auto"/>
            <w:noWrap/>
            <w:vAlign w:val="center"/>
            <w:hideMark/>
          </w:tcPr>
          <w:p w14:paraId="2505A161" w14:textId="77777777" w:rsidR="00954185" w:rsidRPr="00954185" w:rsidRDefault="00954185" w:rsidP="00364C65">
            <w:pPr>
              <w:spacing w:line="360" w:lineRule="auto"/>
              <w:rPr>
                <w:sz w:val="20"/>
                <w:szCs w:val="20"/>
              </w:rPr>
            </w:pPr>
            <w:r w:rsidRPr="00954185">
              <w:rPr>
                <w:sz w:val="20"/>
                <w:szCs w:val="20"/>
              </w:rPr>
              <w:t xml:space="preserve">No arsenic metabolism, or arsenic-related disease </w:t>
            </w:r>
          </w:p>
        </w:tc>
      </w:tr>
      <w:tr w:rsidR="00954185" w:rsidRPr="00954185" w14:paraId="0780EE22" w14:textId="77777777" w:rsidTr="00364C65">
        <w:trPr>
          <w:trHeight w:val="900"/>
        </w:trPr>
        <w:tc>
          <w:tcPr>
            <w:tcW w:w="8364" w:type="dxa"/>
            <w:tcBorders>
              <w:left w:val="single" w:sz="4" w:space="0" w:color="000000" w:themeColor="text1"/>
            </w:tcBorders>
            <w:shd w:val="clear" w:color="auto" w:fill="auto"/>
            <w:vAlign w:val="center"/>
            <w:hideMark/>
          </w:tcPr>
          <w:p w14:paraId="58AD6299" w14:textId="77777777" w:rsidR="00954185" w:rsidRPr="00954185" w:rsidRDefault="00954185" w:rsidP="00364C65">
            <w:pPr>
              <w:spacing w:line="360" w:lineRule="auto"/>
              <w:rPr>
                <w:sz w:val="20"/>
                <w:szCs w:val="20"/>
              </w:rPr>
            </w:pPr>
            <w:r w:rsidRPr="00954185">
              <w:rPr>
                <w:sz w:val="20"/>
                <w:szCs w:val="20"/>
              </w:rPr>
              <w:t>Hsueh, Y. M. H., Chen, W. J., &amp; Ao, P. L. (2017, January). The association between coffee, arsenic, lead, cadmium and polymorphisms of PON1 and PPAR-G and chronic kidney disease. In Annals of Nutrition and Metabolism (Vol. 71, pp. 658-658).</w:t>
            </w:r>
          </w:p>
        </w:tc>
        <w:tc>
          <w:tcPr>
            <w:tcW w:w="2126" w:type="dxa"/>
            <w:tcBorders>
              <w:right w:val="single" w:sz="4" w:space="0" w:color="000000" w:themeColor="text1"/>
            </w:tcBorders>
            <w:shd w:val="clear" w:color="auto" w:fill="auto"/>
            <w:noWrap/>
            <w:vAlign w:val="center"/>
            <w:hideMark/>
          </w:tcPr>
          <w:p w14:paraId="0EAC6A91" w14:textId="77777777" w:rsidR="00954185" w:rsidRPr="00954185" w:rsidRDefault="00954185" w:rsidP="00364C65">
            <w:pPr>
              <w:spacing w:line="360" w:lineRule="auto"/>
              <w:rPr>
                <w:sz w:val="20"/>
                <w:szCs w:val="20"/>
              </w:rPr>
            </w:pPr>
            <w:r w:rsidRPr="00954185">
              <w:rPr>
                <w:sz w:val="20"/>
                <w:szCs w:val="20"/>
              </w:rPr>
              <w:t>Conference abstract</w:t>
            </w:r>
          </w:p>
        </w:tc>
      </w:tr>
      <w:tr w:rsidR="00954185" w:rsidRPr="00954185" w14:paraId="2268EEE4" w14:textId="77777777" w:rsidTr="00364C65">
        <w:trPr>
          <w:trHeight w:val="1200"/>
        </w:trPr>
        <w:tc>
          <w:tcPr>
            <w:tcW w:w="8364" w:type="dxa"/>
            <w:tcBorders>
              <w:left w:val="single" w:sz="4" w:space="0" w:color="000000" w:themeColor="text1"/>
            </w:tcBorders>
            <w:shd w:val="clear" w:color="auto" w:fill="auto"/>
            <w:vAlign w:val="center"/>
            <w:hideMark/>
          </w:tcPr>
          <w:p w14:paraId="783C3D54" w14:textId="77777777" w:rsidR="00954185" w:rsidRPr="00954185" w:rsidRDefault="00954185" w:rsidP="00364C65">
            <w:pPr>
              <w:spacing w:line="360" w:lineRule="auto"/>
              <w:rPr>
                <w:sz w:val="20"/>
                <w:szCs w:val="20"/>
              </w:rPr>
            </w:pPr>
            <w:r w:rsidRPr="00954185">
              <w:rPr>
                <w:sz w:val="20"/>
                <w:szCs w:val="20"/>
              </w:rPr>
              <w:t>Hsueh, Y. M., Chen, W. J., Chung, C. J., Hsieh, R. L., Chen, H. H., Huang, Y. L., ... &amp; Lin, Y. C. (2022). The combined effects of nucleotide-binding domain-like receptor protein 3 polymorphisms and levels of blood lead on developmental delays in preschool children. Journal of Hazardous Materials, 424, 127317.</w:t>
            </w:r>
          </w:p>
        </w:tc>
        <w:tc>
          <w:tcPr>
            <w:tcW w:w="2126" w:type="dxa"/>
            <w:tcBorders>
              <w:right w:val="single" w:sz="4" w:space="0" w:color="000000" w:themeColor="text1"/>
            </w:tcBorders>
            <w:shd w:val="clear" w:color="auto" w:fill="auto"/>
            <w:noWrap/>
            <w:vAlign w:val="center"/>
            <w:hideMark/>
          </w:tcPr>
          <w:p w14:paraId="3A09BB73" w14:textId="77777777" w:rsidR="00954185" w:rsidRPr="00954185" w:rsidRDefault="00954185" w:rsidP="00364C65">
            <w:pPr>
              <w:spacing w:line="360" w:lineRule="auto"/>
              <w:rPr>
                <w:sz w:val="20"/>
                <w:szCs w:val="20"/>
              </w:rPr>
            </w:pPr>
            <w:r w:rsidRPr="00954185">
              <w:rPr>
                <w:sz w:val="20"/>
                <w:szCs w:val="20"/>
              </w:rPr>
              <w:t>Developmental delay</w:t>
            </w:r>
          </w:p>
        </w:tc>
      </w:tr>
      <w:tr w:rsidR="00954185" w:rsidRPr="00954185" w14:paraId="079CE7E3" w14:textId="77777777" w:rsidTr="00364C65">
        <w:trPr>
          <w:trHeight w:val="900"/>
        </w:trPr>
        <w:tc>
          <w:tcPr>
            <w:tcW w:w="8364" w:type="dxa"/>
            <w:tcBorders>
              <w:left w:val="single" w:sz="4" w:space="0" w:color="000000" w:themeColor="text1"/>
            </w:tcBorders>
            <w:shd w:val="clear" w:color="auto" w:fill="auto"/>
            <w:vAlign w:val="center"/>
            <w:hideMark/>
          </w:tcPr>
          <w:p w14:paraId="2EA15893" w14:textId="77777777" w:rsidR="00954185" w:rsidRPr="00954185" w:rsidRDefault="00954185" w:rsidP="00364C65">
            <w:pPr>
              <w:spacing w:line="360" w:lineRule="auto"/>
              <w:rPr>
                <w:sz w:val="20"/>
                <w:szCs w:val="20"/>
              </w:rPr>
            </w:pPr>
            <w:r w:rsidRPr="00954185">
              <w:rPr>
                <w:sz w:val="20"/>
                <w:szCs w:val="20"/>
              </w:rPr>
              <w:t>Hsueh, Y. M., Chen, W. J., Lin, Y. C., Huang, C. Y., Shiue, H. S., Yang, S. M., ... &amp; Su, C. T. (2018). Adiponectin gene polymorphisms and obesity increase the susceptibility to arsenic-related renal cell carcinoma. Toxicology and applied pharmacology, 350, 11-20.</w:t>
            </w:r>
          </w:p>
        </w:tc>
        <w:tc>
          <w:tcPr>
            <w:tcW w:w="2126" w:type="dxa"/>
            <w:tcBorders>
              <w:right w:val="single" w:sz="4" w:space="0" w:color="000000" w:themeColor="text1"/>
            </w:tcBorders>
            <w:shd w:val="clear" w:color="auto" w:fill="auto"/>
            <w:noWrap/>
            <w:vAlign w:val="center"/>
            <w:hideMark/>
          </w:tcPr>
          <w:p w14:paraId="7ECFDEA2" w14:textId="77777777" w:rsidR="00954185" w:rsidRPr="00954185" w:rsidRDefault="00954185" w:rsidP="00364C65">
            <w:pPr>
              <w:spacing w:line="360" w:lineRule="auto"/>
              <w:rPr>
                <w:sz w:val="20"/>
                <w:szCs w:val="20"/>
              </w:rPr>
            </w:pPr>
            <w:r w:rsidRPr="00954185">
              <w:rPr>
                <w:sz w:val="20"/>
                <w:szCs w:val="20"/>
              </w:rPr>
              <w:t xml:space="preserve">Renal cell carcinoma </w:t>
            </w:r>
          </w:p>
        </w:tc>
      </w:tr>
      <w:tr w:rsidR="00954185" w:rsidRPr="00954185" w14:paraId="3C692EE2" w14:textId="77777777" w:rsidTr="00364C65">
        <w:trPr>
          <w:trHeight w:val="1200"/>
        </w:trPr>
        <w:tc>
          <w:tcPr>
            <w:tcW w:w="8364" w:type="dxa"/>
            <w:tcBorders>
              <w:left w:val="single" w:sz="4" w:space="0" w:color="000000" w:themeColor="text1"/>
            </w:tcBorders>
            <w:shd w:val="clear" w:color="auto" w:fill="auto"/>
            <w:vAlign w:val="center"/>
            <w:hideMark/>
          </w:tcPr>
          <w:p w14:paraId="2978ACAF" w14:textId="77777777" w:rsidR="00954185" w:rsidRPr="00954185" w:rsidRDefault="00954185" w:rsidP="00364C65">
            <w:pPr>
              <w:spacing w:line="360" w:lineRule="auto"/>
              <w:rPr>
                <w:sz w:val="20"/>
                <w:szCs w:val="20"/>
              </w:rPr>
            </w:pPr>
            <w:r w:rsidRPr="00954185">
              <w:rPr>
                <w:sz w:val="20"/>
                <w:szCs w:val="20"/>
              </w:rPr>
              <w:t>Hsueh, Y. M., Chen, W. J., Lin, Y. C., Huang, Y. L., Shiue, H. S., Lin, Y. F., ... &amp; Chen, H. H. (2022). Combined effects of nucleotide-binding domain-like receptor protein 3 polymorphisms and environmental metals exposure on chronic kidney disease. Scientific Reports, 12(1), 6307.</w:t>
            </w:r>
          </w:p>
        </w:tc>
        <w:tc>
          <w:tcPr>
            <w:tcW w:w="2126" w:type="dxa"/>
            <w:tcBorders>
              <w:right w:val="single" w:sz="4" w:space="0" w:color="000000" w:themeColor="text1"/>
            </w:tcBorders>
            <w:shd w:val="clear" w:color="auto" w:fill="auto"/>
            <w:noWrap/>
            <w:vAlign w:val="center"/>
            <w:hideMark/>
          </w:tcPr>
          <w:p w14:paraId="1585786A" w14:textId="77777777" w:rsidR="00954185" w:rsidRPr="00954185" w:rsidRDefault="00954185" w:rsidP="00364C65">
            <w:pPr>
              <w:spacing w:line="360" w:lineRule="auto"/>
              <w:rPr>
                <w:sz w:val="20"/>
                <w:szCs w:val="20"/>
              </w:rPr>
            </w:pPr>
            <w:r w:rsidRPr="00954185">
              <w:rPr>
                <w:sz w:val="20"/>
                <w:szCs w:val="20"/>
              </w:rPr>
              <w:t>Upper urinary tract urothelial carcinoma, bladder cancer</w:t>
            </w:r>
          </w:p>
        </w:tc>
      </w:tr>
      <w:tr w:rsidR="00954185" w:rsidRPr="00954185" w14:paraId="0E6FC3F5" w14:textId="77777777" w:rsidTr="00364C65">
        <w:trPr>
          <w:trHeight w:val="1500"/>
        </w:trPr>
        <w:tc>
          <w:tcPr>
            <w:tcW w:w="8364" w:type="dxa"/>
            <w:tcBorders>
              <w:left w:val="single" w:sz="4" w:space="0" w:color="000000" w:themeColor="text1"/>
            </w:tcBorders>
            <w:shd w:val="clear" w:color="auto" w:fill="auto"/>
            <w:vAlign w:val="center"/>
            <w:hideMark/>
          </w:tcPr>
          <w:p w14:paraId="2A386CAB" w14:textId="77777777" w:rsidR="00954185" w:rsidRPr="00954185" w:rsidRDefault="00954185" w:rsidP="00364C65">
            <w:pPr>
              <w:spacing w:line="360" w:lineRule="auto"/>
              <w:rPr>
                <w:sz w:val="20"/>
                <w:szCs w:val="20"/>
              </w:rPr>
            </w:pPr>
            <w:r w:rsidRPr="00954185">
              <w:rPr>
                <w:sz w:val="20"/>
                <w:szCs w:val="20"/>
              </w:rPr>
              <w:t xml:space="preserve">Hsueh, Y. M., Lin, Y. C., Chen, W. J., Huang, C. Y., Shiue, H. S., Pu, Y. S., ... &amp; Su, C. T. (2018). Corrigendum to </w:t>
            </w:r>
            <w:proofErr w:type="gramStart"/>
            <w:r w:rsidRPr="00954185">
              <w:rPr>
                <w:sz w:val="20"/>
                <w:szCs w:val="20"/>
              </w:rPr>
              <w:t>The</w:t>
            </w:r>
            <w:proofErr w:type="gramEnd"/>
            <w:r w:rsidRPr="00954185">
              <w:rPr>
                <w:sz w:val="20"/>
                <w:szCs w:val="20"/>
              </w:rPr>
              <w:t xml:space="preserve"> polymorphism XRCC1 Arg194Trp and 8-hydroxydeoxyguanosine increased susceptibility to arsenic-related renal cell carcinoma. Toxicology and Applied Pharmacology 332 (2017) 1-7. Toxicology and applied pharmacology, 356, 139.</w:t>
            </w:r>
          </w:p>
        </w:tc>
        <w:tc>
          <w:tcPr>
            <w:tcW w:w="2126" w:type="dxa"/>
            <w:tcBorders>
              <w:right w:val="single" w:sz="4" w:space="0" w:color="000000" w:themeColor="text1"/>
            </w:tcBorders>
            <w:shd w:val="clear" w:color="auto" w:fill="auto"/>
            <w:noWrap/>
            <w:vAlign w:val="center"/>
            <w:hideMark/>
          </w:tcPr>
          <w:p w14:paraId="51ADAA6C" w14:textId="77777777" w:rsidR="00954185" w:rsidRPr="00954185" w:rsidRDefault="00954185" w:rsidP="00364C65">
            <w:pPr>
              <w:spacing w:line="360" w:lineRule="auto"/>
              <w:rPr>
                <w:sz w:val="20"/>
                <w:szCs w:val="20"/>
              </w:rPr>
            </w:pPr>
            <w:r w:rsidRPr="00954185">
              <w:rPr>
                <w:sz w:val="20"/>
                <w:szCs w:val="20"/>
              </w:rPr>
              <w:t xml:space="preserve">Renal cell carcinoma </w:t>
            </w:r>
          </w:p>
        </w:tc>
      </w:tr>
      <w:tr w:rsidR="00954185" w:rsidRPr="00954185" w14:paraId="005A47B6" w14:textId="77777777" w:rsidTr="00364C65">
        <w:trPr>
          <w:trHeight w:val="1200"/>
        </w:trPr>
        <w:tc>
          <w:tcPr>
            <w:tcW w:w="8364" w:type="dxa"/>
            <w:tcBorders>
              <w:left w:val="single" w:sz="4" w:space="0" w:color="000000" w:themeColor="text1"/>
            </w:tcBorders>
            <w:shd w:val="clear" w:color="auto" w:fill="auto"/>
            <w:vAlign w:val="center"/>
            <w:hideMark/>
          </w:tcPr>
          <w:p w14:paraId="70BD55DC" w14:textId="77777777" w:rsidR="00954185" w:rsidRPr="00954185" w:rsidRDefault="00954185" w:rsidP="00364C65">
            <w:pPr>
              <w:spacing w:line="360" w:lineRule="auto"/>
              <w:rPr>
                <w:sz w:val="20"/>
                <w:szCs w:val="20"/>
              </w:rPr>
            </w:pPr>
            <w:r w:rsidRPr="00954185">
              <w:rPr>
                <w:sz w:val="20"/>
                <w:szCs w:val="20"/>
              </w:rPr>
              <w:lastRenderedPageBreak/>
              <w:t>Hsueh, Y. M., Lin, Y. C., Chung, C. J., Huang, Y. L., Hsieh, R. L., Huang, P. T., ... &amp; Su, C. T. (2020). Combined effect of polymorphisms of MTHFR and MTR and arsenic methylation capacity on developmental delay in preschool children in Taiwan. Archives of toxicology, 94, 2027-2038.</w:t>
            </w:r>
          </w:p>
        </w:tc>
        <w:tc>
          <w:tcPr>
            <w:tcW w:w="2126" w:type="dxa"/>
            <w:tcBorders>
              <w:right w:val="single" w:sz="4" w:space="0" w:color="000000" w:themeColor="text1"/>
            </w:tcBorders>
            <w:shd w:val="clear" w:color="auto" w:fill="auto"/>
            <w:noWrap/>
            <w:vAlign w:val="center"/>
            <w:hideMark/>
          </w:tcPr>
          <w:p w14:paraId="2A93BA2E" w14:textId="77777777" w:rsidR="00954185" w:rsidRPr="00954185" w:rsidRDefault="00954185" w:rsidP="00364C65">
            <w:pPr>
              <w:spacing w:line="360" w:lineRule="auto"/>
              <w:rPr>
                <w:sz w:val="20"/>
                <w:szCs w:val="20"/>
              </w:rPr>
            </w:pPr>
            <w:r w:rsidRPr="00954185">
              <w:rPr>
                <w:sz w:val="20"/>
                <w:szCs w:val="20"/>
              </w:rPr>
              <w:t>Developmental delay</w:t>
            </w:r>
          </w:p>
        </w:tc>
      </w:tr>
      <w:tr w:rsidR="00954185" w:rsidRPr="00954185" w14:paraId="61E90CD0" w14:textId="77777777" w:rsidTr="00364C65">
        <w:trPr>
          <w:trHeight w:val="1200"/>
        </w:trPr>
        <w:tc>
          <w:tcPr>
            <w:tcW w:w="8364" w:type="dxa"/>
            <w:tcBorders>
              <w:left w:val="single" w:sz="4" w:space="0" w:color="000000" w:themeColor="text1"/>
            </w:tcBorders>
            <w:shd w:val="clear" w:color="auto" w:fill="auto"/>
            <w:vAlign w:val="center"/>
            <w:hideMark/>
          </w:tcPr>
          <w:p w14:paraId="227DD228" w14:textId="77777777" w:rsidR="00954185" w:rsidRPr="00954185" w:rsidRDefault="00954185" w:rsidP="00364C65">
            <w:pPr>
              <w:spacing w:line="360" w:lineRule="auto"/>
              <w:rPr>
                <w:sz w:val="20"/>
                <w:szCs w:val="20"/>
              </w:rPr>
            </w:pPr>
            <w:r w:rsidRPr="00954185">
              <w:rPr>
                <w:sz w:val="20"/>
                <w:szCs w:val="20"/>
              </w:rPr>
              <w:t>Huang, C. Y., Lin, Y. C., Shiue, H. S., Chen, W. J., Su, C. T., Pu, Y. S., ... &amp; Hsueh, Y. M. (2018). Comparison of arsenic methylation capacity and polymorphisms of arsenic methylation genes between bladder cancer and upper tract urothelial carcinoma. Toxicology letters, 295, 64-73.</w:t>
            </w:r>
          </w:p>
        </w:tc>
        <w:tc>
          <w:tcPr>
            <w:tcW w:w="2126" w:type="dxa"/>
            <w:tcBorders>
              <w:right w:val="single" w:sz="4" w:space="0" w:color="000000" w:themeColor="text1"/>
            </w:tcBorders>
            <w:shd w:val="clear" w:color="auto" w:fill="auto"/>
            <w:noWrap/>
            <w:vAlign w:val="center"/>
            <w:hideMark/>
          </w:tcPr>
          <w:p w14:paraId="4FF4157C" w14:textId="77777777" w:rsidR="00954185" w:rsidRPr="00954185" w:rsidRDefault="00954185" w:rsidP="00364C65">
            <w:pPr>
              <w:spacing w:line="360" w:lineRule="auto"/>
              <w:rPr>
                <w:sz w:val="20"/>
                <w:szCs w:val="20"/>
              </w:rPr>
            </w:pPr>
            <w:r w:rsidRPr="00954185">
              <w:rPr>
                <w:sz w:val="20"/>
                <w:szCs w:val="20"/>
              </w:rPr>
              <w:t xml:space="preserve">Arsenic metabolism, bladder cancer, upper tract urothelial carcinoma </w:t>
            </w:r>
          </w:p>
        </w:tc>
      </w:tr>
      <w:tr w:rsidR="00954185" w:rsidRPr="00954185" w14:paraId="09040AB9" w14:textId="77777777" w:rsidTr="00364C65">
        <w:trPr>
          <w:trHeight w:val="1200"/>
        </w:trPr>
        <w:tc>
          <w:tcPr>
            <w:tcW w:w="8364" w:type="dxa"/>
            <w:tcBorders>
              <w:left w:val="single" w:sz="4" w:space="0" w:color="000000" w:themeColor="text1"/>
            </w:tcBorders>
            <w:shd w:val="clear" w:color="auto" w:fill="auto"/>
            <w:vAlign w:val="center"/>
            <w:hideMark/>
          </w:tcPr>
          <w:p w14:paraId="449D6E70" w14:textId="77777777" w:rsidR="00954185" w:rsidRPr="00954185" w:rsidRDefault="00954185" w:rsidP="00364C65">
            <w:pPr>
              <w:spacing w:line="360" w:lineRule="auto"/>
              <w:rPr>
                <w:sz w:val="20"/>
                <w:szCs w:val="20"/>
              </w:rPr>
            </w:pPr>
            <w:r w:rsidRPr="00954185">
              <w:rPr>
                <w:sz w:val="20"/>
                <w:szCs w:val="20"/>
              </w:rPr>
              <w:t>Huang, C. Y., Pu, Y. S., Shiue, H. S., Chen, W. J., Lin, Y. C., &amp; Hsueh, Y. M. (2016). Polymorphisms of human 8-oxoguanine DNA glycosylase 1 and 8-hydroxydeoxyguanosine increase susceptibility to arsenic methylation capacity-related urothelial carcinoma. Archives of toxicology, 90, 1917-1927.</w:t>
            </w:r>
          </w:p>
        </w:tc>
        <w:tc>
          <w:tcPr>
            <w:tcW w:w="2126" w:type="dxa"/>
            <w:tcBorders>
              <w:right w:val="single" w:sz="4" w:space="0" w:color="000000" w:themeColor="text1"/>
            </w:tcBorders>
            <w:shd w:val="clear" w:color="auto" w:fill="auto"/>
            <w:noWrap/>
            <w:vAlign w:val="center"/>
            <w:hideMark/>
          </w:tcPr>
          <w:p w14:paraId="66A2A796" w14:textId="77777777" w:rsidR="00954185" w:rsidRPr="00954185" w:rsidRDefault="00954185" w:rsidP="00364C65">
            <w:pPr>
              <w:spacing w:line="360" w:lineRule="auto"/>
              <w:rPr>
                <w:sz w:val="20"/>
                <w:szCs w:val="20"/>
              </w:rPr>
            </w:pPr>
            <w:r w:rsidRPr="00954185">
              <w:rPr>
                <w:sz w:val="20"/>
                <w:szCs w:val="20"/>
              </w:rPr>
              <w:t xml:space="preserve">Urothelial carcinoma </w:t>
            </w:r>
          </w:p>
        </w:tc>
      </w:tr>
      <w:tr w:rsidR="00954185" w:rsidRPr="00954185" w14:paraId="071A3F29" w14:textId="77777777" w:rsidTr="00364C65">
        <w:trPr>
          <w:trHeight w:val="1200"/>
        </w:trPr>
        <w:tc>
          <w:tcPr>
            <w:tcW w:w="8364" w:type="dxa"/>
            <w:tcBorders>
              <w:left w:val="single" w:sz="4" w:space="0" w:color="000000" w:themeColor="text1"/>
            </w:tcBorders>
            <w:shd w:val="clear" w:color="auto" w:fill="auto"/>
            <w:vAlign w:val="center"/>
            <w:hideMark/>
          </w:tcPr>
          <w:p w14:paraId="7B1C1DE4" w14:textId="77777777" w:rsidR="00954185" w:rsidRPr="00954185" w:rsidRDefault="00954185" w:rsidP="00364C65">
            <w:pPr>
              <w:spacing w:line="360" w:lineRule="auto"/>
              <w:rPr>
                <w:sz w:val="20"/>
                <w:szCs w:val="20"/>
              </w:rPr>
            </w:pPr>
            <w:r w:rsidRPr="00641BD3">
              <w:rPr>
                <w:sz w:val="20"/>
                <w:szCs w:val="20"/>
                <w:lang w:val="es-ES"/>
              </w:rPr>
              <w:t xml:space="preserve">Huang, C. Y., Su, C. T., Chu, J. S., Huang, S. P., Pu, Y. S., Yang, H. Y., ... </w:t>
            </w:r>
            <w:r w:rsidRPr="00954185">
              <w:rPr>
                <w:sz w:val="20"/>
                <w:szCs w:val="20"/>
              </w:rPr>
              <w:t>&amp; Hsueh, Y. M. (2011). The polymorphisms of P53 codon 72 and MDM2 SNP309 and renal cell carcinoma risk in a low arsenic exposure area. Toxicology and applied pharmacology, 257(3), 349-355.</w:t>
            </w:r>
          </w:p>
        </w:tc>
        <w:tc>
          <w:tcPr>
            <w:tcW w:w="2126" w:type="dxa"/>
            <w:tcBorders>
              <w:right w:val="single" w:sz="4" w:space="0" w:color="000000" w:themeColor="text1"/>
            </w:tcBorders>
            <w:shd w:val="clear" w:color="auto" w:fill="auto"/>
            <w:noWrap/>
            <w:vAlign w:val="center"/>
            <w:hideMark/>
          </w:tcPr>
          <w:p w14:paraId="00B3A6FF" w14:textId="77777777" w:rsidR="00954185" w:rsidRPr="00954185" w:rsidRDefault="00954185" w:rsidP="00364C65">
            <w:pPr>
              <w:spacing w:line="360" w:lineRule="auto"/>
              <w:rPr>
                <w:sz w:val="20"/>
                <w:szCs w:val="20"/>
              </w:rPr>
            </w:pPr>
            <w:r w:rsidRPr="00954185">
              <w:rPr>
                <w:sz w:val="20"/>
                <w:szCs w:val="20"/>
              </w:rPr>
              <w:t xml:space="preserve">Renal cell carcinoma </w:t>
            </w:r>
          </w:p>
        </w:tc>
      </w:tr>
      <w:tr w:rsidR="00954185" w:rsidRPr="00954185" w14:paraId="492CAB60" w14:textId="77777777" w:rsidTr="00364C65">
        <w:trPr>
          <w:trHeight w:val="1200"/>
        </w:trPr>
        <w:tc>
          <w:tcPr>
            <w:tcW w:w="8364" w:type="dxa"/>
            <w:tcBorders>
              <w:left w:val="single" w:sz="4" w:space="0" w:color="000000" w:themeColor="text1"/>
            </w:tcBorders>
            <w:shd w:val="clear" w:color="auto" w:fill="auto"/>
            <w:vAlign w:val="center"/>
            <w:hideMark/>
          </w:tcPr>
          <w:p w14:paraId="14F5B60E" w14:textId="77777777" w:rsidR="00954185" w:rsidRPr="00954185" w:rsidRDefault="00954185" w:rsidP="00364C65">
            <w:pPr>
              <w:spacing w:line="360" w:lineRule="auto"/>
              <w:rPr>
                <w:sz w:val="20"/>
                <w:szCs w:val="20"/>
              </w:rPr>
            </w:pPr>
            <w:r w:rsidRPr="00954185">
              <w:rPr>
                <w:sz w:val="20"/>
                <w:szCs w:val="20"/>
              </w:rPr>
              <w:t xml:space="preserve">Huang, S. K., Chiu, A. W. H., Pu, Y. S., Huang, Y. K., Chung, C. J., Tsai, H. J., ... &amp; Hsueh, Y. M. (2009). Arsenic methylation capability, myeloperoxidase and sulfotransferase genetic polymorphisms, and the stage and grade of urothelial carcinoma. </w:t>
            </w:r>
            <w:proofErr w:type="spellStart"/>
            <w:r w:rsidRPr="00954185">
              <w:rPr>
                <w:sz w:val="20"/>
                <w:szCs w:val="20"/>
              </w:rPr>
              <w:t>Urologia</w:t>
            </w:r>
            <w:proofErr w:type="spellEnd"/>
            <w:r w:rsidRPr="00954185">
              <w:rPr>
                <w:sz w:val="20"/>
                <w:szCs w:val="20"/>
              </w:rPr>
              <w:t xml:space="preserve"> Internationalis, 82(2), 227-234.</w:t>
            </w:r>
          </w:p>
        </w:tc>
        <w:tc>
          <w:tcPr>
            <w:tcW w:w="2126" w:type="dxa"/>
            <w:tcBorders>
              <w:right w:val="single" w:sz="4" w:space="0" w:color="000000" w:themeColor="text1"/>
            </w:tcBorders>
            <w:shd w:val="clear" w:color="auto" w:fill="auto"/>
            <w:noWrap/>
            <w:vAlign w:val="center"/>
            <w:hideMark/>
          </w:tcPr>
          <w:p w14:paraId="3155F1DE"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191C34AD" w14:textId="77777777" w:rsidTr="00364C65">
        <w:trPr>
          <w:trHeight w:val="900"/>
        </w:trPr>
        <w:tc>
          <w:tcPr>
            <w:tcW w:w="8364" w:type="dxa"/>
            <w:tcBorders>
              <w:left w:val="single" w:sz="4" w:space="0" w:color="000000" w:themeColor="text1"/>
            </w:tcBorders>
            <w:shd w:val="clear" w:color="auto" w:fill="auto"/>
            <w:vAlign w:val="center"/>
            <w:hideMark/>
          </w:tcPr>
          <w:p w14:paraId="51B75C46" w14:textId="77777777" w:rsidR="00954185" w:rsidRPr="00954185" w:rsidRDefault="00954185" w:rsidP="00364C65">
            <w:pPr>
              <w:spacing w:line="360" w:lineRule="auto"/>
              <w:rPr>
                <w:sz w:val="20"/>
                <w:szCs w:val="20"/>
              </w:rPr>
            </w:pPr>
            <w:r w:rsidRPr="00954185">
              <w:rPr>
                <w:sz w:val="20"/>
                <w:szCs w:val="20"/>
              </w:rPr>
              <w:t>Hwang, Y. H., Chen, Y. H., Su, Y. N., Hsu, C. C., Chen, Y. H., &amp; Yuan, T. H. (2010). Genetic polymorphism of As3MT and delayed urinary DMA excretion after organic arsenic intake from oyster ingestion. Journal of Environmental Monitoring, 12(6), 1247-1254.</w:t>
            </w:r>
          </w:p>
        </w:tc>
        <w:tc>
          <w:tcPr>
            <w:tcW w:w="2126" w:type="dxa"/>
            <w:tcBorders>
              <w:right w:val="single" w:sz="4" w:space="0" w:color="000000" w:themeColor="text1"/>
            </w:tcBorders>
            <w:shd w:val="clear" w:color="auto" w:fill="auto"/>
            <w:noWrap/>
            <w:vAlign w:val="center"/>
            <w:hideMark/>
          </w:tcPr>
          <w:p w14:paraId="025BDC39"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1E9A1B34" w14:textId="77777777" w:rsidTr="00364C65">
        <w:trPr>
          <w:trHeight w:val="900"/>
        </w:trPr>
        <w:tc>
          <w:tcPr>
            <w:tcW w:w="8364" w:type="dxa"/>
            <w:tcBorders>
              <w:left w:val="single" w:sz="4" w:space="0" w:color="000000" w:themeColor="text1"/>
            </w:tcBorders>
            <w:shd w:val="clear" w:color="auto" w:fill="auto"/>
            <w:vAlign w:val="center"/>
            <w:hideMark/>
          </w:tcPr>
          <w:p w14:paraId="6A1D8CA4" w14:textId="77777777" w:rsidR="00954185" w:rsidRPr="00954185" w:rsidRDefault="00954185" w:rsidP="00364C65">
            <w:pPr>
              <w:spacing w:line="360" w:lineRule="auto"/>
              <w:rPr>
                <w:sz w:val="20"/>
                <w:szCs w:val="20"/>
              </w:rPr>
            </w:pPr>
            <w:proofErr w:type="spellStart"/>
            <w:r w:rsidRPr="00641BD3">
              <w:rPr>
                <w:sz w:val="20"/>
                <w:szCs w:val="20"/>
                <w:lang w:val="es-ES"/>
              </w:rPr>
              <w:t>Jaiswal</w:t>
            </w:r>
            <w:proofErr w:type="spellEnd"/>
            <w:r w:rsidRPr="00641BD3">
              <w:rPr>
                <w:sz w:val="20"/>
                <w:szCs w:val="20"/>
                <w:lang w:val="es-ES"/>
              </w:rPr>
              <w:t xml:space="preserve">, A., </w:t>
            </w:r>
            <w:proofErr w:type="spellStart"/>
            <w:r w:rsidRPr="00641BD3">
              <w:rPr>
                <w:sz w:val="20"/>
                <w:szCs w:val="20"/>
                <w:lang w:val="es-ES"/>
              </w:rPr>
              <w:t>Satardey</w:t>
            </w:r>
            <w:proofErr w:type="spellEnd"/>
            <w:r w:rsidRPr="00641BD3">
              <w:rPr>
                <w:sz w:val="20"/>
                <w:szCs w:val="20"/>
                <w:lang w:val="es-ES"/>
              </w:rPr>
              <w:t xml:space="preserve">, R., </w:t>
            </w:r>
            <w:proofErr w:type="spellStart"/>
            <w:r w:rsidRPr="00641BD3">
              <w:rPr>
                <w:sz w:val="20"/>
                <w:szCs w:val="20"/>
                <w:lang w:val="es-ES"/>
              </w:rPr>
              <w:t>Datta</w:t>
            </w:r>
            <w:proofErr w:type="spellEnd"/>
            <w:r w:rsidRPr="00641BD3">
              <w:rPr>
                <w:sz w:val="20"/>
                <w:szCs w:val="20"/>
                <w:lang w:val="es-ES"/>
              </w:rPr>
              <w:t xml:space="preserve">, C., Panda, C., &amp; Pal, D. K. (2021). </w:t>
            </w:r>
            <w:r w:rsidRPr="00954185">
              <w:rPr>
                <w:sz w:val="20"/>
                <w:szCs w:val="20"/>
              </w:rPr>
              <w:t>Association of BRCA1 and BRCA2 genes in arsenic-induced urinary bladder carcinoma. Journal of Clinical Urology, 20514158211051888.</w:t>
            </w:r>
          </w:p>
        </w:tc>
        <w:tc>
          <w:tcPr>
            <w:tcW w:w="2126" w:type="dxa"/>
            <w:tcBorders>
              <w:right w:val="single" w:sz="4" w:space="0" w:color="000000" w:themeColor="text1"/>
            </w:tcBorders>
            <w:shd w:val="clear" w:color="auto" w:fill="auto"/>
            <w:noWrap/>
            <w:vAlign w:val="center"/>
            <w:hideMark/>
          </w:tcPr>
          <w:p w14:paraId="0AA95E7A" w14:textId="77777777" w:rsidR="00954185" w:rsidRPr="00954185" w:rsidRDefault="00954185" w:rsidP="00364C65">
            <w:pPr>
              <w:spacing w:line="360" w:lineRule="auto"/>
              <w:rPr>
                <w:sz w:val="20"/>
                <w:szCs w:val="20"/>
              </w:rPr>
            </w:pPr>
            <w:r w:rsidRPr="00954185">
              <w:rPr>
                <w:sz w:val="20"/>
                <w:szCs w:val="20"/>
              </w:rPr>
              <w:t>Urinary bladder carcinoma</w:t>
            </w:r>
          </w:p>
        </w:tc>
      </w:tr>
      <w:tr w:rsidR="00954185" w:rsidRPr="00954185" w14:paraId="227FB2BE" w14:textId="77777777" w:rsidTr="00364C65">
        <w:trPr>
          <w:trHeight w:val="1200"/>
        </w:trPr>
        <w:tc>
          <w:tcPr>
            <w:tcW w:w="8364" w:type="dxa"/>
            <w:tcBorders>
              <w:left w:val="single" w:sz="4" w:space="0" w:color="000000" w:themeColor="text1"/>
            </w:tcBorders>
            <w:shd w:val="clear" w:color="auto" w:fill="auto"/>
            <w:vAlign w:val="center"/>
            <w:hideMark/>
          </w:tcPr>
          <w:p w14:paraId="19126C2A" w14:textId="77777777" w:rsidR="00954185" w:rsidRPr="00954185" w:rsidRDefault="00954185" w:rsidP="00364C65">
            <w:pPr>
              <w:spacing w:line="360" w:lineRule="auto"/>
              <w:rPr>
                <w:sz w:val="20"/>
                <w:szCs w:val="20"/>
              </w:rPr>
            </w:pPr>
            <w:r w:rsidRPr="00954185">
              <w:rPr>
                <w:sz w:val="20"/>
                <w:szCs w:val="20"/>
              </w:rPr>
              <w:t>Janasik, B., Reszka, E., Stanislawska, M., Wieczorek, E., Fendler, W., &amp; Wasowicz, W. (2015). Biological monitoring and the influence of genetic polymorphism of As3MT and GSTs on distribution of urinary arsenic species in occupational exposure workers. International Archives of Occupational and Environmental Health, 88, 807-818.</w:t>
            </w:r>
          </w:p>
        </w:tc>
        <w:tc>
          <w:tcPr>
            <w:tcW w:w="2126" w:type="dxa"/>
            <w:tcBorders>
              <w:right w:val="single" w:sz="4" w:space="0" w:color="000000" w:themeColor="text1"/>
            </w:tcBorders>
            <w:shd w:val="clear" w:color="auto" w:fill="auto"/>
            <w:noWrap/>
            <w:vAlign w:val="center"/>
            <w:hideMark/>
          </w:tcPr>
          <w:p w14:paraId="72CC4BAA"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34300794" w14:textId="77777777" w:rsidTr="00364C65">
        <w:trPr>
          <w:trHeight w:val="900"/>
        </w:trPr>
        <w:tc>
          <w:tcPr>
            <w:tcW w:w="8364" w:type="dxa"/>
            <w:tcBorders>
              <w:left w:val="single" w:sz="4" w:space="0" w:color="000000" w:themeColor="text1"/>
            </w:tcBorders>
            <w:shd w:val="clear" w:color="auto" w:fill="auto"/>
            <w:vAlign w:val="center"/>
            <w:hideMark/>
          </w:tcPr>
          <w:p w14:paraId="17F8F1C7" w14:textId="77777777" w:rsidR="00954185" w:rsidRPr="00954185" w:rsidRDefault="00954185" w:rsidP="00364C65">
            <w:pPr>
              <w:spacing w:line="360" w:lineRule="auto"/>
              <w:rPr>
                <w:sz w:val="20"/>
                <w:szCs w:val="20"/>
              </w:rPr>
            </w:pPr>
            <w:r w:rsidRPr="00954185">
              <w:rPr>
                <w:sz w:val="20"/>
                <w:szCs w:val="20"/>
              </w:rPr>
              <w:t>Jiang, J., He, S., Liu, K., Yu, K., Long, P., Xiao, Y., ... &amp; Yuan, Y. (2022). Multiple plasma metals, genetic risk and serum complement C3, C4: A gene-metal interaction study. Chemosphere, 291, 132801.</w:t>
            </w:r>
          </w:p>
        </w:tc>
        <w:tc>
          <w:tcPr>
            <w:tcW w:w="2126" w:type="dxa"/>
            <w:tcBorders>
              <w:right w:val="single" w:sz="4" w:space="0" w:color="000000" w:themeColor="text1"/>
            </w:tcBorders>
            <w:shd w:val="clear" w:color="auto" w:fill="auto"/>
            <w:noWrap/>
            <w:vAlign w:val="center"/>
            <w:hideMark/>
          </w:tcPr>
          <w:p w14:paraId="44600F19" w14:textId="77777777" w:rsidR="00954185" w:rsidRPr="00954185" w:rsidRDefault="00954185" w:rsidP="00364C65">
            <w:pPr>
              <w:spacing w:line="360" w:lineRule="auto"/>
              <w:rPr>
                <w:sz w:val="20"/>
                <w:szCs w:val="20"/>
              </w:rPr>
            </w:pPr>
            <w:r w:rsidRPr="00954185">
              <w:rPr>
                <w:sz w:val="20"/>
                <w:szCs w:val="20"/>
              </w:rPr>
              <w:t>Duplicate</w:t>
            </w:r>
          </w:p>
        </w:tc>
      </w:tr>
      <w:tr w:rsidR="00954185" w:rsidRPr="00954185" w14:paraId="08A7AB74" w14:textId="77777777" w:rsidTr="00364C65">
        <w:trPr>
          <w:trHeight w:val="900"/>
        </w:trPr>
        <w:tc>
          <w:tcPr>
            <w:tcW w:w="8364" w:type="dxa"/>
            <w:tcBorders>
              <w:left w:val="single" w:sz="4" w:space="0" w:color="000000" w:themeColor="text1"/>
            </w:tcBorders>
            <w:shd w:val="clear" w:color="auto" w:fill="auto"/>
            <w:vAlign w:val="center"/>
            <w:hideMark/>
          </w:tcPr>
          <w:p w14:paraId="319F75E9" w14:textId="77777777" w:rsidR="00954185" w:rsidRPr="00954185" w:rsidRDefault="00954185" w:rsidP="00364C65">
            <w:pPr>
              <w:spacing w:line="360" w:lineRule="auto"/>
              <w:rPr>
                <w:sz w:val="20"/>
                <w:szCs w:val="20"/>
              </w:rPr>
            </w:pPr>
            <w:r w:rsidRPr="00954185">
              <w:rPr>
                <w:sz w:val="20"/>
                <w:szCs w:val="20"/>
              </w:rPr>
              <w:t xml:space="preserve">Jin, B., Wan, S., </w:t>
            </w:r>
            <w:proofErr w:type="spellStart"/>
            <w:r w:rsidRPr="00954185">
              <w:rPr>
                <w:sz w:val="20"/>
                <w:szCs w:val="20"/>
              </w:rPr>
              <w:t>Boah</w:t>
            </w:r>
            <w:proofErr w:type="spellEnd"/>
            <w:r w:rsidRPr="00954185">
              <w:rPr>
                <w:sz w:val="20"/>
                <w:szCs w:val="20"/>
              </w:rPr>
              <w:t xml:space="preserve">, M., Yang, J., Ma, W., </w:t>
            </w:r>
            <w:proofErr w:type="spellStart"/>
            <w:r w:rsidRPr="00954185">
              <w:rPr>
                <w:sz w:val="20"/>
                <w:szCs w:val="20"/>
              </w:rPr>
              <w:t>Lv</w:t>
            </w:r>
            <w:proofErr w:type="spellEnd"/>
            <w:r w:rsidRPr="00954185">
              <w:rPr>
                <w:sz w:val="20"/>
                <w:szCs w:val="20"/>
              </w:rPr>
              <w:t>, M., ... &amp; Wang, K. (2021). GSTM1 and GSTT1 null genotype polymorphisms and susceptibility to arsenic poisoning: a meta-analysis. Biological Trace Element Research, 199, 2085-2095.</w:t>
            </w:r>
          </w:p>
        </w:tc>
        <w:tc>
          <w:tcPr>
            <w:tcW w:w="2126" w:type="dxa"/>
            <w:tcBorders>
              <w:right w:val="single" w:sz="4" w:space="0" w:color="000000" w:themeColor="text1"/>
            </w:tcBorders>
            <w:shd w:val="clear" w:color="auto" w:fill="auto"/>
            <w:noWrap/>
            <w:vAlign w:val="center"/>
            <w:hideMark/>
          </w:tcPr>
          <w:p w14:paraId="4D7B2783" w14:textId="77777777" w:rsidR="00954185" w:rsidRPr="00954185" w:rsidRDefault="00954185" w:rsidP="00364C65">
            <w:pPr>
              <w:spacing w:line="360" w:lineRule="auto"/>
              <w:rPr>
                <w:sz w:val="20"/>
                <w:szCs w:val="20"/>
              </w:rPr>
            </w:pPr>
            <w:r w:rsidRPr="00954185">
              <w:rPr>
                <w:sz w:val="20"/>
                <w:szCs w:val="20"/>
              </w:rPr>
              <w:t>Secondary study design (e.g., review, meta-analysis)</w:t>
            </w:r>
          </w:p>
        </w:tc>
      </w:tr>
      <w:tr w:rsidR="00954185" w:rsidRPr="00954185" w14:paraId="2D1C6956" w14:textId="77777777" w:rsidTr="00364C65">
        <w:trPr>
          <w:trHeight w:val="900"/>
        </w:trPr>
        <w:tc>
          <w:tcPr>
            <w:tcW w:w="8364" w:type="dxa"/>
            <w:tcBorders>
              <w:left w:val="single" w:sz="4" w:space="0" w:color="000000" w:themeColor="text1"/>
            </w:tcBorders>
            <w:shd w:val="clear" w:color="auto" w:fill="auto"/>
            <w:vAlign w:val="center"/>
            <w:hideMark/>
          </w:tcPr>
          <w:p w14:paraId="236932F8" w14:textId="77777777" w:rsidR="00954185" w:rsidRPr="00954185" w:rsidRDefault="00954185" w:rsidP="00364C65">
            <w:pPr>
              <w:spacing w:line="360" w:lineRule="auto"/>
              <w:rPr>
                <w:sz w:val="20"/>
                <w:szCs w:val="20"/>
              </w:rPr>
            </w:pPr>
            <w:proofErr w:type="spellStart"/>
            <w:r w:rsidRPr="00641BD3">
              <w:rPr>
                <w:sz w:val="20"/>
                <w:szCs w:val="20"/>
                <w:lang w:val="es-ES"/>
              </w:rPr>
              <w:t>Kadioglu</w:t>
            </w:r>
            <w:proofErr w:type="spellEnd"/>
            <w:r w:rsidRPr="00641BD3">
              <w:rPr>
                <w:sz w:val="20"/>
                <w:szCs w:val="20"/>
                <w:lang w:val="es-ES"/>
              </w:rPr>
              <w:t xml:space="preserve">, E., </w:t>
            </w:r>
            <w:proofErr w:type="spellStart"/>
            <w:r w:rsidRPr="00641BD3">
              <w:rPr>
                <w:sz w:val="20"/>
                <w:szCs w:val="20"/>
                <w:lang w:val="es-ES"/>
              </w:rPr>
              <w:t>Hisarli</w:t>
            </w:r>
            <w:proofErr w:type="spellEnd"/>
            <w:r w:rsidRPr="00641BD3">
              <w:rPr>
                <w:sz w:val="20"/>
                <w:szCs w:val="20"/>
                <w:lang w:val="es-ES"/>
              </w:rPr>
              <w:t xml:space="preserve">, N. D., </w:t>
            </w:r>
            <w:proofErr w:type="spellStart"/>
            <w:r w:rsidRPr="00641BD3">
              <w:rPr>
                <w:sz w:val="20"/>
                <w:szCs w:val="20"/>
                <w:lang w:val="es-ES"/>
              </w:rPr>
              <w:t>Asik</w:t>
            </w:r>
            <w:proofErr w:type="spellEnd"/>
            <w:r w:rsidRPr="00641BD3">
              <w:rPr>
                <w:sz w:val="20"/>
                <w:szCs w:val="20"/>
                <w:lang w:val="es-ES"/>
              </w:rPr>
              <w:t xml:space="preserve">, E., </w:t>
            </w:r>
            <w:proofErr w:type="spellStart"/>
            <w:r w:rsidRPr="00641BD3">
              <w:rPr>
                <w:sz w:val="20"/>
                <w:szCs w:val="20"/>
                <w:lang w:val="es-ES"/>
              </w:rPr>
              <w:t>Demircigil</w:t>
            </w:r>
            <w:proofErr w:type="spellEnd"/>
            <w:r w:rsidRPr="00641BD3">
              <w:rPr>
                <w:sz w:val="20"/>
                <w:szCs w:val="20"/>
                <w:lang w:val="es-ES"/>
              </w:rPr>
              <w:t xml:space="preserve">, G. C., </w:t>
            </w:r>
            <w:proofErr w:type="spellStart"/>
            <w:r w:rsidRPr="00641BD3">
              <w:rPr>
                <w:sz w:val="20"/>
                <w:szCs w:val="20"/>
                <w:lang w:val="es-ES"/>
              </w:rPr>
              <w:t>Alshana</w:t>
            </w:r>
            <w:proofErr w:type="spellEnd"/>
            <w:r w:rsidRPr="00641BD3">
              <w:rPr>
                <w:sz w:val="20"/>
                <w:szCs w:val="20"/>
                <w:lang w:val="es-ES"/>
              </w:rPr>
              <w:t xml:space="preserve">, U., </w:t>
            </w:r>
            <w:proofErr w:type="spellStart"/>
            <w:r w:rsidRPr="00641BD3">
              <w:rPr>
                <w:sz w:val="20"/>
                <w:szCs w:val="20"/>
                <w:lang w:val="es-ES"/>
              </w:rPr>
              <w:t>Ertas</w:t>
            </w:r>
            <w:proofErr w:type="spellEnd"/>
            <w:r w:rsidRPr="00641BD3">
              <w:rPr>
                <w:sz w:val="20"/>
                <w:szCs w:val="20"/>
                <w:lang w:val="es-ES"/>
              </w:rPr>
              <w:t xml:space="preserve">, N., ... </w:t>
            </w:r>
            <w:r w:rsidRPr="00954185">
              <w:rPr>
                <w:sz w:val="20"/>
                <w:szCs w:val="20"/>
              </w:rPr>
              <w:t xml:space="preserve">&amp; </w:t>
            </w:r>
            <w:proofErr w:type="spellStart"/>
            <w:r w:rsidRPr="00954185">
              <w:rPr>
                <w:sz w:val="20"/>
                <w:szCs w:val="20"/>
              </w:rPr>
              <w:t>Burgaz</w:t>
            </w:r>
            <w:proofErr w:type="spellEnd"/>
            <w:r w:rsidRPr="00954185">
              <w:rPr>
                <w:sz w:val="20"/>
                <w:szCs w:val="20"/>
              </w:rPr>
              <w:t>, S. (2012). AS3MT gene polymorphism in residents exposed to inorganic arsenic via drinking water. Toxicology Letters, 211, 9.</w:t>
            </w:r>
          </w:p>
        </w:tc>
        <w:tc>
          <w:tcPr>
            <w:tcW w:w="2126" w:type="dxa"/>
            <w:tcBorders>
              <w:right w:val="single" w:sz="4" w:space="0" w:color="000000" w:themeColor="text1"/>
            </w:tcBorders>
            <w:shd w:val="clear" w:color="auto" w:fill="auto"/>
            <w:noWrap/>
            <w:vAlign w:val="center"/>
            <w:hideMark/>
          </w:tcPr>
          <w:p w14:paraId="15D525EB" w14:textId="77777777" w:rsidR="00954185" w:rsidRPr="00954185" w:rsidRDefault="00954185" w:rsidP="00364C65">
            <w:pPr>
              <w:spacing w:line="360" w:lineRule="auto"/>
              <w:rPr>
                <w:sz w:val="20"/>
                <w:szCs w:val="20"/>
              </w:rPr>
            </w:pPr>
            <w:r w:rsidRPr="00954185">
              <w:rPr>
                <w:sz w:val="20"/>
                <w:szCs w:val="20"/>
              </w:rPr>
              <w:t>Conference abstract</w:t>
            </w:r>
          </w:p>
        </w:tc>
      </w:tr>
      <w:tr w:rsidR="00954185" w:rsidRPr="00954185" w14:paraId="10FFF357" w14:textId="77777777" w:rsidTr="00364C65">
        <w:trPr>
          <w:trHeight w:val="900"/>
        </w:trPr>
        <w:tc>
          <w:tcPr>
            <w:tcW w:w="8364" w:type="dxa"/>
            <w:tcBorders>
              <w:left w:val="single" w:sz="4" w:space="0" w:color="000000" w:themeColor="text1"/>
            </w:tcBorders>
            <w:shd w:val="clear" w:color="auto" w:fill="auto"/>
            <w:vAlign w:val="center"/>
            <w:hideMark/>
          </w:tcPr>
          <w:p w14:paraId="3601CE3A" w14:textId="77777777" w:rsidR="00954185" w:rsidRPr="00954185" w:rsidRDefault="00954185" w:rsidP="00364C65">
            <w:pPr>
              <w:spacing w:line="360" w:lineRule="auto"/>
              <w:rPr>
                <w:sz w:val="20"/>
                <w:szCs w:val="20"/>
              </w:rPr>
            </w:pPr>
            <w:proofErr w:type="spellStart"/>
            <w:r w:rsidRPr="00954185">
              <w:rPr>
                <w:sz w:val="20"/>
                <w:szCs w:val="20"/>
              </w:rPr>
              <w:lastRenderedPageBreak/>
              <w:t>Karagas</w:t>
            </w:r>
            <w:proofErr w:type="spellEnd"/>
            <w:r w:rsidRPr="00954185">
              <w:rPr>
                <w:sz w:val="20"/>
                <w:szCs w:val="20"/>
              </w:rPr>
              <w:t xml:space="preserve">, M. R., Andrew, A. S., Nelson, H. H., Li, Z., Punshon, T., </w:t>
            </w:r>
            <w:proofErr w:type="spellStart"/>
            <w:r w:rsidRPr="00954185">
              <w:rPr>
                <w:sz w:val="20"/>
                <w:szCs w:val="20"/>
              </w:rPr>
              <w:t>Schned</w:t>
            </w:r>
            <w:proofErr w:type="spellEnd"/>
            <w:r w:rsidRPr="00954185">
              <w:rPr>
                <w:sz w:val="20"/>
                <w:szCs w:val="20"/>
              </w:rPr>
              <w:t>, A., ... &amp; Kelsey, K. T. (2012). SLC39A2 and FSIP1 polymorphisms as potential modifiers of arsenic-related bladder cancer. Human genetics, 131, 453-461.</w:t>
            </w:r>
          </w:p>
        </w:tc>
        <w:tc>
          <w:tcPr>
            <w:tcW w:w="2126" w:type="dxa"/>
            <w:tcBorders>
              <w:right w:val="single" w:sz="4" w:space="0" w:color="000000" w:themeColor="text1"/>
            </w:tcBorders>
            <w:shd w:val="clear" w:color="auto" w:fill="auto"/>
            <w:noWrap/>
            <w:vAlign w:val="center"/>
            <w:hideMark/>
          </w:tcPr>
          <w:p w14:paraId="7E515392" w14:textId="77777777" w:rsidR="00954185" w:rsidRPr="00954185" w:rsidRDefault="00954185" w:rsidP="00364C65">
            <w:pPr>
              <w:spacing w:line="360" w:lineRule="auto"/>
              <w:rPr>
                <w:sz w:val="20"/>
                <w:szCs w:val="20"/>
              </w:rPr>
            </w:pPr>
            <w:r w:rsidRPr="00954185">
              <w:rPr>
                <w:sz w:val="20"/>
                <w:szCs w:val="20"/>
              </w:rPr>
              <w:t>Bladder cancer</w:t>
            </w:r>
          </w:p>
        </w:tc>
      </w:tr>
      <w:tr w:rsidR="00954185" w:rsidRPr="00954185" w14:paraId="4C8C6C3D" w14:textId="77777777" w:rsidTr="00364C65">
        <w:trPr>
          <w:trHeight w:val="900"/>
        </w:trPr>
        <w:tc>
          <w:tcPr>
            <w:tcW w:w="8364" w:type="dxa"/>
            <w:tcBorders>
              <w:left w:val="single" w:sz="4" w:space="0" w:color="000000" w:themeColor="text1"/>
            </w:tcBorders>
            <w:shd w:val="clear" w:color="auto" w:fill="auto"/>
            <w:vAlign w:val="center"/>
            <w:hideMark/>
          </w:tcPr>
          <w:p w14:paraId="46270847" w14:textId="77777777" w:rsidR="00954185" w:rsidRPr="00954185" w:rsidRDefault="00954185" w:rsidP="00364C65">
            <w:pPr>
              <w:spacing w:line="360" w:lineRule="auto"/>
              <w:rPr>
                <w:sz w:val="20"/>
                <w:szCs w:val="20"/>
              </w:rPr>
            </w:pPr>
            <w:proofErr w:type="spellStart"/>
            <w:r w:rsidRPr="00954185">
              <w:rPr>
                <w:sz w:val="20"/>
                <w:szCs w:val="20"/>
              </w:rPr>
              <w:t>Karagas</w:t>
            </w:r>
            <w:proofErr w:type="spellEnd"/>
            <w:r w:rsidRPr="00954185">
              <w:rPr>
                <w:sz w:val="20"/>
                <w:szCs w:val="20"/>
              </w:rPr>
              <w:t xml:space="preserve">, M., Andrew, A., Nelson, H., </w:t>
            </w:r>
            <w:proofErr w:type="spellStart"/>
            <w:r w:rsidRPr="00954185">
              <w:rPr>
                <w:sz w:val="20"/>
                <w:szCs w:val="20"/>
              </w:rPr>
              <w:t>Schned</w:t>
            </w:r>
            <w:proofErr w:type="spellEnd"/>
            <w:r w:rsidRPr="00954185">
              <w:rPr>
                <w:sz w:val="20"/>
                <w:szCs w:val="20"/>
              </w:rPr>
              <w:t xml:space="preserve">, A., </w:t>
            </w:r>
            <w:proofErr w:type="spellStart"/>
            <w:r w:rsidRPr="00954185">
              <w:rPr>
                <w:sz w:val="20"/>
                <w:szCs w:val="20"/>
              </w:rPr>
              <w:t>Marsit</w:t>
            </w:r>
            <w:proofErr w:type="spellEnd"/>
            <w:r w:rsidRPr="00954185">
              <w:rPr>
                <w:sz w:val="20"/>
                <w:szCs w:val="20"/>
              </w:rPr>
              <w:t>, C., Morris, J. S., ... &amp; Kelsey, K. (2011). Novel Single Nucleotide Polymorphisms Related to Arsenic-associated Bladder Cancer in a US Population-based Study. Epidemiology, 22(1), S71.</w:t>
            </w:r>
          </w:p>
        </w:tc>
        <w:tc>
          <w:tcPr>
            <w:tcW w:w="2126" w:type="dxa"/>
            <w:tcBorders>
              <w:right w:val="single" w:sz="4" w:space="0" w:color="000000" w:themeColor="text1"/>
            </w:tcBorders>
            <w:shd w:val="clear" w:color="auto" w:fill="auto"/>
            <w:noWrap/>
            <w:vAlign w:val="center"/>
            <w:hideMark/>
          </w:tcPr>
          <w:p w14:paraId="6275640F" w14:textId="77777777" w:rsidR="00954185" w:rsidRPr="00954185" w:rsidRDefault="00954185" w:rsidP="00364C65">
            <w:pPr>
              <w:spacing w:line="360" w:lineRule="auto"/>
              <w:rPr>
                <w:sz w:val="20"/>
                <w:szCs w:val="20"/>
              </w:rPr>
            </w:pPr>
            <w:r w:rsidRPr="00954185">
              <w:rPr>
                <w:sz w:val="20"/>
                <w:szCs w:val="20"/>
              </w:rPr>
              <w:t>Conference abstract</w:t>
            </w:r>
          </w:p>
        </w:tc>
      </w:tr>
      <w:tr w:rsidR="00954185" w:rsidRPr="00954185" w14:paraId="681ECB34" w14:textId="77777777" w:rsidTr="00364C65">
        <w:trPr>
          <w:trHeight w:val="900"/>
        </w:trPr>
        <w:tc>
          <w:tcPr>
            <w:tcW w:w="8364" w:type="dxa"/>
            <w:tcBorders>
              <w:left w:val="single" w:sz="4" w:space="0" w:color="000000" w:themeColor="text1"/>
            </w:tcBorders>
            <w:shd w:val="clear" w:color="auto" w:fill="auto"/>
            <w:vAlign w:val="center"/>
            <w:hideMark/>
          </w:tcPr>
          <w:p w14:paraId="4221435E" w14:textId="77777777" w:rsidR="00954185" w:rsidRPr="00954185" w:rsidRDefault="00954185" w:rsidP="00364C65">
            <w:pPr>
              <w:spacing w:line="360" w:lineRule="auto"/>
              <w:rPr>
                <w:sz w:val="20"/>
                <w:szCs w:val="20"/>
              </w:rPr>
            </w:pPr>
            <w:r w:rsidRPr="00954185">
              <w:rPr>
                <w:sz w:val="20"/>
                <w:szCs w:val="20"/>
              </w:rPr>
              <w:t>Kaya-</w:t>
            </w:r>
            <w:proofErr w:type="spellStart"/>
            <w:r w:rsidRPr="00954185">
              <w:rPr>
                <w:sz w:val="20"/>
                <w:szCs w:val="20"/>
              </w:rPr>
              <w:t>Akyüzlü</w:t>
            </w:r>
            <w:proofErr w:type="spellEnd"/>
            <w:r w:rsidRPr="00954185">
              <w:rPr>
                <w:sz w:val="20"/>
                <w:szCs w:val="20"/>
              </w:rPr>
              <w:t xml:space="preserve">, D., </w:t>
            </w:r>
            <w:proofErr w:type="spellStart"/>
            <w:r w:rsidRPr="00954185">
              <w:rPr>
                <w:sz w:val="20"/>
                <w:szCs w:val="20"/>
              </w:rPr>
              <w:t>Kayaaltı</w:t>
            </w:r>
            <w:proofErr w:type="spellEnd"/>
            <w:r w:rsidRPr="00954185">
              <w:rPr>
                <w:sz w:val="20"/>
                <w:szCs w:val="20"/>
              </w:rPr>
              <w:t xml:space="preserve">, Z., &amp; </w:t>
            </w:r>
            <w:proofErr w:type="spellStart"/>
            <w:r w:rsidRPr="00954185">
              <w:rPr>
                <w:sz w:val="20"/>
                <w:szCs w:val="20"/>
              </w:rPr>
              <w:t>Söylemezoğlu</w:t>
            </w:r>
            <w:proofErr w:type="spellEnd"/>
            <w:r w:rsidRPr="00954185">
              <w:rPr>
                <w:sz w:val="20"/>
                <w:szCs w:val="20"/>
              </w:rPr>
              <w:t xml:space="preserve">, T. (2015). Does MRP2 G4544A and GSTP1 Ile105Val polymorphisms </w:t>
            </w:r>
            <w:proofErr w:type="gramStart"/>
            <w:r w:rsidRPr="00954185">
              <w:rPr>
                <w:sz w:val="20"/>
                <w:szCs w:val="20"/>
              </w:rPr>
              <w:t>have an effect on</w:t>
            </w:r>
            <w:proofErr w:type="gramEnd"/>
            <w:r w:rsidRPr="00954185">
              <w:rPr>
                <w:sz w:val="20"/>
                <w:szCs w:val="20"/>
              </w:rPr>
              <w:t xml:space="preserve"> urinary and blood arsenic </w:t>
            </w:r>
            <w:proofErr w:type="gramStart"/>
            <w:r w:rsidRPr="00954185">
              <w:rPr>
                <w:sz w:val="20"/>
                <w:szCs w:val="20"/>
              </w:rPr>
              <w:t>levels?.</w:t>
            </w:r>
            <w:proofErr w:type="gramEnd"/>
            <w:r w:rsidRPr="00954185">
              <w:rPr>
                <w:sz w:val="20"/>
                <w:szCs w:val="20"/>
              </w:rPr>
              <w:t xml:space="preserve"> Toxicology Letters, 2(238), S227.</w:t>
            </w:r>
          </w:p>
        </w:tc>
        <w:tc>
          <w:tcPr>
            <w:tcW w:w="2126" w:type="dxa"/>
            <w:tcBorders>
              <w:right w:val="single" w:sz="4" w:space="0" w:color="000000" w:themeColor="text1"/>
            </w:tcBorders>
            <w:shd w:val="clear" w:color="auto" w:fill="auto"/>
            <w:noWrap/>
            <w:vAlign w:val="center"/>
            <w:hideMark/>
          </w:tcPr>
          <w:p w14:paraId="11223382" w14:textId="77777777" w:rsidR="00954185" w:rsidRPr="00954185" w:rsidRDefault="00954185" w:rsidP="00364C65">
            <w:pPr>
              <w:spacing w:line="360" w:lineRule="auto"/>
              <w:rPr>
                <w:sz w:val="20"/>
                <w:szCs w:val="20"/>
              </w:rPr>
            </w:pPr>
            <w:r w:rsidRPr="00954185">
              <w:rPr>
                <w:sz w:val="20"/>
                <w:szCs w:val="20"/>
              </w:rPr>
              <w:t>Conference abstract</w:t>
            </w:r>
          </w:p>
        </w:tc>
      </w:tr>
      <w:tr w:rsidR="00954185" w:rsidRPr="00954185" w14:paraId="42A55250" w14:textId="77777777" w:rsidTr="00364C65">
        <w:trPr>
          <w:trHeight w:val="900"/>
        </w:trPr>
        <w:tc>
          <w:tcPr>
            <w:tcW w:w="8364" w:type="dxa"/>
            <w:tcBorders>
              <w:left w:val="single" w:sz="4" w:space="0" w:color="000000" w:themeColor="text1"/>
            </w:tcBorders>
            <w:shd w:val="clear" w:color="auto" w:fill="auto"/>
            <w:vAlign w:val="center"/>
            <w:hideMark/>
          </w:tcPr>
          <w:p w14:paraId="006686F3" w14:textId="77777777" w:rsidR="00954185" w:rsidRPr="00954185" w:rsidRDefault="00954185" w:rsidP="00364C65">
            <w:pPr>
              <w:spacing w:line="360" w:lineRule="auto"/>
              <w:rPr>
                <w:sz w:val="20"/>
                <w:szCs w:val="20"/>
              </w:rPr>
            </w:pPr>
            <w:r w:rsidRPr="00954185">
              <w:rPr>
                <w:sz w:val="20"/>
                <w:szCs w:val="20"/>
              </w:rPr>
              <w:t>Kaya-</w:t>
            </w:r>
            <w:proofErr w:type="spellStart"/>
            <w:r w:rsidRPr="00954185">
              <w:rPr>
                <w:sz w:val="20"/>
                <w:szCs w:val="20"/>
              </w:rPr>
              <w:t>Akyüzlü</w:t>
            </w:r>
            <w:proofErr w:type="spellEnd"/>
            <w:r w:rsidRPr="00954185">
              <w:rPr>
                <w:sz w:val="20"/>
                <w:szCs w:val="20"/>
              </w:rPr>
              <w:t xml:space="preserve">, D., </w:t>
            </w:r>
            <w:proofErr w:type="spellStart"/>
            <w:r w:rsidRPr="00954185">
              <w:rPr>
                <w:sz w:val="20"/>
                <w:szCs w:val="20"/>
              </w:rPr>
              <w:t>Kayaaltı</w:t>
            </w:r>
            <w:proofErr w:type="spellEnd"/>
            <w:r w:rsidRPr="00954185">
              <w:rPr>
                <w:sz w:val="20"/>
                <w:szCs w:val="20"/>
              </w:rPr>
              <w:t xml:space="preserve">, Z., &amp; </w:t>
            </w:r>
            <w:proofErr w:type="spellStart"/>
            <w:r w:rsidRPr="00954185">
              <w:rPr>
                <w:sz w:val="20"/>
                <w:szCs w:val="20"/>
              </w:rPr>
              <w:t>Söylemezoğlu</w:t>
            </w:r>
            <w:proofErr w:type="spellEnd"/>
            <w:r w:rsidRPr="00954185">
              <w:rPr>
                <w:sz w:val="20"/>
                <w:szCs w:val="20"/>
              </w:rPr>
              <w:t>, T. (2016). Influence of MRP1 G1666A and GSTP1 Ile105Val genetic variants on the urinary and blood arsenic levels of Turkish smelter workers. Environmental toxicology and pharmacology, 43, 68-73.</w:t>
            </w:r>
          </w:p>
        </w:tc>
        <w:tc>
          <w:tcPr>
            <w:tcW w:w="2126" w:type="dxa"/>
            <w:tcBorders>
              <w:right w:val="single" w:sz="4" w:space="0" w:color="000000" w:themeColor="text1"/>
            </w:tcBorders>
            <w:shd w:val="clear" w:color="auto" w:fill="auto"/>
            <w:noWrap/>
            <w:vAlign w:val="center"/>
            <w:hideMark/>
          </w:tcPr>
          <w:p w14:paraId="7853D1D2"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63C57445" w14:textId="77777777" w:rsidTr="00364C65">
        <w:trPr>
          <w:trHeight w:val="900"/>
        </w:trPr>
        <w:tc>
          <w:tcPr>
            <w:tcW w:w="8364" w:type="dxa"/>
            <w:tcBorders>
              <w:left w:val="single" w:sz="4" w:space="0" w:color="000000" w:themeColor="text1"/>
            </w:tcBorders>
            <w:shd w:val="clear" w:color="auto" w:fill="auto"/>
            <w:vAlign w:val="center"/>
            <w:hideMark/>
          </w:tcPr>
          <w:p w14:paraId="5B5393DD" w14:textId="77777777" w:rsidR="00954185" w:rsidRPr="00954185" w:rsidRDefault="00954185" w:rsidP="00364C65">
            <w:pPr>
              <w:spacing w:line="360" w:lineRule="auto"/>
              <w:rPr>
                <w:sz w:val="20"/>
                <w:szCs w:val="20"/>
              </w:rPr>
            </w:pPr>
            <w:proofErr w:type="spellStart"/>
            <w:r w:rsidRPr="00954185">
              <w:rPr>
                <w:sz w:val="20"/>
                <w:szCs w:val="20"/>
              </w:rPr>
              <w:t>Kayaalti</w:t>
            </w:r>
            <w:proofErr w:type="spellEnd"/>
            <w:r w:rsidRPr="00954185">
              <w:rPr>
                <w:sz w:val="20"/>
                <w:szCs w:val="20"/>
              </w:rPr>
              <w:t xml:space="preserve">, Z., </w:t>
            </w:r>
            <w:proofErr w:type="spellStart"/>
            <w:r w:rsidRPr="00954185">
              <w:rPr>
                <w:sz w:val="20"/>
                <w:szCs w:val="20"/>
              </w:rPr>
              <w:t>Akyuzlu</w:t>
            </w:r>
            <w:proofErr w:type="spellEnd"/>
            <w:r w:rsidRPr="00954185">
              <w:rPr>
                <w:sz w:val="20"/>
                <w:szCs w:val="20"/>
              </w:rPr>
              <w:t xml:space="preserve">, D. K., </w:t>
            </w:r>
            <w:proofErr w:type="spellStart"/>
            <w:r w:rsidRPr="00954185">
              <w:rPr>
                <w:sz w:val="20"/>
                <w:szCs w:val="20"/>
              </w:rPr>
              <w:t>Türksoy</w:t>
            </w:r>
            <w:proofErr w:type="spellEnd"/>
            <w:r w:rsidRPr="00954185">
              <w:rPr>
                <w:sz w:val="20"/>
                <w:szCs w:val="20"/>
              </w:rPr>
              <w:t xml:space="preserve">, V. A., </w:t>
            </w:r>
            <w:proofErr w:type="spellStart"/>
            <w:r w:rsidRPr="00954185">
              <w:rPr>
                <w:sz w:val="20"/>
                <w:szCs w:val="20"/>
              </w:rPr>
              <w:t>Soylemez</w:t>
            </w:r>
            <w:proofErr w:type="spellEnd"/>
            <w:r w:rsidRPr="00954185">
              <w:rPr>
                <w:sz w:val="20"/>
                <w:szCs w:val="20"/>
              </w:rPr>
              <w:t xml:space="preserve">, E., &amp; </w:t>
            </w:r>
            <w:proofErr w:type="spellStart"/>
            <w:r w:rsidRPr="00954185">
              <w:rPr>
                <w:sz w:val="20"/>
                <w:szCs w:val="20"/>
              </w:rPr>
              <w:t>Soylemezoglu</w:t>
            </w:r>
            <w:proofErr w:type="spellEnd"/>
            <w:r w:rsidRPr="00954185">
              <w:rPr>
                <w:sz w:val="20"/>
                <w:szCs w:val="20"/>
              </w:rPr>
              <w:t xml:space="preserve">, T. (2014). Does divalent metal transporter 1 mediate the intestinal absorption of </w:t>
            </w:r>
            <w:proofErr w:type="gramStart"/>
            <w:r w:rsidRPr="00954185">
              <w:rPr>
                <w:sz w:val="20"/>
                <w:szCs w:val="20"/>
              </w:rPr>
              <w:t>arsenic?.</w:t>
            </w:r>
            <w:proofErr w:type="gramEnd"/>
            <w:r w:rsidRPr="00954185">
              <w:rPr>
                <w:sz w:val="20"/>
                <w:szCs w:val="20"/>
              </w:rPr>
              <w:t xml:space="preserve"> Abstracts/Toxicology Letters 229S, 40, S252.</w:t>
            </w:r>
          </w:p>
        </w:tc>
        <w:tc>
          <w:tcPr>
            <w:tcW w:w="2126" w:type="dxa"/>
            <w:tcBorders>
              <w:right w:val="single" w:sz="4" w:space="0" w:color="000000" w:themeColor="text1"/>
            </w:tcBorders>
            <w:shd w:val="clear" w:color="auto" w:fill="auto"/>
            <w:noWrap/>
            <w:vAlign w:val="center"/>
            <w:hideMark/>
          </w:tcPr>
          <w:p w14:paraId="305C6618" w14:textId="77777777" w:rsidR="00954185" w:rsidRPr="00954185" w:rsidRDefault="00954185" w:rsidP="00364C65">
            <w:pPr>
              <w:spacing w:line="360" w:lineRule="auto"/>
              <w:rPr>
                <w:sz w:val="20"/>
                <w:szCs w:val="20"/>
              </w:rPr>
            </w:pPr>
            <w:r w:rsidRPr="00954185">
              <w:rPr>
                <w:sz w:val="20"/>
                <w:szCs w:val="20"/>
              </w:rPr>
              <w:t>Conference abstract</w:t>
            </w:r>
          </w:p>
        </w:tc>
      </w:tr>
      <w:tr w:rsidR="00954185" w:rsidRPr="00954185" w14:paraId="22721524" w14:textId="77777777" w:rsidTr="00364C65">
        <w:trPr>
          <w:trHeight w:val="900"/>
        </w:trPr>
        <w:tc>
          <w:tcPr>
            <w:tcW w:w="8364" w:type="dxa"/>
            <w:tcBorders>
              <w:left w:val="single" w:sz="4" w:space="0" w:color="000000" w:themeColor="text1"/>
            </w:tcBorders>
            <w:shd w:val="clear" w:color="auto" w:fill="auto"/>
            <w:vAlign w:val="center"/>
            <w:hideMark/>
          </w:tcPr>
          <w:p w14:paraId="290A54D5" w14:textId="77777777" w:rsidR="00954185" w:rsidRPr="00954185" w:rsidRDefault="00954185" w:rsidP="00364C65">
            <w:pPr>
              <w:spacing w:line="360" w:lineRule="auto"/>
              <w:rPr>
                <w:sz w:val="20"/>
                <w:szCs w:val="20"/>
              </w:rPr>
            </w:pPr>
            <w:proofErr w:type="spellStart"/>
            <w:r w:rsidRPr="00641BD3">
              <w:rPr>
                <w:sz w:val="20"/>
                <w:szCs w:val="20"/>
                <w:lang w:val="es-ES"/>
              </w:rPr>
              <w:t>Kibriya</w:t>
            </w:r>
            <w:proofErr w:type="spellEnd"/>
            <w:r w:rsidRPr="00641BD3">
              <w:rPr>
                <w:sz w:val="20"/>
                <w:szCs w:val="20"/>
                <w:lang w:val="es-ES"/>
              </w:rPr>
              <w:t xml:space="preserve">, M. G., Jasmine, F., </w:t>
            </w:r>
            <w:proofErr w:type="spellStart"/>
            <w:r w:rsidRPr="00641BD3">
              <w:rPr>
                <w:sz w:val="20"/>
                <w:szCs w:val="20"/>
                <w:lang w:val="es-ES"/>
              </w:rPr>
              <w:t>Parvez</w:t>
            </w:r>
            <w:proofErr w:type="spellEnd"/>
            <w:r w:rsidRPr="00641BD3">
              <w:rPr>
                <w:sz w:val="20"/>
                <w:szCs w:val="20"/>
                <w:lang w:val="es-ES"/>
              </w:rPr>
              <w:t>, F., Argos, M., Roy, S., Paul-</w:t>
            </w:r>
            <w:proofErr w:type="spellStart"/>
            <w:r w:rsidRPr="00641BD3">
              <w:rPr>
                <w:sz w:val="20"/>
                <w:szCs w:val="20"/>
                <w:lang w:val="es-ES"/>
              </w:rPr>
              <w:t>Brutus</w:t>
            </w:r>
            <w:proofErr w:type="spellEnd"/>
            <w:r w:rsidRPr="00641BD3">
              <w:rPr>
                <w:sz w:val="20"/>
                <w:szCs w:val="20"/>
                <w:lang w:val="es-ES"/>
              </w:rPr>
              <w:t xml:space="preserve">, R., ... </w:t>
            </w:r>
            <w:r w:rsidRPr="00954185">
              <w:rPr>
                <w:sz w:val="20"/>
                <w:szCs w:val="20"/>
              </w:rPr>
              <w:t>&amp; Ahsan, H. (2017). Association between genome-wide copy number variation and arsenic-induced skin lesions: a prospective study. Environmental Health, 16(1), 1-13.</w:t>
            </w:r>
          </w:p>
        </w:tc>
        <w:tc>
          <w:tcPr>
            <w:tcW w:w="2126" w:type="dxa"/>
            <w:tcBorders>
              <w:right w:val="single" w:sz="4" w:space="0" w:color="000000" w:themeColor="text1"/>
            </w:tcBorders>
            <w:shd w:val="clear" w:color="auto" w:fill="auto"/>
            <w:noWrap/>
            <w:vAlign w:val="center"/>
            <w:hideMark/>
          </w:tcPr>
          <w:p w14:paraId="0C653A16" w14:textId="77777777" w:rsidR="00954185" w:rsidRPr="00954185" w:rsidRDefault="00954185" w:rsidP="00364C65">
            <w:pPr>
              <w:spacing w:line="360" w:lineRule="auto"/>
              <w:rPr>
                <w:sz w:val="20"/>
                <w:szCs w:val="20"/>
              </w:rPr>
            </w:pPr>
            <w:r w:rsidRPr="00954185">
              <w:rPr>
                <w:sz w:val="20"/>
                <w:szCs w:val="20"/>
              </w:rPr>
              <w:t>Skin lesions</w:t>
            </w:r>
          </w:p>
        </w:tc>
      </w:tr>
      <w:tr w:rsidR="00954185" w:rsidRPr="00954185" w14:paraId="4790ACE1" w14:textId="77777777" w:rsidTr="00364C65">
        <w:trPr>
          <w:trHeight w:val="1200"/>
        </w:trPr>
        <w:tc>
          <w:tcPr>
            <w:tcW w:w="8364" w:type="dxa"/>
            <w:tcBorders>
              <w:left w:val="single" w:sz="4" w:space="0" w:color="000000" w:themeColor="text1"/>
            </w:tcBorders>
            <w:shd w:val="clear" w:color="auto" w:fill="auto"/>
            <w:vAlign w:val="center"/>
            <w:hideMark/>
          </w:tcPr>
          <w:p w14:paraId="0DA1D3EF" w14:textId="77777777" w:rsidR="00954185" w:rsidRPr="00954185" w:rsidRDefault="00954185" w:rsidP="00364C65">
            <w:pPr>
              <w:spacing w:line="360" w:lineRule="auto"/>
              <w:rPr>
                <w:sz w:val="20"/>
                <w:szCs w:val="20"/>
              </w:rPr>
            </w:pPr>
            <w:r w:rsidRPr="00954185">
              <w:rPr>
                <w:sz w:val="20"/>
                <w:szCs w:val="20"/>
              </w:rPr>
              <w:t xml:space="preserve">Kile, M. L., Houseman, E. A., </w:t>
            </w:r>
            <w:proofErr w:type="spellStart"/>
            <w:r w:rsidRPr="00954185">
              <w:rPr>
                <w:sz w:val="20"/>
                <w:szCs w:val="20"/>
              </w:rPr>
              <w:t>Quamruzzaman</w:t>
            </w:r>
            <w:proofErr w:type="spellEnd"/>
            <w:r w:rsidRPr="00954185">
              <w:rPr>
                <w:sz w:val="20"/>
                <w:szCs w:val="20"/>
              </w:rPr>
              <w:t xml:space="preserve">, Q., Rahman, M., </w:t>
            </w:r>
            <w:proofErr w:type="spellStart"/>
            <w:r w:rsidRPr="00954185">
              <w:rPr>
                <w:sz w:val="20"/>
                <w:szCs w:val="20"/>
              </w:rPr>
              <w:t>Mahiuddin</w:t>
            </w:r>
            <w:proofErr w:type="spellEnd"/>
            <w:r w:rsidRPr="00954185">
              <w:rPr>
                <w:sz w:val="20"/>
                <w:szCs w:val="20"/>
              </w:rPr>
              <w:t xml:space="preserve">, G., </w:t>
            </w:r>
            <w:proofErr w:type="spellStart"/>
            <w:r w:rsidRPr="00954185">
              <w:rPr>
                <w:sz w:val="20"/>
                <w:szCs w:val="20"/>
              </w:rPr>
              <w:t>Mostofa</w:t>
            </w:r>
            <w:proofErr w:type="spellEnd"/>
            <w:r w:rsidRPr="00954185">
              <w:rPr>
                <w:sz w:val="20"/>
                <w:szCs w:val="20"/>
              </w:rPr>
              <w:t>, G., ... &amp; Christiani, D. C. (2013). Influence of GSTT1 genetic polymorphisms on arsenic metabolism. Journal of the Indian Society of Agricultural Statistics. Indian Society of Agricultural Statistics, 67(2), 197.</w:t>
            </w:r>
          </w:p>
        </w:tc>
        <w:tc>
          <w:tcPr>
            <w:tcW w:w="2126" w:type="dxa"/>
            <w:tcBorders>
              <w:right w:val="single" w:sz="4" w:space="0" w:color="000000" w:themeColor="text1"/>
            </w:tcBorders>
            <w:shd w:val="clear" w:color="auto" w:fill="auto"/>
            <w:noWrap/>
            <w:vAlign w:val="center"/>
            <w:hideMark/>
          </w:tcPr>
          <w:p w14:paraId="144C20BD"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79790488" w14:textId="77777777" w:rsidTr="00364C65">
        <w:trPr>
          <w:trHeight w:val="1200"/>
        </w:trPr>
        <w:tc>
          <w:tcPr>
            <w:tcW w:w="8364" w:type="dxa"/>
            <w:tcBorders>
              <w:left w:val="single" w:sz="4" w:space="0" w:color="000000" w:themeColor="text1"/>
            </w:tcBorders>
            <w:shd w:val="clear" w:color="auto" w:fill="auto"/>
            <w:vAlign w:val="center"/>
            <w:hideMark/>
          </w:tcPr>
          <w:p w14:paraId="144512C0" w14:textId="77777777" w:rsidR="00954185" w:rsidRPr="00954185" w:rsidRDefault="00954185" w:rsidP="00364C65">
            <w:pPr>
              <w:spacing w:line="360" w:lineRule="auto"/>
              <w:rPr>
                <w:sz w:val="20"/>
                <w:szCs w:val="20"/>
              </w:rPr>
            </w:pPr>
            <w:r w:rsidRPr="00954185">
              <w:rPr>
                <w:sz w:val="20"/>
                <w:szCs w:val="20"/>
              </w:rPr>
              <w:t xml:space="preserve">Kile, M. L., Houseman, E. A., Rodrigues, E., Smith, T. J., </w:t>
            </w:r>
            <w:proofErr w:type="spellStart"/>
            <w:r w:rsidRPr="00954185">
              <w:rPr>
                <w:sz w:val="20"/>
                <w:szCs w:val="20"/>
              </w:rPr>
              <w:t>Quamruzzaman</w:t>
            </w:r>
            <w:proofErr w:type="spellEnd"/>
            <w:r w:rsidRPr="00954185">
              <w:rPr>
                <w:sz w:val="20"/>
                <w:szCs w:val="20"/>
              </w:rPr>
              <w:t>, Q., Rahman, M., ... &amp; Christiani, D. C. (2005). Toenail arsenic concentrations, GSTT1 gene polymorphisms, and arsenic exposure from drinking water. Cancer Epidemiology Biomarkers &amp; Prevention, 14(10), 2419-2426.</w:t>
            </w:r>
          </w:p>
        </w:tc>
        <w:tc>
          <w:tcPr>
            <w:tcW w:w="2126" w:type="dxa"/>
            <w:tcBorders>
              <w:right w:val="single" w:sz="4" w:space="0" w:color="000000" w:themeColor="text1"/>
            </w:tcBorders>
            <w:shd w:val="clear" w:color="auto" w:fill="auto"/>
            <w:noWrap/>
            <w:vAlign w:val="center"/>
            <w:hideMark/>
          </w:tcPr>
          <w:p w14:paraId="38ED0F84" w14:textId="77777777" w:rsidR="00954185" w:rsidRPr="00954185" w:rsidRDefault="00954185" w:rsidP="00364C65">
            <w:pPr>
              <w:spacing w:line="360" w:lineRule="auto"/>
              <w:rPr>
                <w:sz w:val="20"/>
                <w:szCs w:val="20"/>
              </w:rPr>
            </w:pPr>
            <w:r w:rsidRPr="00954185">
              <w:rPr>
                <w:sz w:val="20"/>
                <w:szCs w:val="20"/>
              </w:rPr>
              <w:t xml:space="preserve">No arsenic metabolism, or arsenic-related disease </w:t>
            </w:r>
          </w:p>
        </w:tc>
      </w:tr>
      <w:tr w:rsidR="00954185" w:rsidRPr="00954185" w14:paraId="296D1F70" w14:textId="77777777" w:rsidTr="00364C65">
        <w:trPr>
          <w:trHeight w:val="1500"/>
        </w:trPr>
        <w:tc>
          <w:tcPr>
            <w:tcW w:w="8364" w:type="dxa"/>
            <w:tcBorders>
              <w:left w:val="single" w:sz="4" w:space="0" w:color="000000" w:themeColor="text1"/>
            </w:tcBorders>
            <w:shd w:val="clear" w:color="auto" w:fill="auto"/>
            <w:vAlign w:val="center"/>
            <w:hideMark/>
          </w:tcPr>
          <w:p w14:paraId="32AFBD7C" w14:textId="77777777" w:rsidR="00954185" w:rsidRPr="00954185" w:rsidRDefault="00954185" w:rsidP="00364C65">
            <w:pPr>
              <w:spacing w:line="360" w:lineRule="auto"/>
              <w:rPr>
                <w:sz w:val="20"/>
                <w:szCs w:val="20"/>
              </w:rPr>
            </w:pPr>
            <w:proofErr w:type="spellStart"/>
            <w:r w:rsidRPr="00954185">
              <w:rPr>
                <w:sz w:val="20"/>
                <w:szCs w:val="20"/>
              </w:rPr>
              <w:t>Kubiś</w:t>
            </w:r>
            <w:proofErr w:type="spellEnd"/>
            <w:r w:rsidRPr="00954185">
              <w:rPr>
                <w:sz w:val="20"/>
                <w:szCs w:val="20"/>
              </w:rPr>
              <w:t xml:space="preserve">, J., Kmieć, M., </w:t>
            </w:r>
            <w:proofErr w:type="spellStart"/>
            <w:r w:rsidRPr="00954185">
              <w:rPr>
                <w:sz w:val="20"/>
                <w:szCs w:val="20"/>
              </w:rPr>
              <w:t>Bińkowski</w:t>
            </w:r>
            <w:proofErr w:type="spellEnd"/>
            <w:r w:rsidRPr="00954185">
              <w:rPr>
                <w:sz w:val="20"/>
                <w:szCs w:val="20"/>
              </w:rPr>
              <w:t xml:space="preserve">, J., &amp; </w:t>
            </w:r>
            <w:proofErr w:type="spellStart"/>
            <w:r w:rsidRPr="00954185">
              <w:rPr>
                <w:sz w:val="20"/>
                <w:szCs w:val="20"/>
              </w:rPr>
              <w:t>Sróżyńska</w:t>
            </w:r>
            <w:proofErr w:type="spellEnd"/>
            <w:r w:rsidRPr="00954185">
              <w:rPr>
                <w:sz w:val="20"/>
                <w:szCs w:val="20"/>
              </w:rPr>
              <w:t xml:space="preserve">, M. (2020). The influence of high and low levels of arsenic in the human body on the process of carcinogenesis, based on function, expression and genetic polymorphisms in the genes encoding the two arsenic transporters-water channels AQP and glucose transporters glut (SLC2A). </w:t>
            </w:r>
            <w:proofErr w:type="spellStart"/>
            <w:r w:rsidRPr="00954185">
              <w:rPr>
                <w:sz w:val="20"/>
                <w:szCs w:val="20"/>
              </w:rPr>
              <w:t>Genetika</w:t>
            </w:r>
            <w:proofErr w:type="spellEnd"/>
            <w:r w:rsidRPr="00954185">
              <w:rPr>
                <w:sz w:val="20"/>
                <w:szCs w:val="20"/>
              </w:rPr>
              <w:t>, 52(1), 379-392.</w:t>
            </w:r>
          </w:p>
        </w:tc>
        <w:tc>
          <w:tcPr>
            <w:tcW w:w="2126" w:type="dxa"/>
            <w:tcBorders>
              <w:right w:val="single" w:sz="4" w:space="0" w:color="000000" w:themeColor="text1"/>
            </w:tcBorders>
            <w:shd w:val="clear" w:color="auto" w:fill="auto"/>
            <w:noWrap/>
            <w:vAlign w:val="center"/>
            <w:hideMark/>
          </w:tcPr>
          <w:p w14:paraId="1B04FD10" w14:textId="77777777" w:rsidR="00954185" w:rsidRPr="00954185" w:rsidRDefault="00954185" w:rsidP="00364C65">
            <w:pPr>
              <w:spacing w:line="360" w:lineRule="auto"/>
              <w:rPr>
                <w:sz w:val="20"/>
                <w:szCs w:val="20"/>
              </w:rPr>
            </w:pPr>
            <w:r w:rsidRPr="00954185">
              <w:rPr>
                <w:sz w:val="20"/>
                <w:szCs w:val="20"/>
              </w:rPr>
              <w:t xml:space="preserve">Unable to access full text </w:t>
            </w:r>
          </w:p>
        </w:tc>
      </w:tr>
      <w:tr w:rsidR="00954185" w:rsidRPr="00954185" w14:paraId="2D0BF5EC" w14:textId="77777777" w:rsidTr="00364C65">
        <w:trPr>
          <w:trHeight w:val="1200"/>
        </w:trPr>
        <w:tc>
          <w:tcPr>
            <w:tcW w:w="8364" w:type="dxa"/>
            <w:tcBorders>
              <w:left w:val="single" w:sz="4" w:space="0" w:color="000000" w:themeColor="text1"/>
            </w:tcBorders>
            <w:shd w:val="clear" w:color="auto" w:fill="auto"/>
            <w:vAlign w:val="center"/>
            <w:hideMark/>
          </w:tcPr>
          <w:p w14:paraId="5A5BD03F" w14:textId="77777777" w:rsidR="00954185" w:rsidRPr="00954185" w:rsidRDefault="00954185" w:rsidP="00364C65">
            <w:pPr>
              <w:spacing w:line="360" w:lineRule="auto"/>
              <w:rPr>
                <w:sz w:val="20"/>
                <w:szCs w:val="20"/>
              </w:rPr>
            </w:pPr>
            <w:proofErr w:type="spellStart"/>
            <w:r w:rsidRPr="00641BD3">
              <w:rPr>
                <w:sz w:val="20"/>
                <w:szCs w:val="20"/>
                <w:lang w:val="es-ES"/>
              </w:rPr>
              <w:t>Kundu</w:t>
            </w:r>
            <w:proofErr w:type="spellEnd"/>
            <w:r w:rsidRPr="00641BD3">
              <w:rPr>
                <w:sz w:val="20"/>
                <w:szCs w:val="20"/>
                <w:lang w:val="es-ES"/>
              </w:rPr>
              <w:t xml:space="preserve">, M., Ghosh, P., Mitra, S., Das, J. K., </w:t>
            </w:r>
            <w:proofErr w:type="spellStart"/>
            <w:r w:rsidRPr="00641BD3">
              <w:rPr>
                <w:sz w:val="20"/>
                <w:szCs w:val="20"/>
                <w:lang w:val="es-ES"/>
              </w:rPr>
              <w:t>Sau</w:t>
            </w:r>
            <w:proofErr w:type="spellEnd"/>
            <w:r w:rsidRPr="00641BD3">
              <w:rPr>
                <w:sz w:val="20"/>
                <w:szCs w:val="20"/>
                <w:lang w:val="es-ES"/>
              </w:rPr>
              <w:t xml:space="preserve">, T. J., </w:t>
            </w:r>
            <w:proofErr w:type="spellStart"/>
            <w:r w:rsidRPr="00641BD3">
              <w:rPr>
                <w:sz w:val="20"/>
                <w:szCs w:val="20"/>
                <w:lang w:val="es-ES"/>
              </w:rPr>
              <w:t>Banerjee</w:t>
            </w:r>
            <w:proofErr w:type="spellEnd"/>
            <w:r w:rsidRPr="00641BD3">
              <w:rPr>
                <w:sz w:val="20"/>
                <w:szCs w:val="20"/>
                <w:lang w:val="es-ES"/>
              </w:rPr>
              <w:t xml:space="preserve">, S., ... </w:t>
            </w:r>
            <w:r w:rsidRPr="00954185">
              <w:rPr>
                <w:sz w:val="20"/>
                <w:szCs w:val="20"/>
              </w:rPr>
              <w:t>&amp; Giri, A. K. (2011). Precancerous and non-cancer disease endpoints of chronic arsenic exposure: the level of chromosomal damage and XRCC3 T241M polymorphism. Mutation Research/Fundamental and Molecular Mechanisms of Mutagenesis, 706(1-2), 7-12.</w:t>
            </w:r>
          </w:p>
        </w:tc>
        <w:tc>
          <w:tcPr>
            <w:tcW w:w="2126" w:type="dxa"/>
            <w:tcBorders>
              <w:right w:val="single" w:sz="4" w:space="0" w:color="000000" w:themeColor="text1"/>
            </w:tcBorders>
            <w:shd w:val="clear" w:color="auto" w:fill="auto"/>
            <w:noWrap/>
            <w:vAlign w:val="center"/>
            <w:hideMark/>
          </w:tcPr>
          <w:p w14:paraId="0F50E272" w14:textId="324F33F3" w:rsidR="00954185" w:rsidRPr="00954185" w:rsidRDefault="00954185" w:rsidP="00364C65">
            <w:pPr>
              <w:spacing w:line="360" w:lineRule="auto"/>
              <w:rPr>
                <w:sz w:val="20"/>
                <w:szCs w:val="20"/>
              </w:rPr>
            </w:pPr>
            <w:r w:rsidRPr="00954185">
              <w:rPr>
                <w:sz w:val="20"/>
                <w:szCs w:val="20"/>
              </w:rPr>
              <w:t xml:space="preserve">Skin lesions, peripheral neuropathy, </w:t>
            </w:r>
            <w:r w:rsidR="000462B2" w:rsidRPr="00954185">
              <w:rPr>
                <w:sz w:val="20"/>
                <w:szCs w:val="20"/>
              </w:rPr>
              <w:t>conjunctivitis</w:t>
            </w:r>
          </w:p>
        </w:tc>
      </w:tr>
      <w:tr w:rsidR="00954185" w:rsidRPr="00954185" w14:paraId="784E5D8E" w14:textId="77777777" w:rsidTr="00364C65">
        <w:trPr>
          <w:trHeight w:val="1200"/>
        </w:trPr>
        <w:tc>
          <w:tcPr>
            <w:tcW w:w="8364" w:type="dxa"/>
            <w:tcBorders>
              <w:left w:val="single" w:sz="4" w:space="0" w:color="000000" w:themeColor="text1"/>
            </w:tcBorders>
            <w:shd w:val="clear" w:color="auto" w:fill="auto"/>
            <w:vAlign w:val="center"/>
            <w:hideMark/>
          </w:tcPr>
          <w:p w14:paraId="3EE635A7" w14:textId="77777777" w:rsidR="00954185" w:rsidRPr="00954185" w:rsidRDefault="00954185" w:rsidP="00364C65">
            <w:pPr>
              <w:spacing w:line="360" w:lineRule="auto"/>
              <w:rPr>
                <w:sz w:val="20"/>
                <w:szCs w:val="20"/>
              </w:rPr>
            </w:pPr>
            <w:proofErr w:type="spellStart"/>
            <w:r w:rsidRPr="00954185">
              <w:rPr>
                <w:sz w:val="20"/>
                <w:szCs w:val="20"/>
              </w:rPr>
              <w:t>Lesseur</w:t>
            </w:r>
            <w:proofErr w:type="spellEnd"/>
            <w:r w:rsidRPr="00954185">
              <w:rPr>
                <w:sz w:val="20"/>
                <w:szCs w:val="20"/>
              </w:rPr>
              <w:t xml:space="preserve">, C., Gilbert-Diamond, D., Andrew, A. S., Ekstrom, R. M., Li, Z., Kelsey, K. T., ... &amp; </w:t>
            </w:r>
            <w:proofErr w:type="spellStart"/>
            <w:r w:rsidRPr="00954185">
              <w:rPr>
                <w:sz w:val="20"/>
                <w:szCs w:val="20"/>
              </w:rPr>
              <w:t>Karagas</w:t>
            </w:r>
            <w:proofErr w:type="spellEnd"/>
            <w:r w:rsidRPr="00954185">
              <w:rPr>
                <w:sz w:val="20"/>
                <w:szCs w:val="20"/>
              </w:rPr>
              <w:t>, M. R. (2012). A case-control study of polymorphisms in xenobiotic and arsenic metabolism genes and arsenic-related bladder cancer in New Hampshire. Toxicology letters, 210(1), 100-106.</w:t>
            </w:r>
          </w:p>
        </w:tc>
        <w:tc>
          <w:tcPr>
            <w:tcW w:w="2126" w:type="dxa"/>
            <w:tcBorders>
              <w:right w:val="single" w:sz="4" w:space="0" w:color="000000" w:themeColor="text1"/>
            </w:tcBorders>
            <w:shd w:val="clear" w:color="auto" w:fill="auto"/>
            <w:noWrap/>
            <w:vAlign w:val="center"/>
            <w:hideMark/>
          </w:tcPr>
          <w:p w14:paraId="20A5161F" w14:textId="77777777" w:rsidR="00954185" w:rsidRPr="00954185" w:rsidRDefault="00954185" w:rsidP="00364C65">
            <w:pPr>
              <w:spacing w:line="360" w:lineRule="auto"/>
              <w:rPr>
                <w:sz w:val="20"/>
                <w:szCs w:val="20"/>
              </w:rPr>
            </w:pPr>
            <w:r w:rsidRPr="00954185">
              <w:rPr>
                <w:sz w:val="20"/>
                <w:szCs w:val="20"/>
              </w:rPr>
              <w:t>Bladder cancer</w:t>
            </w:r>
          </w:p>
        </w:tc>
      </w:tr>
      <w:tr w:rsidR="00954185" w:rsidRPr="00954185" w14:paraId="6962F7B0" w14:textId="77777777" w:rsidTr="00364C65">
        <w:trPr>
          <w:trHeight w:val="900"/>
        </w:trPr>
        <w:tc>
          <w:tcPr>
            <w:tcW w:w="8364" w:type="dxa"/>
            <w:tcBorders>
              <w:left w:val="single" w:sz="4" w:space="0" w:color="000000" w:themeColor="text1"/>
            </w:tcBorders>
            <w:shd w:val="clear" w:color="auto" w:fill="auto"/>
            <w:vAlign w:val="center"/>
            <w:hideMark/>
          </w:tcPr>
          <w:p w14:paraId="7167F690" w14:textId="77777777" w:rsidR="00954185" w:rsidRPr="00954185" w:rsidRDefault="00954185" w:rsidP="00364C65">
            <w:pPr>
              <w:spacing w:line="360" w:lineRule="auto"/>
              <w:rPr>
                <w:sz w:val="20"/>
                <w:szCs w:val="20"/>
              </w:rPr>
            </w:pPr>
            <w:r w:rsidRPr="00954185">
              <w:rPr>
                <w:sz w:val="20"/>
                <w:szCs w:val="20"/>
              </w:rPr>
              <w:t>Li, J., Sun, C., Cai, W., Li, J., Rosen, B. P., &amp; Chen, J. (2021). Insights into S-adenosyl-l-methionine (SAM)-dependent methyltransferase related diseases and genetic polymorphisms. Mutation Research/Reviews in Mutation Research, 788, 108396.</w:t>
            </w:r>
          </w:p>
        </w:tc>
        <w:tc>
          <w:tcPr>
            <w:tcW w:w="2126" w:type="dxa"/>
            <w:tcBorders>
              <w:right w:val="single" w:sz="4" w:space="0" w:color="000000" w:themeColor="text1"/>
            </w:tcBorders>
            <w:shd w:val="clear" w:color="auto" w:fill="auto"/>
            <w:noWrap/>
            <w:vAlign w:val="center"/>
            <w:hideMark/>
          </w:tcPr>
          <w:p w14:paraId="3C6AD465" w14:textId="77777777" w:rsidR="00954185" w:rsidRPr="00954185" w:rsidRDefault="00954185" w:rsidP="00364C65">
            <w:pPr>
              <w:spacing w:line="360" w:lineRule="auto"/>
              <w:rPr>
                <w:sz w:val="20"/>
                <w:szCs w:val="20"/>
              </w:rPr>
            </w:pPr>
            <w:r w:rsidRPr="00954185">
              <w:rPr>
                <w:sz w:val="20"/>
                <w:szCs w:val="20"/>
              </w:rPr>
              <w:t>Secondary study design (e.g., review, meta-analysis)</w:t>
            </w:r>
          </w:p>
        </w:tc>
      </w:tr>
      <w:tr w:rsidR="00954185" w:rsidRPr="00954185" w14:paraId="08718655" w14:textId="77777777" w:rsidTr="00364C65">
        <w:trPr>
          <w:trHeight w:val="900"/>
        </w:trPr>
        <w:tc>
          <w:tcPr>
            <w:tcW w:w="8364" w:type="dxa"/>
            <w:tcBorders>
              <w:left w:val="single" w:sz="4" w:space="0" w:color="000000" w:themeColor="text1"/>
            </w:tcBorders>
            <w:shd w:val="clear" w:color="auto" w:fill="auto"/>
            <w:vAlign w:val="center"/>
            <w:hideMark/>
          </w:tcPr>
          <w:p w14:paraId="14C50257" w14:textId="77777777" w:rsidR="00954185" w:rsidRPr="00954185" w:rsidRDefault="00954185" w:rsidP="00364C65">
            <w:pPr>
              <w:spacing w:line="360" w:lineRule="auto"/>
              <w:rPr>
                <w:sz w:val="20"/>
                <w:szCs w:val="20"/>
              </w:rPr>
            </w:pPr>
            <w:r w:rsidRPr="00954185">
              <w:rPr>
                <w:sz w:val="20"/>
                <w:szCs w:val="20"/>
              </w:rPr>
              <w:lastRenderedPageBreak/>
              <w:t xml:space="preserve">Li, W. F., Sun, C. W., Chang, K. H., &amp; Wang, S. L. (2006). Urinary arsenic profile in residents of </w:t>
            </w:r>
            <w:proofErr w:type="spellStart"/>
            <w:r w:rsidRPr="00954185">
              <w:rPr>
                <w:sz w:val="20"/>
                <w:szCs w:val="20"/>
              </w:rPr>
              <w:t>blackfoot</w:t>
            </w:r>
            <w:proofErr w:type="spellEnd"/>
            <w:r w:rsidRPr="00954185">
              <w:rPr>
                <w:sz w:val="20"/>
                <w:szCs w:val="20"/>
              </w:rPr>
              <w:t xml:space="preserve"> disease-endemic area in Taiwan: Role of GSTO1 and GSTO2 polymorphisms. Toxicology Letters, 164(1), S201.</w:t>
            </w:r>
          </w:p>
        </w:tc>
        <w:tc>
          <w:tcPr>
            <w:tcW w:w="2126" w:type="dxa"/>
            <w:tcBorders>
              <w:right w:val="single" w:sz="4" w:space="0" w:color="000000" w:themeColor="text1"/>
            </w:tcBorders>
            <w:shd w:val="clear" w:color="auto" w:fill="auto"/>
            <w:noWrap/>
            <w:vAlign w:val="center"/>
            <w:hideMark/>
          </w:tcPr>
          <w:p w14:paraId="64F7908E" w14:textId="77777777" w:rsidR="00954185" w:rsidRPr="00954185" w:rsidRDefault="00954185" w:rsidP="00364C65">
            <w:pPr>
              <w:spacing w:line="360" w:lineRule="auto"/>
              <w:rPr>
                <w:sz w:val="20"/>
                <w:szCs w:val="20"/>
              </w:rPr>
            </w:pPr>
            <w:r w:rsidRPr="00954185">
              <w:rPr>
                <w:sz w:val="20"/>
                <w:szCs w:val="20"/>
              </w:rPr>
              <w:t>Conference abstract</w:t>
            </w:r>
          </w:p>
        </w:tc>
      </w:tr>
      <w:tr w:rsidR="00954185" w:rsidRPr="00954185" w14:paraId="5204034D" w14:textId="77777777" w:rsidTr="00364C65">
        <w:trPr>
          <w:trHeight w:val="900"/>
        </w:trPr>
        <w:tc>
          <w:tcPr>
            <w:tcW w:w="8364" w:type="dxa"/>
            <w:tcBorders>
              <w:left w:val="single" w:sz="4" w:space="0" w:color="000000" w:themeColor="text1"/>
            </w:tcBorders>
            <w:shd w:val="clear" w:color="auto" w:fill="auto"/>
            <w:vAlign w:val="center"/>
            <w:hideMark/>
          </w:tcPr>
          <w:p w14:paraId="063B3031" w14:textId="77777777" w:rsidR="00954185" w:rsidRPr="00954185" w:rsidRDefault="00954185" w:rsidP="00364C65">
            <w:pPr>
              <w:spacing w:line="360" w:lineRule="auto"/>
              <w:rPr>
                <w:sz w:val="20"/>
                <w:szCs w:val="20"/>
              </w:rPr>
            </w:pPr>
            <w:r w:rsidRPr="00954185">
              <w:rPr>
                <w:sz w:val="20"/>
                <w:szCs w:val="20"/>
              </w:rPr>
              <w:t>Li, W. F., Sun, C. W., Liao, Y. T., Chen, C. J., &amp; Wang, S. L. (2009). Effects of human AS3MT genetic polymorphisms on arsenic metabolism in Taiwanese. Toxicology Letters, (189), S223.</w:t>
            </w:r>
          </w:p>
        </w:tc>
        <w:tc>
          <w:tcPr>
            <w:tcW w:w="2126" w:type="dxa"/>
            <w:tcBorders>
              <w:right w:val="single" w:sz="4" w:space="0" w:color="000000" w:themeColor="text1"/>
            </w:tcBorders>
            <w:shd w:val="clear" w:color="auto" w:fill="auto"/>
            <w:noWrap/>
            <w:vAlign w:val="center"/>
            <w:hideMark/>
          </w:tcPr>
          <w:p w14:paraId="27B47BF4" w14:textId="77777777" w:rsidR="00954185" w:rsidRPr="00954185" w:rsidRDefault="00954185" w:rsidP="00364C65">
            <w:pPr>
              <w:spacing w:line="360" w:lineRule="auto"/>
              <w:rPr>
                <w:sz w:val="20"/>
                <w:szCs w:val="20"/>
              </w:rPr>
            </w:pPr>
            <w:r w:rsidRPr="00954185">
              <w:rPr>
                <w:sz w:val="20"/>
                <w:szCs w:val="20"/>
              </w:rPr>
              <w:t>Conference abstract</w:t>
            </w:r>
          </w:p>
        </w:tc>
      </w:tr>
      <w:tr w:rsidR="00954185" w:rsidRPr="00954185" w14:paraId="184E1710" w14:textId="77777777" w:rsidTr="00364C65">
        <w:trPr>
          <w:trHeight w:val="900"/>
        </w:trPr>
        <w:tc>
          <w:tcPr>
            <w:tcW w:w="8364" w:type="dxa"/>
            <w:tcBorders>
              <w:left w:val="single" w:sz="4" w:space="0" w:color="000000" w:themeColor="text1"/>
            </w:tcBorders>
            <w:shd w:val="clear" w:color="auto" w:fill="auto"/>
            <w:vAlign w:val="center"/>
            <w:hideMark/>
          </w:tcPr>
          <w:p w14:paraId="7EFF7BA2" w14:textId="77777777" w:rsidR="00954185" w:rsidRPr="00954185" w:rsidRDefault="00954185" w:rsidP="00364C65">
            <w:pPr>
              <w:spacing w:line="360" w:lineRule="auto"/>
              <w:rPr>
                <w:sz w:val="20"/>
                <w:szCs w:val="20"/>
              </w:rPr>
            </w:pPr>
            <w:r w:rsidRPr="00954185">
              <w:rPr>
                <w:sz w:val="20"/>
                <w:szCs w:val="20"/>
              </w:rPr>
              <w:t>Liang, B., Zhang, A-H., Dong, X-X. (2012). Relationship between glutathione S-transferase GSTO 1 Glu155</w:t>
            </w:r>
            <w:r w:rsidRPr="00954185">
              <w:rPr>
                <w:rFonts w:ascii="Cambria Math" w:hAnsi="Cambria Math" w:cs="Cambria Math"/>
                <w:sz w:val="20"/>
                <w:szCs w:val="20"/>
              </w:rPr>
              <w:t>△</w:t>
            </w:r>
            <w:r w:rsidRPr="00954185">
              <w:rPr>
                <w:sz w:val="20"/>
                <w:szCs w:val="20"/>
              </w:rPr>
              <w:t xml:space="preserve"> Glu genetic polymorphism and arsenic poisoning caused by coal-burning. Chinese Journal of </w:t>
            </w:r>
            <w:proofErr w:type="spellStart"/>
            <w:r w:rsidRPr="00954185">
              <w:rPr>
                <w:sz w:val="20"/>
                <w:szCs w:val="20"/>
              </w:rPr>
              <w:t>Endemiology</w:t>
            </w:r>
            <w:proofErr w:type="spellEnd"/>
            <w:r w:rsidRPr="00954185">
              <w:rPr>
                <w:sz w:val="20"/>
                <w:szCs w:val="20"/>
              </w:rPr>
              <w:t>, 20-23.</w:t>
            </w:r>
          </w:p>
        </w:tc>
        <w:tc>
          <w:tcPr>
            <w:tcW w:w="2126" w:type="dxa"/>
            <w:tcBorders>
              <w:right w:val="single" w:sz="4" w:space="0" w:color="000000" w:themeColor="text1"/>
            </w:tcBorders>
            <w:shd w:val="clear" w:color="auto" w:fill="auto"/>
            <w:noWrap/>
            <w:vAlign w:val="center"/>
            <w:hideMark/>
          </w:tcPr>
          <w:p w14:paraId="2A36EDD0" w14:textId="77777777" w:rsidR="00954185" w:rsidRPr="00954185" w:rsidRDefault="00954185" w:rsidP="00364C65">
            <w:pPr>
              <w:spacing w:line="360" w:lineRule="auto"/>
              <w:rPr>
                <w:sz w:val="20"/>
                <w:szCs w:val="20"/>
              </w:rPr>
            </w:pPr>
            <w:r w:rsidRPr="00954185">
              <w:rPr>
                <w:sz w:val="20"/>
                <w:szCs w:val="20"/>
              </w:rPr>
              <w:t xml:space="preserve">Unable to access full text </w:t>
            </w:r>
          </w:p>
        </w:tc>
      </w:tr>
      <w:tr w:rsidR="00954185" w:rsidRPr="00954185" w14:paraId="772297BD" w14:textId="77777777" w:rsidTr="00364C65">
        <w:trPr>
          <w:trHeight w:val="900"/>
        </w:trPr>
        <w:tc>
          <w:tcPr>
            <w:tcW w:w="8364" w:type="dxa"/>
            <w:tcBorders>
              <w:left w:val="single" w:sz="4" w:space="0" w:color="000000" w:themeColor="text1"/>
            </w:tcBorders>
            <w:shd w:val="clear" w:color="auto" w:fill="auto"/>
            <w:vAlign w:val="center"/>
            <w:hideMark/>
          </w:tcPr>
          <w:p w14:paraId="06D773C4" w14:textId="77777777" w:rsidR="00954185" w:rsidRPr="00954185" w:rsidRDefault="00954185" w:rsidP="00364C65">
            <w:pPr>
              <w:spacing w:line="360" w:lineRule="auto"/>
              <w:rPr>
                <w:sz w:val="20"/>
                <w:szCs w:val="20"/>
              </w:rPr>
            </w:pPr>
            <w:r w:rsidRPr="00954185">
              <w:rPr>
                <w:sz w:val="20"/>
                <w:szCs w:val="20"/>
              </w:rPr>
              <w:t xml:space="preserve">Liang, B., Zhang, A-H., Xi, X-G., Zhang, B-X., Huang, X-X. (2009). Relationship between myeloperoxidase and catalase genetic polymorphism and their activities with arsenic poisoning caused by coal-burning. Chinese Journal of </w:t>
            </w:r>
            <w:proofErr w:type="spellStart"/>
            <w:r w:rsidRPr="00954185">
              <w:rPr>
                <w:sz w:val="20"/>
                <w:szCs w:val="20"/>
              </w:rPr>
              <w:t>Endemiology</w:t>
            </w:r>
            <w:proofErr w:type="spellEnd"/>
            <w:r w:rsidRPr="00954185">
              <w:rPr>
                <w:sz w:val="20"/>
                <w:szCs w:val="20"/>
              </w:rPr>
              <w:t>, 272-275.</w:t>
            </w:r>
          </w:p>
        </w:tc>
        <w:tc>
          <w:tcPr>
            <w:tcW w:w="2126" w:type="dxa"/>
            <w:tcBorders>
              <w:right w:val="single" w:sz="4" w:space="0" w:color="000000" w:themeColor="text1"/>
            </w:tcBorders>
            <w:shd w:val="clear" w:color="auto" w:fill="auto"/>
            <w:noWrap/>
            <w:vAlign w:val="center"/>
            <w:hideMark/>
          </w:tcPr>
          <w:p w14:paraId="1280ED77" w14:textId="77777777" w:rsidR="00954185" w:rsidRPr="00954185" w:rsidRDefault="00954185" w:rsidP="00364C65">
            <w:pPr>
              <w:spacing w:line="360" w:lineRule="auto"/>
              <w:rPr>
                <w:sz w:val="20"/>
                <w:szCs w:val="20"/>
              </w:rPr>
            </w:pPr>
            <w:r w:rsidRPr="00954185">
              <w:rPr>
                <w:sz w:val="20"/>
                <w:szCs w:val="20"/>
              </w:rPr>
              <w:t>Skin lesions</w:t>
            </w:r>
          </w:p>
        </w:tc>
      </w:tr>
      <w:tr w:rsidR="00954185" w:rsidRPr="00954185" w14:paraId="45BC010A" w14:textId="77777777" w:rsidTr="00364C65">
        <w:trPr>
          <w:trHeight w:val="900"/>
        </w:trPr>
        <w:tc>
          <w:tcPr>
            <w:tcW w:w="8364" w:type="dxa"/>
            <w:tcBorders>
              <w:left w:val="single" w:sz="4" w:space="0" w:color="000000" w:themeColor="text1"/>
            </w:tcBorders>
            <w:shd w:val="clear" w:color="auto" w:fill="auto"/>
            <w:vAlign w:val="center"/>
            <w:hideMark/>
          </w:tcPr>
          <w:p w14:paraId="05241FA1" w14:textId="77777777" w:rsidR="00954185" w:rsidRPr="00954185" w:rsidRDefault="00954185" w:rsidP="00364C65">
            <w:pPr>
              <w:spacing w:line="360" w:lineRule="auto"/>
              <w:rPr>
                <w:sz w:val="20"/>
                <w:szCs w:val="20"/>
              </w:rPr>
            </w:pPr>
            <w:r w:rsidRPr="00954185">
              <w:rPr>
                <w:sz w:val="20"/>
                <w:szCs w:val="20"/>
              </w:rPr>
              <w:t xml:space="preserve">Liang, B., Zhang, A.-H., Xi, X.-G., Huang, X.-X., Liang, B., Zhang, A.-H., Xi, X.-G., (2007). Relationship between genetic polymorphisms in glutathione S-transferase M1, T1 and arsenic poisoning caused by coal-burning. Chinese Journal of </w:t>
            </w:r>
            <w:proofErr w:type="spellStart"/>
            <w:r w:rsidRPr="00954185">
              <w:rPr>
                <w:sz w:val="20"/>
                <w:szCs w:val="20"/>
              </w:rPr>
              <w:t>Endemiology</w:t>
            </w:r>
            <w:proofErr w:type="spellEnd"/>
            <w:r w:rsidRPr="00954185">
              <w:rPr>
                <w:sz w:val="20"/>
                <w:szCs w:val="20"/>
              </w:rPr>
              <w:t>, 26(1), 6-8</w:t>
            </w:r>
          </w:p>
        </w:tc>
        <w:tc>
          <w:tcPr>
            <w:tcW w:w="2126" w:type="dxa"/>
            <w:tcBorders>
              <w:right w:val="single" w:sz="4" w:space="0" w:color="000000" w:themeColor="text1"/>
            </w:tcBorders>
            <w:shd w:val="clear" w:color="auto" w:fill="auto"/>
            <w:noWrap/>
            <w:vAlign w:val="center"/>
            <w:hideMark/>
          </w:tcPr>
          <w:p w14:paraId="55DE219A" w14:textId="77777777" w:rsidR="00954185" w:rsidRPr="00954185" w:rsidRDefault="00954185" w:rsidP="00364C65">
            <w:pPr>
              <w:spacing w:line="360" w:lineRule="auto"/>
              <w:rPr>
                <w:sz w:val="20"/>
                <w:szCs w:val="20"/>
              </w:rPr>
            </w:pPr>
            <w:r w:rsidRPr="00954185">
              <w:rPr>
                <w:sz w:val="20"/>
                <w:szCs w:val="20"/>
              </w:rPr>
              <w:t xml:space="preserve">Unable to access full text </w:t>
            </w:r>
          </w:p>
        </w:tc>
      </w:tr>
      <w:tr w:rsidR="00954185" w:rsidRPr="00954185" w14:paraId="4579E5BF" w14:textId="77777777" w:rsidTr="00364C65">
        <w:trPr>
          <w:trHeight w:val="1500"/>
        </w:trPr>
        <w:tc>
          <w:tcPr>
            <w:tcW w:w="8364" w:type="dxa"/>
            <w:tcBorders>
              <w:left w:val="single" w:sz="4" w:space="0" w:color="000000" w:themeColor="text1"/>
            </w:tcBorders>
            <w:shd w:val="clear" w:color="auto" w:fill="auto"/>
            <w:vAlign w:val="center"/>
            <w:hideMark/>
          </w:tcPr>
          <w:p w14:paraId="5880AC48" w14:textId="77777777" w:rsidR="00954185" w:rsidRPr="00954185" w:rsidRDefault="00954185" w:rsidP="00364C65">
            <w:pPr>
              <w:spacing w:line="360" w:lineRule="auto"/>
              <w:rPr>
                <w:sz w:val="20"/>
                <w:szCs w:val="20"/>
              </w:rPr>
            </w:pPr>
            <w:r w:rsidRPr="00954185">
              <w:rPr>
                <w:sz w:val="20"/>
                <w:szCs w:val="20"/>
              </w:rPr>
              <w:t xml:space="preserve">Liao, P. J., Hsu, K. H., Chiou, H. Y., Chen, C. J., &amp; Lee, C. H. (2021). Joint effects of genomic markers and urinary methylation capacity associated with inorganic arsenic metabolism on the occurrence of cancers among residents in </w:t>
            </w:r>
            <w:proofErr w:type="spellStart"/>
            <w:r w:rsidRPr="00954185">
              <w:rPr>
                <w:sz w:val="20"/>
                <w:szCs w:val="20"/>
              </w:rPr>
              <w:t>arseniasis</w:t>
            </w:r>
            <w:proofErr w:type="spellEnd"/>
            <w:r w:rsidRPr="00954185">
              <w:rPr>
                <w:sz w:val="20"/>
                <w:szCs w:val="20"/>
              </w:rPr>
              <w:t>-endemic areas: A cohort subset with average fifteen-year follow-up. biomedical journal, 44(6), S218-S225.</w:t>
            </w:r>
          </w:p>
        </w:tc>
        <w:tc>
          <w:tcPr>
            <w:tcW w:w="2126" w:type="dxa"/>
            <w:tcBorders>
              <w:right w:val="single" w:sz="4" w:space="0" w:color="000000" w:themeColor="text1"/>
            </w:tcBorders>
            <w:shd w:val="clear" w:color="auto" w:fill="auto"/>
            <w:noWrap/>
            <w:vAlign w:val="center"/>
            <w:hideMark/>
          </w:tcPr>
          <w:p w14:paraId="5B5E2337" w14:textId="77777777" w:rsidR="00954185" w:rsidRPr="00954185" w:rsidRDefault="00954185" w:rsidP="00364C65">
            <w:pPr>
              <w:spacing w:line="360" w:lineRule="auto"/>
              <w:rPr>
                <w:sz w:val="20"/>
                <w:szCs w:val="20"/>
              </w:rPr>
            </w:pPr>
            <w:r w:rsidRPr="00954185">
              <w:rPr>
                <w:sz w:val="20"/>
                <w:szCs w:val="20"/>
              </w:rPr>
              <w:t>Cancer</w:t>
            </w:r>
          </w:p>
        </w:tc>
      </w:tr>
      <w:tr w:rsidR="00954185" w:rsidRPr="00954185" w14:paraId="1B7033D3" w14:textId="77777777" w:rsidTr="00364C65">
        <w:trPr>
          <w:trHeight w:val="1200"/>
        </w:trPr>
        <w:tc>
          <w:tcPr>
            <w:tcW w:w="8364" w:type="dxa"/>
            <w:tcBorders>
              <w:left w:val="single" w:sz="4" w:space="0" w:color="000000" w:themeColor="text1"/>
            </w:tcBorders>
            <w:shd w:val="clear" w:color="auto" w:fill="auto"/>
            <w:vAlign w:val="center"/>
            <w:hideMark/>
          </w:tcPr>
          <w:p w14:paraId="706FB862" w14:textId="77777777" w:rsidR="00954185" w:rsidRPr="00954185" w:rsidRDefault="00954185" w:rsidP="00364C65">
            <w:pPr>
              <w:spacing w:line="360" w:lineRule="auto"/>
              <w:rPr>
                <w:sz w:val="20"/>
                <w:szCs w:val="20"/>
              </w:rPr>
            </w:pPr>
            <w:r w:rsidRPr="00954185">
              <w:rPr>
                <w:sz w:val="20"/>
                <w:szCs w:val="20"/>
              </w:rPr>
              <w:t xml:space="preserve">Lin, G. F., Du, H., Chen, J. G., Lu, H. C., Guo, W. C., Golka, K., &amp; Shen, J. H. (2010). Association of XPD/ERCC2 G 23591 A and A 35931 C polymorphisms with skin lesion prevalence in a multiethnic, </w:t>
            </w:r>
            <w:proofErr w:type="spellStart"/>
            <w:r w:rsidRPr="00954185">
              <w:rPr>
                <w:sz w:val="20"/>
                <w:szCs w:val="20"/>
              </w:rPr>
              <w:t>arseniasis</w:t>
            </w:r>
            <w:proofErr w:type="spellEnd"/>
            <w:r w:rsidRPr="00954185">
              <w:rPr>
                <w:sz w:val="20"/>
                <w:szCs w:val="20"/>
              </w:rPr>
              <w:t>-hyperendemic village exposed to indoor combustion of high arsenic coal. Archives of toxicology, 84, 17-24.</w:t>
            </w:r>
          </w:p>
        </w:tc>
        <w:tc>
          <w:tcPr>
            <w:tcW w:w="2126" w:type="dxa"/>
            <w:tcBorders>
              <w:right w:val="single" w:sz="4" w:space="0" w:color="000000" w:themeColor="text1"/>
            </w:tcBorders>
            <w:shd w:val="clear" w:color="auto" w:fill="auto"/>
            <w:noWrap/>
            <w:vAlign w:val="center"/>
            <w:hideMark/>
          </w:tcPr>
          <w:p w14:paraId="09018C4E" w14:textId="77777777" w:rsidR="00954185" w:rsidRPr="00954185" w:rsidRDefault="00954185" w:rsidP="00364C65">
            <w:pPr>
              <w:spacing w:line="360" w:lineRule="auto"/>
              <w:rPr>
                <w:sz w:val="20"/>
                <w:szCs w:val="20"/>
              </w:rPr>
            </w:pPr>
            <w:r w:rsidRPr="00954185">
              <w:rPr>
                <w:sz w:val="20"/>
                <w:szCs w:val="20"/>
              </w:rPr>
              <w:t>Duplicate</w:t>
            </w:r>
          </w:p>
        </w:tc>
      </w:tr>
      <w:tr w:rsidR="00954185" w:rsidRPr="00954185" w14:paraId="59F6DA38" w14:textId="77777777" w:rsidTr="00364C65">
        <w:trPr>
          <w:trHeight w:val="1200"/>
        </w:trPr>
        <w:tc>
          <w:tcPr>
            <w:tcW w:w="8364" w:type="dxa"/>
            <w:tcBorders>
              <w:left w:val="single" w:sz="4" w:space="0" w:color="000000" w:themeColor="text1"/>
            </w:tcBorders>
            <w:shd w:val="clear" w:color="auto" w:fill="auto"/>
            <w:vAlign w:val="center"/>
            <w:hideMark/>
          </w:tcPr>
          <w:p w14:paraId="3A80F4ED" w14:textId="77777777" w:rsidR="00954185" w:rsidRPr="00954185" w:rsidRDefault="00954185" w:rsidP="00364C65">
            <w:pPr>
              <w:spacing w:line="360" w:lineRule="auto"/>
              <w:rPr>
                <w:sz w:val="20"/>
                <w:szCs w:val="20"/>
              </w:rPr>
            </w:pPr>
            <w:r w:rsidRPr="00954185">
              <w:rPr>
                <w:sz w:val="20"/>
                <w:szCs w:val="20"/>
              </w:rPr>
              <w:t xml:space="preserve">Lin, G. F., Du, H., Chen, J. G., Lu, H. C., Guo, W. C., Golka, K., &amp; Shen, J. H. (2010). Association of XPD/ERCC2 G 23591 A and A 35931 C polymorphisms with skin lesion prevalence in a multiethnic, </w:t>
            </w:r>
            <w:proofErr w:type="spellStart"/>
            <w:r w:rsidRPr="00954185">
              <w:rPr>
                <w:sz w:val="20"/>
                <w:szCs w:val="20"/>
              </w:rPr>
              <w:t>arseniasis</w:t>
            </w:r>
            <w:proofErr w:type="spellEnd"/>
            <w:r w:rsidRPr="00954185">
              <w:rPr>
                <w:sz w:val="20"/>
                <w:szCs w:val="20"/>
              </w:rPr>
              <w:t>-hyperendemic village exposed to indoor combustion of high arsenic coal. Archives of toxicology, 84, 17-24.</w:t>
            </w:r>
          </w:p>
        </w:tc>
        <w:tc>
          <w:tcPr>
            <w:tcW w:w="2126" w:type="dxa"/>
            <w:tcBorders>
              <w:right w:val="single" w:sz="4" w:space="0" w:color="000000" w:themeColor="text1"/>
            </w:tcBorders>
            <w:shd w:val="clear" w:color="auto" w:fill="auto"/>
            <w:noWrap/>
            <w:vAlign w:val="center"/>
            <w:hideMark/>
          </w:tcPr>
          <w:p w14:paraId="004108AF" w14:textId="77777777" w:rsidR="00954185" w:rsidRPr="00954185" w:rsidRDefault="00954185" w:rsidP="00364C65">
            <w:pPr>
              <w:spacing w:line="360" w:lineRule="auto"/>
              <w:rPr>
                <w:sz w:val="20"/>
                <w:szCs w:val="20"/>
              </w:rPr>
            </w:pPr>
            <w:r w:rsidRPr="00954185">
              <w:rPr>
                <w:sz w:val="20"/>
                <w:szCs w:val="20"/>
              </w:rPr>
              <w:t xml:space="preserve">Skin lesions </w:t>
            </w:r>
          </w:p>
        </w:tc>
      </w:tr>
      <w:tr w:rsidR="00954185" w:rsidRPr="00954185" w14:paraId="09E21205" w14:textId="77777777" w:rsidTr="00364C65">
        <w:trPr>
          <w:trHeight w:val="1200"/>
        </w:trPr>
        <w:tc>
          <w:tcPr>
            <w:tcW w:w="8364" w:type="dxa"/>
            <w:tcBorders>
              <w:left w:val="single" w:sz="4" w:space="0" w:color="000000" w:themeColor="text1"/>
            </w:tcBorders>
            <w:shd w:val="clear" w:color="auto" w:fill="auto"/>
            <w:vAlign w:val="center"/>
            <w:hideMark/>
          </w:tcPr>
          <w:p w14:paraId="6E1E7C78" w14:textId="77777777" w:rsidR="00954185" w:rsidRPr="00954185" w:rsidRDefault="00954185" w:rsidP="00364C65">
            <w:pPr>
              <w:spacing w:line="360" w:lineRule="auto"/>
              <w:rPr>
                <w:sz w:val="20"/>
                <w:szCs w:val="20"/>
              </w:rPr>
            </w:pPr>
            <w:r w:rsidRPr="00954185">
              <w:rPr>
                <w:sz w:val="20"/>
                <w:szCs w:val="20"/>
              </w:rPr>
              <w:t>Lin, G. F., Du, H., Chen, J. G., Lu, H. C., Guo, W. C., Meng, H., ... &amp; Shen, J. H. (2006). Arsenic-related skin lesions and glutathione S-transferase P1 A1578G (Ile105Val) polymorphism in two ethnic clans exposed to indoor combustion of high arsenic coal in one village. Pharmacogenetics and genomics, 16(12), 863-871.</w:t>
            </w:r>
          </w:p>
        </w:tc>
        <w:tc>
          <w:tcPr>
            <w:tcW w:w="2126" w:type="dxa"/>
            <w:tcBorders>
              <w:right w:val="single" w:sz="4" w:space="0" w:color="000000" w:themeColor="text1"/>
            </w:tcBorders>
            <w:shd w:val="clear" w:color="auto" w:fill="auto"/>
            <w:noWrap/>
            <w:vAlign w:val="center"/>
            <w:hideMark/>
          </w:tcPr>
          <w:p w14:paraId="229A05ED" w14:textId="77777777" w:rsidR="00954185" w:rsidRPr="00954185" w:rsidRDefault="00954185" w:rsidP="00364C65">
            <w:pPr>
              <w:spacing w:line="360" w:lineRule="auto"/>
              <w:rPr>
                <w:sz w:val="20"/>
                <w:szCs w:val="20"/>
              </w:rPr>
            </w:pPr>
            <w:r w:rsidRPr="00954185">
              <w:rPr>
                <w:sz w:val="20"/>
                <w:szCs w:val="20"/>
              </w:rPr>
              <w:t>Skin lesions</w:t>
            </w:r>
          </w:p>
        </w:tc>
      </w:tr>
      <w:tr w:rsidR="00954185" w:rsidRPr="00954185" w14:paraId="3302B805" w14:textId="77777777" w:rsidTr="00364C65">
        <w:trPr>
          <w:trHeight w:val="1200"/>
        </w:trPr>
        <w:tc>
          <w:tcPr>
            <w:tcW w:w="8364" w:type="dxa"/>
            <w:tcBorders>
              <w:left w:val="single" w:sz="4" w:space="0" w:color="000000" w:themeColor="text1"/>
            </w:tcBorders>
            <w:shd w:val="clear" w:color="auto" w:fill="auto"/>
            <w:vAlign w:val="center"/>
            <w:hideMark/>
          </w:tcPr>
          <w:p w14:paraId="40D9F0C8" w14:textId="77777777" w:rsidR="00954185" w:rsidRPr="00954185" w:rsidRDefault="00954185" w:rsidP="00364C65">
            <w:pPr>
              <w:spacing w:line="360" w:lineRule="auto"/>
              <w:rPr>
                <w:sz w:val="20"/>
                <w:szCs w:val="20"/>
              </w:rPr>
            </w:pPr>
            <w:r w:rsidRPr="00954185">
              <w:rPr>
                <w:sz w:val="20"/>
                <w:szCs w:val="20"/>
              </w:rPr>
              <w:t>Lin, G. F., Du, H., Chen, J. G., Lu, H. C., Kai, J. X., Zhou, Y. S., ... &amp; Shen, J. H. (2007). Glutathione S-transferases M1 and T1 polymorphisms and arsenic content in hair and urine in two ethnic clans exposed to indoor combustion of high arsenic coal in Southwest Guizhou, China. Archives of toxicology, 81, 545-551.</w:t>
            </w:r>
          </w:p>
        </w:tc>
        <w:tc>
          <w:tcPr>
            <w:tcW w:w="2126" w:type="dxa"/>
            <w:tcBorders>
              <w:right w:val="single" w:sz="4" w:space="0" w:color="000000" w:themeColor="text1"/>
            </w:tcBorders>
            <w:shd w:val="clear" w:color="auto" w:fill="auto"/>
            <w:noWrap/>
            <w:vAlign w:val="center"/>
            <w:hideMark/>
          </w:tcPr>
          <w:p w14:paraId="03F6ED85" w14:textId="77777777" w:rsidR="00954185" w:rsidRPr="00954185" w:rsidRDefault="00954185" w:rsidP="00364C65">
            <w:pPr>
              <w:spacing w:line="360" w:lineRule="auto"/>
              <w:rPr>
                <w:sz w:val="20"/>
                <w:szCs w:val="20"/>
              </w:rPr>
            </w:pPr>
            <w:r w:rsidRPr="00954185">
              <w:rPr>
                <w:sz w:val="20"/>
                <w:szCs w:val="20"/>
              </w:rPr>
              <w:t xml:space="preserve">No arsenic metabolism, or arsenic-related disease </w:t>
            </w:r>
          </w:p>
        </w:tc>
      </w:tr>
      <w:tr w:rsidR="00954185" w:rsidRPr="00954185" w14:paraId="7672E20F" w14:textId="77777777" w:rsidTr="00364C65">
        <w:trPr>
          <w:trHeight w:val="900"/>
        </w:trPr>
        <w:tc>
          <w:tcPr>
            <w:tcW w:w="8364" w:type="dxa"/>
            <w:tcBorders>
              <w:left w:val="single" w:sz="4" w:space="0" w:color="000000" w:themeColor="text1"/>
            </w:tcBorders>
            <w:shd w:val="clear" w:color="auto" w:fill="auto"/>
            <w:vAlign w:val="center"/>
            <w:hideMark/>
          </w:tcPr>
          <w:p w14:paraId="0A5A7435" w14:textId="77777777" w:rsidR="00954185" w:rsidRPr="00954185" w:rsidRDefault="00954185" w:rsidP="00364C65">
            <w:pPr>
              <w:spacing w:line="360" w:lineRule="auto"/>
              <w:rPr>
                <w:sz w:val="20"/>
                <w:szCs w:val="20"/>
              </w:rPr>
            </w:pPr>
            <w:r w:rsidRPr="00954185">
              <w:rPr>
                <w:sz w:val="20"/>
                <w:szCs w:val="20"/>
              </w:rPr>
              <w:t>Lin, W. Y., Pan, S. C., Yang, Y. C., Sheu, H. M., Chao, S. C., Chao, C. K., ... &amp; Guo, H. R. (2011). Arsenic Ingestion, Polo-like Kinase 2 Gene Polymorphism, and Skin Cancer. Epidemiology, 22(1), S136.</w:t>
            </w:r>
          </w:p>
        </w:tc>
        <w:tc>
          <w:tcPr>
            <w:tcW w:w="2126" w:type="dxa"/>
            <w:tcBorders>
              <w:right w:val="single" w:sz="4" w:space="0" w:color="000000" w:themeColor="text1"/>
            </w:tcBorders>
            <w:shd w:val="clear" w:color="auto" w:fill="auto"/>
            <w:noWrap/>
            <w:vAlign w:val="center"/>
            <w:hideMark/>
          </w:tcPr>
          <w:p w14:paraId="4B28C74E" w14:textId="77777777" w:rsidR="00954185" w:rsidRPr="00954185" w:rsidRDefault="00954185" w:rsidP="00364C65">
            <w:pPr>
              <w:spacing w:line="360" w:lineRule="auto"/>
              <w:rPr>
                <w:sz w:val="20"/>
                <w:szCs w:val="20"/>
              </w:rPr>
            </w:pPr>
            <w:r w:rsidRPr="00954185">
              <w:rPr>
                <w:sz w:val="20"/>
                <w:szCs w:val="20"/>
              </w:rPr>
              <w:t>Conference abstract</w:t>
            </w:r>
          </w:p>
        </w:tc>
      </w:tr>
      <w:tr w:rsidR="00954185" w:rsidRPr="00954185" w14:paraId="6453705A" w14:textId="77777777" w:rsidTr="00364C65">
        <w:trPr>
          <w:trHeight w:val="1200"/>
        </w:trPr>
        <w:tc>
          <w:tcPr>
            <w:tcW w:w="8364" w:type="dxa"/>
            <w:tcBorders>
              <w:left w:val="single" w:sz="4" w:space="0" w:color="000000" w:themeColor="text1"/>
            </w:tcBorders>
            <w:shd w:val="clear" w:color="auto" w:fill="auto"/>
            <w:vAlign w:val="center"/>
            <w:hideMark/>
          </w:tcPr>
          <w:p w14:paraId="30575AC7" w14:textId="77777777" w:rsidR="00954185" w:rsidRPr="00954185" w:rsidRDefault="00954185" w:rsidP="00364C65">
            <w:pPr>
              <w:spacing w:line="360" w:lineRule="auto"/>
              <w:rPr>
                <w:sz w:val="20"/>
                <w:szCs w:val="20"/>
              </w:rPr>
            </w:pPr>
            <w:r w:rsidRPr="00954185">
              <w:rPr>
                <w:sz w:val="20"/>
                <w:szCs w:val="20"/>
              </w:rPr>
              <w:lastRenderedPageBreak/>
              <w:t>Lin, Y. C., Chen, W. J., Huang, C. Y., Shiue, H. S., Su, C. T., Ao, P. L., ... &amp; Hsueh, Y. M. (2018). Corrigendum to “Polymorphisms of Arsenic (+ 3 Oxidation State) Methyltransferase and Arsenic Methylation Capacity Affect the Risk of Bladder Cancer”. Toxicological Sciences, 164(2), 644-644.</w:t>
            </w:r>
          </w:p>
        </w:tc>
        <w:tc>
          <w:tcPr>
            <w:tcW w:w="2126" w:type="dxa"/>
            <w:tcBorders>
              <w:right w:val="single" w:sz="4" w:space="0" w:color="000000" w:themeColor="text1"/>
            </w:tcBorders>
            <w:shd w:val="clear" w:color="auto" w:fill="auto"/>
            <w:noWrap/>
            <w:vAlign w:val="center"/>
            <w:hideMark/>
          </w:tcPr>
          <w:p w14:paraId="22424B67" w14:textId="77777777" w:rsidR="00954185" w:rsidRPr="00954185" w:rsidRDefault="00954185" w:rsidP="00364C65">
            <w:pPr>
              <w:spacing w:line="360" w:lineRule="auto"/>
              <w:rPr>
                <w:sz w:val="20"/>
                <w:szCs w:val="20"/>
              </w:rPr>
            </w:pPr>
            <w:r w:rsidRPr="00954185">
              <w:rPr>
                <w:sz w:val="20"/>
                <w:szCs w:val="20"/>
              </w:rPr>
              <w:t xml:space="preserve">Arsenic metabolism, bladder cancer </w:t>
            </w:r>
          </w:p>
        </w:tc>
      </w:tr>
      <w:tr w:rsidR="00954185" w:rsidRPr="00954185" w14:paraId="58908435" w14:textId="77777777" w:rsidTr="00364C65">
        <w:trPr>
          <w:trHeight w:val="1200"/>
        </w:trPr>
        <w:tc>
          <w:tcPr>
            <w:tcW w:w="8364" w:type="dxa"/>
            <w:tcBorders>
              <w:left w:val="single" w:sz="4" w:space="0" w:color="000000" w:themeColor="text1"/>
            </w:tcBorders>
            <w:shd w:val="clear" w:color="auto" w:fill="auto"/>
            <w:vAlign w:val="center"/>
            <w:hideMark/>
          </w:tcPr>
          <w:p w14:paraId="700A26E7" w14:textId="77777777" w:rsidR="00954185" w:rsidRPr="00954185" w:rsidRDefault="00954185" w:rsidP="00364C65">
            <w:pPr>
              <w:spacing w:line="360" w:lineRule="auto"/>
              <w:rPr>
                <w:sz w:val="20"/>
                <w:szCs w:val="20"/>
              </w:rPr>
            </w:pPr>
            <w:r w:rsidRPr="00954185">
              <w:rPr>
                <w:sz w:val="20"/>
                <w:szCs w:val="20"/>
              </w:rPr>
              <w:t>Lin, Y. C., Huang, Y. L., Shiue, H. S., Hsu, S. L., &amp; Hsueh, Y. M. (2023). Chronic Kidney Disease: Combined Effects of Gene Polymorphisms of Tissue Inhibitors of Metalloproteinase 3, Total Urinary Arsenic, and Blood Lead Concentration. International journal of environmental research and public health, 20(3), 1886.</w:t>
            </w:r>
          </w:p>
        </w:tc>
        <w:tc>
          <w:tcPr>
            <w:tcW w:w="2126" w:type="dxa"/>
            <w:tcBorders>
              <w:right w:val="single" w:sz="4" w:space="0" w:color="000000" w:themeColor="text1"/>
            </w:tcBorders>
            <w:shd w:val="clear" w:color="auto" w:fill="auto"/>
            <w:noWrap/>
            <w:vAlign w:val="center"/>
            <w:hideMark/>
          </w:tcPr>
          <w:p w14:paraId="50834F92" w14:textId="77777777" w:rsidR="00954185" w:rsidRPr="00954185" w:rsidRDefault="00954185" w:rsidP="00364C65">
            <w:pPr>
              <w:spacing w:line="360" w:lineRule="auto"/>
              <w:rPr>
                <w:sz w:val="20"/>
                <w:szCs w:val="20"/>
              </w:rPr>
            </w:pPr>
            <w:r w:rsidRPr="00954185">
              <w:rPr>
                <w:sz w:val="20"/>
                <w:szCs w:val="20"/>
              </w:rPr>
              <w:t xml:space="preserve">Chronic kidney disease </w:t>
            </w:r>
          </w:p>
        </w:tc>
      </w:tr>
      <w:tr w:rsidR="00954185" w:rsidRPr="00954185" w14:paraId="5A1F856B" w14:textId="77777777" w:rsidTr="00364C65">
        <w:trPr>
          <w:trHeight w:val="1200"/>
        </w:trPr>
        <w:tc>
          <w:tcPr>
            <w:tcW w:w="8364" w:type="dxa"/>
            <w:tcBorders>
              <w:left w:val="single" w:sz="4" w:space="0" w:color="000000" w:themeColor="text1"/>
            </w:tcBorders>
            <w:shd w:val="clear" w:color="auto" w:fill="auto"/>
            <w:vAlign w:val="center"/>
            <w:hideMark/>
          </w:tcPr>
          <w:p w14:paraId="3B2CBBDF" w14:textId="77777777" w:rsidR="00954185" w:rsidRPr="00954185" w:rsidRDefault="00954185" w:rsidP="00364C65">
            <w:pPr>
              <w:spacing w:line="360" w:lineRule="auto"/>
              <w:rPr>
                <w:sz w:val="20"/>
                <w:szCs w:val="20"/>
              </w:rPr>
            </w:pPr>
            <w:r w:rsidRPr="00954185">
              <w:rPr>
                <w:sz w:val="20"/>
                <w:szCs w:val="20"/>
              </w:rPr>
              <w:t xml:space="preserve">Lindberg, A. L., Ekström, E. C., </w:t>
            </w:r>
            <w:proofErr w:type="spellStart"/>
            <w:r w:rsidRPr="00954185">
              <w:rPr>
                <w:sz w:val="20"/>
                <w:szCs w:val="20"/>
              </w:rPr>
              <w:t>Nermell</w:t>
            </w:r>
            <w:proofErr w:type="spellEnd"/>
            <w:r w:rsidRPr="00954185">
              <w:rPr>
                <w:sz w:val="20"/>
                <w:szCs w:val="20"/>
              </w:rPr>
              <w:t xml:space="preserve">, B., Rahman, M., </w:t>
            </w:r>
            <w:proofErr w:type="spellStart"/>
            <w:r w:rsidRPr="00954185">
              <w:rPr>
                <w:sz w:val="20"/>
                <w:szCs w:val="20"/>
              </w:rPr>
              <w:t>Lönnerdal</w:t>
            </w:r>
            <w:proofErr w:type="spellEnd"/>
            <w:r w:rsidRPr="00954185">
              <w:rPr>
                <w:sz w:val="20"/>
                <w:szCs w:val="20"/>
              </w:rPr>
              <w:t xml:space="preserve">, B., Persson, L. Å., &amp; </w:t>
            </w:r>
            <w:proofErr w:type="spellStart"/>
            <w:r w:rsidRPr="00954185">
              <w:rPr>
                <w:sz w:val="20"/>
                <w:szCs w:val="20"/>
              </w:rPr>
              <w:t>Vahter</w:t>
            </w:r>
            <w:proofErr w:type="spellEnd"/>
            <w:r w:rsidRPr="00954185">
              <w:rPr>
                <w:sz w:val="20"/>
                <w:szCs w:val="20"/>
              </w:rPr>
              <w:t>, M. (2008). Gender and age differences in the metabolism of inorganic arsenic in a highly exposed population in Bangladesh. Environmental research, 106(1), 110-120.</w:t>
            </w:r>
          </w:p>
        </w:tc>
        <w:tc>
          <w:tcPr>
            <w:tcW w:w="2126" w:type="dxa"/>
            <w:tcBorders>
              <w:right w:val="single" w:sz="4" w:space="0" w:color="000000" w:themeColor="text1"/>
            </w:tcBorders>
            <w:shd w:val="clear" w:color="auto" w:fill="auto"/>
            <w:noWrap/>
            <w:vAlign w:val="center"/>
            <w:hideMark/>
          </w:tcPr>
          <w:p w14:paraId="3E3032F4" w14:textId="2D8140DA" w:rsidR="00954185" w:rsidRPr="00954185" w:rsidRDefault="00954185" w:rsidP="00364C65">
            <w:pPr>
              <w:spacing w:line="360" w:lineRule="auto"/>
              <w:rPr>
                <w:sz w:val="20"/>
                <w:szCs w:val="20"/>
              </w:rPr>
            </w:pPr>
            <w:r w:rsidRPr="00954185">
              <w:rPr>
                <w:sz w:val="20"/>
                <w:szCs w:val="20"/>
              </w:rPr>
              <w:t xml:space="preserve">No genetic </w:t>
            </w:r>
            <w:r w:rsidR="000462B2" w:rsidRPr="00954185">
              <w:rPr>
                <w:sz w:val="20"/>
                <w:szCs w:val="20"/>
              </w:rPr>
              <w:t>susceptibility</w:t>
            </w:r>
            <w:r w:rsidRPr="00954185">
              <w:rPr>
                <w:sz w:val="20"/>
                <w:szCs w:val="20"/>
              </w:rPr>
              <w:t>, or not SN</w:t>
            </w:r>
            <w:r w:rsidR="000462B2">
              <w:rPr>
                <w:sz w:val="20"/>
                <w:szCs w:val="20"/>
              </w:rPr>
              <w:t>P</w:t>
            </w:r>
          </w:p>
        </w:tc>
      </w:tr>
      <w:tr w:rsidR="00954185" w:rsidRPr="00954185" w14:paraId="5341413F" w14:textId="77777777" w:rsidTr="00364C65">
        <w:trPr>
          <w:trHeight w:val="1200"/>
        </w:trPr>
        <w:tc>
          <w:tcPr>
            <w:tcW w:w="8364" w:type="dxa"/>
            <w:tcBorders>
              <w:left w:val="single" w:sz="4" w:space="0" w:color="000000" w:themeColor="text1"/>
            </w:tcBorders>
            <w:shd w:val="clear" w:color="auto" w:fill="auto"/>
            <w:vAlign w:val="center"/>
            <w:hideMark/>
          </w:tcPr>
          <w:p w14:paraId="064E3E5B" w14:textId="77777777" w:rsidR="00954185" w:rsidRPr="00954185" w:rsidRDefault="00954185" w:rsidP="00364C65">
            <w:pPr>
              <w:spacing w:line="360" w:lineRule="auto"/>
              <w:rPr>
                <w:sz w:val="20"/>
                <w:szCs w:val="20"/>
              </w:rPr>
            </w:pPr>
            <w:r w:rsidRPr="00954185">
              <w:rPr>
                <w:sz w:val="20"/>
                <w:szCs w:val="20"/>
              </w:rPr>
              <w:t xml:space="preserve">Lindberg, A. L., Kumar, R., </w:t>
            </w:r>
            <w:proofErr w:type="spellStart"/>
            <w:r w:rsidRPr="00954185">
              <w:rPr>
                <w:sz w:val="20"/>
                <w:szCs w:val="20"/>
              </w:rPr>
              <w:t>Goessler</w:t>
            </w:r>
            <w:proofErr w:type="spellEnd"/>
            <w:r w:rsidRPr="00954185">
              <w:rPr>
                <w:sz w:val="20"/>
                <w:szCs w:val="20"/>
              </w:rPr>
              <w:t xml:space="preserve">, W., Thirumaran, R., </w:t>
            </w:r>
            <w:proofErr w:type="spellStart"/>
            <w:r w:rsidRPr="00954185">
              <w:rPr>
                <w:sz w:val="20"/>
                <w:szCs w:val="20"/>
              </w:rPr>
              <w:t>Gurzau</w:t>
            </w:r>
            <w:proofErr w:type="spellEnd"/>
            <w:r w:rsidRPr="00954185">
              <w:rPr>
                <w:sz w:val="20"/>
                <w:szCs w:val="20"/>
              </w:rPr>
              <w:t xml:space="preserve">, E., </w:t>
            </w:r>
            <w:proofErr w:type="spellStart"/>
            <w:r w:rsidRPr="00954185">
              <w:rPr>
                <w:sz w:val="20"/>
                <w:szCs w:val="20"/>
              </w:rPr>
              <w:t>Koppova</w:t>
            </w:r>
            <w:proofErr w:type="spellEnd"/>
            <w:r w:rsidRPr="00954185">
              <w:rPr>
                <w:sz w:val="20"/>
                <w:szCs w:val="20"/>
              </w:rPr>
              <w:t xml:space="preserve">, K., ... &amp; </w:t>
            </w:r>
            <w:proofErr w:type="spellStart"/>
            <w:r w:rsidRPr="00954185">
              <w:rPr>
                <w:sz w:val="20"/>
                <w:szCs w:val="20"/>
              </w:rPr>
              <w:t>Vahter</w:t>
            </w:r>
            <w:proofErr w:type="spellEnd"/>
            <w:r w:rsidRPr="00954185">
              <w:rPr>
                <w:sz w:val="20"/>
                <w:szCs w:val="20"/>
              </w:rPr>
              <w:t>, M. (2007). Metabolism of low-dose inorganic arsenic in a central European population: influence of sex and genetic polymorphisms. Environmental health perspectives, 115(7), 1081-1086.</w:t>
            </w:r>
          </w:p>
        </w:tc>
        <w:tc>
          <w:tcPr>
            <w:tcW w:w="2126" w:type="dxa"/>
            <w:tcBorders>
              <w:right w:val="single" w:sz="4" w:space="0" w:color="000000" w:themeColor="text1"/>
            </w:tcBorders>
            <w:shd w:val="clear" w:color="auto" w:fill="auto"/>
            <w:noWrap/>
            <w:vAlign w:val="center"/>
            <w:hideMark/>
          </w:tcPr>
          <w:p w14:paraId="02BACC6E"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299B1183" w14:textId="77777777" w:rsidTr="00364C65">
        <w:trPr>
          <w:trHeight w:val="1200"/>
        </w:trPr>
        <w:tc>
          <w:tcPr>
            <w:tcW w:w="8364" w:type="dxa"/>
            <w:tcBorders>
              <w:left w:val="single" w:sz="4" w:space="0" w:color="000000" w:themeColor="text1"/>
            </w:tcBorders>
            <w:shd w:val="clear" w:color="auto" w:fill="auto"/>
            <w:vAlign w:val="center"/>
            <w:hideMark/>
          </w:tcPr>
          <w:p w14:paraId="0970EAF4" w14:textId="77777777" w:rsidR="00954185" w:rsidRPr="00954185" w:rsidRDefault="00954185" w:rsidP="00364C65">
            <w:pPr>
              <w:spacing w:line="360" w:lineRule="auto"/>
              <w:rPr>
                <w:sz w:val="20"/>
                <w:szCs w:val="20"/>
              </w:rPr>
            </w:pPr>
            <w:r w:rsidRPr="00954185">
              <w:rPr>
                <w:sz w:val="20"/>
                <w:szCs w:val="20"/>
              </w:rPr>
              <w:t xml:space="preserve">Lindberg, A. L., Kumar, R., </w:t>
            </w:r>
            <w:proofErr w:type="spellStart"/>
            <w:r w:rsidRPr="00954185">
              <w:rPr>
                <w:sz w:val="20"/>
                <w:szCs w:val="20"/>
              </w:rPr>
              <w:t>Goessler</w:t>
            </w:r>
            <w:proofErr w:type="spellEnd"/>
            <w:r w:rsidRPr="00954185">
              <w:rPr>
                <w:sz w:val="20"/>
                <w:szCs w:val="20"/>
              </w:rPr>
              <w:t xml:space="preserve">, W., Thirumaran, R., </w:t>
            </w:r>
            <w:proofErr w:type="spellStart"/>
            <w:r w:rsidRPr="00954185">
              <w:rPr>
                <w:sz w:val="20"/>
                <w:szCs w:val="20"/>
              </w:rPr>
              <w:t>Gurzau</w:t>
            </w:r>
            <w:proofErr w:type="spellEnd"/>
            <w:r w:rsidRPr="00954185">
              <w:rPr>
                <w:sz w:val="20"/>
                <w:szCs w:val="20"/>
              </w:rPr>
              <w:t xml:space="preserve">, E., </w:t>
            </w:r>
            <w:proofErr w:type="spellStart"/>
            <w:r w:rsidRPr="00954185">
              <w:rPr>
                <w:sz w:val="20"/>
                <w:szCs w:val="20"/>
              </w:rPr>
              <w:t>Koppova</w:t>
            </w:r>
            <w:proofErr w:type="spellEnd"/>
            <w:r w:rsidRPr="00954185">
              <w:rPr>
                <w:sz w:val="20"/>
                <w:szCs w:val="20"/>
              </w:rPr>
              <w:t xml:space="preserve">, K., ... &amp; </w:t>
            </w:r>
            <w:proofErr w:type="spellStart"/>
            <w:r w:rsidRPr="00954185">
              <w:rPr>
                <w:sz w:val="20"/>
                <w:szCs w:val="20"/>
              </w:rPr>
              <w:t>Vahter</w:t>
            </w:r>
            <w:proofErr w:type="spellEnd"/>
            <w:r w:rsidRPr="00954185">
              <w:rPr>
                <w:sz w:val="20"/>
                <w:szCs w:val="20"/>
              </w:rPr>
              <w:t>, M. (2007). Metabolism of low-dose inorganic arsenic in a central European population: influence of sex and genetic polymorphisms. Environmental health perspectives, 115(7), 1081-1086.</w:t>
            </w:r>
          </w:p>
        </w:tc>
        <w:tc>
          <w:tcPr>
            <w:tcW w:w="2126" w:type="dxa"/>
            <w:tcBorders>
              <w:right w:val="single" w:sz="4" w:space="0" w:color="000000" w:themeColor="text1"/>
            </w:tcBorders>
            <w:shd w:val="clear" w:color="auto" w:fill="auto"/>
            <w:noWrap/>
            <w:vAlign w:val="center"/>
            <w:hideMark/>
          </w:tcPr>
          <w:p w14:paraId="4BF24DAF"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5B8A9775" w14:textId="77777777" w:rsidTr="00364C65">
        <w:trPr>
          <w:trHeight w:val="1200"/>
        </w:trPr>
        <w:tc>
          <w:tcPr>
            <w:tcW w:w="8364" w:type="dxa"/>
            <w:tcBorders>
              <w:left w:val="single" w:sz="4" w:space="0" w:color="000000" w:themeColor="text1"/>
            </w:tcBorders>
            <w:shd w:val="clear" w:color="auto" w:fill="auto"/>
            <w:vAlign w:val="center"/>
            <w:hideMark/>
          </w:tcPr>
          <w:p w14:paraId="3CFB8763" w14:textId="77777777" w:rsidR="00954185" w:rsidRPr="00954185" w:rsidRDefault="00954185" w:rsidP="00364C65">
            <w:pPr>
              <w:spacing w:line="360" w:lineRule="auto"/>
              <w:rPr>
                <w:sz w:val="20"/>
                <w:szCs w:val="20"/>
              </w:rPr>
            </w:pPr>
            <w:r w:rsidRPr="00954185">
              <w:rPr>
                <w:sz w:val="20"/>
                <w:szCs w:val="20"/>
              </w:rPr>
              <w:t xml:space="preserve">Liu, W. S., Wang, X. Y., Lu, J., Zhang, Y. M., Ye, X. M., Li, J. M., ... &amp; Hai, X. (2020). Polymorphisms in arsenic (+ 3 oxidation state) methyltransferase (AS3MT) predict the occurrence of hyperleukocytosis and arsenic metabolism in APL patients treated with </w:t>
            </w:r>
            <w:proofErr w:type="gramStart"/>
            <w:r w:rsidRPr="00954185">
              <w:rPr>
                <w:sz w:val="20"/>
                <w:szCs w:val="20"/>
              </w:rPr>
              <w:t>As</w:t>
            </w:r>
            <w:proofErr w:type="gramEnd"/>
            <w:r w:rsidRPr="00954185">
              <w:rPr>
                <w:sz w:val="20"/>
                <w:szCs w:val="20"/>
              </w:rPr>
              <w:t xml:space="preserve"> 2 O 3. Archives of toxicology, 94, 1203-1213.</w:t>
            </w:r>
          </w:p>
        </w:tc>
        <w:tc>
          <w:tcPr>
            <w:tcW w:w="2126" w:type="dxa"/>
            <w:tcBorders>
              <w:right w:val="single" w:sz="4" w:space="0" w:color="000000" w:themeColor="text1"/>
            </w:tcBorders>
            <w:shd w:val="clear" w:color="auto" w:fill="auto"/>
            <w:noWrap/>
            <w:vAlign w:val="center"/>
            <w:hideMark/>
          </w:tcPr>
          <w:p w14:paraId="1885AEAB" w14:textId="77777777" w:rsidR="00954185" w:rsidRPr="00954185" w:rsidRDefault="00954185" w:rsidP="00364C65">
            <w:pPr>
              <w:spacing w:line="360" w:lineRule="auto"/>
              <w:rPr>
                <w:sz w:val="20"/>
                <w:szCs w:val="20"/>
              </w:rPr>
            </w:pPr>
            <w:r w:rsidRPr="00954185">
              <w:rPr>
                <w:sz w:val="20"/>
                <w:szCs w:val="20"/>
              </w:rPr>
              <w:t xml:space="preserve">Arsenic metabolism, urothelial carcinoma </w:t>
            </w:r>
          </w:p>
        </w:tc>
      </w:tr>
      <w:tr w:rsidR="00954185" w:rsidRPr="00954185" w14:paraId="52A26919" w14:textId="77777777" w:rsidTr="00364C65">
        <w:trPr>
          <w:trHeight w:val="900"/>
        </w:trPr>
        <w:tc>
          <w:tcPr>
            <w:tcW w:w="8364" w:type="dxa"/>
            <w:tcBorders>
              <w:left w:val="single" w:sz="4" w:space="0" w:color="000000" w:themeColor="text1"/>
            </w:tcBorders>
            <w:shd w:val="clear" w:color="auto" w:fill="auto"/>
            <w:vAlign w:val="center"/>
            <w:hideMark/>
          </w:tcPr>
          <w:p w14:paraId="6EE14C53" w14:textId="77777777" w:rsidR="00954185" w:rsidRPr="00954185" w:rsidRDefault="00954185" w:rsidP="00364C65">
            <w:pPr>
              <w:spacing w:line="360" w:lineRule="auto"/>
              <w:rPr>
                <w:sz w:val="20"/>
                <w:szCs w:val="20"/>
              </w:rPr>
            </w:pPr>
            <w:r w:rsidRPr="00954185">
              <w:rPr>
                <w:sz w:val="20"/>
                <w:szCs w:val="20"/>
              </w:rPr>
              <w:t>Long, P., Wang, H., Zhang, Z., Li, W., Zhang, Y., He, S., ... &amp; Yuan, Y. (2022). Plasma metal concentrations and their interactions with genetic susceptibility on homocysteine levels. Ecotoxicology and Environmental Safety, 241, 113705.</w:t>
            </w:r>
          </w:p>
        </w:tc>
        <w:tc>
          <w:tcPr>
            <w:tcW w:w="2126" w:type="dxa"/>
            <w:tcBorders>
              <w:right w:val="single" w:sz="4" w:space="0" w:color="000000" w:themeColor="text1"/>
            </w:tcBorders>
            <w:shd w:val="clear" w:color="auto" w:fill="auto"/>
            <w:noWrap/>
            <w:vAlign w:val="center"/>
            <w:hideMark/>
          </w:tcPr>
          <w:p w14:paraId="543A10C6" w14:textId="77777777" w:rsidR="00954185" w:rsidRPr="00954185" w:rsidRDefault="00954185" w:rsidP="00364C65">
            <w:pPr>
              <w:spacing w:line="360" w:lineRule="auto"/>
              <w:rPr>
                <w:sz w:val="20"/>
                <w:szCs w:val="20"/>
              </w:rPr>
            </w:pPr>
            <w:r w:rsidRPr="00954185">
              <w:rPr>
                <w:sz w:val="20"/>
                <w:szCs w:val="20"/>
              </w:rPr>
              <w:t xml:space="preserve">No arsenic metabolism, or arsenic-related disease </w:t>
            </w:r>
          </w:p>
        </w:tc>
      </w:tr>
      <w:tr w:rsidR="00954185" w:rsidRPr="00954185" w14:paraId="06A2A4C4" w14:textId="77777777" w:rsidTr="00364C65">
        <w:trPr>
          <w:trHeight w:val="900"/>
        </w:trPr>
        <w:tc>
          <w:tcPr>
            <w:tcW w:w="8364" w:type="dxa"/>
            <w:tcBorders>
              <w:left w:val="single" w:sz="4" w:space="0" w:color="000000" w:themeColor="text1"/>
            </w:tcBorders>
            <w:shd w:val="clear" w:color="auto" w:fill="auto"/>
            <w:vAlign w:val="center"/>
            <w:hideMark/>
          </w:tcPr>
          <w:p w14:paraId="3BA6D6DF" w14:textId="77777777" w:rsidR="00954185" w:rsidRPr="00954185" w:rsidRDefault="00954185" w:rsidP="00364C65">
            <w:pPr>
              <w:spacing w:line="360" w:lineRule="auto"/>
              <w:rPr>
                <w:sz w:val="20"/>
                <w:szCs w:val="20"/>
              </w:rPr>
            </w:pPr>
            <w:r w:rsidRPr="00954185">
              <w:rPr>
                <w:sz w:val="20"/>
                <w:szCs w:val="20"/>
              </w:rPr>
              <w:t>Lu, J., Yu, K., Fan, S., Liu, W., Dong, Z., Li, J., ... &amp; Zhou, J. (2019). Influence of AS3MT polymorphisms on arsenic metabolism and liver injury in APL patients treated with arsenic trioxide. Toxicology and Applied Pharmacology, 379, 114687.</w:t>
            </w:r>
          </w:p>
        </w:tc>
        <w:tc>
          <w:tcPr>
            <w:tcW w:w="2126" w:type="dxa"/>
            <w:tcBorders>
              <w:right w:val="single" w:sz="4" w:space="0" w:color="000000" w:themeColor="text1"/>
            </w:tcBorders>
            <w:shd w:val="clear" w:color="auto" w:fill="auto"/>
            <w:noWrap/>
            <w:vAlign w:val="center"/>
            <w:hideMark/>
          </w:tcPr>
          <w:p w14:paraId="0A8E0D58" w14:textId="77777777" w:rsidR="00954185" w:rsidRPr="00954185" w:rsidRDefault="00954185" w:rsidP="00364C65">
            <w:pPr>
              <w:spacing w:line="360" w:lineRule="auto"/>
              <w:rPr>
                <w:sz w:val="20"/>
                <w:szCs w:val="20"/>
              </w:rPr>
            </w:pPr>
            <w:r w:rsidRPr="00954185">
              <w:rPr>
                <w:sz w:val="20"/>
                <w:szCs w:val="20"/>
              </w:rPr>
              <w:t xml:space="preserve">Not environmental arsenic exposure </w:t>
            </w:r>
          </w:p>
        </w:tc>
      </w:tr>
      <w:tr w:rsidR="00954185" w:rsidRPr="00954185" w14:paraId="39A02056" w14:textId="77777777" w:rsidTr="00364C65">
        <w:trPr>
          <w:trHeight w:val="1200"/>
        </w:trPr>
        <w:tc>
          <w:tcPr>
            <w:tcW w:w="8364" w:type="dxa"/>
            <w:tcBorders>
              <w:left w:val="single" w:sz="4" w:space="0" w:color="000000" w:themeColor="text1"/>
            </w:tcBorders>
            <w:shd w:val="clear" w:color="auto" w:fill="auto"/>
            <w:vAlign w:val="center"/>
            <w:hideMark/>
          </w:tcPr>
          <w:p w14:paraId="2897A4BC" w14:textId="77777777" w:rsidR="00954185" w:rsidRPr="00954185" w:rsidRDefault="00954185" w:rsidP="00364C65">
            <w:pPr>
              <w:spacing w:line="360" w:lineRule="auto"/>
              <w:rPr>
                <w:sz w:val="20"/>
                <w:szCs w:val="20"/>
              </w:rPr>
            </w:pPr>
            <w:r w:rsidRPr="00954185">
              <w:rPr>
                <w:sz w:val="20"/>
                <w:szCs w:val="20"/>
              </w:rPr>
              <w:t>Luo, L., Li, Y., Gao, Y., Zhao, L., Feng, H., Wei, W., ... &amp; Sun, D. (2018). Association between arsenic metabolism gene polymorphisms and arsenic-induced skin lesions in individuals exposed to high-dose inorganic arsenic in northwest China. Scientific Reports, 8(1), 413.</w:t>
            </w:r>
          </w:p>
        </w:tc>
        <w:tc>
          <w:tcPr>
            <w:tcW w:w="2126" w:type="dxa"/>
            <w:tcBorders>
              <w:right w:val="single" w:sz="4" w:space="0" w:color="000000" w:themeColor="text1"/>
            </w:tcBorders>
            <w:shd w:val="clear" w:color="auto" w:fill="auto"/>
            <w:noWrap/>
            <w:vAlign w:val="center"/>
            <w:hideMark/>
          </w:tcPr>
          <w:p w14:paraId="5C97763E" w14:textId="77777777" w:rsidR="00954185" w:rsidRPr="00954185" w:rsidRDefault="00954185" w:rsidP="00364C65">
            <w:pPr>
              <w:spacing w:line="360" w:lineRule="auto"/>
              <w:rPr>
                <w:sz w:val="20"/>
                <w:szCs w:val="20"/>
              </w:rPr>
            </w:pPr>
            <w:r w:rsidRPr="00954185">
              <w:rPr>
                <w:sz w:val="20"/>
                <w:szCs w:val="20"/>
              </w:rPr>
              <w:t xml:space="preserve">Skin lesions </w:t>
            </w:r>
          </w:p>
        </w:tc>
      </w:tr>
      <w:tr w:rsidR="00954185" w:rsidRPr="00954185" w14:paraId="6E0A4085" w14:textId="77777777" w:rsidTr="00364C65">
        <w:trPr>
          <w:trHeight w:val="900"/>
        </w:trPr>
        <w:tc>
          <w:tcPr>
            <w:tcW w:w="8364" w:type="dxa"/>
            <w:tcBorders>
              <w:left w:val="single" w:sz="4" w:space="0" w:color="000000" w:themeColor="text1"/>
            </w:tcBorders>
            <w:shd w:val="clear" w:color="auto" w:fill="auto"/>
            <w:vAlign w:val="center"/>
            <w:hideMark/>
          </w:tcPr>
          <w:p w14:paraId="4F0547BA" w14:textId="77777777" w:rsidR="00954185" w:rsidRPr="00954185" w:rsidRDefault="00954185" w:rsidP="00364C65">
            <w:pPr>
              <w:spacing w:line="360" w:lineRule="auto"/>
              <w:rPr>
                <w:sz w:val="20"/>
                <w:szCs w:val="20"/>
              </w:rPr>
            </w:pPr>
            <w:r w:rsidRPr="00954185">
              <w:rPr>
                <w:sz w:val="20"/>
                <w:szCs w:val="20"/>
              </w:rPr>
              <w:t xml:space="preserve">Luo, R., Zhang, L., Jiang, Z., Chen, L., Zhu, N., Hou, Y., ... &amp; Ji, Y. (2019). Genomic alteration, </w:t>
            </w:r>
            <w:proofErr w:type="spellStart"/>
            <w:r w:rsidRPr="00954185">
              <w:rPr>
                <w:sz w:val="20"/>
                <w:szCs w:val="20"/>
              </w:rPr>
              <w:t>tumor</w:t>
            </w:r>
            <w:proofErr w:type="spellEnd"/>
            <w:r w:rsidRPr="00954185">
              <w:rPr>
                <w:sz w:val="20"/>
                <w:szCs w:val="20"/>
              </w:rPr>
              <w:t xml:space="preserve"> mutation burden and PD-L1 status of Chinese hepatic angiosarcoma patients. Cancer Research, 79(13_Supplement), 742-742.</w:t>
            </w:r>
          </w:p>
        </w:tc>
        <w:tc>
          <w:tcPr>
            <w:tcW w:w="2126" w:type="dxa"/>
            <w:tcBorders>
              <w:right w:val="single" w:sz="4" w:space="0" w:color="000000" w:themeColor="text1"/>
            </w:tcBorders>
            <w:shd w:val="clear" w:color="auto" w:fill="auto"/>
            <w:noWrap/>
            <w:vAlign w:val="center"/>
            <w:hideMark/>
          </w:tcPr>
          <w:p w14:paraId="189D8529" w14:textId="77777777" w:rsidR="00954185" w:rsidRPr="00954185" w:rsidRDefault="00954185" w:rsidP="00364C65">
            <w:pPr>
              <w:spacing w:line="360" w:lineRule="auto"/>
              <w:rPr>
                <w:sz w:val="20"/>
                <w:szCs w:val="20"/>
              </w:rPr>
            </w:pPr>
            <w:r w:rsidRPr="00954185">
              <w:rPr>
                <w:sz w:val="20"/>
                <w:szCs w:val="20"/>
              </w:rPr>
              <w:t>Conference abstract</w:t>
            </w:r>
          </w:p>
        </w:tc>
      </w:tr>
      <w:tr w:rsidR="00954185" w:rsidRPr="00954185" w14:paraId="751EF0FA" w14:textId="77777777" w:rsidTr="00364C65">
        <w:trPr>
          <w:trHeight w:val="1200"/>
        </w:trPr>
        <w:tc>
          <w:tcPr>
            <w:tcW w:w="8364" w:type="dxa"/>
            <w:tcBorders>
              <w:left w:val="single" w:sz="4" w:space="0" w:color="000000" w:themeColor="text1"/>
            </w:tcBorders>
            <w:shd w:val="clear" w:color="auto" w:fill="auto"/>
            <w:vAlign w:val="center"/>
            <w:hideMark/>
          </w:tcPr>
          <w:p w14:paraId="1A5A2B39" w14:textId="77777777" w:rsidR="00954185" w:rsidRPr="00954185" w:rsidRDefault="00954185" w:rsidP="00364C65">
            <w:pPr>
              <w:spacing w:line="360" w:lineRule="auto"/>
              <w:rPr>
                <w:sz w:val="20"/>
                <w:szCs w:val="20"/>
              </w:rPr>
            </w:pPr>
            <w:r w:rsidRPr="00954185">
              <w:rPr>
                <w:sz w:val="20"/>
                <w:szCs w:val="20"/>
              </w:rPr>
              <w:t xml:space="preserve">Ma, L., Liang, B., Yang, Y., Chen, L., Liu, Q., &amp; Zhang, A. (2020). hOGG1 promoter methylation, hOGG1 genetic variants and their interactions for risk of coal-borne </w:t>
            </w:r>
            <w:proofErr w:type="spellStart"/>
            <w:r w:rsidRPr="00954185">
              <w:rPr>
                <w:sz w:val="20"/>
                <w:szCs w:val="20"/>
              </w:rPr>
              <w:t>arsenicosis</w:t>
            </w:r>
            <w:proofErr w:type="spellEnd"/>
            <w:r w:rsidRPr="00954185">
              <w:rPr>
                <w:sz w:val="20"/>
                <w:szCs w:val="20"/>
              </w:rPr>
              <w:t>: A case-control study. Environmental Toxicology and Pharmacology, 75, 103330.</w:t>
            </w:r>
          </w:p>
        </w:tc>
        <w:tc>
          <w:tcPr>
            <w:tcW w:w="2126" w:type="dxa"/>
            <w:tcBorders>
              <w:right w:val="single" w:sz="4" w:space="0" w:color="000000" w:themeColor="text1"/>
            </w:tcBorders>
            <w:shd w:val="clear" w:color="auto" w:fill="auto"/>
            <w:noWrap/>
            <w:vAlign w:val="center"/>
            <w:hideMark/>
          </w:tcPr>
          <w:p w14:paraId="1038FBC2" w14:textId="77777777" w:rsidR="00954185" w:rsidRPr="00954185" w:rsidRDefault="00954185" w:rsidP="00364C65">
            <w:pPr>
              <w:spacing w:line="360" w:lineRule="auto"/>
              <w:rPr>
                <w:sz w:val="20"/>
                <w:szCs w:val="20"/>
              </w:rPr>
            </w:pPr>
            <w:r w:rsidRPr="00954185">
              <w:rPr>
                <w:sz w:val="20"/>
                <w:szCs w:val="20"/>
              </w:rPr>
              <w:t xml:space="preserve">Skin lesions </w:t>
            </w:r>
          </w:p>
        </w:tc>
      </w:tr>
      <w:tr w:rsidR="00954185" w:rsidRPr="00954185" w14:paraId="7578E97D" w14:textId="77777777" w:rsidTr="00364C65">
        <w:trPr>
          <w:trHeight w:val="1200"/>
        </w:trPr>
        <w:tc>
          <w:tcPr>
            <w:tcW w:w="8364" w:type="dxa"/>
            <w:tcBorders>
              <w:left w:val="single" w:sz="4" w:space="0" w:color="000000" w:themeColor="text1"/>
            </w:tcBorders>
            <w:shd w:val="clear" w:color="auto" w:fill="auto"/>
            <w:vAlign w:val="center"/>
            <w:hideMark/>
          </w:tcPr>
          <w:p w14:paraId="3F0FAD2B" w14:textId="77777777" w:rsidR="00954185" w:rsidRPr="00954185" w:rsidRDefault="00954185" w:rsidP="00364C65">
            <w:pPr>
              <w:spacing w:line="360" w:lineRule="auto"/>
              <w:rPr>
                <w:sz w:val="20"/>
                <w:szCs w:val="20"/>
              </w:rPr>
            </w:pPr>
            <w:proofErr w:type="spellStart"/>
            <w:r w:rsidRPr="00641BD3">
              <w:rPr>
                <w:sz w:val="20"/>
                <w:szCs w:val="20"/>
                <w:lang w:val="es-ES"/>
              </w:rPr>
              <w:lastRenderedPageBreak/>
              <w:t>Majumder</w:t>
            </w:r>
            <w:proofErr w:type="spellEnd"/>
            <w:r w:rsidRPr="00641BD3">
              <w:rPr>
                <w:sz w:val="20"/>
                <w:szCs w:val="20"/>
                <w:lang w:val="es-ES"/>
              </w:rPr>
              <w:t xml:space="preserve">, M., </w:t>
            </w:r>
            <w:proofErr w:type="spellStart"/>
            <w:r w:rsidRPr="00641BD3">
              <w:rPr>
                <w:sz w:val="20"/>
                <w:szCs w:val="20"/>
                <w:lang w:val="es-ES"/>
              </w:rPr>
              <w:t>Dasgupta</w:t>
            </w:r>
            <w:proofErr w:type="spellEnd"/>
            <w:r w:rsidRPr="00641BD3">
              <w:rPr>
                <w:sz w:val="20"/>
                <w:szCs w:val="20"/>
                <w:lang w:val="es-ES"/>
              </w:rPr>
              <w:t xml:space="preserve">, U. B., </w:t>
            </w:r>
            <w:proofErr w:type="spellStart"/>
            <w:r w:rsidRPr="00641BD3">
              <w:rPr>
                <w:sz w:val="20"/>
                <w:szCs w:val="20"/>
                <w:lang w:val="es-ES"/>
              </w:rPr>
              <w:t>Guha</w:t>
            </w:r>
            <w:proofErr w:type="spellEnd"/>
            <w:r w:rsidRPr="00641BD3">
              <w:rPr>
                <w:sz w:val="20"/>
                <w:szCs w:val="20"/>
                <w:lang w:val="es-ES"/>
              </w:rPr>
              <w:t xml:space="preserve"> </w:t>
            </w:r>
            <w:proofErr w:type="spellStart"/>
            <w:r w:rsidRPr="00641BD3">
              <w:rPr>
                <w:sz w:val="20"/>
                <w:szCs w:val="20"/>
                <w:lang w:val="es-ES"/>
              </w:rPr>
              <w:t>Mazumder</w:t>
            </w:r>
            <w:proofErr w:type="spellEnd"/>
            <w:r w:rsidRPr="00641BD3">
              <w:rPr>
                <w:sz w:val="20"/>
                <w:szCs w:val="20"/>
                <w:lang w:val="es-ES"/>
              </w:rPr>
              <w:t xml:space="preserve">, D. N., &amp; Das, N. (2017). </w:t>
            </w:r>
            <w:r w:rsidRPr="00954185">
              <w:rPr>
                <w:sz w:val="20"/>
                <w:szCs w:val="20"/>
              </w:rPr>
              <w:t>Skin score correlates with global DNA methylation and GSTO1 A140D polymorphism in arsenic-affected population of Eastern India. Toxicology Mechanisms and Methods, 27(6), 467-475.</w:t>
            </w:r>
          </w:p>
        </w:tc>
        <w:tc>
          <w:tcPr>
            <w:tcW w:w="2126" w:type="dxa"/>
            <w:tcBorders>
              <w:right w:val="single" w:sz="4" w:space="0" w:color="000000" w:themeColor="text1"/>
            </w:tcBorders>
            <w:shd w:val="clear" w:color="auto" w:fill="auto"/>
            <w:noWrap/>
            <w:vAlign w:val="center"/>
            <w:hideMark/>
          </w:tcPr>
          <w:p w14:paraId="57731852" w14:textId="38FAA108" w:rsidR="00954185" w:rsidRPr="00954185" w:rsidRDefault="00954185" w:rsidP="00364C65">
            <w:pPr>
              <w:spacing w:line="360" w:lineRule="auto"/>
              <w:rPr>
                <w:sz w:val="20"/>
                <w:szCs w:val="20"/>
              </w:rPr>
            </w:pPr>
            <w:r w:rsidRPr="00954185">
              <w:rPr>
                <w:sz w:val="20"/>
                <w:szCs w:val="20"/>
              </w:rPr>
              <w:t xml:space="preserve">No genetic </w:t>
            </w:r>
            <w:r w:rsidR="000462B2" w:rsidRPr="00954185">
              <w:rPr>
                <w:sz w:val="20"/>
                <w:szCs w:val="20"/>
              </w:rPr>
              <w:t>susceptibility</w:t>
            </w:r>
            <w:r w:rsidRPr="00954185">
              <w:rPr>
                <w:sz w:val="20"/>
                <w:szCs w:val="20"/>
              </w:rPr>
              <w:t>, or not SNP</w:t>
            </w:r>
          </w:p>
        </w:tc>
      </w:tr>
      <w:tr w:rsidR="00954185" w:rsidRPr="00954185" w14:paraId="00FB2322" w14:textId="77777777" w:rsidTr="00364C65">
        <w:trPr>
          <w:trHeight w:val="900"/>
        </w:trPr>
        <w:tc>
          <w:tcPr>
            <w:tcW w:w="8364" w:type="dxa"/>
            <w:tcBorders>
              <w:left w:val="single" w:sz="4" w:space="0" w:color="000000" w:themeColor="text1"/>
            </w:tcBorders>
            <w:shd w:val="clear" w:color="auto" w:fill="auto"/>
            <w:vAlign w:val="center"/>
            <w:hideMark/>
          </w:tcPr>
          <w:p w14:paraId="3AA2493C" w14:textId="77777777" w:rsidR="00954185" w:rsidRPr="00954185" w:rsidRDefault="00954185" w:rsidP="00364C65">
            <w:pPr>
              <w:spacing w:line="360" w:lineRule="auto"/>
              <w:rPr>
                <w:sz w:val="20"/>
                <w:szCs w:val="20"/>
              </w:rPr>
            </w:pPr>
            <w:r w:rsidRPr="00954185">
              <w:rPr>
                <w:sz w:val="20"/>
                <w:szCs w:val="20"/>
              </w:rPr>
              <w:t xml:space="preserve">Marciniak, W., Matoušek, T., </w:t>
            </w:r>
            <w:proofErr w:type="spellStart"/>
            <w:r w:rsidRPr="00954185">
              <w:rPr>
                <w:sz w:val="20"/>
                <w:szCs w:val="20"/>
              </w:rPr>
              <w:t>Domchek</w:t>
            </w:r>
            <w:proofErr w:type="spellEnd"/>
            <w:r w:rsidRPr="00954185">
              <w:rPr>
                <w:sz w:val="20"/>
                <w:szCs w:val="20"/>
              </w:rPr>
              <w:t xml:space="preserve">, S., Paradiso, A., Patruno, M., </w:t>
            </w:r>
            <w:proofErr w:type="spellStart"/>
            <w:r w:rsidRPr="00954185">
              <w:rPr>
                <w:sz w:val="20"/>
                <w:szCs w:val="20"/>
              </w:rPr>
              <w:t>Irmejs</w:t>
            </w:r>
            <w:proofErr w:type="spellEnd"/>
            <w:r w:rsidRPr="00954185">
              <w:rPr>
                <w:sz w:val="20"/>
                <w:szCs w:val="20"/>
              </w:rPr>
              <w:t xml:space="preserve">, A., ... &amp; </w:t>
            </w:r>
            <w:proofErr w:type="spellStart"/>
            <w:r w:rsidRPr="00954185">
              <w:rPr>
                <w:sz w:val="20"/>
                <w:szCs w:val="20"/>
              </w:rPr>
              <w:t>Lubiński</w:t>
            </w:r>
            <w:proofErr w:type="spellEnd"/>
            <w:r w:rsidRPr="00954185">
              <w:rPr>
                <w:sz w:val="20"/>
                <w:szCs w:val="20"/>
              </w:rPr>
              <w:t>, J. (2021). Blood Arsenic Levels as a Marker of Breast Cancer Risk among BRCA1 Carriers. Cancers, 13(13), 3345.</w:t>
            </w:r>
          </w:p>
        </w:tc>
        <w:tc>
          <w:tcPr>
            <w:tcW w:w="2126" w:type="dxa"/>
            <w:tcBorders>
              <w:right w:val="single" w:sz="4" w:space="0" w:color="000000" w:themeColor="text1"/>
            </w:tcBorders>
            <w:shd w:val="clear" w:color="auto" w:fill="auto"/>
            <w:noWrap/>
            <w:vAlign w:val="center"/>
            <w:hideMark/>
          </w:tcPr>
          <w:p w14:paraId="7EE06121" w14:textId="227582ED" w:rsidR="00954185" w:rsidRPr="00954185" w:rsidRDefault="00954185" w:rsidP="00364C65">
            <w:pPr>
              <w:spacing w:line="360" w:lineRule="auto"/>
              <w:rPr>
                <w:sz w:val="20"/>
                <w:szCs w:val="20"/>
              </w:rPr>
            </w:pPr>
            <w:r w:rsidRPr="00954185">
              <w:rPr>
                <w:sz w:val="20"/>
                <w:szCs w:val="20"/>
              </w:rPr>
              <w:t xml:space="preserve">No genetic </w:t>
            </w:r>
            <w:r w:rsidR="000462B2" w:rsidRPr="00954185">
              <w:rPr>
                <w:sz w:val="20"/>
                <w:szCs w:val="20"/>
              </w:rPr>
              <w:t>susceptibility</w:t>
            </w:r>
            <w:r w:rsidRPr="00954185">
              <w:rPr>
                <w:sz w:val="20"/>
                <w:szCs w:val="20"/>
              </w:rPr>
              <w:t>, or not SN</w:t>
            </w:r>
            <w:r w:rsidR="000462B2">
              <w:rPr>
                <w:sz w:val="20"/>
                <w:szCs w:val="20"/>
              </w:rPr>
              <w:t>P</w:t>
            </w:r>
          </w:p>
        </w:tc>
      </w:tr>
      <w:tr w:rsidR="00954185" w:rsidRPr="00954185" w14:paraId="36580A60" w14:textId="77777777" w:rsidTr="00364C65">
        <w:trPr>
          <w:trHeight w:val="1200"/>
        </w:trPr>
        <w:tc>
          <w:tcPr>
            <w:tcW w:w="8364" w:type="dxa"/>
            <w:tcBorders>
              <w:left w:val="single" w:sz="4" w:space="0" w:color="000000" w:themeColor="text1"/>
            </w:tcBorders>
            <w:shd w:val="clear" w:color="auto" w:fill="auto"/>
            <w:vAlign w:val="center"/>
            <w:hideMark/>
          </w:tcPr>
          <w:p w14:paraId="3D7F714B" w14:textId="77777777" w:rsidR="00954185" w:rsidRPr="00954185" w:rsidRDefault="00954185" w:rsidP="00364C65">
            <w:pPr>
              <w:spacing w:line="360" w:lineRule="auto"/>
              <w:rPr>
                <w:sz w:val="20"/>
                <w:szCs w:val="20"/>
              </w:rPr>
            </w:pPr>
            <w:r w:rsidRPr="00641BD3">
              <w:rPr>
                <w:sz w:val="20"/>
                <w:szCs w:val="20"/>
                <w:lang w:val="es-ES"/>
              </w:rPr>
              <w:t xml:space="preserve">Marcos, R., Martínez, V., Hernández, A., Creus, A., </w:t>
            </w:r>
            <w:proofErr w:type="spellStart"/>
            <w:r w:rsidRPr="00641BD3">
              <w:rPr>
                <w:sz w:val="20"/>
                <w:szCs w:val="20"/>
                <w:lang w:val="es-ES"/>
              </w:rPr>
              <w:t>Sekaran</w:t>
            </w:r>
            <w:proofErr w:type="spellEnd"/>
            <w:r w:rsidRPr="00641BD3">
              <w:rPr>
                <w:sz w:val="20"/>
                <w:szCs w:val="20"/>
                <w:lang w:val="es-ES"/>
              </w:rPr>
              <w:t xml:space="preserve">, C., </w:t>
            </w:r>
            <w:proofErr w:type="spellStart"/>
            <w:r w:rsidRPr="00641BD3">
              <w:rPr>
                <w:sz w:val="20"/>
                <w:szCs w:val="20"/>
                <w:lang w:val="es-ES"/>
              </w:rPr>
              <w:t>Tokunaga</w:t>
            </w:r>
            <w:proofErr w:type="spellEnd"/>
            <w:r w:rsidRPr="00641BD3">
              <w:rPr>
                <w:sz w:val="20"/>
                <w:szCs w:val="20"/>
                <w:lang w:val="es-ES"/>
              </w:rPr>
              <w:t xml:space="preserve">, H., &amp; Quinteros, D. (2006). </w:t>
            </w:r>
            <w:r w:rsidRPr="00954185">
              <w:rPr>
                <w:sz w:val="20"/>
                <w:szCs w:val="20"/>
              </w:rPr>
              <w:t>Metabolic profile in workers occupationally exposed to arsenic: role of GST polymorphisms. Journal of occupational and environmental medicine, 334-341.</w:t>
            </w:r>
          </w:p>
        </w:tc>
        <w:tc>
          <w:tcPr>
            <w:tcW w:w="2126" w:type="dxa"/>
            <w:tcBorders>
              <w:right w:val="single" w:sz="4" w:space="0" w:color="000000" w:themeColor="text1"/>
            </w:tcBorders>
            <w:shd w:val="clear" w:color="auto" w:fill="auto"/>
            <w:noWrap/>
            <w:vAlign w:val="center"/>
            <w:hideMark/>
          </w:tcPr>
          <w:p w14:paraId="5D2A2EF3"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7BB68A2F" w14:textId="77777777" w:rsidTr="00364C65">
        <w:trPr>
          <w:trHeight w:val="1200"/>
        </w:trPr>
        <w:tc>
          <w:tcPr>
            <w:tcW w:w="8364" w:type="dxa"/>
            <w:tcBorders>
              <w:left w:val="single" w:sz="4" w:space="0" w:color="000000" w:themeColor="text1"/>
            </w:tcBorders>
            <w:shd w:val="clear" w:color="auto" w:fill="auto"/>
            <w:vAlign w:val="center"/>
            <w:hideMark/>
          </w:tcPr>
          <w:p w14:paraId="6A92E681" w14:textId="77777777" w:rsidR="00954185" w:rsidRPr="00954185" w:rsidRDefault="00954185" w:rsidP="00364C65">
            <w:pPr>
              <w:spacing w:line="360" w:lineRule="auto"/>
              <w:rPr>
                <w:sz w:val="20"/>
                <w:szCs w:val="20"/>
              </w:rPr>
            </w:pPr>
            <w:r w:rsidRPr="00954185">
              <w:rPr>
                <w:sz w:val="20"/>
                <w:szCs w:val="20"/>
              </w:rPr>
              <w:t xml:space="preserve">Marnell, L. L., Garcia-Vargas, G. G., Chowdhury, U. K., </w:t>
            </w:r>
            <w:proofErr w:type="spellStart"/>
            <w:r w:rsidRPr="00954185">
              <w:rPr>
                <w:sz w:val="20"/>
                <w:szCs w:val="20"/>
              </w:rPr>
              <w:t>Zakharyan</w:t>
            </w:r>
            <w:proofErr w:type="spellEnd"/>
            <w:r w:rsidRPr="00954185">
              <w:rPr>
                <w:sz w:val="20"/>
                <w:szCs w:val="20"/>
              </w:rPr>
              <w:t xml:space="preserve">, R. A., Walsh, B., Avram, M. D., ... &amp; Aposhian, H. V. (2003). Polymorphisms in the human </w:t>
            </w:r>
            <w:proofErr w:type="spellStart"/>
            <w:r w:rsidRPr="00954185">
              <w:rPr>
                <w:sz w:val="20"/>
                <w:szCs w:val="20"/>
              </w:rPr>
              <w:t>monomethylarsonic</w:t>
            </w:r>
            <w:proofErr w:type="spellEnd"/>
            <w:r w:rsidRPr="00954185">
              <w:rPr>
                <w:sz w:val="20"/>
                <w:szCs w:val="20"/>
              </w:rPr>
              <w:t xml:space="preserve"> acid (MMAV) reductase/hGSTO1 gene and changes in urinary arsenic profiles. Chemical research in toxicology, 16(12), 1507-1513.</w:t>
            </w:r>
          </w:p>
        </w:tc>
        <w:tc>
          <w:tcPr>
            <w:tcW w:w="2126" w:type="dxa"/>
            <w:tcBorders>
              <w:right w:val="single" w:sz="4" w:space="0" w:color="000000" w:themeColor="text1"/>
            </w:tcBorders>
            <w:shd w:val="clear" w:color="auto" w:fill="auto"/>
            <w:noWrap/>
            <w:vAlign w:val="center"/>
            <w:hideMark/>
          </w:tcPr>
          <w:p w14:paraId="20A1D6B4"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23CFB6B2" w14:textId="77777777" w:rsidTr="00364C65">
        <w:trPr>
          <w:trHeight w:val="1200"/>
        </w:trPr>
        <w:tc>
          <w:tcPr>
            <w:tcW w:w="8364" w:type="dxa"/>
            <w:tcBorders>
              <w:left w:val="single" w:sz="4" w:space="0" w:color="000000" w:themeColor="text1"/>
            </w:tcBorders>
            <w:shd w:val="clear" w:color="auto" w:fill="auto"/>
            <w:vAlign w:val="center"/>
            <w:hideMark/>
          </w:tcPr>
          <w:p w14:paraId="24E02244" w14:textId="77777777" w:rsidR="00954185" w:rsidRPr="00954185" w:rsidRDefault="00954185" w:rsidP="00364C65">
            <w:pPr>
              <w:spacing w:line="360" w:lineRule="auto"/>
              <w:rPr>
                <w:sz w:val="20"/>
                <w:szCs w:val="20"/>
              </w:rPr>
            </w:pPr>
            <w:proofErr w:type="spellStart"/>
            <w:r w:rsidRPr="00641BD3">
              <w:rPr>
                <w:sz w:val="20"/>
                <w:szCs w:val="20"/>
                <w:lang w:val="es-ES"/>
              </w:rPr>
              <w:t>Mazumdar</w:t>
            </w:r>
            <w:proofErr w:type="spellEnd"/>
            <w:r w:rsidRPr="00641BD3">
              <w:rPr>
                <w:sz w:val="20"/>
                <w:szCs w:val="20"/>
                <w:lang w:val="es-ES"/>
              </w:rPr>
              <w:t xml:space="preserve">, M., Valeri, L., </w:t>
            </w:r>
            <w:proofErr w:type="spellStart"/>
            <w:r w:rsidRPr="00641BD3">
              <w:rPr>
                <w:sz w:val="20"/>
                <w:szCs w:val="20"/>
                <w:lang w:val="es-ES"/>
              </w:rPr>
              <w:t>Rodrigues</w:t>
            </w:r>
            <w:proofErr w:type="spellEnd"/>
            <w:r w:rsidRPr="00641BD3">
              <w:rPr>
                <w:sz w:val="20"/>
                <w:szCs w:val="20"/>
                <w:lang w:val="es-ES"/>
              </w:rPr>
              <w:t xml:space="preserve">, E. G., </w:t>
            </w:r>
            <w:proofErr w:type="spellStart"/>
            <w:r w:rsidRPr="00641BD3">
              <w:rPr>
                <w:sz w:val="20"/>
                <w:szCs w:val="20"/>
                <w:lang w:val="es-ES"/>
              </w:rPr>
              <w:t>Ibne</w:t>
            </w:r>
            <w:proofErr w:type="spellEnd"/>
            <w:r w:rsidRPr="00641BD3">
              <w:rPr>
                <w:sz w:val="20"/>
                <w:szCs w:val="20"/>
                <w:lang w:val="es-ES"/>
              </w:rPr>
              <w:t xml:space="preserve"> Hasan, M. O. S., Hamid, R., Paul, L., ... </w:t>
            </w:r>
            <w:r w:rsidRPr="00954185">
              <w:rPr>
                <w:sz w:val="20"/>
                <w:szCs w:val="20"/>
              </w:rPr>
              <w:t>&amp; Christiani, D. C. (2015). Polymorphisms in maternal folate pathway genes interact with arsenic in drinking water to influence risk of myelomeningocele. Birth Defects Research Part A: Clinical and Molecular Teratology, 103(9), 754-762.</w:t>
            </w:r>
          </w:p>
        </w:tc>
        <w:tc>
          <w:tcPr>
            <w:tcW w:w="2126" w:type="dxa"/>
            <w:tcBorders>
              <w:right w:val="single" w:sz="4" w:space="0" w:color="000000" w:themeColor="text1"/>
            </w:tcBorders>
            <w:shd w:val="clear" w:color="auto" w:fill="auto"/>
            <w:noWrap/>
            <w:vAlign w:val="center"/>
            <w:hideMark/>
          </w:tcPr>
          <w:p w14:paraId="458F417A" w14:textId="77777777" w:rsidR="00954185" w:rsidRPr="00954185" w:rsidRDefault="00954185" w:rsidP="00364C65">
            <w:pPr>
              <w:spacing w:line="360" w:lineRule="auto"/>
              <w:rPr>
                <w:sz w:val="20"/>
                <w:szCs w:val="20"/>
              </w:rPr>
            </w:pPr>
            <w:r w:rsidRPr="00954185">
              <w:rPr>
                <w:sz w:val="20"/>
                <w:szCs w:val="20"/>
              </w:rPr>
              <w:t>Myelomeningocele</w:t>
            </w:r>
          </w:p>
        </w:tc>
      </w:tr>
      <w:tr w:rsidR="00954185" w:rsidRPr="00954185" w14:paraId="5CAF987D" w14:textId="77777777" w:rsidTr="00364C65">
        <w:trPr>
          <w:trHeight w:val="900"/>
        </w:trPr>
        <w:tc>
          <w:tcPr>
            <w:tcW w:w="8364" w:type="dxa"/>
            <w:tcBorders>
              <w:left w:val="single" w:sz="4" w:space="0" w:color="000000" w:themeColor="text1"/>
            </w:tcBorders>
            <w:shd w:val="clear" w:color="auto" w:fill="auto"/>
            <w:vAlign w:val="center"/>
            <w:hideMark/>
          </w:tcPr>
          <w:p w14:paraId="72A0882D" w14:textId="77777777" w:rsidR="00954185" w:rsidRPr="00954185" w:rsidRDefault="00954185" w:rsidP="00364C65">
            <w:pPr>
              <w:spacing w:line="360" w:lineRule="auto"/>
              <w:rPr>
                <w:sz w:val="20"/>
                <w:szCs w:val="20"/>
              </w:rPr>
            </w:pPr>
            <w:r w:rsidRPr="00954185">
              <w:rPr>
                <w:sz w:val="20"/>
                <w:szCs w:val="20"/>
              </w:rPr>
              <w:t xml:space="preserve">McCarty, K. M., Chen, Y. C., </w:t>
            </w:r>
            <w:proofErr w:type="spellStart"/>
            <w:r w:rsidRPr="00954185">
              <w:rPr>
                <w:sz w:val="20"/>
                <w:szCs w:val="20"/>
              </w:rPr>
              <w:t>Quamruzzaman</w:t>
            </w:r>
            <w:proofErr w:type="spellEnd"/>
            <w:r w:rsidRPr="00954185">
              <w:rPr>
                <w:sz w:val="20"/>
                <w:szCs w:val="20"/>
              </w:rPr>
              <w:t xml:space="preserve">, Q., Rahman, M., </w:t>
            </w:r>
            <w:proofErr w:type="spellStart"/>
            <w:r w:rsidRPr="00954185">
              <w:rPr>
                <w:sz w:val="20"/>
                <w:szCs w:val="20"/>
              </w:rPr>
              <w:t>Mahiuddin</w:t>
            </w:r>
            <w:proofErr w:type="spellEnd"/>
            <w:r w:rsidRPr="00954185">
              <w:rPr>
                <w:sz w:val="20"/>
                <w:szCs w:val="20"/>
              </w:rPr>
              <w:t>, G., Hsueh, Y. M., ... &amp; Christiani, D. C. (2007). Arsenic methylation, GSTT1, GSTM1, GSTP1 polymorphisms, and skin lesions. Environmental Health Perspectives, 115(3), 341-345.</w:t>
            </w:r>
          </w:p>
        </w:tc>
        <w:tc>
          <w:tcPr>
            <w:tcW w:w="2126" w:type="dxa"/>
            <w:tcBorders>
              <w:right w:val="single" w:sz="4" w:space="0" w:color="000000" w:themeColor="text1"/>
            </w:tcBorders>
            <w:shd w:val="clear" w:color="auto" w:fill="auto"/>
            <w:noWrap/>
            <w:vAlign w:val="center"/>
            <w:hideMark/>
          </w:tcPr>
          <w:p w14:paraId="13952B6C" w14:textId="77777777" w:rsidR="00954185" w:rsidRPr="00954185" w:rsidRDefault="00954185" w:rsidP="00364C65">
            <w:pPr>
              <w:spacing w:line="360" w:lineRule="auto"/>
              <w:rPr>
                <w:sz w:val="20"/>
                <w:szCs w:val="20"/>
              </w:rPr>
            </w:pPr>
            <w:r w:rsidRPr="00954185">
              <w:rPr>
                <w:sz w:val="20"/>
                <w:szCs w:val="20"/>
              </w:rPr>
              <w:t xml:space="preserve">Skin lesions, arsenic metabolism </w:t>
            </w:r>
          </w:p>
        </w:tc>
      </w:tr>
      <w:tr w:rsidR="00954185" w:rsidRPr="00954185" w14:paraId="1E9231CC" w14:textId="77777777" w:rsidTr="00364C65">
        <w:trPr>
          <w:trHeight w:val="900"/>
        </w:trPr>
        <w:tc>
          <w:tcPr>
            <w:tcW w:w="8364" w:type="dxa"/>
            <w:tcBorders>
              <w:left w:val="single" w:sz="4" w:space="0" w:color="000000" w:themeColor="text1"/>
            </w:tcBorders>
            <w:shd w:val="clear" w:color="auto" w:fill="auto"/>
            <w:vAlign w:val="center"/>
            <w:hideMark/>
          </w:tcPr>
          <w:p w14:paraId="5779CD79" w14:textId="77777777" w:rsidR="00954185" w:rsidRPr="00954185" w:rsidRDefault="00954185" w:rsidP="00364C65">
            <w:pPr>
              <w:spacing w:line="360" w:lineRule="auto"/>
              <w:rPr>
                <w:sz w:val="20"/>
                <w:szCs w:val="20"/>
              </w:rPr>
            </w:pPr>
            <w:r w:rsidRPr="00954185">
              <w:rPr>
                <w:sz w:val="20"/>
                <w:szCs w:val="20"/>
              </w:rPr>
              <w:t xml:space="preserve">McCarty, K. M., Ryan, L., Houseman, E. A., Williams, P. L., Miller, D. P., </w:t>
            </w:r>
            <w:proofErr w:type="spellStart"/>
            <w:r w:rsidRPr="00954185">
              <w:rPr>
                <w:sz w:val="20"/>
                <w:szCs w:val="20"/>
              </w:rPr>
              <w:t>Quamruzzaman</w:t>
            </w:r>
            <w:proofErr w:type="spellEnd"/>
            <w:r w:rsidRPr="00954185">
              <w:rPr>
                <w:sz w:val="20"/>
                <w:szCs w:val="20"/>
              </w:rPr>
              <w:t>, Q., ... &amp; Christiani, D. C. (2007). A case-control study of GST polymorphisms and arsenic related skin lesions. Environmental Health, 6(1), 1-10.</w:t>
            </w:r>
          </w:p>
        </w:tc>
        <w:tc>
          <w:tcPr>
            <w:tcW w:w="2126" w:type="dxa"/>
            <w:tcBorders>
              <w:right w:val="single" w:sz="4" w:space="0" w:color="000000" w:themeColor="text1"/>
            </w:tcBorders>
            <w:shd w:val="clear" w:color="auto" w:fill="auto"/>
            <w:noWrap/>
            <w:vAlign w:val="center"/>
            <w:hideMark/>
          </w:tcPr>
          <w:p w14:paraId="76CC8188" w14:textId="77777777" w:rsidR="00954185" w:rsidRPr="00954185" w:rsidRDefault="00954185" w:rsidP="00364C65">
            <w:pPr>
              <w:spacing w:line="360" w:lineRule="auto"/>
              <w:rPr>
                <w:sz w:val="20"/>
                <w:szCs w:val="20"/>
              </w:rPr>
            </w:pPr>
            <w:r w:rsidRPr="00954185">
              <w:rPr>
                <w:sz w:val="20"/>
                <w:szCs w:val="20"/>
              </w:rPr>
              <w:t xml:space="preserve">Skin lesions </w:t>
            </w:r>
          </w:p>
        </w:tc>
      </w:tr>
      <w:tr w:rsidR="00954185" w:rsidRPr="00954185" w14:paraId="668CC1F9" w14:textId="77777777" w:rsidTr="00364C65">
        <w:trPr>
          <w:trHeight w:val="900"/>
        </w:trPr>
        <w:tc>
          <w:tcPr>
            <w:tcW w:w="8364" w:type="dxa"/>
            <w:tcBorders>
              <w:left w:val="single" w:sz="4" w:space="0" w:color="000000" w:themeColor="text1"/>
            </w:tcBorders>
            <w:shd w:val="clear" w:color="auto" w:fill="auto"/>
            <w:vAlign w:val="center"/>
            <w:hideMark/>
          </w:tcPr>
          <w:p w14:paraId="698D2E75" w14:textId="77777777" w:rsidR="00954185" w:rsidRPr="00954185" w:rsidRDefault="00954185" w:rsidP="00364C65">
            <w:pPr>
              <w:spacing w:line="360" w:lineRule="auto"/>
              <w:rPr>
                <w:sz w:val="20"/>
                <w:szCs w:val="20"/>
              </w:rPr>
            </w:pPr>
            <w:r w:rsidRPr="00954185">
              <w:rPr>
                <w:sz w:val="20"/>
                <w:szCs w:val="20"/>
              </w:rPr>
              <w:t xml:space="preserve">McCarty, K. M., Smith, T. J., Zhou, W., Gonzalez, E., </w:t>
            </w:r>
            <w:proofErr w:type="spellStart"/>
            <w:r w:rsidRPr="00954185">
              <w:rPr>
                <w:sz w:val="20"/>
                <w:szCs w:val="20"/>
              </w:rPr>
              <w:t>Quamruzzaman</w:t>
            </w:r>
            <w:proofErr w:type="spellEnd"/>
            <w:r w:rsidRPr="00954185">
              <w:rPr>
                <w:sz w:val="20"/>
                <w:szCs w:val="20"/>
              </w:rPr>
              <w:t>, Q., Rahman, M., ... &amp; Christiani, D. C. (2007). Polymorphisms in XPD (Asp312Asn and Lys751Gln) genes, sunburn and arsenic-related skin lesions. Carcinogenesis, 28(8), 1697-1702.</w:t>
            </w:r>
          </w:p>
        </w:tc>
        <w:tc>
          <w:tcPr>
            <w:tcW w:w="2126" w:type="dxa"/>
            <w:tcBorders>
              <w:right w:val="single" w:sz="4" w:space="0" w:color="000000" w:themeColor="text1"/>
            </w:tcBorders>
            <w:shd w:val="clear" w:color="auto" w:fill="auto"/>
            <w:noWrap/>
            <w:vAlign w:val="center"/>
            <w:hideMark/>
          </w:tcPr>
          <w:p w14:paraId="683C260D" w14:textId="77777777" w:rsidR="00954185" w:rsidRPr="00954185" w:rsidRDefault="00954185" w:rsidP="00364C65">
            <w:pPr>
              <w:spacing w:line="360" w:lineRule="auto"/>
              <w:rPr>
                <w:sz w:val="20"/>
                <w:szCs w:val="20"/>
              </w:rPr>
            </w:pPr>
            <w:r w:rsidRPr="00954185">
              <w:rPr>
                <w:sz w:val="20"/>
                <w:szCs w:val="20"/>
              </w:rPr>
              <w:t>Skin lesions</w:t>
            </w:r>
          </w:p>
        </w:tc>
      </w:tr>
      <w:tr w:rsidR="00954185" w:rsidRPr="00954185" w14:paraId="1B298B12" w14:textId="77777777" w:rsidTr="00364C65">
        <w:trPr>
          <w:trHeight w:val="900"/>
        </w:trPr>
        <w:tc>
          <w:tcPr>
            <w:tcW w:w="8364" w:type="dxa"/>
            <w:tcBorders>
              <w:left w:val="single" w:sz="4" w:space="0" w:color="000000" w:themeColor="text1"/>
            </w:tcBorders>
            <w:shd w:val="clear" w:color="auto" w:fill="auto"/>
            <w:vAlign w:val="center"/>
            <w:hideMark/>
          </w:tcPr>
          <w:p w14:paraId="40FA53F6" w14:textId="77777777" w:rsidR="00954185" w:rsidRPr="00954185" w:rsidRDefault="00954185" w:rsidP="00364C65">
            <w:pPr>
              <w:spacing w:line="360" w:lineRule="auto"/>
              <w:rPr>
                <w:sz w:val="20"/>
                <w:szCs w:val="20"/>
              </w:rPr>
            </w:pPr>
            <w:r w:rsidRPr="00954185">
              <w:rPr>
                <w:sz w:val="20"/>
                <w:szCs w:val="20"/>
              </w:rPr>
              <w:t>Mendelian randomization of inorganic arsenic metabolism as a risk factor for hypertension- And diabetes-related traits among adults in the Hispanic Community Health Study/Study of Latinos (HCHS/SOL) cohort</w:t>
            </w:r>
          </w:p>
        </w:tc>
        <w:tc>
          <w:tcPr>
            <w:tcW w:w="2126" w:type="dxa"/>
            <w:tcBorders>
              <w:right w:val="single" w:sz="4" w:space="0" w:color="000000" w:themeColor="text1"/>
            </w:tcBorders>
            <w:shd w:val="clear" w:color="auto" w:fill="auto"/>
            <w:noWrap/>
            <w:vAlign w:val="center"/>
            <w:hideMark/>
          </w:tcPr>
          <w:p w14:paraId="5E73CA6C" w14:textId="77777777" w:rsidR="00954185" w:rsidRPr="00954185" w:rsidRDefault="00954185" w:rsidP="00364C65">
            <w:pPr>
              <w:spacing w:line="360" w:lineRule="auto"/>
              <w:rPr>
                <w:sz w:val="20"/>
                <w:szCs w:val="20"/>
              </w:rPr>
            </w:pPr>
            <w:r w:rsidRPr="00954185">
              <w:rPr>
                <w:sz w:val="20"/>
                <w:szCs w:val="20"/>
              </w:rPr>
              <w:t xml:space="preserve">No genetic </w:t>
            </w:r>
            <w:proofErr w:type="spellStart"/>
            <w:r w:rsidRPr="00954185">
              <w:rPr>
                <w:sz w:val="20"/>
                <w:szCs w:val="20"/>
              </w:rPr>
              <w:t>suspectibility</w:t>
            </w:r>
            <w:proofErr w:type="spellEnd"/>
            <w:r w:rsidRPr="00954185">
              <w:rPr>
                <w:sz w:val="20"/>
                <w:szCs w:val="20"/>
              </w:rPr>
              <w:t>, or not SNP</w:t>
            </w:r>
          </w:p>
        </w:tc>
      </w:tr>
      <w:tr w:rsidR="00954185" w:rsidRPr="00954185" w14:paraId="5E95F18D" w14:textId="77777777" w:rsidTr="00364C65">
        <w:trPr>
          <w:trHeight w:val="1200"/>
        </w:trPr>
        <w:tc>
          <w:tcPr>
            <w:tcW w:w="8364" w:type="dxa"/>
            <w:tcBorders>
              <w:left w:val="single" w:sz="4" w:space="0" w:color="000000" w:themeColor="text1"/>
            </w:tcBorders>
            <w:shd w:val="clear" w:color="auto" w:fill="auto"/>
            <w:vAlign w:val="center"/>
            <w:hideMark/>
          </w:tcPr>
          <w:p w14:paraId="23C8F25B" w14:textId="77777777" w:rsidR="00954185" w:rsidRPr="00954185" w:rsidRDefault="00954185" w:rsidP="00364C65">
            <w:pPr>
              <w:spacing w:line="360" w:lineRule="auto"/>
              <w:rPr>
                <w:sz w:val="20"/>
                <w:szCs w:val="20"/>
              </w:rPr>
            </w:pPr>
            <w:r w:rsidRPr="00641BD3">
              <w:rPr>
                <w:sz w:val="20"/>
                <w:szCs w:val="20"/>
                <w:lang w:val="es-ES"/>
              </w:rPr>
              <w:t xml:space="preserve">Meza, M. M., </w:t>
            </w:r>
            <w:proofErr w:type="spellStart"/>
            <w:r w:rsidRPr="00641BD3">
              <w:rPr>
                <w:sz w:val="20"/>
                <w:szCs w:val="20"/>
                <w:lang w:val="es-ES"/>
              </w:rPr>
              <w:t>Yu</w:t>
            </w:r>
            <w:proofErr w:type="spellEnd"/>
            <w:r w:rsidRPr="00641BD3">
              <w:rPr>
                <w:sz w:val="20"/>
                <w:szCs w:val="20"/>
                <w:lang w:val="es-ES"/>
              </w:rPr>
              <w:t xml:space="preserve">, L., </w:t>
            </w:r>
            <w:proofErr w:type="spellStart"/>
            <w:r w:rsidRPr="00641BD3">
              <w:rPr>
                <w:sz w:val="20"/>
                <w:szCs w:val="20"/>
                <w:lang w:val="es-ES"/>
              </w:rPr>
              <w:t>Rodriguez</w:t>
            </w:r>
            <w:proofErr w:type="spellEnd"/>
            <w:r w:rsidRPr="00641BD3">
              <w:rPr>
                <w:sz w:val="20"/>
                <w:szCs w:val="20"/>
                <w:lang w:val="es-ES"/>
              </w:rPr>
              <w:t xml:space="preserve">, Y. Y., </w:t>
            </w:r>
            <w:proofErr w:type="spellStart"/>
            <w:r w:rsidRPr="00641BD3">
              <w:rPr>
                <w:sz w:val="20"/>
                <w:szCs w:val="20"/>
                <w:lang w:val="es-ES"/>
              </w:rPr>
              <w:t>Guild</w:t>
            </w:r>
            <w:proofErr w:type="spellEnd"/>
            <w:r w:rsidRPr="00641BD3">
              <w:rPr>
                <w:sz w:val="20"/>
                <w:szCs w:val="20"/>
                <w:lang w:val="es-ES"/>
              </w:rPr>
              <w:t xml:space="preserve">, M., Thompson, D., Gandolfi, A. J., &amp; </w:t>
            </w:r>
            <w:proofErr w:type="spellStart"/>
            <w:r w:rsidRPr="00641BD3">
              <w:rPr>
                <w:sz w:val="20"/>
                <w:szCs w:val="20"/>
                <w:lang w:val="es-ES"/>
              </w:rPr>
              <w:t>Klimecki</w:t>
            </w:r>
            <w:proofErr w:type="spellEnd"/>
            <w:r w:rsidRPr="00641BD3">
              <w:rPr>
                <w:sz w:val="20"/>
                <w:szCs w:val="20"/>
                <w:lang w:val="es-ES"/>
              </w:rPr>
              <w:t xml:space="preserve">, W. T. (2005). </w:t>
            </w:r>
            <w:r w:rsidRPr="00954185">
              <w:rPr>
                <w:sz w:val="20"/>
                <w:szCs w:val="20"/>
              </w:rPr>
              <w:t>Developmentally restricted genetic determinants of human arsenic metabolism: association between urinary methylated arsenic and CYT19 polymorphisms in children. Environmental health perspectives, 113(6), 775-781.</w:t>
            </w:r>
          </w:p>
        </w:tc>
        <w:tc>
          <w:tcPr>
            <w:tcW w:w="2126" w:type="dxa"/>
            <w:tcBorders>
              <w:right w:val="single" w:sz="4" w:space="0" w:color="000000" w:themeColor="text1"/>
            </w:tcBorders>
            <w:shd w:val="clear" w:color="auto" w:fill="auto"/>
            <w:noWrap/>
            <w:vAlign w:val="center"/>
            <w:hideMark/>
          </w:tcPr>
          <w:p w14:paraId="6F06451A"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789FD8F1" w14:textId="77777777" w:rsidTr="00364C65">
        <w:trPr>
          <w:trHeight w:val="900"/>
        </w:trPr>
        <w:tc>
          <w:tcPr>
            <w:tcW w:w="8364" w:type="dxa"/>
            <w:tcBorders>
              <w:left w:val="single" w:sz="4" w:space="0" w:color="000000" w:themeColor="text1"/>
            </w:tcBorders>
            <w:shd w:val="clear" w:color="auto" w:fill="auto"/>
            <w:vAlign w:val="center"/>
            <w:hideMark/>
          </w:tcPr>
          <w:p w14:paraId="396098D9" w14:textId="77777777" w:rsidR="00954185" w:rsidRPr="00954185" w:rsidRDefault="00954185" w:rsidP="00364C65">
            <w:pPr>
              <w:spacing w:line="360" w:lineRule="auto"/>
              <w:rPr>
                <w:sz w:val="20"/>
                <w:szCs w:val="20"/>
              </w:rPr>
            </w:pPr>
            <w:r w:rsidRPr="00641BD3">
              <w:rPr>
                <w:sz w:val="20"/>
                <w:szCs w:val="20"/>
                <w:lang w:val="es-ES"/>
              </w:rPr>
              <w:t xml:space="preserve">Meza, M., Gandolfi, A. J., &amp; </w:t>
            </w:r>
            <w:proofErr w:type="spellStart"/>
            <w:r w:rsidRPr="00641BD3">
              <w:rPr>
                <w:sz w:val="20"/>
                <w:szCs w:val="20"/>
                <w:lang w:val="es-ES"/>
              </w:rPr>
              <w:t>Klimecki</w:t>
            </w:r>
            <w:proofErr w:type="spellEnd"/>
            <w:r w:rsidRPr="00641BD3">
              <w:rPr>
                <w:sz w:val="20"/>
                <w:szCs w:val="20"/>
                <w:lang w:val="es-ES"/>
              </w:rPr>
              <w:t xml:space="preserve">, W. T. (2007). </w:t>
            </w:r>
            <w:r w:rsidRPr="00954185">
              <w:rPr>
                <w:sz w:val="20"/>
                <w:szCs w:val="20"/>
              </w:rPr>
              <w:t xml:space="preserve">Developmental and genetic modulation of arsenic biotransformation: a gene by environment </w:t>
            </w:r>
            <w:proofErr w:type="gramStart"/>
            <w:r w:rsidRPr="00954185">
              <w:rPr>
                <w:sz w:val="20"/>
                <w:szCs w:val="20"/>
              </w:rPr>
              <w:t>interaction?.</w:t>
            </w:r>
            <w:proofErr w:type="gramEnd"/>
            <w:r w:rsidRPr="00954185">
              <w:rPr>
                <w:sz w:val="20"/>
                <w:szCs w:val="20"/>
              </w:rPr>
              <w:t xml:space="preserve"> Toxicology and applied pharmacology, 222(3), 381-387.</w:t>
            </w:r>
          </w:p>
        </w:tc>
        <w:tc>
          <w:tcPr>
            <w:tcW w:w="2126" w:type="dxa"/>
            <w:tcBorders>
              <w:right w:val="single" w:sz="4" w:space="0" w:color="000000" w:themeColor="text1"/>
            </w:tcBorders>
            <w:shd w:val="clear" w:color="auto" w:fill="auto"/>
            <w:noWrap/>
            <w:vAlign w:val="center"/>
            <w:hideMark/>
          </w:tcPr>
          <w:p w14:paraId="49D48284"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440036DC" w14:textId="77777777" w:rsidTr="00364C65">
        <w:trPr>
          <w:trHeight w:val="1200"/>
        </w:trPr>
        <w:tc>
          <w:tcPr>
            <w:tcW w:w="8364" w:type="dxa"/>
            <w:tcBorders>
              <w:left w:val="single" w:sz="4" w:space="0" w:color="000000" w:themeColor="text1"/>
            </w:tcBorders>
            <w:shd w:val="clear" w:color="auto" w:fill="auto"/>
            <w:vAlign w:val="center"/>
            <w:hideMark/>
          </w:tcPr>
          <w:p w14:paraId="27529156" w14:textId="77777777" w:rsidR="00954185" w:rsidRPr="00954185" w:rsidRDefault="00954185" w:rsidP="00364C65">
            <w:pPr>
              <w:spacing w:line="360" w:lineRule="auto"/>
              <w:rPr>
                <w:sz w:val="20"/>
                <w:szCs w:val="20"/>
              </w:rPr>
            </w:pPr>
            <w:r w:rsidRPr="00641BD3">
              <w:rPr>
                <w:sz w:val="20"/>
                <w:szCs w:val="20"/>
                <w:lang w:val="es-ES"/>
              </w:rPr>
              <w:lastRenderedPageBreak/>
              <w:t>Michel‐</w:t>
            </w:r>
            <w:proofErr w:type="spellStart"/>
            <w:r w:rsidRPr="00641BD3">
              <w:rPr>
                <w:sz w:val="20"/>
                <w:szCs w:val="20"/>
                <w:lang w:val="es-ES"/>
              </w:rPr>
              <w:t>Ramirez</w:t>
            </w:r>
            <w:proofErr w:type="spellEnd"/>
            <w:r w:rsidRPr="00641BD3">
              <w:rPr>
                <w:sz w:val="20"/>
                <w:szCs w:val="20"/>
                <w:lang w:val="es-ES"/>
              </w:rPr>
              <w:t>, G., Recio‐Vega, R., Lantz, R. C., Gandolfi, A. J., Olivas‐</w:t>
            </w:r>
            <w:proofErr w:type="spellStart"/>
            <w:r w:rsidRPr="00641BD3">
              <w:rPr>
                <w:sz w:val="20"/>
                <w:szCs w:val="20"/>
                <w:lang w:val="es-ES"/>
              </w:rPr>
              <w:t>Calderon</w:t>
            </w:r>
            <w:proofErr w:type="spellEnd"/>
            <w:r w:rsidRPr="00641BD3">
              <w:rPr>
                <w:sz w:val="20"/>
                <w:szCs w:val="20"/>
                <w:lang w:val="es-ES"/>
              </w:rPr>
              <w:t xml:space="preserve">, E., Chau, B. T., &amp; </w:t>
            </w:r>
            <w:proofErr w:type="spellStart"/>
            <w:r w:rsidRPr="00641BD3">
              <w:rPr>
                <w:sz w:val="20"/>
                <w:szCs w:val="20"/>
                <w:lang w:val="es-ES"/>
              </w:rPr>
              <w:t>Amistadi</w:t>
            </w:r>
            <w:proofErr w:type="spellEnd"/>
            <w:r w:rsidRPr="00641BD3">
              <w:rPr>
                <w:sz w:val="20"/>
                <w:szCs w:val="20"/>
                <w:lang w:val="es-ES"/>
              </w:rPr>
              <w:t xml:space="preserve">, M. K. (2020). </w:t>
            </w:r>
            <w:r w:rsidRPr="00954185">
              <w:rPr>
                <w:sz w:val="20"/>
                <w:szCs w:val="20"/>
              </w:rPr>
              <w:t>Assessment of YAP gene polymorphisms and arsenic interaction in Mexican women with breast cancer. Journal of Applied Toxicology, 40(3), 342-351.</w:t>
            </w:r>
          </w:p>
        </w:tc>
        <w:tc>
          <w:tcPr>
            <w:tcW w:w="2126" w:type="dxa"/>
            <w:tcBorders>
              <w:right w:val="single" w:sz="4" w:space="0" w:color="000000" w:themeColor="text1"/>
            </w:tcBorders>
            <w:shd w:val="clear" w:color="auto" w:fill="auto"/>
            <w:noWrap/>
            <w:vAlign w:val="center"/>
            <w:hideMark/>
          </w:tcPr>
          <w:p w14:paraId="259E466B" w14:textId="77777777" w:rsidR="00954185" w:rsidRPr="00954185" w:rsidRDefault="00954185" w:rsidP="00364C65">
            <w:pPr>
              <w:spacing w:line="360" w:lineRule="auto"/>
              <w:rPr>
                <w:sz w:val="20"/>
                <w:szCs w:val="20"/>
              </w:rPr>
            </w:pPr>
            <w:r w:rsidRPr="00954185">
              <w:rPr>
                <w:sz w:val="20"/>
                <w:szCs w:val="20"/>
              </w:rPr>
              <w:t>Duplicate</w:t>
            </w:r>
          </w:p>
        </w:tc>
      </w:tr>
      <w:tr w:rsidR="00954185" w:rsidRPr="00954185" w14:paraId="0566E934" w14:textId="77777777" w:rsidTr="00364C65">
        <w:trPr>
          <w:trHeight w:val="1200"/>
        </w:trPr>
        <w:tc>
          <w:tcPr>
            <w:tcW w:w="8364" w:type="dxa"/>
            <w:tcBorders>
              <w:left w:val="single" w:sz="4" w:space="0" w:color="000000" w:themeColor="text1"/>
            </w:tcBorders>
            <w:shd w:val="clear" w:color="auto" w:fill="auto"/>
            <w:vAlign w:val="center"/>
            <w:hideMark/>
          </w:tcPr>
          <w:p w14:paraId="57457468" w14:textId="77777777" w:rsidR="00954185" w:rsidRPr="00954185" w:rsidRDefault="00954185" w:rsidP="00364C65">
            <w:pPr>
              <w:spacing w:line="360" w:lineRule="auto"/>
              <w:rPr>
                <w:sz w:val="20"/>
                <w:szCs w:val="20"/>
              </w:rPr>
            </w:pPr>
            <w:r w:rsidRPr="00641BD3">
              <w:rPr>
                <w:sz w:val="20"/>
                <w:szCs w:val="20"/>
                <w:lang w:val="es-ES"/>
              </w:rPr>
              <w:t>Michel‐</w:t>
            </w:r>
            <w:proofErr w:type="spellStart"/>
            <w:r w:rsidRPr="00641BD3">
              <w:rPr>
                <w:sz w:val="20"/>
                <w:szCs w:val="20"/>
                <w:lang w:val="es-ES"/>
              </w:rPr>
              <w:t>Ramirez</w:t>
            </w:r>
            <w:proofErr w:type="spellEnd"/>
            <w:r w:rsidRPr="00641BD3">
              <w:rPr>
                <w:sz w:val="20"/>
                <w:szCs w:val="20"/>
                <w:lang w:val="es-ES"/>
              </w:rPr>
              <w:t>, G., Recio‐Vega, R., Lantz, R. C., Gandolfi, A. J., Olivas‐</w:t>
            </w:r>
            <w:proofErr w:type="spellStart"/>
            <w:r w:rsidRPr="00641BD3">
              <w:rPr>
                <w:sz w:val="20"/>
                <w:szCs w:val="20"/>
                <w:lang w:val="es-ES"/>
              </w:rPr>
              <w:t>Calderon</w:t>
            </w:r>
            <w:proofErr w:type="spellEnd"/>
            <w:r w:rsidRPr="00641BD3">
              <w:rPr>
                <w:sz w:val="20"/>
                <w:szCs w:val="20"/>
                <w:lang w:val="es-ES"/>
              </w:rPr>
              <w:t xml:space="preserve">, E., Chau, B. T., &amp; </w:t>
            </w:r>
            <w:proofErr w:type="spellStart"/>
            <w:r w:rsidRPr="00641BD3">
              <w:rPr>
                <w:sz w:val="20"/>
                <w:szCs w:val="20"/>
                <w:lang w:val="es-ES"/>
              </w:rPr>
              <w:t>Amistadi</w:t>
            </w:r>
            <w:proofErr w:type="spellEnd"/>
            <w:r w:rsidRPr="00641BD3">
              <w:rPr>
                <w:sz w:val="20"/>
                <w:szCs w:val="20"/>
                <w:lang w:val="es-ES"/>
              </w:rPr>
              <w:t xml:space="preserve">, M. K. (2020). </w:t>
            </w:r>
            <w:r w:rsidRPr="00954185">
              <w:rPr>
                <w:sz w:val="20"/>
                <w:szCs w:val="20"/>
              </w:rPr>
              <w:t>Assessment of YAP gene polymorphisms and arsenic interaction in Mexican women with breast cancer. Journal of Applied Toxicology, 40(3), 342-351.</w:t>
            </w:r>
          </w:p>
        </w:tc>
        <w:tc>
          <w:tcPr>
            <w:tcW w:w="2126" w:type="dxa"/>
            <w:tcBorders>
              <w:right w:val="single" w:sz="4" w:space="0" w:color="000000" w:themeColor="text1"/>
            </w:tcBorders>
            <w:shd w:val="clear" w:color="auto" w:fill="auto"/>
            <w:noWrap/>
            <w:vAlign w:val="center"/>
            <w:hideMark/>
          </w:tcPr>
          <w:p w14:paraId="1E8F957F" w14:textId="77777777" w:rsidR="00954185" w:rsidRPr="00954185" w:rsidRDefault="00954185" w:rsidP="00364C65">
            <w:pPr>
              <w:spacing w:line="360" w:lineRule="auto"/>
              <w:rPr>
                <w:sz w:val="20"/>
                <w:szCs w:val="20"/>
              </w:rPr>
            </w:pPr>
            <w:r w:rsidRPr="00954185">
              <w:rPr>
                <w:sz w:val="20"/>
                <w:szCs w:val="20"/>
              </w:rPr>
              <w:t xml:space="preserve">Breast cancer </w:t>
            </w:r>
          </w:p>
        </w:tc>
      </w:tr>
      <w:tr w:rsidR="00954185" w:rsidRPr="00954185" w14:paraId="2905D4BC" w14:textId="77777777" w:rsidTr="00364C65">
        <w:trPr>
          <w:trHeight w:val="1200"/>
        </w:trPr>
        <w:tc>
          <w:tcPr>
            <w:tcW w:w="8364" w:type="dxa"/>
            <w:tcBorders>
              <w:left w:val="single" w:sz="4" w:space="0" w:color="000000" w:themeColor="text1"/>
            </w:tcBorders>
            <w:shd w:val="clear" w:color="auto" w:fill="auto"/>
            <w:vAlign w:val="center"/>
            <w:hideMark/>
          </w:tcPr>
          <w:p w14:paraId="580D2EFB" w14:textId="77777777" w:rsidR="00954185" w:rsidRPr="00954185" w:rsidRDefault="00954185" w:rsidP="00364C65">
            <w:pPr>
              <w:spacing w:line="360" w:lineRule="auto"/>
              <w:rPr>
                <w:sz w:val="20"/>
                <w:szCs w:val="20"/>
              </w:rPr>
            </w:pPr>
            <w:r w:rsidRPr="00954185">
              <w:rPr>
                <w:sz w:val="20"/>
                <w:szCs w:val="20"/>
              </w:rPr>
              <w:t>Mohd Noor, F. A., Elias, S. M., Bakar, S. A., Aris, A. Z., &amp; Zulkifli, H. M. (2022). Blood Heavy Metals (Arsenic, Cadmium and Lead) Concentration and Genetic Polymorphism of Glutathione S-transferase Genes Among Adults in Coastal Area of Melaka, Malaysia. Malaysian Journal of Medicine &amp; Health Sciences, 18.</w:t>
            </w:r>
          </w:p>
        </w:tc>
        <w:tc>
          <w:tcPr>
            <w:tcW w:w="2126" w:type="dxa"/>
            <w:tcBorders>
              <w:right w:val="single" w:sz="4" w:space="0" w:color="000000" w:themeColor="text1"/>
            </w:tcBorders>
            <w:shd w:val="clear" w:color="auto" w:fill="auto"/>
            <w:noWrap/>
            <w:vAlign w:val="center"/>
            <w:hideMark/>
          </w:tcPr>
          <w:p w14:paraId="0CD02AC7" w14:textId="77777777" w:rsidR="00954185" w:rsidRPr="00954185" w:rsidRDefault="00954185" w:rsidP="00364C65">
            <w:pPr>
              <w:spacing w:line="360" w:lineRule="auto"/>
              <w:rPr>
                <w:sz w:val="20"/>
                <w:szCs w:val="20"/>
              </w:rPr>
            </w:pPr>
            <w:r w:rsidRPr="00954185">
              <w:rPr>
                <w:sz w:val="20"/>
                <w:szCs w:val="20"/>
              </w:rPr>
              <w:t xml:space="preserve">No arsenic metabolism, or arsenic-related disease </w:t>
            </w:r>
          </w:p>
        </w:tc>
      </w:tr>
      <w:tr w:rsidR="00954185" w:rsidRPr="00954185" w14:paraId="454D3D87" w14:textId="77777777" w:rsidTr="00364C65">
        <w:trPr>
          <w:trHeight w:val="1200"/>
        </w:trPr>
        <w:tc>
          <w:tcPr>
            <w:tcW w:w="8364" w:type="dxa"/>
            <w:tcBorders>
              <w:left w:val="single" w:sz="4" w:space="0" w:color="000000" w:themeColor="text1"/>
            </w:tcBorders>
            <w:shd w:val="clear" w:color="auto" w:fill="auto"/>
            <w:vAlign w:val="center"/>
            <w:hideMark/>
          </w:tcPr>
          <w:p w14:paraId="5FBEEBDD" w14:textId="77777777" w:rsidR="00954185" w:rsidRPr="00954185" w:rsidRDefault="00954185" w:rsidP="00364C65">
            <w:pPr>
              <w:spacing w:line="360" w:lineRule="auto"/>
              <w:rPr>
                <w:sz w:val="20"/>
                <w:szCs w:val="20"/>
              </w:rPr>
            </w:pPr>
            <w:r w:rsidRPr="00641BD3">
              <w:rPr>
                <w:sz w:val="20"/>
                <w:szCs w:val="20"/>
                <w:lang w:val="es-ES"/>
              </w:rPr>
              <w:t xml:space="preserve">Montero-Delgado, R. I., López-González, M., Noris, G., Santana, C., Burguete-Argueta, N. A., &amp; </w:t>
            </w:r>
            <w:proofErr w:type="spellStart"/>
            <w:r w:rsidRPr="00641BD3">
              <w:rPr>
                <w:sz w:val="20"/>
                <w:szCs w:val="20"/>
                <w:lang w:val="es-ES"/>
              </w:rPr>
              <w:t>Gomez</w:t>
            </w:r>
            <w:proofErr w:type="spellEnd"/>
            <w:r w:rsidRPr="00641BD3">
              <w:rPr>
                <w:sz w:val="20"/>
                <w:szCs w:val="20"/>
                <w:lang w:val="es-ES"/>
              </w:rPr>
              <w:t xml:space="preserve">, R. (2020, </w:t>
            </w:r>
            <w:proofErr w:type="spellStart"/>
            <w:r w:rsidRPr="00641BD3">
              <w:rPr>
                <w:sz w:val="20"/>
                <w:szCs w:val="20"/>
                <w:lang w:val="es-ES"/>
              </w:rPr>
              <w:t>December</w:t>
            </w:r>
            <w:proofErr w:type="spellEnd"/>
            <w:r w:rsidRPr="00641BD3">
              <w:rPr>
                <w:sz w:val="20"/>
                <w:szCs w:val="20"/>
                <w:lang w:val="es-ES"/>
              </w:rPr>
              <w:t xml:space="preserve">). </w:t>
            </w:r>
            <w:r w:rsidRPr="00954185">
              <w:rPr>
                <w:sz w:val="20"/>
                <w:szCs w:val="20"/>
              </w:rPr>
              <w:t xml:space="preserve">Arsenic efficient metabolism in Mexican Indigenous reinforces the arsenical hypothesis. In European Journal of Human Genetics (Vol. 28, No. SUPPL 1, pp. 702-702). </w:t>
            </w:r>
          </w:p>
        </w:tc>
        <w:tc>
          <w:tcPr>
            <w:tcW w:w="2126" w:type="dxa"/>
            <w:tcBorders>
              <w:right w:val="single" w:sz="4" w:space="0" w:color="000000" w:themeColor="text1"/>
            </w:tcBorders>
            <w:shd w:val="clear" w:color="auto" w:fill="auto"/>
            <w:noWrap/>
            <w:vAlign w:val="center"/>
            <w:hideMark/>
          </w:tcPr>
          <w:p w14:paraId="3A6B66A3" w14:textId="77777777" w:rsidR="00954185" w:rsidRPr="00954185" w:rsidRDefault="00954185" w:rsidP="00364C65">
            <w:pPr>
              <w:spacing w:line="360" w:lineRule="auto"/>
              <w:rPr>
                <w:sz w:val="20"/>
                <w:szCs w:val="20"/>
              </w:rPr>
            </w:pPr>
            <w:r w:rsidRPr="00954185">
              <w:rPr>
                <w:sz w:val="20"/>
                <w:szCs w:val="20"/>
              </w:rPr>
              <w:t>Conference abstract</w:t>
            </w:r>
          </w:p>
        </w:tc>
      </w:tr>
      <w:tr w:rsidR="00954185" w:rsidRPr="00954185" w14:paraId="52127534" w14:textId="77777777" w:rsidTr="00364C65">
        <w:trPr>
          <w:trHeight w:val="1200"/>
        </w:trPr>
        <w:tc>
          <w:tcPr>
            <w:tcW w:w="8364" w:type="dxa"/>
            <w:tcBorders>
              <w:left w:val="single" w:sz="4" w:space="0" w:color="000000" w:themeColor="text1"/>
            </w:tcBorders>
            <w:shd w:val="clear" w:color="auto" w:fill="auto"/>
            <w:vAlign w:val="center"/>
            <w:hideMark/>
          </w:tcPr>
          <w:p w14:paraId="3F3E345E" w14:textId="77777777" w:rsidR="00954185" w:rsidRPr="00954185" w:rsidRDefault="00954185" w:rsidP="00364C65">
            <w:pPr>
              <w:spacing w:line="360" w:lineRule="auto"/>
              <w:rPr>
                <w:sz w:val="20"/>
                <w:szCs w:val="20"/>
              </w:rPr>
            </w:pPr>
            <w:r w:rsidRPr="00954185">
              <w:rPr>
                <w:sz w:val="20"/>
                <w:szCs w:val="20"/>
              </w:rPr>
              <w:t>Ni, G., Tan, J., Wang, M., Ping, N., Liu, M., &amp; He, Y. (2021). Polymorphisms of the AS3MT gene are associated with arsenic methylation capacity and damage to the P21 gene in arsenic trioxide plant workers. Toxicology and Industrial Health, 37(12), 727-736.</w:t>
            </w:r>
          </w:p>
        </w:tc>
        <w:tc>
          <w:tcPr>
            <w:tcW w:w="2126" w:type="dxa"/>
            <w:tcBorders>
              <w:right w:val="single" w:sz="4" w:space="0" w:color="000000" w:themeColor="text1"/>
            </w:tcBorders>
            <w:shd w:val="clear" w:color="auto" w:fill="auto"/>
            <w:noWrap/>
            <w:vAlign w:val="center"/>
            <w:hideMark/>
          </w:tcPr>
          <w:p w14:paraId="506BC932" w14:textId="77777777" w:rsidR="00954185" w:rsidRPr="00954185" w:rsidRDefault="00954185" w:rsidP="00364C65">
            <w:pPr>
              <w:spacing w:line="360" w:lineRule="auto"/>
              <w:rPr>
                <w:sz w:val="20"/>
                <w:szCs w:val="20"/>
              </w:rPr>
            </w:pPr>
            <w:r w:rsidRPr="00954185">
              <w:rPr>
                <w:sz w:val="20"/>
                <w:szCs w:val="20"/>
              </w:rPr>
              <w:t xml:space="preserve">Not environmental arsenic exposure </w:t>
            </w:r>
          </w:p>
        </w:tc>
      </w:tr>
      <w:tr w:rsidR="00954185" w:rsidRPr="00954185" w14:paraId="264E061D" w14:textId="77777777" w:rsidTr="00364C65">
        <w:trPr>
          <w:trHeight w:val="1200"/>
        </w:trPr>
        <w:tc>
          <w:tcPr>
            <w:tcW w:w="8364" w:type="dxa"/>
            <w:tcBorders>
              <w:left w:val="single" w:sz="4" w:space="0" w:color="000000" w:themeColor="text1"/>
            </w:tcBorders>
            <w:shd w:val="clear" w:color="auto" w:fill="auto"/>
            <w:vAlign w:val="center"/>
            <w:hideMark/>
          </w:tcPr>
          <w:p w14:paraId="29273744" w14:textId="77777777" w:rsidR="00954185" w:rsidRPr="00954185" w:rsidRDefault="00954185" w:rsidP="00364C65">
            <w:pPr>
              <w:spacing w:line="360" w:lineRule="auto"/>
              <w:rPr>
                <w:sz w:val="20"/>
                <w:szCs w:val="20"/>
              </w:rPr>
            </w:pPr>
            <w:r w:rsidRPr="00954185">
              <w:rPr>
                <w:sz w:val="20"/>
                <w:szCs w:val="20"/>
              </w:rPr>
              <w:t xml:space="preserve">Niedzwiecki, M. M., Liu, X., Zhu, H., Hall, M. N., </w:t>
            </w:r>
            <w:proofErr w:type="spellStart"/>
            <w:r w:rsidRPr="00954185">
              <w:rPr>
                <w:sz w:val="20"/>
                <w:szCs w:val="20"/>
              </w:rPr>
              <w:t>Slavkovich</w:t>
            </w:r>
            <w:proofErr w:type="spellEnd"/>
            <w:r w:rsidRPr="00954185">
              <w:rPr>
                <w:sz w:val="20"/>
                <w:szCs w:val="20"/>
              </w:rPr>
              <w:t>, V., Ilievski, V., ... &amp; Gamble, M. V. (2018). Serum homocysteine, arsenic methylation, and arsenic-induced skin lesion incidence in Bangladesh: a one-carbon metabolism candidate gene study. Environment international, 113, 133-142.</w:t>
            </w:r>
          </w:p>
        </w:tc>
        <w:tc>
          <w:tcPr>
            <w:tcW w:w="2126" w:type="dxa"/>
            <w:tcBorders>
              <w:right w:val="single" w:sz="4" w:space="0" w:color="000000" w:themeColor="text1"/>
            </w:tcBorders>
            <w:shd w:val="clear" w:color="auto" w:fill="auto"/>
            <w:noWrap/>
            <w:vAlign w:val="center"/>
            <w:hideMark/>
          </w:tcPr>
          <w:p w14:paraId="607FEA57" w14:textId="77777777" w:rsidR="00954185" w:rsidRPr="00954185" w:rsidRDefault="00954185" w:rsidP="00364C65">
            <w:pPr>
              <w:spacing w:line="360" w:lineRule="auto"/>
              <w:rPr>
                <w:sz w:val="20"/>
                <w:szCs w:val="20"/>
              </w:rPr>
            </w:pPr>
            <w:r w:rsidRPr="00954185">
              <w:rPr>
                <w:sz w:val="20"/>
                <w:szCs w:val="20"/>
              </w:rPr>
              <w:t xml:space="preserve">Skin lesions, arsenic metabolism </w:t>
            </w:r>
          </w:p>
        </w:tc>
      </w:tr>
      <w:tr w:rsidR="00954185" w:rsidRPr="00954185" w14:paraId="03E25F3D" w14:textId="77777777" w:rsidTr="00364C65">
        <w:trPr>
          <w:trHeight w:val="900"/>
        </w:trPr>
        <w:tc>
          <w:tcPr>
            <w:tcW w:w="8364" w:type="dxa"/>
            <w:tcBorders>
              <w:left w:val="single" w:sz="4" w:space="0" w:color="000000" w:themeColor="text1"/>
            </w:tcBorders>
            <w:shd w:val="clear" w:color="auto" w:fill="auto"/>
            <w:vAlign w:val="center"/>
            <w:hideMark/>
          </w:tcPr>
          <w:p w14:paraId="1A4D5FB4" w14:textId="77777777" w:rsidR="00954185" w:rsidRPr="00954185" w:rsidRDefault="00954185" w:rsidP="00364C65">
            <w:pPr>
              <w:spacing w:line="360" w:lineRule="auto"/>
              <w:rPr>
                <w:sz w:val="20"/>
                <w:szCs w:val="20"/>
              </w:rPr>
            </w:pPr>
            <w:proofErr w:type="spellStart"/>
            <w:r w:rsidRPr="00954185">
              <w:rPr>
                <w:sz w:val="20"/>
                <w:szCs w:val="20"/>
              </w:rPr>
              <w:t>Nriagu</w:t>
            </w:r>
            <w:proofErr w:type="spellEnd"/>
            <w:r w:rsidRPr="00954185">
              <w:rPr>
                <w:sz w:val="20"/>
                <w:szCs w:val="20"/>
              </w:rPr>
              <w:t>, J., Lin, T. S., Mazumder, D. G., &amp; Chatterjee, D. (2012). E-cadherin polymorphisms and susceptibility to arsenic-related skin lesions in West Bengal, India. Science of the total environment, 420, 65-72.</w:t>
            </w:r>
          </w:p>
        </w:tc>
        <w:tc>
          <w:tcPr>
            <w:tcW w:w="2126" w:type="dxa"/>
            <w:tcBorders>
              <w:right w:val="single" w:sz="4" w:space="0" w:color="000000" w:themeColor="text1"/>
            </w:tcBorders>
            <w:shd w:val="clear" w:color="auto" w:fill="auto"/>
            <w:noWrap/>
            <w:vAlign w:val="center"/>
            <w:hideMark/>
          </w:tcPr>
          <w:p w14:paraId="255D35B6" w14:textId="77777777" w:rsidR="00954185" w:rsidRPr="00954185" w:rsidRDefault="00954185" w:rsidP="00364C65">
            <w:pPr>
              <w:spacing w:line="360" w:lineRule="auto"/>
              <w:rPr>
                <w:sz w:val="20"/>
                <w:szCs w:val="20"/>
              </w:rPr>
            </w:pPr>
            <w:r w:rsidRPr="00954185">
              <w:rPr>
                <w:sz w:val="20"/>
                <w:szCs w:val="20"/>
              </w:rPr>
              <w:t xml:space="preserve">Skin lesions </w:t>
            </w:r>
          </w:p>
        </w:tc>
      </w:tr>
      <w:tr w:rsidR="00954185" w:rsidRPr="00954185" w14:paraId="5F6C53B8" w14:textId="77777777" w:rsidTr="00364C65">
        <w:trPr>
          <w:trHeight w:val="600"/>
        </w:trPr>
        <w:tc>
          <w:tcPr>
            <w:tcW w:w="8364" w:type="dxa"/>
            <w:tcBorders>
              <w:top w:val="single" w:sz="4" w:space="0" w:color="000000" w:themeColor="text1"/>
              <w:left w:val="single" w:sz="4" w:space="0" w:color="000000" w:themeColor="text1"/>
            </w:tcBorders>
            <w:shd w:val="clear" w:color="auto" w:fill="auto"/>
            <w:vAlign w:val="center"/>
            <w:hideMark/>
          </w:tcPr>
          <w:p w14:paraId="1E6C4BA7" w14:textId="77777777" w:rsidR="00954185" w:rsidRPr="00954185" w:rsidRDefault="00954185" w:rsidP="00364C65">
            <w:pPr>
              <w:spacing w:line="360" w:lineRule="auto"/>
              <w:rPr>
                <w:sz w:val="20"/>
                <w:szCs w:val="20"/>
              </w:rPr>
            </w:pPr>
            <w:r w:rsidRPr="00954185">
              <w:rPr>
                <w:sz w:val="20"/>
                <w:szCs w:val="20"/>
              </w:rPr>
              <w:t xml:space="preserve">Nyam, G.  (2021) An Association Study of Genetic Polymorphisms of PPAR Delta and Cardiovascular Diseases in an </w:t>
            </w:r>
            <w:proofErr w:type="spellStart"/>
            <w:r w:rsidRPr="00954185">
              <w:rPr>
                <w:sz w:val="20"/>
                <w:szCs w:val="20"/>
              </w:rPr>
              <w:t>Arseniasis</w:t>
            </w:r>
            <w:proofErr w:type="spellEnd"/>
            <w:r w:rsidRPr="00954185">
              <w:rPr>
                <w:sz w:val="20"/>
                <w:szCs w:val="20"/>
              </w:rPr>
              <w:t xml:space="preserve">-endemic Area in Taiwan. Taipei Medical University </w:t>
            </w:r>
          </w:p>
        </w:tc>
        <w:tc>
          <w:tcPr>
            <w:tcW w:w="2126" w:type="dxa"/>
            <w:tcBorders>
              <w:top w:val="single" w:sz="4" w:space="0" w:color="000000" w:themeColor="text1"/>
              <w:right w:val="single" w:sz="4" w:space="0" w:color="000000" w:themeColor="text1"/>
            </w:tcBorders>
            <w:shd w:val="clear" w:color="auto" w:fill="auto"/>
            <w:noWrap/>
            <w:vAlign w:val="center"/>
            <w:hideMark/>
          </w:tcPr>
          <w:p w14:paraId="3B9F0AC1" w14:textId="77777777" w:rsidR="00954185" w:rsidRPr="00954185" w:rsidRDefault="00954185" w:rsidP="00364C65">
            <w:pPr>
              <w:spacing w:line="360" w:lineRule="auto"/>
              <w:rPr>
                <w:sz w:val="20"/>
                <w:szCs w:val="20"/>
              </w:rPr>
            </w:pPr>
            <w:r w:rsidRPr="00954185">
              <w:rPr>
                <w:sz w:val="20"/>
                <w:szCs w:val="20"/>
              </w:rPr>
              <w:t xml:space="preserve">Master's thesis </w:t>
            </w:r>
          </w:p>
        </w:tc>
      </w:tr>
      <w:tr w:rsidR="00954185" w:rsidRPr="00954185" w14:paraId="08214C9F" w14:textId="77777777" w:rsidTr="00364C65">
        <w:trPr>
          <w:trHeight w:val="900"/>
        </w:trPr>
        <w:tc>
          <w:tcPr>
            <w:tcW w:w="8364" w:type="dxa"/>
            <w:tcBorders>
              <w:left w:val="single" w:sz="4" w:space="0" w:color="000000" w:themeColor="text1"/>
            </w:tcBorders>
            <w:shd w:val="clear" w:color="auto" w:fill="auto"/>
            <w:vAlign w:val="center"/>
            <w:hideMark/>
          </w:tcPr>
          <w:p w14:paraId="59D4B03B" w14:textId="77777777" w:rsidR="00954185" w:rsidRPr="00954185" w:rsidRDefault="00954185" w:rsidP="00364C65">
            <w:pPr>
              <w:spacing w:line="360" w:lineRule="auto"/>
              <w:rPr>
                <w:sz w:val="20"/>
                <w:szCs w:val="20"/>
              </w:rPr>
            </w:pPr>
            <w:r w:rsidRPr="00954185">
              <w:rPr>
                <w:sz w:val="20"/>
                <w:szCs w:val="20"/>
              </w:rPr>
              <w:t>Olmos, V., Astolfo, M. A., Sassone, A. H., &amp; Lepori, E. C. V. (2021). The level of exposure affects the arsenic urinary methylation profile of a population of children. Journal of Hazardous Materials, 415, 125623.</w:t>
            </w:r>
          </w:p>
        </w:tc>
        <w:tc>
          <w:tcPr>
            <w:tcW w:w="2126" w:type="dxa"/>
            <w:tcBorders>
              <w:right w:val="single" w:sz="4" w:space="0" w:color="000000" w:themeColor="text1"/>
            </w:tcBorders>
            <w:shd w:val="clear" w:color="auto" w:fill="auto"/>
            <w:noWrap/>
            <w:vAlign w:val="center"/>
            <w:hideMark/>
          </w:tcPr>
          <w:p w14:paraId="4F79A0F9"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33C0C55F" w14:textId="77777777" w:rsidTr="00364C65">
        <w:trPr>
          <w:trHeight w:val="1200"/>
        </w:trPr>
        <w:tc>
          <w:tcPr>
            <w:tcW w:w="8364" w:type="dxa"/>
            <w:tcBorders>
              <w:left w:val="single" w:sz="4" w:space="0" w:color="000000" w:themeColor="text1"/>
            </w:tcBorders>
            <w:shd w:val="clear" w:color="auto" w:fill="auto"/>
            <w:vAlign w:val="center"/>
            <w:hideMark/>
          </w:tcPr>
          <w:p w14:paraId="00853347" w14:textId="77777777" w:rsidR="00954185" w:rsidRPr="00954185" w:rsidRDefault="00954185" w:rsidP="00364C65">
            <w:pPr>
              <w:spacing w:line="360" w:lineRule="auto"/>
              <w:rPr>
                <w:sz w:val="20"/>
                <w:szCs w:val="20"/>
              </w:rPr>
            </w:pPr>
            <w:r w:rsidRPr="00954185">
              <w:rPr>
                <w:sz w:val="20"/>
                <w:szCs w:val="20"/>
              </w:rPr>
              <w:t xml:space="preserve">Olmos, V., </w:t>
            </w:r>
            <w:proofErr w:type="spellStart"/>
            <w:r w:rsidRPr="00954185">
              <w:rPr>
                <w:sz w:val="20"/>
                <w:szCs w:val="20"/>
              </w:rPr>
              <w:t>Navoni</w:t>
            </w:r>
            <w:proofErr w:type="spellEnd"/>
            <w:r w:rsidRPr="00954185">
              <w:rPr>
                <w:sz w:val="20"/>
                <w:szCs w:val="20"/>
              </w:rPr>
              <w:t xml:space="preserve">, J. A., Calcagno, M. L., Sassone, A. H., &amp; Lepori, E. V. (2015). Influence of the level of arsenic (As) exposure and the presence of T860C polymorphism in human </w:t>
            </w:r>
            <w:proofErr w:type="gramStart"/>
            <w:r w:rsidRPr="00954185">
              <w:rPr>
                <w:sz w:val="20"/>
                <w:szCs w:val="20"/>
              </w:rPr>
              <w:t>As</w:t>
            </w:r>
            <w:proofErr w:type="gramEnd"/>
            <w:r w:rsidRPr="00954185">
              <w:rPr>
                <w:sz w:val="20"/>
                <w:szCs w:val="20"/>
              </w:rPr>
              <w:t xml:space="preserve"> urinary metabolic profile. Human &amp; Experimental Toxicology, 34(2), 170-178.</w:t>
            </w:r>
          </w:p>
        </w:tc>
        <w:tc>
          <w:tcPr>
            <w:tcW w:w="2126" w:type="dxa"/>
            <w:tcBorders>
              <w:right w:val="single" w:sz="4" w:space="0" w:color="000000" w:themeColor="text1"/>
            </w:tcBorders>
            <w:shd w:val="clear" w:color="auto" w:fill="auto"/>
            <w:noWrap/>
            <w:vAlign w:val="center"/>
            <w:hideMark/>
          </w:tcPr>
          <w:p w14:paraId="110CD129"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33A8CCAC" w14:textId="77777777" w:rsidTr="00364C65">
        <w:trPr>
          <w:trHeight w:val="900"/>
        </w:trPr>
        <w:tc>
          <w:tcPr>
            <w:tcW w:w="8364" w:type="dxa"/>
            <w:tcBorders>
              <w:left w:val="single" w:sz="4" w:space="0" w:color="000000" w:themeColor="text1"/>
            </w:tcBorders>
            <w:shd w:val="clear" w:color="auto" w:fill="auto"/>
            <w:vAlign w:val="center"/>
            <w:hideMark/>
          </w:tcPr>
          <w:p w14:paraId="0560AAB0" w14:textId="77777777" w:rsidR="00954185" w:rsidRPr="00954185" w:rsidRDefault="00954185" w:rsidP="00364C65">
            <w:pPr>
              <w:spacing w:line="360" w:lineRule="auto"/>
              <w:rPr>
                <w:sz w:val="20"/>
                <w:szCs w:val="20"/>
              </w:rPr>
            </w:pPr>
            <w:r w:rsidRPr="00954185">
              <w:rPr>
                <w:sz w:val="20"/>
                <w:szCs w:val="20"/>
              </w:rPr>
              <w:t xml:space="preserve">Özdemir, F., </w:t>
            </w:r>
            <w:proofErr w:type="spellStart"/>
            <w:r w:rsidRPr="00954185">
              <w:rPr>
                <w:sz w:val="20"/>
                <w:szCs w:val="20"/>
              </w:rPr>
              <w:t>Kayaaltı</w:t>
            </w:r>
            <w:proofErr w:type="spellEnd"/>
            <w:r w:rsidRPr="00954185">
              <w:rPr>
                <w:sz w:val="20"/>
                <w:szCs w:val="20"/>
              </w:rPr>
              <w:t>, Z., Kaya-</w:t>
            </w:r>
            <w:proofErr w:type="spellStart"/>
            <w:r w:rsidRPr="00954185">
              <w:rPr>
                <w:sz w:val="20"/>
                <w:szCs w:val="20"/>
              </w:rPr>
              <w:t>Akyüzlü</w:t>
            </w:r>
            <w:proofErr w:type="spellEnd"/>
            <w:r w:rsidRPr="00954185">
              <w:rPr>
                <w:sz w:val="20"/>
                <w:szCs w:val="20"/>
              </w:rPr>
              <w:t xml:space="preserve">, D., </w:t>
            </w:r>
            <w:proofErr w:type="spellStart"/>
            <w:r w:rsidRPr="00954185">
              <w:rPr>
                <w:sz w:val="20"/>
                <w:szCs w:val="20"/>
              </w:rPr>
              <w:t>Tutkun</w:t>
            </w:r>
            <w:proofErr w:type="spellEnd"/>
            <w:r w:rsidRPr="00954185">
              <w:rPr>
                <w:sz w:val="20"/>
                <w:szCs w:val="20"/>
              </w:rPr>
              <w:t xml:space="preserve">, E., &amp; </w:t>
            </w:r>
            <w:proofErr w:type="spellStart"/>
            <w:r w:rsidRPr="00954185">
              <w:rPr>
                <w:sz w:val="20"/>
                <w:szCs w:val="20"/>
              </w:rPr>
              <w:t>Söylemezoğlu</w:t>
            </w:r>
            <w:proofErr w:type="spellEnd"/>
            <w:r w:rsidRPr="00954185">
              <w:rPr>
                <w:sz w:val="20"/>
                <w:szCs w:val="20"/>
              </w:rPr>
              <w:t>, T. (2015). Effect of Glut1 A2841T polymorphism on urinary arsenic levels of individuals exposed to arsenic occupationally. Toxicology Letters, 238(2), S362-S363.</w:t>
            </w:r>
          </w:p>
        </w:tc>
        <w:tc>
          <w:tcPr>
            <w:tcW w:w="2126" w:type="dxa"/>
            <w:tcBorders>
              <w:right w:val="single" w:sz="4" w:space="0" w:color="000000" w:themeColor="text1"/>
            </w:tcBorders>
            <w:shd w:val="clear" w:color="auto" w:fill="auto"/>
            <w:noWrap/>
            <w:vAlign w:val="center"/>
            <w:hideMark/>
          </w:tcPr>
          <w:p w14:paraId="6880E39C" w14:textId="77777777" w:rsidR="00954185" w:rsidRPr="00954185" w:rsidRDefault="00954185" w:rsidP="00364C65">
            <w:pPr>
              <w:spacing w:line="360" w:lineRule="auto"/>
              <w:rPr>
                <w:sz w:val="20"/>
                <w:szCs w:val="20"/>
              </w:rPr>
            </w:pPr>
            <w:r w:rsidRPr="00954185">
              <w:rPr>
                <w:sz w:val="20"/>
                <w:szCs w:val="20"/>
              </w:rPr>
              <w:t>Conference abstract</w:t>
            </w:r>
          </w:p>
        </w:tc>
      </w:tr>
      <w:tr w:rsidR="00954185" w:rsidRPr="00954185" w14:paraId="38D2D19C" w14:textId="77777777" w:rsidTr="00364C65">
        <w:trPr>
          <w:trHeight w:val="900"/>
        </w:trPr>
        <w:tc>
          <w:tcPr>
            <w:tcW w:w="8364" w:type="dxa"/>
            <w:tcBorders>
              <w:left w:val="single" w:sz="4" w:space="0" w:color="000000" w:themeColor="text1"/>
            </w:tcBorders>
            <w:shd w:val="clear" w:color="auto" w:fill="auto"/>
            <w:vAlign w:val="center"/>
            <w:hideMark/>
          </w:tcPr>
          <w:p w14:paraId="6DC0C16B" w14:textId="77777777" w:rsidR="00954185" w:rsidRPr="00954185" w:rsidRDefault="00954185" w:rsidP="00364C65">
            <w:pPr>
              <w:spacing w:line="360" w:lineRule="auto"/>
              <w:rPr>
                <w:sz w:val="20"/>
                <w:szCs w:val="20"/>
              </w:rPr>
            </w:pPr>
            <w:r w:rsidRPr="00641BD3">
              <w:rPr>
                <w:sz w:val="20"/>
                <w:szCs w:val="20"/>
                <w:lang w:val="es-ES"/>
              </w:rPr>
              <w:t xml:space="preserve">Paiva, L., Hernández, A., Martínez, V., Creus, A., Quinteros, D., &amp; Marcos, R. (2010). </w:t>
            </w:r>
            <w:r w:rsidRPr="00954185">
              <w:rPr>
                <w:sz w:val="20"/>
                <w:szCs w:val="20"/>
              </w:rPr>
              <w:t>Association between GSTO2 polymorphism and the urinary arsenic profile in copper industry workers. Environmental research, 110(5), 463-468.</w:t>
            </w:r>
          </w:p>
        </w:tc>
        <w:tc>
          <w:tcPr>
            <w:tcW w:w="2126" w:type="dxa"/>
            <w:tcBorders>
              <w:right w:val="single" w:sz="4" w:space="0" w:color="000000" w:themeColor="text1"/>
            </w:tcBorders>
            <w:shd w:val="clear" w:color="auto" w:fill="auto"/>
            <w:noWrap/>
            <w:vAlign w:val="center"/>
            <w:hideMark/>
          </w:tcPr>
          <w:p w14:paraId="16C90508"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51AB077B" w14:textId="77777777" w:rsidTr="00364C65">
        <w:trPr>
          <w:trHeight w:val="900"/>
        </w:trPr>
        <w:tc>
          <w:tcPr>
            <w:tcW w:w="8364" w:type="dxa"/>
            <w:tcBorders>
              <w:left w:val="single" w:sz="4" w:space="0" w:color="000000" w:themeColor="text1"/>
            </w:tcBorders>
            <w:shd w:val="clear" w:color="auto" w:fill="auto"/>
            <w:vAlign w:val="center"/>
            <w:hideMark/>
          </w:tcPr>
          <w:p w14:paraId="0AC00F03" w14:textId="77777777" w:rsidR="00954185" w:rsidRPr="00954185" w:rsidRDefault="00954185" w:rsidP="00364C65">
            <w:pPr>
              <w:spacing w:line="360" w:lineRule="auto"/>
              <w:rPr>
                <w:sz w:val="20"/>
                <w:szCs w:val="20"/>
              </w:rPr>
            </w:pPr>
            <w:r w:rsidRPr="00954185">
              <w:rPr>
                <w:sz w:val="20"/>
                <w:szCs w:val="20"/>
              </w:rPr>
              <w:lastRenderedPageBreak/>
              <w:t>Paiva, L., Marcos, R., Creus, A., Coggan, M., Oakley, A. J., &amp; Board, P. G. (2008). Polymorphism of glutathione transferase Omega 1 in a population exposed to a high environmental arsenic burden. Pharmacogenetics and genomics, 18(1), 1-10.</w:t>
            </w:r>
          </w:p>
        </w:tc>
        <w:tc>
          <w:tcPr>
            <w:tcW w:w="2126" w:type="dxa"/>
            <w:tcBorders>
              <w:right w:val="single" w:sz="4" w:space="0" w:color="000000" w:themeColor="text1"/>
            </w:tcBorders>
            <w:shd w:val="clear" w:color="auto" w:fill="auto"/>
            <w:noWrap/>
            <w:vAlign w:val="center"/>
            <w:hideMark/>
          </w:tcPr>
          <w:p w14:paraId="050CA88E"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11AF46E1" w14:textId="77777777" w:rsidTr="00364C65">
        <w:trPr>
          <w:trHeight w:val="1200"/>
        </w:trPr>
        <w:tc>
          <w:tcPr>
            <w:tcW w:w="8364" w:type="dxa"/>
            <w:tcBorders>
              <w:left w:val="single" w:sz="4" w:space="0" w:color="000000" w:themeColor="text1"/>
            </w:tcBorders>
            <w:shd w:val="clear" w:color="auto" w:fill="auto"/>
            <w:vAlign w:val="center"/>
            <w:hideMark/>
          </w:tcPr>
          <w:p w14:paraId="294AE6DB" w14:textId="77777777" w:rsidR="00954185" w:rsidRPr="00954185" w:rsidRDefault="00954185" w:rsidP="00364C65">
            <w:pPr>
              <w:spacing w:line="360" w:lineRule="auto"/>
              <w:rPr>
                <w:sz w:val="20"/>
                <w:szCs w:val="20"/>
              </w:rPr>
            </w:pPr>
            <w:r w:rsidRPr="00954185">
              <w:rPr>
                <w:sz w:val="20"/>
                <w:szCs w:val="20"/>
              </w:rPr>
              <w:t xml:space="preserve">Palir, N., </w:t>
            </w:r>
            <w:proofErr w:type="spellStart"/>
            <w:r w:rsidRPr="00954185">
              <w:rPr>
                <w:sz w:val="20"/>
                <w:szCs w:val="20"/>
              </w:rPr>
              <w:t>Stajnko</w:t>
            </w:r>
            <w:proofErr w:type="spellEnd"/>
            <w:r w:rsidRPr="00954185">
              <w:rPr>
                <w:sz w:val="20"/>
                <w:szCs w:val="20"/>
              </w:rPr>
              <w:t xml:space="preserve">, A., Tratnik, J. S., </w:t>
            </w:r>
            <w:proofErr w:type="spellStart"/>
            <w:r w:rsidRPr="00954185">
              <w:rPr>
                <w:sz w:val="20"/>
                <w:szCs w:val="20"/>
              </w:rPr>
              <w:t>Mazej</w:t>
            </w:r>
            <w:proofErr w:type="spellEnd"/>
            <w:r w:rsidRPr="00954185">
              <w:rPr>
                <w:sz w:val="20"/>
                <w:szCs w:val="20"/>
              </w:rPr>
              <w:t xml:space="preserve">, D., </w:t>
            </w:r>
            <w:proofErr w:type="spellStart"/>
            <w:r w:rsidRPr="00954185">
              <w:rPr>
                <w:sz w:val="20"/>
                <w:szCs w:val="20"/>
              </w:rPr>
              <w:t>Briški</w:t>
            </w:r>
            <w:proofErr w:type="spellEnd"/>
            <w:r w:rsidRPr="00954185">
              <w:rPr>
                <w:sz w:val="20"/>
                <w:szCs w:val="20"/>
              </w:rPr>
              <w:t>, A. S., France-</w:t>
            </w:r>
            <w:proofErr w:type="spellStart"/>
            <w:r w:rsidRPr="00954185">
              <w:rPr>
                <w:sz w:val="20"/>
                <w:szCs w:val="20"/>
              </w:rPr>
              <w:t>Štiglic</w:t>
            </w:r>
            <w:proofErr w:type="spellEnd"/>
            <w:r w:rsidRPr="00954185">
              <w:rPr>
                <w:sz w:val="20"/>
                <w:szCs w:val="20"/>
              </w:rPr>
              <w:t xml:space="preserve">, A., ... &amp; </w:t>
            </w:r>
            <w:proofErr w:type="spellStart"/>
            <w:r w:rsidRPr="00954185">
              <w:rPr>
                <w:sz w:val="20"/>
                <w:szCs w:val="20"/>
              </w:rPr>
              <w:t>Falnoga</w:t>
            </w:r>
            <w:proofErr w:type="spellEnd"/>
            <w:r w:rsidRPr="00954185">
              <w:rPr>
                <w:sz w:val="20"/>
                <w:szCs w:val="20"/>
              </w:rPr>
              <w:t>, I. (2023). ALAD and APOE polymorphisms are associated with lead and mercury levels in Italian pregnant women and their newborns with adequate nutritional status of zinc and selenium. Environmental Research, 220, 115226.</w:t>
            </w:r>
          </w:p>
        </w:tc>
        <w:tc>
          <w:tcPr>
            <w:tcW w:w="2126" w:type="dxa"/>
            <w:tcBorders>
              <w:right w:val="single" w:sz="4" w:space="0" w:color="000000" w:themeColor="text1"/>
            </w:tcBorders>
            <w:shd w:val="clear" w:color="auto" w:fill="auto"/>
            <w:noWrap/>
            <w:vAlign w:val="center"/>
            <w:hideMark/>
          </w:tcPr>
          <w:p w14:paraId="39872BFC" w14:textId="77777777" w:rsidR="00954185" w:rsidRPr="00954185" w:rsidRDefault="00954185" w:rsidP="00364C65">
            <w:pPr>
              <w:spacing w:line="360" w:lineRule="auto"/>
              <w:rPr>
                <w:sz w:val="20"/>
                <w:szCs w:val="20"/>
              </w:rPr>
            </w:pPr>
            <w:r w:rsidRPr="00954185">
              <w:rPr>
                <w:sz w:val="20"/>
                <w:szCs w:val="20"/>
              </w:rPr>
              <w:t xml:space="preserve">No arsenic metabolism, or arsenic-related disease </w:t>
            </w:r>
          </w:p>
        </w:tc>
      </w:tr>
      <w:tr w:rsidR="00954185" w:rsidRPr="00954185" w14:paraId="4D1B9DEC" w14:textId="77777777" w:rsidTr="00364C65">
        <w:trPr>
          <w:trHeight w:val="1200"/>
        </w:trPr>
        <w:tc>
          <w:tcPr>
            <w:tcW w:w="8364" w:type="dxa"/>
            <w:tcBorders>
              <w:left w:val="single" w:sz="4" w:space="0" w:color="000000" w:themeColor="text1"/>
            </w:tcBorders>
            <w:shd w:val="clear" w:color="auto" w:fill="auto"/>
            <w:vAlign w:val="center"/>
            <w:hideMark/>
          </w:tcPr>
          <w:p w14:paraId="0C3EE189" w14:textId="77777777" w:rsidR="00954185" w:rsidRPr="00954185" w:rsidRDefault="00954185" w:rsidP="00364C65">
            <w:pPr>
              <w:spacing w:line="360" w:lineRule="auto"/>
              <w:rPr>
                <w:sz w:val="20"/>
                <w:szCs w:val="20"/>
              </w:rPr>
            </w:pPr>
            <w:r w:rsidRPr="00954185">
              <w:rPr>
                <w:sz w:val="20"/>
                <w:szCs w:val="20"/>
              </w:rPr>
              <w:t xml:space="preserve">Pierce, B. L., </w:t>
            </w:r>
            <w:proofErr w:type="spellStart"/>
            <w:r w:rsidRPr="00954185">
              <w:rPr>
                <w:sz w:val="20"/>
                <w:szCs w:val="20"/>
              </w:rPr>
              <w:t>Kibriya</w:t>
            </w:r>
            <w:proofErr w:type="spellEnd"/>
            <w:r w:rsidRPr="00954185">
              <w:rPr>
                <w:sz w:val="20"/>
                <w:szCs w:val="20"/>
              </w:rPr>
              <w:t>, M. G., Lin, T., Jasmine, F., Argos, M., HEALS and BEST study investigators, &amp; Ahsan, H. (2012). Genome-wide association study identifies 10q24. 32 variants associated with arsenic metabolism and premalignant skin lesion risk in Bangladesh. Cancer Research, 72(8_Supplement), 2925-2925.</w:t>
            </w:r>
          </w:p>
        </w:tc>
        <w:tc>
          <w:tcPr>
            <w:tcW w:w="2126" w:type="dxa"/>
            <w:tcBorders>
              <w:right w:val="single" w:sz="4" w:space="0" w:color="000000" w:themeColor="text1"/>
            </w:tcBorders>
            <w:shd w:val="clear" w:color="auto" w:fill="auto"/>
            <w:noWrap/>
            <w:vAlign w:val="center"/>
            <w:hideMark/>
          </w:tcPr>
          <w:p w14:paraId="635EF64C" w14:textId="77777777" w:rsidR="00954185" w:rsidRPr="00954185" w:rsidRDefault="00954185" w:rsidP="00364C65">
            <w:pPr>
              <w:spacing w:line="360" w:lineRule="auto"/>
              <w:rPr>
                <w:sz w:val="20"/>
                <w:szCs w:val="20"/>
              </w:rPr>
            </w:pPr>
            <w:r w:rsidRPr="00954185">
              <w:rPr>
                <w:sz w:val="20"/>
                <w:szCs w:val="20"/>
              </w:rPr>
              <w:t xml:space="preserve">Skin lesions, arsenic metabolism </w:t>
            </w:r>
          </w:p>
        </w:tc>
      </w:tr>
      <w:tr w:rsidR="00954185" w:rsidRPr="00954185" w14:paraId="59C87389" w14:textId="77777777" w:rsidTr="00364C65">
        <w:trPr>
          <w:trHeight w:val="1200"/>
        </w:trPr>
        <w:tc>
          <w:tcPr>
            <w:tcW w:w="8364" w:type="dxa"/>
            <w:tcBorders>
              <w:left w:val="single" w:sz="4" w:space="0" w:color="000000" w:themeColor="text1"/>
            </w:tcBorders>
            <w:shd w:val="clear" w:color="auto" w:fill="auto"/>
            <w:vAlign w:val="center"/>
            <w:hideMark/>
          </w:tcPr>
          <w:p w14:paraId="3786382F" w14:textId="77777777" w:rsidR="00954185" w:rsidRPr="00954185" w:rsidRDefault="00954185" w:rsidP="00364C65">
            <w:pPr>
              <w:spacing w:line="360" w:lineRule="auto"/>
              <w:rPr>
                <w:sz w:val="20"/>
                <w:szCs w:val="20"/>
              </w:rPr>
            </w:pPr>
            <w:r w:rsidRPr="00641BD3">
              <w:rPr>
                <w:sz w:val="20"/>
                <w:szCs w:val="20"/>
                <w:lang w:val="es-ES"/>
              </w:rPr>
              <w:t xml:space="preserve">Pierce, B. L., </w:t>
            </w:r>
            <w:proofErr w:type="spellStart"/>
            <w:r w:rsidRPr="00641BD3">
              <w:rPr>
                <w:sz w:val="20"/>
                <w:szCs w:val="20"/>
                <w:lang w:val="es-ES"/>
              </w:rPr>
              <w:t>Kibriya</w:t>
            </w:r>
            <w:proofErr w:type="spellEnd"/>
            <w:r w:rsidRPr="00641BD3">
              <w:rPr>
                <w:sz w:val="20"/>
                <w:szCs w:val="20"/>
                <w:lang w:val="es-ES"/>
              </w:rPr>
              <w:t xml:space="preserve">, M. G., </w:t>
            </w:r>
            <w:proofErr w:type="spellStart"/>
            <w:r w:rsidRPr="00641BD3">
              <w:rPr>
                <w:sz w:val="20"/>
                <w:szCs w:val="20"/>
                <w:lang w:val="es-ES"/>
              </w:rPr>
              <w:t>Tong</w:t>
            </w:r>
            <w:proofErr w:type="spellEnd"/>
            <w:r w:rsidRPr="00641BD3">
              <w:rPr>
                <w:sz w:val="20"/>
                <w:szCs w:val="20"/>
                <w:lang w:val="es-ES"/>
              </w:rPr>
              <w:t xml:space="preserve">, L., Jasmine, F., Argos, M., Roy, S., ... </w:t>
            </w:r>
            <w:r w:rsidRPr="00954185">
              <w:rPr>
                <w:sz w:val="20"/>
                <w:szCs w:val="20"/>
              </w:rPr>
              <w:t xml:space="preserve">&amp; Ahsan, H. (2012). Genome-wide association study identifies chromosome 10q24. 32 variants associated with arsenic metabolism and toxicity phenotypes in Bangladesh. </w:t>
            </w:r>
            <w:proofErr w:type="spellStart"/>
            <w:r w:rsidRPr="00954185">
              <w:rPr>
                <w:sz w:val="20"/>
                <w:szCs w:val="20"/>
              </w:rPr>
              <w:t>PLoS</w:t>
            </w:r>
            <w:proofErr w:type="spellEnd"/>
            <w:r w:rsidRPr="00954185">
              <w:rPr>
                <w:sz w:val="20"/>
                <w:szCs w:val="20"/>
              </w:rPr>
              <w:t xml:space="preserve"> genetics, 8(2), e1002522.</w:t>
            </w:r>
          </w:p>
        </w:tc>
        <w:tc>
          <w:tcPr>
            <w:tcW w:w="2126" w:type="dxa"/>
            <w:tcBorders>
              <w:right w:val="single" w:sz="4" w:space="0" w:color="000000" w:themeColor="text1"/>
            </w:tcBorders>
            <w:shd w:val="clear" w:color="auto" w:fill="auto"/>
            <w:noWrap/>
            <w:vAlign w:val="center"/>
            <w:hideMark/>
          </w:tcPr>
          <w:p w14:paraId="3326278F" w14:textId="77777777" w:rsidR="00954185" w:rsidRPr="00954185" w:rsidRDefault="00954185" w:rsidP="00364C65">
            <w:pPr>
              <w:spacing w:line="360" w:lineRule="auto"/>
              <w:rPr>
                <w:sz w:val="20"/>
                <w:szCs w:val="20"/>
              </w:rPr>
            </w:pPr>
            <w:r w:rsidRPr="00954185">
              <w:rPr>
                <w:sz w:val="20"/>
                <w:szCs w:val="20"/>
              </w:rPr>
              <w:t>Duplicate</w:t>
            </w:r>
          </w:p>
        </w:tc>
      </w:tr>
      <w:tr w:rsidR="00954185" w:rsidRPr="00954185" w14:paraId="663E6BA5" w14:textId="77777777" w:rsidTr="00364C65">
        <w:trPr>
          <w:trHeight w:val="1200"/>
        </w:trPr>
        <w:tc>
          <w:tcPr>
            <w:tcW w:w="8364" w:type="dxa"/>
            <w:tcBorders>
              <w:left w:val="single" w:sz="4" w:space="0" w:color="000000" w:themeColor="text1"/>
            </w:tcBorders>
            <w:shd w:val="clear" w:color="auto" w:fill="auto"/>
            <w:vAlign w:val="center"/>
            <w:hideMark/>
          </w:tcPr>
          <w:p w14:paraId="7A053FC2" w14:textId="77777777" w:rsidR="00954185" w:rsidRPr="00954185" w:rsidRDefault="00954185" w:rsidP="00364C65">
            <w:pPr>
              <w:spacing w:line="360" w:lineRule="auto"/>
              <w:rPr>
                <w:sz w:val="20"/>
                <w:szCs w:val="20"/>
              </w:rPr>
            </w:pPr>
            <w:r w:rsidRPr="00641BD3">
              <w:rPr>
                <w:sz w:val="20"/>
                <w:szCs w:val="20"/>
                <w:lang w:val="es-ES"/>
              </w:rPr>
              <w:t xml:space="preserve">Pierce, B. L., </w:t>
            </w:r>
            <w:proofErr w:type="spellStart"/>
            <w:r w:rsidRPr="00641BD3">
              <w:rPr>
                <w:sz w:val="20"/>
                <w:szCs w:val="20"/>
                <w:lang w:val="es-ES"/>
              </w:rPr>
              <w:t>Tong</w:t>
            </w:r>
            <w:proofErr w:type="spellEnd"/>
            <w:r w:rsidRPr="00641BD3">
              <w:rPr>
                <w:sz w:val="20"/>
                <w:szCs w:val="20"/>
                <w:lang w:val="es-ES"/>
              </w:rPr>
              <w:t xml:space="preserve">, L., Argos, M., Gao, J., Jasmine, F., Roy, S., ... &amp; Ahsan, H. (2013). </w:t>
            </w:r>
            <w:r w:rsidRPr="00954185">
              <w:rPr>
                <w:sz w:val="20"/>
                <w:szCs w:val="20"/>
              </w:rPr>
              <w:t>Arsenic metabolism efficiency has a causal role in arsenic toxicity: Mendelian randomization and gene-environment interaction. International journal of epidemiology, 42(6), 1862-1872.</w:t>
            </w:r>
          </w:p>
        </w:tc>
        <w:tc>
          <w:tcPr>
            <w:tcW w:w="2126" w:type="dxa"/>
            <w:tcBorders>
              <w:right w:val="single" w:sz="4" w:space="0" w:color="000000" w:themeColor="text1"/>
            </w:tcBorders>
            <w:shd w:val="clear" w:color="auto" w:fill="auto"/>
            <w:noWrap/>
            <w:vAlign w:val="center"/>
            <w:hideMark/>
          </w:tcPr>
          <w:p w14:paraId="366BF262" w14:textId="77777777" w:rsidR="00954185" w:rsidRPr="00954185" w:rsidRDefault="00954185" w:rsidP="00364C65">
            <w:pPr>
              <w:spacing w:line="360" w:lineRule="auto"/>
              <w:rPr>
                <w:sz w:val="20"/>
                <w:szCs w:val="20"/>
              </w:rPr>
            </w:pPr>
            <w:r w:rsidRPr="00954185">
              <w:rPr>
                <w:sz w:val="20"/>
                <w:szCs w:val="20"/>
              </w:rPr>
              <w:t xml:space="preserve">Skin lesions, arsenic metabolism </w:t>
            </w:r>
          </w:p>
        </w:tc>
      </w:tr>
      <w:tr w:rsidR="00954185" w:rsidRPr="00954185" w14:paraId="3AB82FB8" w14:textId="77777777" w:rsidTr="00364C65">
        <w:trPr>
          <w:trHeight w:val="900"/>
        </w:trPr>
        <w:tc>
          <w:tcPr>
            <w:tcW w:w="8364" w:type="dxa"/>
            <w:tcBorders>
              <w:left w:val="single" w:sz="4" w:space="0" w:color="000000" w:themeColor="text1"/>
            </w:tcBorders>
            <w:shd w:val="clear" w:color="auto" w:fill="auto"/>
            <w:vAlign w:val="center"/>
            <w:hideMark/>
          </w:tcPr>
          <w:p w14:paraId="03B4952D" w14:textId="77777777" w:rsidR="00954185" w:rsidRPr="00954185" w:rsidRDefault="00954185" w:rsidP="00364C65">
            <w:pPr>
              <w:spacing w:line="360" w:lineRule="auto"/>
              <w:rPr>
                <w:sz w:val="20"/>
                <w:szCs w:val="20"/>
              </w:rPr>
            </w:pPr>
            <w:r w:rsidRPr="00641BD3">
              <w:rPr>
                <w:sz w:val="20"/>
                <w:szCs w:val="20"/>
                <w:lang w:val="es-ES"/>
              </w:rPr>
              <w:t xml:space="preserve">Pierce, B. L., </w:t>
            </w:r>
            <w:proofErr w:type="spellStart"/>
            <w:r w:rsidRPr="00641BD3">
              <w:rPr>
                <w:sz w:val="20"/>
                <w:szCs w:val="20"/>
                <w:lang w:val="es-ES"/>
              </w:rPr>
              <w:t>Tong</w:t>
            </w:r>
            <w:proofErr w:type="spellEnd"/>
            <w:r w:rsidRPr="00641BD3">
              <w:rPr>
                <w:sz w:val="20"/>
                <w:szCs w:val="20"/>
                <w:lang w:val="es-ES"/>
              </w:rPr>
              <w:t xml:space="preserve">, L., Dean, S., Argos, M., Jasmine, F., </w:t>
            </w:r>
            <w:proofErr w:type="spellStart"/>
            <w:r w:rsidRPr="00641BD3">
              <w:rPr>
                <w:sz w:val="20"/>
                <w:szCs w:val="20"/>
                <w:lang w:val="es-ES"/>
              </w:rPr>
              <w:t>Rakibuz-Zaman</w:t>
            </w:r>
            <w:proofErr w:type="spellEnd"/>
            <w:r w:rsidRPr="00641BD3">
              <w:rPr>
                <w:sz w:val="20"/>
                <w:szCs w:val="20"/>
                <w:lang w:val="es-ES"/>
              </w:rPr>
              <w:t xml:space="preserve">, M., ... </w:t>
            </w:r>
            <w:r w:rsidRPr="00954185">
              <w:rPr>
                <w:sz w:val="20"/>
                <w:szCs w:val="20"/>
              </w:rPr>
              <w:t xml:space="preserve">&amp; Ahsan, H. (2019). A missense variant in FTCD is associated with arsenic metabolism and toxicity phenotypes in Bangladesh. </w:t>
            </w:r>
            <w:proofErr w:type="spellStart"/>
            <w:r w:rsidRPr="00954185">
              <w:rPr>
                <w:sz w:val="20"/>
                <w:szCs w:val="20"/>
              </w:rPr>
              <w:t>PLoS</w:t>
            </w:r>
            <w:proofErr w:type="spellEnd"/>
            <w:r w:rsidRPr="00954185">
              <w:rPr>
                <w:sz w:val="20"/>
                <w:szCs w:val="20"/>
              </w:rPr>
              <w:t xml:space="preserve"> genetics, 15(3), e1007984.</w:t>
            </w:r>
          </w:p>
        </w:tc>
        <w:tc>
          <w:tcPr>
            <w:tcW w:w="2126" w:type="dxa"/>
            <w:tcBorders>
              <w:right w:val="single" w:sz="4" w:space="0" w:color="000000" w:themeColor="text1"/>
            </w:tcBorders>
            <w:shd w:val="clear" w:color="auto" w:fill="auto"/>
            <w:noWrap/>
            <w:vAlign w:val="center"/>
            <w:hideMark/>
          </w:tcPr>
          <w:p w14:paraId="41CB98F8" w14:textId="77777777" w:rsidR="00954185" w:rsidRPr="00954185" w:rsidRDefault="00954185" w:rsidP="00364C65">
            <w:pPr>
              <w:spacing w:line="360" w:lineRule="auto"/>
              <w:rPr>
                <w:sz w:val="20"/>
                <w:szCs w:val="20"/>
              </w:rPr>
            </w:pPr>
            <w:r w:rsidRPr="00954185">
              <w:rPr>
                <w:sz w:val="20"/>
                <w:szCs w:val="20"/>
              </w:rPr>
              <w:t>Duplicate</w:t>
            </w:r>
          </w:p>
        </w:tc>
      </w:tr>
      <w:tr w:rsidR="00954185" w:rsidRPr="00954185" w14:paraId="6AFF0E37" w14:textId="77777777" w:rsidTr="00364C65">
        <w:trPr>
          <w:trHeight w:val="900"/>
        </w:trPr>
        <w:tc>
          <w:tcPr>
            <w:tcW w:w="8364" w:type="dxa"/>
            <w:tcBorders>
              <w:left w:val="single" w:sz="4" w:space="0" w:color="000000" w:themeColor="text1"/>
            </w:tcBorders>
            <w:shd w:val="clear" w:color="auto" w:fill="auto"/>
            <w:vAlign w:val="center"/>
            <w:hideMark/>
          </w:tcPr>
          <w:p w14:paraId="470B8693" w14:textId="77777777" w:rsidR="00954185" w:rsidRPr="00954185" w:rsidRDefault="00954185" w:rsidP="00364C65">
            <w:pPr>
              <w:spacing w:line="360" w:lineRule="auto"/>
              <w:rPr>
                <w:sz w:val="20"/>
                <w:szCs w:val="20"/>
              </w:rPr>
            </w:pPr>
            <w:r w:rsidRPr="00641BD3">
              <w:rPr>
                <w:sz w:val="20"/>
                <w:szCs w:val="20"/>
                <w:lang w:val="es-ES"/>
              </w:rPr>
              <w:t xml:space="preserve">Pierce, B. L., </w:t>
            </w:r>
            <w:proofErr w:type="spellStart"/>
            <w:r w:rsidRPr="00641BD3">
              <w:rPr>
                <w:sz w:val="20"/>
                <w:szCs w:val="20"/>
                <w:lang w:val="es-ES"/>
              </w:rPr>
              <w:t>Tong</w:t>
            </w:r>
            <w:proofErr w:type="spellEnd"/>
            <w:r w:rsidRPr="00641BD3">
              <w:rPr>
                <w:sz w:val="20"/>
                <w:szCs w:val="20"/>
                <w:lang w:val="es-ES"/>
              </w:rPr>
              <w:t xml:space="preserve">, L., Dean, S., Argos, M., Jasmine, F., </w:t>
            </w:r>
            <w:proofErr w:type="spellStart"/>
            <w:r w:rsidRPr="00641BD3">
              <w:rPr>
                <w:sz w:val="20"/>
                <w:szCs w:val="20"/>
                <w:lang w:val="es-ES"/>
              </w:rPr>
              <w:t>Rakibuz-Zaman</w:t>
            </w:r>
            <w:proofErr w:type="spellEnd"/>
            <w:r w:rsidRPr="00641BD3">
              <w:rPr>
                <w:sz w:val="20"/>
                <w:szCs w:val="20"/>
                <w:lang w:val="es-ES"/>
              </w:rPr>
              <w:t xml:space="preserve">, M., ... </w:t>
            </w:r>
            <w:r w:rsidRPr="00954185">
              <w:rPr>
                <w:sz w:val="20"/>
                <w:szCs w:val="20"/>
              </w:rPr>
              <w:t xml:space="preserve">&amp; Ahsan, H. (2019). A missense variant in FTCD is associated with arsenic metabolism and toxicity phenotypes in Bangladesh. </w:t>
            </w:r>
            <w:proofErr w:type="spellStart"/>
            <w:r w:rsidRPr="00954185">
              <w:rPr>
                <w:sz w:val="20"/>
                <w:szCs w:val="20"/>
              </w:rPr>
              <w:t>PLoS</w:t>
            </w:r>
            <w:proofErr w:type="spellEnd"/>
            <w:r w:rsidRPr="00954185">
              <w:rPr>
                <w:sz w:val="20"/>
                <w:szCs w:val="20"/>
              </w:rPr>
              <w:t xml:space="preserve"> genetics, 15(3), e1007984.</w:t>
            </w:r>
          </w:p>
        </w:tc>
        <w:tc>
          <w:tcPr>
            <w:tcW w:w="2126" w:type="dxa"/>
            <w:tcBorders>
              <w:right w:val="single" w:sz="4" w:space="0" w:color="000000" w:themeColor="text1"/>
            </w:tcBorders>
            <w:shd w:val="clear" w:color="auto" w:fill="auto"/>
            <w:noWrap/>
            <w:vAlign w:val="center"/>
            <w:hideMark/>
          </w:tcPr>
          <w:p w14:paraId="2036A25A" w14:textId="77777777" w:rsidR="00954185" w:rsidRPr="00954185" w:rsidRDefault="00954185" w:rsidP="00364C65">
            <w:pPr>
              <w:spacing w:line="360" w:lineRule="auto"/>
              <w:rPr>
                <w:sz w:val="20"/>
                <w:szCs w:val="20"/>
              </w:rPr>
            </w:pPr>
            <w:r w:rsidRPr="00954185">
              <w:rPr>
                <w:sz w:val="20"/>
                <w:szCs w:val="20"/>
              </w:rPr>
              <w:t>Duplicate</w:t>
            </w:r>
          </w:p>
        </w:tc>
      </w:tr>
      <w:tr w:rsidR="00954185" w:rsidRPr="00954185" w14:paraId="5177B968" w14:textId="77777777" w:rsidTr="00364C65">
        <w:trPr>
          <w:trHeight w:val="900"/>
        </w:trPr>
        <w:tc>
          <w:tcPr>
            <w:tcW w:w="8364" w:type="dxa"/>
            <w:tcBorders>
              <w:left w:val="single" w:sz="4" w:space="0" w:color="000000" w:themeColor="text1"/>
            </w:tcBorders>
            <w:shd w:val="clear" w:color="auto" w:fill="auto"/>
            <w:vAlign w:val="center"/>
            <w:hideMark/>
          </w:tcPr>
          <w:p w14:paraId="55D144AC" w14:textId="77777777" w:rsidR="00954185" w:rsidRPr="00954185" w:rsidRDefault="00954185" w:rsidP="00364C65">
            <w:pPr>
              <w:spacing w:line="360" w:lineRule="auto"/>
              <w:rPr>
                <w:sz w:val="20"/>
                <w:szCs w:val="20"/>
              </w:rPr>
            </w:pPr>
            <w:r w:rsidRPr="00641BD3">
              <w:rPr>
                <w:sz w:val="20"/>
                <w:szCs w:val="20"/>
                <w:lang w:val="es-ES"/>
              </w:rPr>
              <w:t xml:space="preserve">Pierce, B. L., </w:t>
            </w:r>
            <w:proofErr w:type="spellStart"/>
            <w:r w:rsidRPr="00641BD3">
              <w:rPr>
                <w:sz w:val="20"/>
                <w:szCs w:val="20"/>
                <w:lang w:val="es-ES"/>
              </w:rPr>
              <w:t>Tong</w:t>
            </w:r>
            <w:proofErr w:type="spellEnd"/>
            <w:r w:rsidRPr="00641BD3">
              <w:rPr>
                <w:sz w:val="20"/>
                <w:szCs w:val="20"/>
                <w:lang w:val="es-ES"/>
              </w:rPr>
              <w:t xml:space="preserve">, L., Dean, S., Argos, M., Jasmine, F., </w:t>
            </w:r>
            <w:proofErr w:type="spellStart"/>
            <w:r w:rsidRPr="00641BD3">
              <w:rPr>
                <w:sz w:val="20"/>
                <w:szCs w:val="20"/>
                <w:lang w:val="es-ES"/>
              </w:rPr>
              <w:t>Rakibuz-Zaman</w:t>
            </w:r>
            <w:proofErr w:type="spellEnd"/>
            <w:r w:rsidRPr="00641BD3">
              <w:rPr>
                <w:sz w:val="20"/>
                <w:szCs w:val="20"/>
                <w:lang w:val="es-ES"/>
              </w:rPr>
              <w:t xml:space="preserve">, M., ... </w:t>
            </w:r>
            <w:r w:rsidRPr="00954185">
              <w:rPr>
                <w:sz w:val="20"/>
                <w:szCs w:val="20"/>
              </w:rPr>
              <w:t xml:space="preserve">&amp; Ahsan, H. (2019). Correction: A missense variant in FTCD is associated with arsenic metabolism and toxicity phenotypes in Bangladesh. </w:t>
            </w:r>
            <w:proofErr w:type="spellStart"/>
            <w:r w:rsidRPr="00954185">
              <w:rPr>
                <w:sz w:val="20"/>
                <w:szCs w:val="20"/>
              </w:rPr>
              <w:t>PLoS</w:t>
            </w:r>
            <w:proofErr w:type="spellEnd"/>
            <w:r w:rsidRPr="00954185">
              <w:rPr>
                <w:sz w:val="20"/>
                <w:szCs w:val="20"/>
              </w:rPr>
              <w:t xml:space="preserve"> genetics, 15(5), e1008172.</w:t>
            </w:r>
          </w:p>
        </w:tc>
        <w:tc>
          <w:tcPr>
            <w:tcW w:w="2126" w:type="dxa"/>
            <w:tcBorders>
              <w:right w:val="single" w:sz="4" w:space="0" w:color="000000" w:themeColor="text1"/>
            </w:tcBorders>
            <w:shd w:val="clear" w:color="auto" w:fill="auto"/>
            <w:noWrap/>
            <w:vAlign w:val="center"/>
            <w:hideMark/>
          </w:tcPr>
          <w:p w14:paraId="58445B84" w14:textId="77777777" w:rsidR="00954185" w:rsidRPr="00954185" w:rsidRDefault="00954185" w:rsidP="00364C65">
            <w:pPr>
              <w:spacing w:line="360" w:lineRule="auto"/>
              <w:rPr>
                <w:sz w:val="20"/>
                <w:szCs w:val="20"/>
              </w:rPr>
            </w:pPr>
            <w:r w:rsidRPr="00954185">
              <w:rPr>
                <w:sz w:val="20"/>
                <w:szCs w:val="20"/>
              </w:rPr>
              <w:t xml:space="preserve">Duplicate </w:t>
            </w:r>
          </w:p>
        </w:tc>
      </w:tr>
      <w:tr w:rsidR="00954185" w:rsidRPr="00954185" w14:paraId="263B4EE3" w14:textId="77777777" w:rsidTr="00364C65">
        <w:trPr>
          <w:trHeight w:val="900"/>
        </w:trPr>
        <w:tc>
          <w:tcPr>
            <w:tcW w:w="8364" w:type="dxa"/>
            <w:tcBorders>
              <w:left w:val="single" w:sz="4" w:space="0" w:color="000000" w:themeColor="text1"/>
            </w:tcBorders>
            <w:shd w:val="clear" w:color="auto" w:fill="auto"/>
            <w:vAlign w:val="center"/>
            <w:hideMark/>
          </w:tcPr>
          <w:p w14:paraId="7910BE8B" w14:textId="77777777" w:rsidR="00954185" w:rsidRPr="00954185" w:rsidRDefault="00954185" w:rsidP="00364C65">
            <w:pPr>
              <w:spacing w:line="360" w:lineRule="auto"/>
              <w:rPr>
                <w:sz w:val="20"/>
                <w:szCs w:val="20"/>
              </w:rPr>
            </w:pPr>
            <w:r w:rsidRPr="00641BD3">
              <w:rPr>
                <w:sz w:val="20"/>
                <w:szCs w:val="20"/>
                <w:lang w:val="es-ES"/>
              </w:rPr>
              <w:t xml:space="preserve">Pierce, B. L., </w:t>
            </w:r>
            <w:proofErr w:type="spellStart"/>
            <w:r w:rsidRPr="00641BD3">
              <w:rPr>
                <w:sz w:val="20"/>
                <w:szCs w:val="20"/>
                <w:lang w:val="es-ES"/>
              </w:rPr>
              <w:t>Tong</w:t>
            </w:r>
            <w:proofErr w:type="spellEnd"/>
            <w:r w:rsidRPr="00641BD3">
              <w:rPr>
                <w:sz w:val="20"/>
                <w:szCs w:val="20"/>
                <w:lang w:val="es-ES"/>
              </w:rPr>
              <w:t xml:space="preserve">, L., Dean, S., Argos, M., Jasmine, F., </w:t>
            </w:r>
            <w:proofErr w:type="spellStart"/>
            <w:r w:rsidRPr="00641BD3">
              <w:rPr>
                <w:sz w:val="20"/>
                <w:szCs w:val="20"/>
                <w:lang w:val="es-ES"/>
              </w:rPr>
              <w:t>Rakibuz-Zaman</w:t>
            </w:r>
            <w:proofErr w:type="spellEnd"/>
            <w:r w:rsidRPr="00641BD3">
              <w:rPr>
                <w:sz w:val="20"/>
                <w:szCs w:val="20"/>
                <w:lang w:val="es-ES"/>
              </w:rPr>
              <w:t xml:space="preserve">, M., ... </w:t>
            </w:r>
            <w:r w:rsidRPr="00954185">
              <w:rPr>
                <w:sz w:val="20"/>
                <w:szCs w:val="20"/>
              </w:rPr>
              <w:t xml:space="preserve">&amp; Ahsan, H. (2019). A missense variant in FTCD is associated with arsenic metabolism and toxicity phenotypes in Bangladesh. </w:t>
            </w:r>
            <w:proofErr w:type="spellStart"/>
            <w:r w:rsidRPr="00954185">
              <w:rPr>
                <w:sz w:val="20"/>
                <w:szCs w:val="20"/>
              </w:rPr>
              <w:t>PLoS</w:t>
            </w:r>
            <w:proofErr w:type="spellEnd"/>
            <w:r w:rsidRPr="00954185">
              <w:rPr>
                <w:sz w:val="20"/>
                <w:szCs w:val="20"/>
              </w:rPr>
              <w:t xml:space="preserve"> genetics, 15(3), e1007984.</w:t>
            </w:r>
          </w:p>
        </w:tc>
        <w:tc>
          <w:tcPr>
            <w:tcW w:w="2126" w:type="dxa"/>
            <w:tcBorders>
              <w:right w:val="single" w:sz="4" w:space="0" w:color="000000" w:themeColor="text1"/>
            </w:tcBorders>
            <w:shd w:val="clear" w:color="auto" w:fill="auto"/>
            <w:noWrap/>
            <w:vAlign w:val="center"/>
            <w:hideMark/>
          </w:tcPr>
          <w:p w14:paraId="126ACCB1" w14:textId="77777777" w:rsidR="00954185" w:rsidRPr="00954185" w:rsidRDefault="00954185" w:rsidP="00364C65">
            <w:pPr>
              <w:spacing w:line="360" w:lineRule="auto"/>
              <w:rPr>
                <w:sz w:val="20"/>
                <w:szCs w:val="20"/>
              </w:rPr>
            </w:pPr>
            <w:r w:rsidRPr="00954185">
              <w:rPr>
                <w:sz w:val="20"/>
                <w:szCs w:val="20"/>
              </w:rPr>
              <w:t xml:space="preserve">Skin lesions, arsenic metabolism </w:t>
            </w:r>
          </w:p>
        </w:tc>
      </w:tr>
      <w:tr w:rsidR="00954185" w:rsidRPr="00954185" w14:paraId="47F18DD5" w14:textId="77777777" w:rsidTr="00364C65">
        <w:trPr>
          <w:trHeight w:val="1200"/>
        </w:trPr>
        <w:tc>
          <w:tcPr>
            <w:tcW w:w="8364" w:type="dxa"/>
            <w:tcBorders>
              <w:left w:val="single" w:sz="4" w:space="0" w:color="000000" w:themeColor="text1"/>
            </w:tcBorders>
            <w:shd w:val="clear" w:color="auto" w:fill="auto"/>
            <w:vAlign w:val="center"/>
            <w:hideMark/>
          </w:tcPr>
          <w:p w14:paraId="4C4E10DD" w14:textId="77777777" w:rsidR="00954185" w:rsidRPr="00954185" w:rsidRDefault="00954185" w:rsidP="00364C65">
            <w:pPr>
              <w:spacing w:line="360" w:lineRule="auto"/>
              <w:rPr>
                <w:sz w:val="20"/>
                <w:szCs w:val="20"/>
              </w:rPr>
            </w:pPr>
            <w:r w:rsidRPr="00641BD3">
              <w:rPr>
                <w:sz w:val="20"/>
                <w:szCs w:val="20"/>
                <w:lang w:val="es-ES"/>
              </w:rPr>
              <w:t xml:space="preserve">Pineda-Belmontes, C. P., Hernández-Ramírez, R. U., Hernández-Alcaraz, C., Cebrián, M. E., &amp; López-Carrillo, L. (2016). </w:t>
            </w:r>
            <w:r w:rsidRPr="00954185">
              <w:rPr>
                <w:sz w:val="20"/>
                <w:szCs w:val="20"/>
              </w:rPr>
              <w:t xml:space="preserve">Genetic polymorphisms of PPAR gamma, arsenic methylation capacity and breast cancer risk in Mexican women. </w:t>
            </w:r>
            <w:proofErr w:type="spellStart"/>
            <w:r w:rsidRPr="00954185">
              <w:rPr>
                <w:sz w:val="20"/>
                <w:szCs w:val="20"/>
              </w:rPr>
              <w:t>salud</w:t>
            </w:r>
            <w:proofErr w:type="spellEnd"/>
            <w:r w:rsidRPr="00954185">
              <w:rPr>
                <w:sz w:val="20"/>
                <w:szCs w:val="20"/>
              </w:rPr>
              <w:t xml:space="preserve"> </w:t>
            </w:r>
            <w:proofErr w:type="spellStart"/>
            <w:r w:rsidRPr="00954185">
              <w:rPr>
                <w:sz w:val="20"/>
                <w:szCs w:val="20"/>
              </w:rPr>
              <w:t>pública</w:t>
            </w:r>
            <w:proofErr w:type="spellEnd"/>
            <w:r w:rsidRPr="00954185">
              <w:rPr>
                <w:sz w:val="20"/>
                <w:szCs w:val="20"/>
              </w:rPr>
              <w:t xml:space="preserve"> de </w:t>
            </w:r>
            <w:proofErr w:type="spellStart"/>
            <w:r w:rsidRPr="00954185">
              <w:rPr>
                <w:sz w:val="20"/>
                <w:szCs w:val="20"/>
              </w:rPr>
              <w:t>méxico</w:t>
            </w:r>
            <w:proofErr w:type="spellEnd"/>
            <w:r w:rsidRPr="00954185">
              <w:rPr>
                <w:sz w:val="20"/>
                <w:szCs w:val="20"/>
              </w:rPr>
              <w:t>, 58, 220-227.</w:t>
            </w:r>
          </w:p>
        </w:tc>
        <w:tc>
          <w:tcPr>
            <w:tcW w:w="2126" w:type="dxa"/>
            <w:tcBorders>
              <w:right w:val="single" w:sz="4" w:space="0" w:color="000000" w:themeColor="text1"/>
            </w:tcBorders>
            <w:shd w:val="clear" w:color="auto" w:fill="auto"/>
            <w:noWrap/>
            <w:vAlign w:val="center"/>
            <w:hideMark/>
          </w:tcPr>
          <w:p w14:paraId="69E9C32D" w14:textId="77777777" w:rsidR="00954185" w:rsidRPr="00954185" w:rsidRDefault="00954185" w:rsidP="00364C65">
            <w:pPr>
              <w:spacing w:line="360" w:lineRule="auto"/>
              <w:rPr>
                <w:sz w:val="20"/>
                <w:szCs w:val="20"/>
              </w:rPr>
            </w:pPr>
            <w:r w:rsidRPr="00954185">
              <w:rPr>
                <w:sz w:val="20"/>
                <w:szCs w:val="20"/>
              </w:rPr>
              <w:t xml:space="preserve">Breast cancer </w:t>
            </w:r>
          </w:p>
        </w:tc>
      </w:tr>
      <w:tr w:rsidR="00954185" w:rsidRPr="00954185" w14:paraId="063E0A79" w14:textId="77777777" w:rsidTr="00364C65">
        <w:trPr>
          <w:trHeight w:val="1200"/>
        </w:trPr>
        <w:tc>
          <w:tcPr>
            <w:tcW w:w="8364" w:type="dxa"/>
            <w:tcBorders>
              <w:left w:val="single" w:sz="4" w:space="0" w:color="000000" w:themeColor="text1"/>
            </w:tcBorders>
            <w:shd w:val="clear" w:color="auto" w:fill="auto"/>
            <w:vAlign w:val="center"/>
            <w:hideMark/>
          </w:tcPr>
          <w:p w14:paraId="18DB0138" w14:textId="77777777" w:rsidR="00954185" w:rsidRPr="00954185" w:rsidRDefault="00954185" w:rsidP="00364C65">
            <w:pPr>
              <w:spacing w:line="360" w:lineRule="auto"/>
              <w:rPr>
                <w:sz w:val="20"/>
                <w:szCs w:val="20"/>
              </w:rPr>
            </w:pPr>
            <w:proofErr w:type="spellStart"/>
            <w:r w:rsidRPr="00641BD3">
              <w:rPr>
                <w:sz w:val="20"/>
                <w:szCs w:val="20"/>
                <w:lang w:val="es-ES"/>
              </w:rPr>
              <w:t>Polimanti</w:t>
            </w:r>
            <w:proofErr w:type="spellEnd"/>
            <w:r w:rsidRPr="00641BD3">
              <w:rPr>
                <w:sz w:val="20"/>
                <w:szCs w:val="20"/>
                <w:lang w:val="es-ES"/>
              </w:rPr>
              <w:t xml:space="preserve">, R., </w:t>
            </w:r>
            <w:proofErr w:type="spellStart"/>
            <w:r w:rsidRPr="00641BD3">
              <w:rPr>
                <w:sz w:val="20"/>
                <w:szCs w:val="20"/>
                <w:lang w:val="es-ES"/>
              </w:rPr>
              <w:t>Piacentini</w:t>
            </w:r>
            <w:proofErr w:type="spellEnd"/>
            <w:r w:rsidRPr="00641BD3">
              <w:rPr>
                <w:sz w:val="20"/>
                <w:szCs w:val="20"/>
                <w:lang w:val="es-ES"/>
              </w:rPr>
              <w:t xml:space="preserve">, S., De </w:t>
            </w:r>
            <w:proofErr w:type="spellStart"/>
            <w:r w:rsidRPr="00641BD3">
              <w:rPr>
                <w:sz w:val="20"/>
                <w:szCs w:val="20"/>
                <w:lang w:val="es-ES"/>
              </w:rPr>
              <w:t>Angelis</w:t>
            </w:r>
            <w:proofErr w:type="spellEnd"/>
            <w:r w:rsidRPr="00641BD3">
              <w:rPr>
                <w:sz w:val="20"/>
                <w:szCs w:val="20"/>
                <w:lang w:val="es-ES"/>
              </w:rPr>
              <w:t xml:space="preserve">, F., De Stefano, G. F., &amp; </w:t>
            </w:r>
            <w:proofErr w:type="spellStart"/>
            <w:r w:rsidRPr="00641BD3">
              <w:rPr>
                <w:sz w:val="20"/>
                <w:szCs w:val="20"/>
                <w:lang w:val="es-ES"/>
              </w:rPr>
              <w:t>Fuciarelli</w:t>
            </w:r>
            <w:proofErr w:type="spellEnd"/>
            <w:r w:rsidRPr="00641BD3">
              <w:rPr>
                <w:sz w:val="20"/>
                <w:szCs w:val="20"/>
                <w:lang w:val="es-ES"/>
              </w:rPr>
              <w:t xml:space="preserve">, M. (2011). </w:t>
            </w:r>
            <w:r w:rsidRPr="00954185">
              <w:rPr>
                <w:sz w:val="20"/>
                <w:szCs w:val="20"/>
              </w:rPr>
              <w:t>Human GST loci as markers of evolutionary forces: GSTO1* E155del and GSTO1* E208K polymorphisms may be under natural selection induced by environmental arsenic. Disease markers, 31(4), 231-239.</w:t>
            </w:r>
          </w:p>
        </w:tc>
        <w:tc>
          <w:tcPr>
            <w:tcW w:w="2126" w:type="dxa"/>
            <w:tcBorders>
              <w:right w:val="single" w:sz="4" w:space="0" w:color="000000" w:themeColor="text1"/>
            </w:tcBorders>
            <w:shd w:val="clear" w:color="auto" w:fill="auto"/>
            <w:noWrap/>
            <w:vAlign w:val="center"/>
            <w:hideMark/>
          </w:tcPr>
          <w:p w14:paraId="24CA76D8" w14:textId="77777777" w:rsidR="00954185" w:rsidRPr="00954185" w:rsidRDefault="00954185" w:rsidP="00364C65">
            <w:pPr>
              <w:spacing w:line="360" w:lineRule="auto"/>
              <w:rPr>
                <w:sz w:val="20"/>
                <w:szCs w:val="20"/>
              </w:rPr>
            </w:pPr>
            <w:r w:rsidRPr="00954185">
              <w:rPr>
                <w:sz w:val="20"/>
                <w:szCs w:val="20"/>
              </w:rPr>
              <w:t xml:space="preserve">No arsenic metabolism, or arsenic-related disease </w:t>
            </w:r>
          </w:p>
        </w:tc>
      </w:tr>
      <w:tr w:rsidR="00954185" w:rsidRPr="00954185" w14:paraId="04D4E31C" w14:textId="77777777" w:rsidTr="00364C65">
        <w:trPr>
          <w:trHeight w:val="1200"/>
        </w:trPr>
        <w:tc>
          <w:tcPr>
            <w:tcW w:w="8364" w:type="dxa"/>
            <w:tcBorders>
              <w:left w:val="single" w:sz="4" w:space="0" w:color="000000" w:themeColor="text1"/>
            </w:tcBorders>
            <w:shd w:val="clear" w:color="auto" w:fill="auto"/>
            <w:vAlign w:val="center"/>
            <w:hideMark/>
          </w:tcPr>
          <w:p w14:paraId="15247ACF" w14:textId="77777777" w:rsidR="00954185" w:rsidRPr="00954185" w:rsidRDefault="00954185" w:rsidP="00364C65">
            <w:pPr>
              <w:spacing w:line="360" w:lineRule="auto"/>
              <w:rPr>
                <w:sz w:val="20"/>
                <w:szCs w:val="20"/>
              </w:rPr>
            </w:pPr>
            <w:r w:rsidRPr="00641BD3">
              <w:rPr>
                <w:sz w:val="20"/>
                <w:szCs w:val="20"/>
                <w:lang w:val="es-ES"/>
              </w:rPr>
              <w:lastRenderedPageBreak/>
              <w:t xml:space="preserve">Porta, M., </w:t>
            </w:r>
            <w:proofErr w:type="spellStart"/>
            <w:r w:rsidRPr="00641BD3">
              <w:rPr>
                <w:sz w:val="20"/>
                <w:szCs w:val="20"/>
                <w:lang w:val="es-ES"/>
              </w:rPr>
              <w:t>Pumarega</w:t>
            </w:r>
            <w:proofErr w:type="spellEnd"/>
            <w:r w:rsidRPr="00641BD3">
              <w:rPr>
                <w:sz w:val="20"/>
                <w:szCs w:val="20"/>
                <w:lang w:val="es-ES"/>
              </w:rPr>
              <w:t xml:space="preserve">, J., Amaral, A. F., </w:t>
            </w:r>
            <w:proofErr w:type="spellStart"/>
            <w:r w:rsidRPr="00641BD3">
              <w:rPr>
                <w:sz w:val="20"/>
                <w:szCs w:val="20"/>
                <w:lang w:val="es-ES"/>
              </w:rPr>
              <w:t>Genkinger</w:t>
            </w:r>
            <w:proofErr w:type="spellEnd"/>
            <w:r w:rsidRPr="00641BD3">
              <w:rPr>
                <w:sz w:val="20"/>
                <w:szCs w:val="20"/>
                <w:lang w:val="es-ES"/>
              </w:rPr>
              <w:t xml:space="preserve">, J. M., Camargo, J., </w:t>
            </w:r>
            <w:proofErr w:type="spellStart"/>
            <w:r w:rsidRPr="00641BD3">
              <w:rPr>
                <w:sz w:val="20"/>
                <w:szCs w:val="20"/>
                <w:lang w:val="es-ES"/>
              </w:rPr>
              <w:t>Mucci</w:t>
            </w:r>
            <w:proofErr w:type="spellEnd"/>
            <w:r w:rsidRPr="00641BD3">
              <w:rPr>
                <w:sz w:val="20"/>
                <w:szCs w:val="20"/>
                <w:lang w:val="es-ES"/>
              </w:rPr>
              <w:t xml:space="preserve">, L., ... </w:t>
            </w:r>
            <w:r w:rsidRPr="00954185">
              <w:rPr>
                <w:sz w:val="20"/>
                <w:szCs w:val="20"/>
              </w:rPr>
              <w:t>&amp; PANKRAS II Study Group. (2020). Influence of KRAS mutations, persistent organic pollutants, and trace elements on survival from pancreatic ductal adenocarcinoma. Environmental research, 190, 109781.</w:t>
            </w:r>
          </w:p>
        </w:tc>
        <w:tc>
          <w:tcPr>
            <w:tcW w:w="2126" w:type="dxa"/>
            <w:tcBorders>
              <w:right w:val="single" w:sz="4" w:space="0" w:color="000000" w:themeColor="text1"/>
            </w:tcBorders>
            <w:shd w:val="clear" w:color="auto" w:fill="auto"/>
            <w:noWrap/>
            <w:vAlign w:val="center"/>
            <w:hideMark/>
          </w:tcPr>
          <w:p w14:paraId="3388092D" w14:textId="77777777" w:rsidR="00954185" w:rsidRPr="00954185" w:rsidRDefault="00954185" w:rsidP="00364C65">
            <w:pPr>
              <w:spacing w:line="360" w:lineRule="auto"/>
              <w:rPr>
                <w:sz w:val="20"/>
                <w:szCs w:val="20"/>
              </w:rPr>
            </w:pPr>
            <w:r w:rsidRPr="00954185">
              <w:rPr>
                <w:sz w:val="20"/>
                <w:szCs w:val="20"/>
              </w:rPr>
              <w:t xml:space="preserve">No arsenic metabolism, or arsenic-related disease </w:t>
            </w:r>
          </w:p>
        </w:tc>
      </w:tr>
      <w:tr w:rsidR="00954185" w:rsidRPr="00954185" w14:paraId="4E3FCD8E" w14:textId="77777777" w:rsidTr="00364C65">
        <w:trPr>
          <w:trHeight w:val="900"/>
        </w:trPr>
        <w:tc>
          <w:tcPr>
            <w:tcW w:w="8364" w:type="dxa"/>
            <w:tcBorders>
              <w:left w:val="single" w:sz="4" w:space="0" w:color="000000" w:themeColor="text1"/>
            </w:tcBorders>
            <w:shd w:val="clear" w:color="auto" w:fill="auto"/>
            <w:vAlign w:val="center"/>
            <w:hideMark/>
          </w:tcPr>
          <w:p w14:paraId="761961E4" w14:textId="77777777" w:rsidR="00954185" w:rsidRPr="00954185" w:rsidRDefault="00954185" w:rsidP="00364C65">
            <w:pPr>
              <w:spacing w:line="360" w:lineRule="auto"/>
              <w:rPr>
                <w:sz w:val="20"/>
                <w:szCs w:val="20"/>
              </w:rPr>
            </w:pPr>
            <w:r w:rsidRPr="00954185">
              <w:rPr>
                <w:sz w:val="20"/>
                <w:szCs w:val="20"/>
              </w:rPr>
              <w:t xml:space="preserve">Porter, K. E., Basu, A., Hubbard, A. E., Bates, M. N., Kalman, D., Rey, O., ... &amp; </w:t>
            </w:r>
            <w:proofErr w:type="spellStart"/>
            <w:r w:rsidRPr="00954185">
              <w:rPr>
                <w:sz w:val="20"/>
                <w:szCs w:val="20"/>
              </w:rPr>
              <w:t>Skibola</w:t>
            </w:r>
            <w:proofErr w:type="spellEnd"/>
            <w:r w:rsidRPr="00954185">
              <w:rPr>
                <w:sz w:val="20"/>
                <w:szCs w:val="20"/>
              </w:rPr>
              <w:t>, C. F. (2010). Association of genetic variation in cystathionine-β-synthase and arsenic metabolism. Environmental research, 110(6), 580-587.</w:t>
            </w:r>
          </w:p>
        </w:tc>
        <w:tc>
          <w:tcPr>
            <w:tcW w:w="2126" w:type="dxa"/>
            <w:tcBorders>
              <w:right w:val="single" w:sz="4" w:space="0" w:color="000000" w:themeColor="text1"/>
            </w:tcBorders>
            <w:shd w:val="clear" w:color="auto" w:fill="auto"/>
            <w:noWrap/>
            <w:vAlign w:val="center"/>
            <w:hideMark/>
          </w:tcPr>
          <w:p w14:paraId="46CD54EC"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3DAAEE23" w14:textId="77777777" w:rsidTr="00364C65">
        <w:trPr>
          <w:trHeight w:val="900"/>
        </w:trPr>
        <w:tc>
          <w:tcPr>
            <w:tcW w:w="8364" w:type="dxa"/>
            <w:tcBorders>
              <w:left w:val="single" w:sz="4" w:space="0" w:color="000000" w:themeColor="text1"/>
            </w:tcBorders>
            <w:shd w:val="clear" w:color="auto" w:fill="auto"/>
            <w:vAlign w:val="center"/>
            <w:hideMark/>
          </w:tcPr>
          <w:p w14:paraId="00BDA90A" w14:textId="77777777" w:rsidR="00954185" w:rsidRPr="00954185" w:rsidRDefault="00954185" w:rsidP="00364C65">
            <w:pPr>
              <w:spacing w:line="360" w:lineRule="auto"/>
              <w:rPr>
                <w:sz w:val="20"/>
                <w:szCs w:val="20"/>
              </w:rPr>
            </w:pPr>
            <w:proofErr w:type="spellStart"/>
            <w:r w:rsidRPr="00954185">
              <w:rPr>
                <w:sz w:val="20"/>
                <w:szCs w:val="20"/>
              </w:rPr>
              <w:t>Pouladi</w:t>
            </w:r>
            <w:proofErr w:type="spellEnd"/>
            <w:r w:rsidRPr="00954185">
              <w:rPr>
                <w:sz w:val="20"/>
                <w:szCs w:val="20"/>
              </w:rPr>
              <w:t xml:space="preserve">, N., Sadi </w:t>
            </w:r>
            <w:proofErr w:type="spellStart"/>
            <w:r w:rsidRPr="00954185">
              <w:rPr>
                <w:sz w:val="20"/>
                <w:szCs w:val="20"/>
              </w:rPr>
              <w:t>Khosroshahi</w:t>
            </w:r>
            <w:proofErr w:type="spellEnd"/>
            <w:r w:rsidRPr="00954185">
              <w:rPr>
                <w:sz w:val="20"/>
                <w:szCs w:val="20"/>
              </w:rPr>
              <w:t xml:space="preserve">, N., Valipour, M., &amp; </w:t>
            </w:r>
            <w:proofErr w:type="spellStart"/>
            <w:r w:rsidRPr="00954185">
              <w:rPr>
                <w:sz w:val="20"/>
                <w:szCs w:val="20"/>
              </w:rPr>
              <w:t>Abdolahi</w:t>
            </w:r>
            <w:proofErr w:type="spellEnd"/>
            <w:r w:rsidRPr="00954185">
              <w:rPr>
                <w:sz w:val="20"/>
                <w:szCs w:val="20"/>
              </w:rPr>
              <w:t>, S. (2021). p53 mutation possibility and food dietary containing heavy metals. Journal of Kerman University of Medical Sciences, 28(6), 626-636.</w:t>
            </w:r>
          </w:p>
        </w:tc>
        <w:tc>
          <w:tcPr>
            <w:tcW w:w="2126" w:type="dxa"/>
            <w:tcBorders>
              <w:right w:val="single" w:sz="4" w:space="0" w:color="000000" w:themeColor="text1"/>
            </w:tcBorders>
            <w:shd w:val="clear" w:color="auto" w:fill="auto"/>
            <w:noWrap/>
            <w:vAlign w:val="center"/>
            <w:hideMark/>
          </w:tcPr>
          <w:p w14:paraId="070AA00E" w14:textId="77777777" w:rsidR="00954185" w:rsidRPr="00954185" w:rsidRDefault="00954185" w:rsidP="00364C65">
            <w:pPr>
              <w:spacing w:line="360" w:lineRule="auto"/>
              <w:rPr>
                <w:sz w:val="20"/>
                <w:szCs w:val="20"/>
              </w:rPr>
            </w:pPr>
            <w:r w:rsidRPr="00954185">
              <w:rPr>
                <w:sz w:val="20"/>
                <w:szCs w:val="20"/>
              </w:rPr>
              <w:t>Secondary study design (e.g., review, meta-analysis)</w:t>
            </w:r>
          </w:p>
        </w:tc>
      </w:tr>
      <w:tr w:rsidR="00954185" w:rsidRPr="00954185" w14:paraId="3280DCD3" w14:textId="77777777" w:rsidTr="00364C65">
        <w:trPr>
          <w:trHeight w:val="1500"/>
        </w:trPr>
        <w:tc>
          <w:tcPr>
            <w:tcW w:w="8364" w:type="dxa"/>
            <w:tcBorders>
              <w:left w:val="single" w:sz="4" w:space="0" w:color="000000" w:themeColor="text1"/>
            </w:tcBorders>
            <w:shd w:val="clear" w:color="auto" w:fill="auto"/>
            <w:vAlign w:val="center"/>
            <w:hideMark/>
          </w:tcPr>
          <w:p w14:paraId="617E8AC5" w14:textId="77777777" w:rsidR="00954185" w:rsidRPr="00954185" w:rsidRDefault="00954185" w:rsidP="00364C65">
            <w:pPr>
              <w:spacing w:line="360" w:lineRule="auto"/>
              <w:rPr>
                <w:sz w:val="20"/>
                <w:szCs w:val="20"/>
              </w:rPr>
            </w:pPr>
            <w:r w:rsidRPr="00954185">
              <w:rPr>
                <w:sz w:val="20"/>
                <w:szCs w:val="20"/>
              </w:rPr>
              <w:t xml:space="preserve">Rahbar, M. H., Samms-Vaughan, M., Zhao, Y., </w:t>
            </w:r>
            <w:proofErr w:type="spellStart"/>
            <w:r w:rsidRPr="00954185">
              <w:rPr>
                <w:sz w:val="20"/>
                <w:szCs w:val="20"/>
              </w:rPr>
              <w:t>Saroukhani</w:t>
            </w:r>
            <w:proofErr w:type="spellEnd"/>
            <w:r w:rsidRPr="00954185">
              <w:rPr>
                <w:sz w:val="20"/>
                <w:szCs w:val="20"/>
              </w:rPr>
              <w:t>, S., Zaman, S. F., Bressler, J., ... &amp; Loveland, K. A. (2022). Additive and interactive associations of environmental and sociodemographic factors with the genotypes of three glutathione S-transferase genes in relation to the blood arsenic concentrations of children in Jamaica. International Journal of Environmental Research and Public Health, 19(1), 466.</w:t>
            </w:r>
          </w:p>
        </w:tc>
        <w:tc>
          <w:tcPr>
            <w:tcW w:w="2126" w:type="dxa"/>
            <w:tcBorders>
              <w:right w:val="single" w:sz="4" w:space="0" w:color="000000" w:themeColor="text1"/>
            </w:tcBorders>
            <w:shd w:val="clear" w:color="auto" w:fill="auto"/>
            <w:noWrap/>
            <w:vAlign w:val="center"/>
            <w:hideMark/>
          </w:tcPr>
          <w:p w14:paraId="4E9E85D3" w14:textId="77777777" w:rsidR="00954185" w:rsidRPr="00954185" w:rsidRDefault="00954185" w:rsidP="00364C65">
            <w:pPr>
              <w:spacing w:line="360" w:lineRule="auto"/>
              <w:rPr>
                <w:sz w:val="20"/>
                <w:szCs w:val="20"/>
              </w:rPr>
            </w:pPr>
            <w:r w:rsidRPr="00954185">
              <w:rPr>
                <w:sz w:val="20"/>
                <w:szCs w:val="20"/>
              </w:rPr>
              <w:t xml:space="preserve">No arsenic metabolism, or arsenic-related disease </w:t>
            </w:r>
          </w:p>
        </w:tc>
      </w:tr>
      <w:tr w:rsidR="00954185" w:rsidRPr="00954185" w14:paraId="3DDE6F60" w14:textId="77777777" w:rsidTr="00364C65">
        <w:trPr>
          <w:trHeight w:val="900"/>
        </w:trPr>
        <w:tc>
          <w:tcPr>
            <w:tcW w:w="8364" w:type="dxa"/>
            <w:tcBorders>
              <w:left w:val="single" w:sz="4" w:space="0" w:color="000000" w:themeColor="text1"/>
            </w:tcBorders>
            <w:shd w:val="clear" w:color="auto" w:fill="auto"/>
            <w:vAlign w:val="center"/>
            <w:hideMark/>
          </w:tcPr>
          <w:p w14:paraId="14A45715" w14:textId="77777777" w:rsidR="00954185" w:rsidRPr="00954185" w:rsidRDefault="00954185" w:rsidP="00364C65">
            <w:pPr>
              <w:spacing w:line="360" w:lineRule="auto"/>
              <w:rPr>
                <w:sz w:val="20"/>
                <w:szCs w:val="20"/>
              </w:rPr>
            </w:pPr>
            <w:r w:rsidRPr="00641BD3">
              <w:rPr>
                <w:sz w:val="20"/>
                <w:szCs w:val="20"/>
                <w:lang w:val="es-ES"/>
              </w:rPr>
              <w:t xml:space="preserve">Rangel-Moreno, K., Gamboa-Loira, B., López-Carrillo, L., &amp; Cebrián, M. E. (2022). </w:t>
            </w:r>
            <w:r w:rsidRPr="00954185">
              <w:rPr>
                <w:sz w:val="20"/>
                <w:szCs w:val="20"/>
              </w:rPr>
              <w:t>Prevalence of type 2 diabetes mellitus in relation to arsenic exposure and metabolism in Mexican women. Environmental Research, 210, 112948.</w:t>
            </w:r>
          </w:p>
        </w:tc>
        <w:tc>
          <w:tcPr>
            <w:tcW w:w="2126" w:type="dxa"/>
            <w:tcBorders>
              <w:right w:val="single" w:sz="4" w:space="0" w:color="000000" w:themeColor="text1"/>
            </w:tcBorders>
            <w:shd w:val="clear" w:color="auto" w:fill="auto"/>
            <w:noWrap/>
            <w:vAlign w:val="center"/>
            <w:hideMark/>
          </w:tcPr>
          <w:p w14:paraId="7FAD7E97" w14:textId="6188024A" w:rsidR="00954185" w:rsidRPr="00954185" w:rsidRDefault="00954185" w:rsidP="00364C65">
            <w:pPr>
              <w:spacing w:line="360" w:lineRule="auto"/>
              <w:rPr>
                <w:sz w:val="20"/>
                <w:szCs w:val="20"/>
              </w:rPr>
            </w:pPr>
            <w:r w:rsidRPr="00954185">
              <w:rPr>
                <w:sz w:val="20"/>
                <w:szCs w:val="20"/>
              </w:rPr>
              <w:t xml:space="preserve">No genetic </w:t>
            </w:r>
            <w:r w:rsidR="000462B2" w:rsidRPr="00954185">
              <w:rPr>
                <w:sz w:val="20"/>
                <w:szCs w:val="20"/>
              </w:rPr>
              <w:t>susceptibility</w:t>
            </w:r>
            <w:r w:rsidRPr="00954185">
              <w:rPr>
                <w:sz w:val="20"/>
                <w:szCs w:val="20"/>
              </w:rPr>
              <w:t>, or not SNP</w:t>
            </w:r>
          </w:p>
        </w:tc>
      </w:tr>
      <w:tr w:rsidR="00954185" w:rsidRPr="00954185" w14:paraId="5F7CBD66" w14:textId="77777777" w:rsidTr="00364C65">
        <w:trPr>
          <w:trHeight w:val="1200"/>
        </w:trPr>
        <w:tc>
          <w:tcPr>
            <w:tcW w:w="8364" w:type="dxa"/>
            <w:tcBorders>
              <w:left w:val="single" w:sz="4" w:space="0" w:color="000000" w:themeColor="text1"/>
            </w:tcBorders>
            <w:shd w:val="clear" w:color="auto" w:fill="auto"/>
            <w:vAlign w:val="center"/>
            <w:hideMark/>
          </w:tcPr>
          <w:p w14:paraId="19638DC5" w14:textId="77777777" w:rsidR="00954185" w:rsidRPr="00954185" w:rsidRDefault="00954185" w:rsidP="00364C65">
            <w:pPr>
              <w:spacing w:line="360" w:lineRule="auto"/>
              <w:rPr>
                <w:sz w:val="20"/>
                <w:szCs w:val="20"/>
              </w:rPr>
            </w:pPr>
            <w:r w:rsidRPr="00641BD3">
              <w:rPr>
                <w:sz w:val="20"/>
                <w:szCs w:val="20"/>
                <w:lang w:val="es-ES"/>
              </w:rPr>
              <w:t>Recio‐Vega, R., González‐Cortes, T., Olivas‐Calderón, E., Clark Lantz, R., Jay Gandolfi, A., &amp; Michel‐</w:t>
            </w:r>
            <w:proofErr w:type="spellStart"/>
            <w:r w:rsidRPr="00641BD3">
              <w:rPr>
                <w:sz w:val="20"/>
                <w:szCs w:val="20"/>
                <w:lang w:val="es-ES"/>
              </w:rPr>
              <w:t>Ramirez</w:t>
            </w:r>
            <w:proofErr w:type="spellEnd"/>
            <w:r w:rsidRPr="00641BD3">
              <w:rPr>
                <w:sz w:val="20"/>
                <w:szCs w:val="20"/>
                <w:lang w:val="es-ES"/>
              </w:rPr>
              <w:t xml:space="preserve">, G. (2016). </w:t>
            </w:r>
            <w:r w:rsidRPr="00954185">
              <w:rPr>
                <w:sz w:val="20"/>
                <w:szCs w:val="20"/>
              </w:rPr>
              <w:t>Association between polymorphisms in arsenic metabolism genes and urinary arsenic methylation profiles in girls and boys chronically exposed to arsenic. Environmental and molecular mutagenesis, 57(7), 516-525.</w:t>
            </w:r>
          </w:p>
        </w:tc>
        <w:tc>
          <w:tcPr>
            <w:tcW w:w="2126" w:type="dxa"/>
            <w:tcBorders>
              <w:right w:val="single" w:sz="4" w:space="0" w:color="000000" w:themeColor="text1"/>
            </w:tcBorders>
            <w:shd w:val="clear" w:color="auto" w:fill="auto"/>
            <w:noWrap/>
            <w:vAlign w:val="center"/>
            <w:hideMark/>
          </w:tcPr>
          <w:p w14:paraId="1B427484"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471199DB" w14:textId="77777777" w:rsidTr="00364C65">
        <w:trPr>
          <w:trHeight w:val="1500"/>
        </w:trPr>
        <w:tc>
          <w:tcPr>
            <w:tcW w:w="8364" w:type="dxa"/>
            <w:tcBorders>
              <w:left w:val="single" w:sz="4" w:space="0" w:color="000000" w:themeColor="text1"/>
            </w:tcBorders>
            <w:shd w:val="clear" w:color="auto" w:fill="auto"/>
            <w:vAlign w:val="center"/>
            <w:hideMark/>
          </w:tcPr>
          <w:p w14:paraId="4F7ADCE7" w14:textId="77777777" w:rsidR="00954185" w:rsidRPr="00954185" w:rsidRDefault="00954185" w:rsidP="00364C65">
            <w:pPr>
              <w:spacing w:line="360" w:lineRule="auto"/>
              <w:rPr>
                <w:sz w:val="20"/>
                <w:szCs w:val="20"/>
              </w:rPr>
            </w:pPr>
            <w:r w:rsidRPr="00641BD3">
              <w:rPr>
                <w:sz w:val="20"/>
                <w:szCs w:val="20"/>
                <w:lang w:val="es-ES"/>
              </w:rPr>
              <w:t xml:space="preserve">Recio‐Vega, R., </w:t>
            </w:r>
            <w:proofErr w:type="spellStart"/>
            <w:r w:rsidRPr="00641BD3">
              <w:rPr>
                <w:sz w:val="20"/>
                <w:szCs w:val="20"/>
                <w:lang w:val="es-ES"/>
              </w:rPr>
              <w:t>Hernandez‐Gonzalez</w:t>
            </w:r>
            <w:proofErr w:type="spellEnd"/>
            <w:r w:rsidRPr="00641BD3">
              <w:rPr>
                <w:sz w:val="20"/>
                <w:szCs w:val="20"/>
                <w:lang w:val="es-ES"/>
              </w:rPr>
              <w:t>, S., Michel‐</w:t>
            </w:r>
            <w:proofErr w:type="spellStart"/>
            <w:r w:rsidRPr="00641BD3">
              <w:rPr>
                <w:sz w:val="20"/>
                <w:szCs w:val="20"/>
                <w:lang w:val="es-ES"/>
              </w:rPr>
              <w:t>Ramirez</w:t>
            </w:r>
            <w:proofErr w:type="spellEnd"/>
            <w:r w:rsidRPr="00641BD3">
              <w:rPr>
                <w:sz w:val="20"/>
                <w:szCs w:val="20"/>
                <w:lang w:val="es-ES"/>
              </w:rPr>
              <w:t xml:space="preserve">, G., Olivas‐Calderón, E., Lantz, R. C., Gandolfi, A. J., &amp; </w:t>
            </w:r>
            <w:proofErr w:type="spellStart"/>
            <w:r w:rsidRPr="00641BD3">
              <w:rPr>
                <w:sz w:val="20"/>
                <w:szCs w:val="20"/>
                <w:lang w:val="es-ES"/>
              </w:rPr>
              <w:t>Amistadi</w:t>
            </w:r>
            <w:proofErr w:type="spellEnd"/>
            <w:r w:rsidRPr="00641BD3">
              <w:rPr>
                <w:sz w:val="20"/>
                <w:szCs w:val="20"/>
                <w:lang w:val="es-ES"/>
              </w:rPr>
              <w:t xml:space="preserve">, M. K. (2021). </w:t>
            </w:r>
            <w:r w:rsidRPr="00954185">
              <w:rPr>
                <w:sz w:val="20"/>
                <w:szCs w:val="20"/>
              </w:rPr>
              <w:t>Association between the polymorphism of three genes involved in the methylation and efflux of arsenic (As3MT, MRP1, and P‐</w:t>
            </w:r>
            <w:proofErr w:type="spellStart"/>
            <w:r w:rsidRPr="00954185">
              <w:rPr>
                <w:sz w:val="20"/>
                <w:szCs w:val="20"/>
              </w:rPr>
              <w:t>gp</w:t>
            </w:r>
            <w:proofErr w:type="spellEnd"/>
            <w:r w:rsidRPr="00954185">
              <w:rPr>
                <w:sz w:val="20"/>
                <w:szCs w:val="20"/>
              </w:rPr>
              <w:t>) with lung cancer in a Mexican cohort. Journal of Applied Toxicology, 41(9), 1357-1366.</w:t>
            </w:r>
          </w:p>
        </w:tc>
        <w:tc>
          <w:tcPr>
            <w:tcW w:w="2126" w:type="dxa"/>
            <w:tcBorders>
              <w:right w:val="single" w:sz="4" w:space="0" w:color="000000" w:themeColor="text1"/>
            </w:tcBorders>
            <w:shd w:val="clear" w:color="auto" w:fill="auto"/>
            <w:noWrap/>
            <w:vAlign w:val="center"/>
            <w:hideMark/>
          </w:tcPr>
          <w:p w14:paraId="37796482" w14:textId="77777777" w:rsidR="00954185" w:rsidRPr="00954185" w:rsidRDefault="00954185" w:rsidP="00364C65">
            <w:pPr>
              <w:spacing w:line="360" w:lineRule="auto"/>
              <w:rPr>
                <w:sz w:val="20"/>
                <w:szCs w:val="20"/>
              </w:rPr>
            </w:pPr>
            <w:r w:rsidRPr="00954185">
              <w:rPr>
                <w:sz w:val="20"/>
                <w:szCs w:val="20"/>
              </w:rPr>
              <w:t>Arsenic metabolism, lung cancer</w:t>
            </w:r>
          </w:p>
        </w:tc>
      </w:tr>
      <w:tr w:rsidR="00954185" w:rsidRPr="00954185" w14:paraId="0D1A37C6" w14:textId="77777777" w:rsidTr="00364C65">
        <w:trPr>
          <w:trHeight w:val="1200"/>
        </w:trPr>
        <w:tc>
          <w:tcPr>
            <w:tcW w:w="8364" w:type="dxa"/>
            <w:tcBorders>
              <w:left w:val="single" w:sz="4" w:space="0" w:color="000000" w:themeColor="text1"/>
            </w:tcBorders>
            <w:shd w:val="clear" w:color="auto" w:fill="auto"/>
            <w:vAlign w:val="center"/>
            <w:hideMark/>
          </w:tcPr>
          <w:p w14:paraId="09483D1B" w14:textId="77777777" w:rsidR="00954185" w:rsidRPr="00954185" w:rsidRDefault="00954185" w:rsidP="00364C65">
            <w:pPr>
              <w:spacing w:line="360" w:lineRule="auto"/>
              <w:rPr>
                <w:sz w:val="20"/>
                <w:szCs w:val="20"/>
              </w:rPr>
            </w:pPr>
            <w:r w:rsidRPr="00954185">
              <w:rPr>
                <w:sz w:val="20"/>
                <w:szCs w:val="20"/>
              </w:rPr>
              <w:t xml:space="preserve">Rehman, M. Y. A., </w:t>
            </w:r>
            <w:proofErr w:type="spellStart"/>
            <w:r w:rsidRPr="00954185">
              <w:rPr>
                <w:sz w:val="20"/>
                <w:szCs w:val="20"/>
              </w:rPr>
              <w:t>Briedé</w:t>
            </w:r>
            <w:proofErr w:type="spellEnd"/>
            <w:r w:rsidRPr="00954185">
              <w:rPr>
                <w:sz w:val="20"/>
                <w:szCs w:val="20"/>
              </w:rPr>
              <w:t xml:space="preserve">, J. J., van </w:t>
            </w:r>
            <w:proofErr w:type="spellStart"/>
            <w:r w:rsidRPr="00954185">
              <w:rPr>
                <w:sz w:val="20"/>
                <w:szCs w:val="20"/>
              </w:rPr>
              <w:t>Herwijnen</w:t>
            </w:r>
            <w:proofErr w:type="spellEnd"/>
            <w:r w:rsidRPr="00954185">
              <w:rPr>
                <w:sz w:val="20"/>
                <w:szCs w:val="20"/>
              </w:rPr>
              <w:t xml:space="preserve">, M., Krauskopf, J., Jennen, D. G., Malik, R. N., &amp; </w:t>
            </w:r>
            <w:proofErr w:type="spellStart"/>
            <w:r w:rsidRPr="00954185">
              <w:rPr>
                <w:sz w:val="20"/>
                <w:szCs w:val="20"/>
              </w:rPr>
              <w:t>Kleinjans</w:t>
            </w:r>
            <w:proofErr w:type="spellEnd"/>
            <w:r w:rsidRPr="00954185">
              <w:rPr>
                <w:sz w:val="20"/>
                <w:szCs w:val="20"/>
              </w:rPr>
              <w:t xml:space="preserve">, J. C. (2022). Integrating SNPs-based genetic risk factor with blood epigenomic response of differentially arsenic-exposed rural subjects reveals disease-associated </w:t>
            </w:r>
            <w:proofErr w:type="spellStart"/>
            <w:r w:rsidRPr="00954185">
              <w:rPr>
                <w:sz w:val="20"/>
                <w:szCs w:val="20"/>
              </w:rPr>
              <w:t>signaling</w:t>
            </w:r>
            <w:proofErr w:type="spellEnd"/>
            <w:r w:rsidRPr="00954185">
              <w:rPr>
                <w:sz w:val="20"/>
                <w:szCs w:val="20"/>
              </w:rPr>
              <w:t xml:space="preserve"> pathways. Environmental Pollution, 292, 118279.</w:t>
            </w:r>
          </w:p>
        </w:tc>
        <w:tc>
          <w:tcPr>
            <w:tcW w:w="2126" w:type="dxa"/>
            <w:tcBorders>
              <w:right w:val="single" w:sz="4" w:space="0" w:color="000000" w:themeColor="text1"/>
            </w:tcBorders>
            <w:shd w:val="clear" w:color="auto" w:fill="auto"/>
            <w:noWrap/>
            <w:vAlign w:val="center"/>
            <w:hideMark/>
          </w:tcPr>
          <w:p w14:paraId="335CE06B" w14:textId="77777777" w:rsidR="00954185" w:rsidRPr="00954185" w:rsidRDefault="00954185" w:rsidP="00364C65">
            <w:pPr>
              <w:spacing w:line="360" w:lineRule="auto"/>
              <w:rPr>
                <w:sz w:val="20"/>
                <w:szCs w:val="20"/>
              </w:rPr>
            </w:pPr>
            <w:r w:rsidRPr="00954185">
              <w:rPr>
                <w:sz w:val="20"/>
                <w:szCs w:val="20"/>
              </w:rPr>
              <w:t xml:space="preserve">No arsenic metabolism, or arsenic-related disease </w:t>
            </w:r>
          </w:p>
        </w:tc>
      </w:tr>
      <w:tr w:rsidR="00954185" w:rsidRPr="00954185" w14:paraId="3E4AFB8D" w14:textId="77777777" w:rsidTr="00364C65">
        <w:trPr>
          <w:trHeight w:val="1200"/>
        </w:trPr>
        <w:tc>
          <w:tcPr>
            <w:tcW w:w="8364" w:type="dxa"/>
            <w:tcBorders>
              <w:left w:val="single" w:sz="4" w:space="0" w:color="000000" w:themeColor="text1"/>
            </w:tcBorders>
            <w:shd w:val="clear" w:color="auto" w:fill="auto"/>
            <w:vAlign w:val="center"/>
            <w:hideMark/>
          </w:tcPr>
          <w:p w14:paraId="41DA64AC" w14:textId="77777777" w:rsidR="00954185" w:rsidRPr="00954185" w:rsidRDefault="00954185" w:rsidP="00364C65">
            <w:pPr>
              <w:spacing w:line="360" w:lineRule="auto"/>
              <w:rPr>
                <w:sz w:val="20"/>
                <w:szCs w:val="20"/>
              </w:rPr>
            </w:pPr>
            <w:r w:rsidRPr="00954185">
              <w:rPr>
                <w:sz w:val="20"/>
                <w:szCs w:val="20"/>
              </w:rPr>
              <w:t xml:space="preserve">Rehman, M. Y. A., van </w:t>
            </w:r>
            <w:proofErr w:type="spellStart"/>
            <w:r w:rsidRPr="00954185">
              <w:rPr>
                <w:sz w:val="20"/>
                <w:szCs w:val="20"/>
              </w:rPr>
              <w:t>Herwijnen</w:t>
            </w:r>
            <w:proofErr w:type="spellEnd"/>
            <w:r w:rsidRPr="00954185">
              <w:rPr>
                <w:sz w:val="20"/>
                <w:szCs w:val="20"/>
              </w:rPr>
              <w:t xml:space="preserve">, M., Krauskopf, J., Farooqi, A., </w:t>
            </w:r>
            <w:proofErr w:type="spellStart"/>
            <w:r w:rsidRPr="00954185">
              <w:rPr>
                <w:sz w:val="20"/>
                <w:szCs w:val="20"/>
              </w:rPr>
              <w:t>Kleinjans</w:t>
            </w:r>
            <w:proofErr w:type="spellEnd"/>
            <w:r w:rsidRPr="00954185">
              <w:rPr>
                <w:sz w:val="20"/>
                <w:szCs w:val="20"/>
              </w:rPr>
              <w:t xml:space="preserve">, J. C., Malik, R. N., &amp; </w:t>
            </w:r>
            <w:proofErr w:type="spellStart"/>
            <w:r w:rsidRPr="00954185">
              <w:rPr>
                <w:sz w:val="20"/>
                <w:szCs w:val="20"/>
              </w:rPr>
              <w:t>Briedé</w:t>
            </w:r>
            <w:proofErr w:type="spellEnd"/>
            <w:r w:rsidRPr="00954185">
              <w:rPr>
                <w:sz w:val="20"/>
                <w:szCs w:val="20"/>
              </w:rPr>
              <w:t>, J. J. (2020). Transcriptome responses in blood reveal distinct biological pathways associated with arsenic exposure through drinking water in rural settings of Punjab, Pakistan. Environment international, 135, 105403.</w:t>
            </w:r>
          </w:p>
        </w:tc>
        <w:tc>
          <w:tcPr>
            <w:tcW w:w="2126" w:type="dxa"/>
            <w:tcBorders>
              <w:right w:val="single" w:sz="4" w:space="0" w:color="000000" w:themeColor="text1"/>
            </w:tcBorders>
            <w:shd w:val="clear" w:color="auto" w:fill="auto"/>
            <w:noWrap/>
            <w:vAlign w:val="center"/>
            <w:hideMark/>
          </w:tcPr>
          <w:p w14:paraId="7254E7BC" w14:textId="77777777" w:rsidR="00954185" w:rsidRPr="00954185" w:rsidRDefault="00954185" w:rsidP="00364C65">
            <w:pPr>
              <w:spacing w:line="360" w:lineRule="auto"/>
              <w:rPr>
                <w:sz w:val="20"/>
                <w:szCs w:val="20"/>
              </w:rPr>
            </w:pPr>
            <w:r w:rsidRPr="00954185">
              <w:rPr>
                <w:sz w:val="20"/>
                <w:szCs w:val="20"/>
              </w:rPr>
              <w:t xml:space="preserve">No arsenic metabolism, or arsenic-related disease </w:t>
            </w:r>
          </w:p>
        </w:tc>
      </w:tr>
      <w:tr w:rsidR="00954185" w:rsidRPr="00954185" w14:paraId="484FD578" w14:textId="77777777" w:rsidTr="00364C65">
        <w:trPr>
          <w:trHeight w:val="1200"/>
        </w:trPr>
        <w:tc>
          <w:tcPr>
            <w:tcW w:w="8364" w:type="dxa"/>
            <w:tcBorders>
              <w:left w:val="single" w:sz="4" w:space="0" w:color="000000" w:themeColor="text1"/>
            </w:tcBorders>
            <w:shd w:val="clear" w:color="auto" w:fill="auto"/>
            <w:vAlign w:val="center"/>
            <w:hideMark/>
          </w:tcPr>
          <w:p w14:paraId="5DA12B69" w14:textId="77777777" w:rsidR="00954185" w:rsidRPr="00954185" w:rsidRDefault="00954185" w:rsidP="00364C65">
            <w:pPr>
              <w:spacing w:line="360" w:lineRule="auto"/>
              <w:rPr>
                <w:sz w:val="20"/>
                <w:szCs w:val="20"/>
              </w:rPr>
            </w:pPr>
            <w:r w:rsidRPr="00954185">
              <w:rPr>
                <w:sz w:val="20"/>
                <w:szCs w:val="20"/>
              </w:rPr>
              <w:t xml:space="preserve">Rodrigues, E. G., Kile, M., Hoffman, E., </w:t>
            </w:r>
            <w:proofErr w:type="spellStart"/>
            <w:r w:rsidRPr="00954185">
              <w:rPr>
                <w:sz w:val="20"/>
                <w:szCs w:val="20"/>
              </w:rPr>
              <w:t>Quamruzzaman</w:t>
            </w:r>
            <w:proofErr w:type="spellEnd"/>
            <w:r w:rsidRPr="00954185">
              <w:rPr>
                <w:sz w:val="20"/>
                <w:szCs w:val="20"/>
              </w:rPr>
              <w:t xml:space="preserve">, Q., Rahman, M., </w:t>
            </w:r>
            <w:proofErr w:type="spellStart"/>
            <w:r w:rsidRPr="00954185">
              <w:rPr>
                <w:sz w:val="20"/>
                <w:szCs w:val="20"/>
              </w:rPr>
              <w:t>Mahiuddin</w:t>
            </w:r>
            <w:proofErr w:type="spellEnd"/>
            <w:r w:rsidRPr="00954185">
              <w:rPr>
                <w:sz w:val="20"/>
                <w:szCs w:val="20"/>
              </w:rPr>
              <w:t>, G., ... &amp; Christiani, D. C. (2012). GSTO and AS3MT genetic polymorphisms and differences in urinary arsenic concentrations among residents in Bangladesh. Biomarkers, 17(3), 240-247.</w:t>
            </w:r>
          </w:p>
        </w:tc>
        <w:tc>
          <w:tcPr>
            <w:tcW w:w="2126" w:type="dxa"/>
            <w:tcBorders>
              <w:right w:val="single" w:sz="4" w:space="0" w:color="000000" w:themeColor="text1"/>
            </w:tcBorders>
            <w:shd w:val="clear" w:color="auto" w:fill="auto"/>
            <w:noWrap/>
            <w:vAlign w:val="center"/>
            <w:hideMark/>
          </w:tcPr>
          <w:p w14:paraId="0B0B3729"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24845A23" w14:textId="77777777" w:rsidTr="00364C65">
        <w:trPr>
          <w:trHeight w:val="900"/>
        </w:trPr>
        <w:tc>
          <w:tcPr>
            <w:tcW w:w="8364" w:type="dxa"/>
            <w:tcBorders>
              <w:left w:val="single" w:sz="4" w:space="0" w:color="000000" w:themeColor="text1"/>
            </w:tcBorders>
            <w:shd w:val="clear" w:color="auto" w:fill="auto"/>
            <w:vAlign w:val="center"/>
            <w:hideMark/>
          </w:tcPr>
          <w:p w14:paraId="39BD3190" w14:textId="77777777" w:rsidR="00954185" w:rsidRPr="00954185" w:rsidRDefault="00954185" w:rsidP="00364C65">
            <w:pPr>
              <w:spacing w:line="360" w:lineRule="auto"/>
              <w:rPr>
                <w:sz w:val="20"/>
                <w:szCs w:val="20"/>
              </w:rPr>
            </w:pPr>
            <w:r w:rsidRPr="00954185">
              <w:rPr>
                <w:sz w:val="20"/>
                <w:szCs w:val="20"/>
              </w:rPr>
              <w:t>Roy, S., Narzary, B., Ray, A., &amp; Bordoloi, M. (2016). Arsenic-induced instrumental genes of apoptotic signal amplification in death-survival interplay. Cell Death Discovery, 2(1), 1-6.</w:t>
            </w:r>
          </w:p>
        </w:tc>
        <w:tc>
          <w:tcPr>
            <w:tcW w:w="2126" w:type="dxa"/>
            <w:tcBorders>
              <w:right w:val="single" w:sz="4" w:space="0" w:color="000000" w:themeColor="text1"/>
            </w:tcBorders>
            <w:shd w:val="clear" w:color="auto" w:fill="auto"/>
            <w:noWrap/>
            <w:vAlign w:val="center"/>
            <w:hideMark/>
          </w:tcPr>
          <w:p w14:paraId="2A233A67" w14:textId="77777777" w:rsidR="00954185" w:rsidRPr="00954185" w:rsidRDefault="00954185" w:rsidP="00364C65">
            <w:pPr>
              <w:spacing w:line="360" w:lineRule="auto"/>
              <w:rPr>
                <w:sz w:val="20"/>
                <w:szCs w:val="20"/>
              </w:rPr>
            </w:pPr>
            <w:r w:rsidRPr="00954185">
              <w:rPr>
                <w:sz w:val="20"/>
                <w:szCs w:val="20"/>
              </w:rPr>
              <w:t>Not human study (e.g., in vitro, in vivo, plants)</w:t>
            </w:r>
          </w:p>
        </w:tc>
      </w:tr>
      <w:tr w:rsidR="00954185" w:rsidRPr="00954185" w14:paraId="11FBE0DA" w14:textId="77777777" w:rsidTr="00364C65">
        <w:trPr>
          <w:trHeight w:val="1200"/>
        </w:trPr>
        <w:tc>
          <w:tcPr>
            <w:tcW w:w="8364" w:type="dxa"/>
            <w:tcBorders>
              <w:left w:val="single" w:sz="4" w:space="0" w:color="000000" w:themeColor="text1"/>
            </w:tcBorders>
            <w:shd w:val="clear" w:color="auto" w:fill="auto"/>
            <w:vAlign w:val="center"/>
            <w:hideMark/>
          </w:tcPr>
          <w:p w14:paraId="0482A698" w14:textId="77777777" w:rsidR="00954185" w:rsidRPr="00954185" w:rsidRDefault="00954185" w:rsidP="00364C65">
            <w:pPr>
              <w:spacing w:line="360" w:lineRule="auto"/>
              <w:rPr>
                <w:sz w:val="20"/>
                <w:szCs w:val="20"/>
              </w:rPr>
            </w:pPr>
            <w:r w:rsidRPr="00954185">
              <w:rPr>
                <w:sz w:val="20"/>
                <w:szCs w:val="20"/>
              </w:rPr>
              <w:lastRenderedPageBreak/>
              <w:t xml:space="preserve">Rui, Z. H. A. N. G., Wen-sheng, H. O. U., Yan-fang, G. A. O., Lin-liang, S. U., Jiang, L. I. A. N. G., Yi, G. A. O., ... &amp; Qiu-ling, P. E. I. (2009). Effect of multidrug resistance-associated proteins 1 and 2 gene mutations on phenotype of endemic arsenic poisoning. Chinese Journal of </w:t>
            </w:r>
            <w:proofErr w:type="spellStart"/>
            <w:r w:rsidRPr="00954185">
              <w:rPr>
                <w:sz w:val="20"/>
                <w:szCs w:val="20"/>
              </w:rPr>
              <w:t>Endemiology</w:t>
            </w:r>
            <w:proofErr w:type="spellEnd"/>
            <w:r w:rsidRPr="00954185">
              <w:rPr>
                <w:sz w:val="20"/>
                <w:szCs w:val="20"/>
              </w:rPr>
              <w:t>, 14-19.</w:t>
            </w:r>
          </w:p>
        </w:tc>
        <w:tc>
          <w:tcPr>
            <w:tcW w:w="2126" w:type="dxa"/>
            <w:tcBorders>
              <w:right w:val="single" w:sz="4" w:space="0" w:color="000000" w:themeColor="text1"/>
            </w:tcBorders>
            <w:shd w:val="clear" w:color="auto" w:fill="auto"/>
            <w:noWrap/>
            <w:vAlign w:val="center"/>
            <w:hideMark/>
          </w:tcPr>
          <w:p w14:paraId="233DB956" w14:textId="77777777" w:rsidR="00954185" w:rsidRPr="00954185" w:rsidRDefault="00954185" w:rsidP="00364C65">
            <w:pPr>
              <w:spacing w:line="360" w:lineRule="auto"/>
              <w:rPr>
                <w:sz w:val="20"/>
                <w:szCs w:val="20"/>
              </w:rPr>
            </w:pPr>
            <w:r w:rsidRPr="00954185">
              <w:rPr>
                <w:sz w:val="20"/>
                <w:szCs w:val="20"/>
              </w:rPr>
              <w:t xml:space="preserve">Unable to access full text </w:t>
            </w:r>
          </w:p>
        </w:tc>
      </w:tr>
      <w:tr w:rsidR="00954185" w:rsidRPr="00954185" w14:paraId="11F84F61" w14:textId="77777777" w:rsidTr="00364C65">
        <w:trPr>
          <w:trHeight w:val="1200"/>
        </w:trPr>
        <w:tc>
          <w:tcPr>
            <w:tcW w:w="8364" w:type="dxa"/>
            <w:tcBorders>
              <w:left w:val="single" w:sz="4" w:space="0" w:color="000000" w:themeColor="text1"/>
            </w:tcBorders>
            <w:shd w:val="clear" w:color="auto" w:fill="auto"/>
            <w:vAlign w:val="center"/>
            <w:hideMark/>
          </w:tcPr>
          <w:p w14:paraId="06EDBF0D" w14:textId="77777777" w:rsidR="00954185" w:rsidRPr="00954185" w:rsidRDefault="00954185" w:rsidP="00364C65">
            <w:pPr>
              <w:spacing w:line="360" w:lineRule="auto"/>
              <w:rPr>
                <w:sz w:val="20"/>
                <w:szCs w:val="20"/>
              </w:rPr>
            </w:pPr>
            <w:proofErr w:type="spellStart"/>
            <w:r w:rsidRPr="00954185">
              <w:rPr>
                <w:sz w:val="20"/>
                <w:szCs w:val="20"/>
              </w:rPr>
              <w:t>Safarzad</w:t>
            </w:r>
            <w:proofErr w:type="spellEnd"/>
            <w:r w:rsidRPr="00954185">
              <w:rPr>
                <w:sz w:val="20"/>
                <w:szCs w:val="20"/>
              </w:rPr>
              <w:t xml:space="preserve">, M., Besharat, S., Salimi, S., </w:t>
            </w:r>
            <w:proofErr w:type="spellStart"/>
            <w:r w:rsidRPr="00954185">
              <w:rPr>
                <w:sz w:val="20"/>
                <w:szCs w:val="20"/>
              </w:rPr>
              <w:t>Azarhoush</w:t>
            </w:r>
            <w:proofErr w:type="spellEnd"/>
            <w:r w:rsidRPr="00954185">
              <w:rPr>
                <w:sz w:val="20"/>
                <w:szCs w:val="20"/>
              </w:rPr>
              <w:t xml:space="preserve">, R., </w:t>
            </w:r>
            <w:proofErr w:type="spellStart"/>
            <w:r w:rsidRPr="00954185">
              <w:rPr>
                <w:sz w:val="20"/>
                <w:szCs w:val="20"/>
              </w:rPr>
              <w:t>Behnampour</w:t>
            </w:r>
            <w:proofErr w:type="spellEnd"/>
            <w:r w:rsidRPr="00954185">
              <w:rPr>
                <w:sz w:val="20"/>
                <w:szCs w:val="20"/>
              </w:rPr>
              <w:t xml:space="preserve">, N., &amp; </w:t>
            </w:r>
            <w:proofErr w:type="spellStart"/>
            <w:r w:rsidRPr="00954185">
              <w:rPr>
                <w:sz w:val="20"/>
                <w:szCs w:val="20"/>
              </w:rPr>
              <w:t>Joshaghani</w:t>
            </w:r>
            <w:proofErr w:type="spellEnd"/>
            <w:r w:rsidRPr="00954185">
              <w:rPr>
                <w:sz w:val="20"/>
                <w:szCs w:val="20"/>
              </w:rPr>
              <w:t>, H. R. (2019). Association between selenium, cadmium, and arsenic levels and genetic polymorphisms in DNA repair genes (XRCC5, XRCC6) in gastric cancerous and non-cancerous tissue. Journal of trace elements in medicine and biology, 55, 89-95.</w:t>
            </w:r>
          </w:p>
        </w:tc>
        <w:tc>
          <w:tcPr>
            <w:tcW w:w="2126" w:type="dxa"/>
            <w:tcBorders>
              <w:right w:val="single" w:sz="4" w:space="0" w:color="000000" w:themeColor="text1"/>
            </w:tcBorders>
            <w:shd w:val="clear" w:color="auto" w:fill="auto"/>
            <w:noWrap/>
            <w:vAlign w:val="center"/>
            <w:hideMark/>
          </w:tcPr>
          <w:p w14:paraId="69C6FD82" w14:textId="77777777" w:rsidR="00954185" w:rsidRPr="00954185" w:rsidRDefault="00954185" w:rsidP="00364C65">
            <w:pPr>
              <w:spacing w:line="360" w:lineRule="auto"/>
              <w:rPr>
                <w:sz w:val="20"/>
                <w:szCs w:val="20"/>
              </w:rPr>
            </w:pPr>
            <w:r w:rsidRPr="00954185">
              <w:rPr>
                <w:sz w:val="20"/>
                <w:szCs w:val="20"/>
              </w:rPr>
              <w:t xml:space="preserve">No arsenic metabolism, or arsenic-related disease </w:t>
            </w:r>
          </w:p>
        </w:tc>
      </w:tr>
      <w:tr w:rsidR="00954185" w:rsidRPr="00954185" w14:paraId="0E6318C6" w14:textId="77777777" w:rsidTr="00364C65">
        <w:trPr>
          <w:trHeight w:val="1500"/>
        </w:trPr>
        <w:tc>
          <w:tcPr>
            <w:tcW w:w="8364" w:type="dxa"/>
            <w:tcBorders>
              <w:left w:val="single" w:sz="4" w:space="0" w:color="000000" w:themeColor="text1"/>
            </w:tcBorders>
            <w:shd w:val="clear" w:color="auto" w:fill="auto"/>
            <w:vAlign w:val="center"/>
            <w:hideMark/>
          </w:tcPr>
          <w:p w14:paraId="7E09E5F8" w14:textId="77777777" w:rsidR="00954185" w:rsidRPr="00954185" w:rsidRDefault="00954185" w:rsidP="00364C65">
            <w:pPr>
              <w:spacing w:line="360" w:lineRule="auto"/>
              <w:rPr>
                <w:sz w:val="20"/>
                <w:szCs w:val="20"/>
              </w:rPr>
            </w:pPr>
            <w:r w:rsidRPr="00954185">
              <w:rPr>
                <w:sz w:val="20"/>
                <w:szCs w:val="20"/>
              </w:rPr>
              <w:t xml:space="preserve">Scannell Bryan, M., Sofer, T., </w:t>
            </w:r>
            <w:proofErr w:type="spellStart"/>
            <w:r w:rsidRPr="00954185">
              <w:rPr>
                <w:sz w:val="20"/>
                <w:szCs w:val="20"/>
              </w:rPr>
              <w:t>Mossavar</w:t>
            </w:r>
            <w:proofErr w:type="spellEnd"/>
            <w:r w:rsidRPr="00954185">
              <w:rPr>
                <w:sz w:val="20"/>
                <w:szCs w:val="20"/>
              </w:rPr>
              <w:t xml:space="preserve">-Rahmani, Y., Thyagarajan, B., Zeng, D., </w:t>
            </w:r>
            <w:proofErr w:type="spellStart"/>
            <w:r w:rsidRPr="00954185">
              <w:rPr>
                <w:sz w:val="20"/>
                <w:szCs w:val="20"/>
              </w:rPr>
              <w:t>Daviglus</w:t>
            </w:r>
            <w:proofErr w:type="spellEnd"/>
            <w:r w:rsidRPr="00954185">
              <w:rPr>
                <w:sz w:val="20"/>
                <w:szCs w:val="20"/>
              </w:rPr>
              <w:t>, M. L., &amp; Argos, M. (2019). Mendelian randomization of inorganic arsenic metabolism as a risk factor for hypertension-and diabetes-related traits among adults in the Hispanic Community Health Study/Study of Latinos (HCHS/SOL) cohort. International journal of epidemiology, 48(3), 876-886.</w:t>
            </w:r>
          </w:p>
        </w:tc>
        <w:tc>
          <w:tcPr>
            <w:tcW w:w="2126" w:type="dxa"/>
            <w:tcBorders>
              <w:right w:val="single" w:sz="4" w:space="0" w:color="000000" w:themeColor="text1"/>
            </w:tcBorders>
            <w:shd w:val="clear" w:color="auto" w:fill="auto"/>
            <w:noWrap/>
            <w:vAlign w:val="center"/>
            <w:hideMark/>
          </w:tcPr>
          <w:p w14:paraId="5CC861F7" w14:textId="77777777" w:rsidR="00954185" w:rsidRPr="00954185" w:rsidRDefault="00954185" w:rsidP="00364C65">
            <w:pPr>
              <w:spacing w:line="360" w:lineRule="auto"/>
              <w:rPr>
                <w:sz w:val="20"/>
                <w:szCs w:val="20"/>
              </w:rPr>
            </w:pPr>
            <w:r w:rsidRPr="00954185">
              <w:rPr>
                <w:sz w:val="20"/>
                <w:szCs w:val="20"/>
              </w:rPr>
              <w:t xml:space="preserve">No genetic </w:t>
            </w:r>
            <w:proofErr w:type="spellStart"/>
            <w:r w:rsidRPr="00954185">
              <w:rPr>
                <w:sz w:val="20"/>
                <w:szCs w:val="20"/>
              </w:rPr>
              <w:t>suspectibility</w:t>
            </w:r>
            <w:proofErr w:type="spellEnd"/>
            <w:r w:rsidRPr="00954185">
              <w:rPr>
                <w:sz w:val="20"/>
                <w:szCs w:val="20"/>
              </w:rPr>
              <w:t>, or not SNP</w:t>
            </w:r>
          </w:p>
        </w:tc>
      </w:tr>
      <w:tr w:rsidR="00954185" w:rsidRPr="00954185" w14:paraId="7A0D4B95" w14:textId="77777777" w:rsidTr="00364C65">
        <w:trPr>
          <w:trHeight w:val="1200"/>
        </w:trPr>
        <w:tc>
          <w:tcPr>
            <w:tcW w:w="8364" w:type="dxa"/>
            <w:tcBorders>
              <w:left w:val="single" w:sz="4" w:space="0" w:color="000000" w:themeColor="text1"/>
            </w:tcBorders>
            <w:shd w:val="clear" w:color="auto" w:fill="auto"/>
            <w:vAlign w:val="center"/>
            <w:hideMark/>
          </w:tcPr>
          <w:p w14:paraId="0ABA27D1" w14:textId="77777777" w:rsidR="00954185" w:rsidRPr="00954185" w:rsidRDefault="00954185" w:rsidP="00364C65">
            <w:pPr>
              <w:spacing w:line="360" w:lineRule="auto"/>
              <w:rPr>
                <w:sz w:val="20"/>
                <w:szCs w:val="20"/>
              </w:rPr>
            </w:pPr>
            <w:r w:rsidRPr="00954185">
              <w:rPr>
                <w:sz w:val="20"/>
                <w:szCs w:val="20"/>
              </w:rPr>
              <w:t xml:space="preserve">Seow, W. J., Pan, W. C., Kile, M. L., Tong, L., </w:t>
            </w:r>
            <w:proofErr w:type="spellStart"/>
            <w:r w:rsidRPr="00954185">
              <w:rPr>
                <w:sz w:val="20"/>
                <w:szCs w:val="20"/>
              </w:rPr>
              <w:t>Baccarelli</w:t>
            </w:r>
            <w:proofErr w:type="spellEnd"/>
            <w:r w:rsidRPr="00954185">
              <w:rPr>
                <w:sz w:val="20"/>
                <w:szCs w:val="20"/>
              </w:rPr>
              <w:t xml:space="preserve">, A. A., </w:t>
            </w:r>
            <w:proofErr w:type="spellStart"/>
            <w:r w:rsidRPr="00954185">
              <w:rPr>
                <w:sz w:val="20"/>
                <w:szCs w:val="20"/>
              </w:rPr>
              <w:t>Quamruzzaman</w:t>
            </w:r>
            <w:proofErr w:type="spellEnd"/>
            <w:r w:rsidRPr="00954185">
              <w:rPr>
                <w:sz w:val="20"/>
                <w:szCs w:val="20"/>
              </w:rPr>
              <w:t>, Q., ... &amp; Christiani, D. C. (2015). A distinct and replicable variant of the squamous cell carcinoma gene inositol polyphosphate‐5‐phosphatase modifies the susceptibility of arsenic‐associated skin lesions in Bangladesh. Cancer, 121(13), 2222-2229.</w:t>
            </w:r>
          </w:p>
        </w:tc>
        <w:tc>
          <w:tcPr>
            <w:tcW w:w="2126" w:type="dxa"/>
            <w:tcBorders>
              <w:right w:val="single" w:sz="4" w:space="0" w:color="000000" w:themeColor="text1"/>
            </w:tcBorders>
            <w:shd w:val="clear" w:color="auto" w:fill="auto"/>
            <w:noWrap/>
            <w:vAlign w:val="center"/>
            <w:hideMark/>
          </w:tcPr>
          <w:p w14:paraId="22964622" w14:textId="77777777" w:rsidR="00954185" w:rsidRPr="00954185" w:rsidRDefault="00954185" w:rsidP="00364C65">
            <w:pPr>
              <w:spacing w:line="360" w:lineRule="auto"/>
              <w:rPr>
                <w:sz w:val="20"/>
                <w:szCs w:val="20"/>
              </w:rPr>
            </w:pPr>
            <w:r w:rsidRPr="00954185">
              <w:rPr>
                <w:sz w:val="20"/>
                <w:szCs w:val="20"/>
              </w:rPr>
              <w:t xml:space="preserve">Skin lesions </w:t>
            </w:r>
          </w:p>
        </w:tc>
      </w:tr>
      <w:tr w:rsidR="00954185" w:rsidRPr="00954185" w14:paraId="35021CBE" w14:textId="77777777" w:rsidTr="00364C65">
        <w:trPr>
          <w:trHeight w:val="1200"/>
        </w:trPr>
        <w:tc>
          <w:tcPr>
            <w:tcW w:w="8364" w:type="dxa"/>
            <w:tcBorders>
              <w:left w:val="single" w:sz="4" w:space="0" w:color="000000" w:themeColor="text1"/>
            </w:tcBorders>
            <w:shd w:val="clear" w:color="auto" w:fill="auto"/>
            <w:vAlign w:val="center"/>
            <w:hideMark/>
          </w:tcPr>
          <w:p w14:paraId="6B198D09" w14:textId="77777777" w:rsidR="00954185" w:rsidRPr="00954185" w:rsidRDefault="00954185" w:rsidP="00364C65">
            <w:pPr>
              <w:spacing w:line="360" w:lineRule="auto"/>
              <w:rPr>
                <w:sz w:val="20"/>
                <w:szCs w:val="20"/>
              </w:rPr>
            </w:pPr>
            <w:r w:rsidRPr="00954185">
              <w:rPr>
                <w:sz w:val="20"/>
                <w:szCs w:val="20"/>
              </w:rPr>
              <w:t xml:space="preserve">Seow, W. J., Pan, W. C., Kile, M., </w:t>
            </w:r>
            <w:proofErr w:type="spellStart"/>
            <w:r w:rsidRPr="00954185">
              <w:rPr>
                <w:sz w:val="20"/>
                <w:szCs w:val="20"/>
              </w:rPr>
              <w:t>Baccarelli</w:t>
            </w:r>
            <w:proofErr w:type="spellEnd"/>
            <w:r w:rsidRPr="00954185">
              <w:rPr>
                <w:sz w:val="20"/>
                <w:szCs w:val="20"/>
              </w:rPr>
              <w:t xml:space="preserve">, A. A., </w:t>
            </w:r>
            <w:proofErr w:type="spellStart"/>
            <w:r w:rsidRPr="00954185">
              <w:rPr>
                <w:sz w:val="20"/>
                <w:szCs w:val="20"/>
              </w:rPr>
              <w:t>Quamruzzaman</w:t>
            </w:r>
            <w:proofErr w:type="spellEnd"/>
            <w:r w:rsidRPr="00954185">
              <w:rPr>
                <w:sz w:val="20"/>
                <w:szCs w:val="20"/>
              </w:rPr>
              <w:t>, Q., Rahman, M., ... &amp; Christiani, D. C. (2013, August). Genetic Variants in One-carbon Metabolism and DNA Repair Genes Modify the Association between Arsenic and Skin Lesions in Bangladesh. In ISEE Conference Abstracts 25 (Vol. 2013, No. 1, p. 2951).</w:t>
            </w:r>
          </w:p>
        </w:tc>
        <w:tc>
          <w:tcPr>
            <w:tcW w:w="2126" w:type="dxa"/>
            <w:tcBorders>
              <w:right w:val="single" w:sz="4" w:space="0" w:color="000000" w:themeColor="text1"/>
            </w:tcBorders>
            <w:shd w:val="clear" w:color="auto" w:fill="auto"/>
            <w:noWrap/>
            <w:vAlign w:val="center"/>
            <w:hideMark/>
          </w:tcPr>
          <w:p w14:paraId="4E44807D" w14:textId="77777777" w:rsidR="00954185" w:rsidRPr="00954185" w:rsidRDefault="00954185" w:rsidP="00364C65">
            <w:pPr>
              <w:spacing w:line="360" w:lineRule="auto"/>
              <w:rPr>
                <w:sz w:val="20"/>
                <w:szCs w:val="20"/>
              </w:rPr>
            </w:pPr>
            <w:r w:rsidRPr="00954185">
              <w:rPr>
                <w:sz w:val="20"/>
                <w:szCs w:val="20"/>
              </w:rPr>
              <w:t>Conference abstract</w:t>
            </w:r>
          </w:p>
        </w:tc>
      </w:tr>
      <w:tr w:rsidR="00954185" w:rsidRPr="00954185" w14:paraId="4D60FA20" w14:textId="77777777" w:rsidTr="00364C65">
        <w:trPr>
          <w:trHeight w:val="1200"/>
        </w:trPr>
        <w:tc>
          <w:tcPr>
            <w:tcW w:w="8364" w:type="dxa"/>
            <w:tcBorders>
              <w:left w:val="single" w:sz="4" w:space="0" w:color="000000" w:themeColor="text1"/>
            </w:tcBorders>
            <w:shd w:val="clear" w:color="auto" w:fill="auto"/>
            <w:vAlign w:val="center"/>
            <w:hideMark/>
          </w:tcPr>
          <w:p w14:paraId="2D157CFE" w14:textId="77777777" w:rsidR="00954185" w:rsidRPr="00954185" w:rsidRDefault="00954185" w:rsidP="00364C65">
            <w:pPr>
              <w:spacing w:line="360" w:lineRule="auto"/>
              <w:rPr>
                <w:sz w:val="20"/>
                <w:szCs w:val="20"/>
              </w:rPr>
            </w:pPr>
            <w:proofErr w:type="spellStart"/>
            <w:r w:rsidRPr="00954185">
              <w:rPr>
                <w:sz w:val="20"/>
                <w:szCs w:val="20"/>
              </w:rPr>
              <w:t>Shaikhova</w:t>
            </w:r>
            <w:proofErr w:type="spellEnd"/>
            <w:r w:rsidRPr="00954185">
              <w:rPr>
                <w:sz w:val="20"/>
                <w:szCs w:val="20"/>
              </w:rPr>
              <w:t xml:space="preserve">, D. R., </w:t>
            </w:r>
            <w:proofErr w:type="spellStart"/>
            <w:r w:rsidRPr="00954185">
              <w:rPr>
                <w:sz w:val="20"/>
                <w:szCs w:val="20"/>
              </w:rPr>
              <w:t>Amromina</w:t>
            </w:r>
            <w:proofErr w:type="spellEnd"/>
            <w:r w:rsidRPr="00954185">
              <w:rPr>
                <w:sz w:val="20"/>
                <w:szCs w:val="20"/>
              </w:rPr>
              <w:t xml:space="preserve">, A. M., Bereza, I. A., Shastin, A. S., </w:t>
            </w:r>
            <w:proofErr w:type="spellStart"/>
            <w:r w:rsidRPr="00954185">
              <w:rPr>
                <w:sz w:val="20"/>
                <w:szCs w:val="20"/>
              </w:rPr>
              <w:t>Gazimova</w:t>
            </w:r>
            <w:proofErr w:type="spellEnd"/>
            <w:r w:rsidRPr="00954185">
              <w:rPr>
                <w:sz w:val="20"/>
                <w:szCs w:val="20"/>
              </w:rPr>
              <w:t xml:space="preserve">, V. G., </w:t>
            </w:r>
            <w:proofErr w:type="spellStart"/>
            <w:r w:rsidRPr="00954185">
              <w:rPr>
                <w:sz w:val="20"/>
                <w:szCs w:val="20"/>
              </w:rPr>
              <w:t>Sutunkova</w:t>
            </w:r>
            <w:proofErr w:type="spellEnd"/>
            <w:r w:rsidRPr="00954185">
              <w:rPr>
                <w:sz w:val="20"/>
                <w:szCs w:val="20"/>
              </w:rPr>
              <w:t>, M. P., &amp; Gurvich, V. B. (2022). Effects of genetic polymorphisms of GSTM1, GSTT1 and GSTP1 genes on blood metal levels in non-ferrous metal alloy smelter operators. Health, (3), 176.</w:t>
            </w:r>
          </w:p>
        </w:tc>
        <w:tc>
          <w:tcPr>
            <w:tcW w:w="2126" w:type="dxa"/>
            <w:tcBorders>
              <w:right w:val="single" w:sz="4" w:space="0" w:color="000000" w:themeColor="text1"/>
            </w:tcBorders>
            <w:shd w:val="clear" w:color="auto" w:fill="auto"/>
            <w:noWrap/>
            <w:vAlign w:val="center"/>
            <w:hideMark/>
          </w:tcPr>
          <w:p w14:paraId="2C68D931" w14:textId="77777777" w:rsidR="00954185" w:rsidRPr="00954185" w:rsidRDefault="00954185" w:rsidP="00364C65">
            <w:pPr>
              <w:spacing w:line="360" w:lineRule="auto"/>
              <w:rPr>
                <w:sz w:val="20"/>
                <w:szCs w:val="20"/>
              </w:rPr>
            </w:pPr>
            <w:r w:rsidRPr="00954185">
              <w:rPr>
                <w:sz w:val="20"/>
                <w:szCs w:val="20"/>
              </w:rPr>
              <w:t xml:space="preserve">No arsenic metabolism, or arsenic-related disease </w:t>
            </w:r>
          </w:p>
        </w:tc>
      </w:tr>
      <w:tr w:rsidR="00954185" w:rsidRPr="00954185" w14:paraId="28A62AF1" w14:textId="77777777" w:rsidTr="00364C65">
        <w:trPr>
          <w:trHeight w:val="1200"/>
        </w:trPr>
        <w:tc>
          <w:tcPr>
            <w:tcW w:w="8364" w:type="dxa"/>
            <w:tcBorders>
              <w:left w:val="single" w:sz="4" w:space="0" w:color="000000" w:themeColor="text1"/>
            </w:tcBorders>
            <w:shd w:val="clear" w:color="auto" w:fill="auto"/>
            <w:vAlign w:val="center"/>
            <w:hideMark/>
          </w:tcPr>
          <w:p w14:paraId="1C6888DA" w14:textId="77777777" w:rsidR="00954185" w:rsidRPr="00954185" w:rsidRDefault="00954185" w:rsidP="00364C65">
            <w:pPr>
              <w:spacing w:line="360" w:lineRule="auto"/>
              <w:rPr>
                <w:sz w:val="20"/>
                <w:szCs w:val="20"/>
              </w:rPr>
            </w:pPr>
            <w:r w:rsidRPr="00954185">
              <w:rPr>
                <w:sz w:val="20"/>
                <w:szCs w:val="20"/>
              </w:rPr>
              <w:t>Song, J., An, Z., Zhu, J., Li, J., Qu, R., Tian, G., ... &amp; Wu, W. (2022). Subclinical cardiovascular outcomes of acute exposure to fine particulate matter and its constituents: A glutathione S-transferase polymorphism-based longitudinal study. Science of The Total Environment, 846, 157469.</w:t>
            </w:r>
          </w:p>
        </w:tc>
        <w:tc>
          <w:tcPr>
            <w:tcW w:w="2126" w:type="dxa"/>
            <w:tcBorders>
              <w:right w:val="single" w:sz="4" w:space="0" w:color="000000" w:themeColor="text1"/>
            </w:tcBorders>
            <w:shd w:val="clear" w:color="auto" w:fill="auto"/>
            <w:noWrap/>
            <w:vAlign w:val="center"/>
            <w:hideMark/>
          </w:tcPr>
          <w:p w14:paraId="7156C3E5" w14:textId="77777777" w:rsidR="00954185" w:rsidRPr="00954185" w:rsidRDefault="00954185" w:rsidP="00364C65">
            <w:pPr>
              <w:spacing w:line="360" w:lineRule="auto"/>
              <w:rPr>
                <w:sz w:val="20"/>
                <w:szCs w:val="20"/>
              </w:rPr>
            </w:pPr>
            <w:r w:rsidRPr="00954185">
              <w:rPr>
                <w:sz w:val="20"/>
                <w:szCs w:val="20"/>
              </w:rPr>
              <w:t xml:space="preserve">No arsenic metabolism, or arsenic-related disease </w:t>
            </w:r>
          </w:p>
        </w:tc>
      </w:tr>
      <w:tr w:rsidR="00954185" w:rsidRPr="00954185" w14:paraId="56A2FE5B" w14:textId="77777777" w:rsidTr="00364C65">
        <w:trPr>
          <w:trHeight w:val="900"/>
        </w:trPr>
        <w:tc>
          <w:tcPr>
            <w:tcW w:w="8364" w:type="dxa"/>
            <w:tcBorders>
              <w:left w:val="single" w:sz="4" w:space="0" w:color="000000" w:themeColor="text1"/>
            </w:tcBorders>
            <w:shd w:val="clear" w:color="auto" w:fill="auto"/>
            <w:vAlign w:val="center"/>
            <w:hideMark/>
          </w:tcPr>
          <w:p w14:paraId="09CA380B" w14:textId="77777777" w:rsidR="00954185" w:rsidRPr="00954185" w:rsidRDefault="00954185" w:rsidP="00364C65">
            <w:pPr>
              <w:spacing w:line="360" w:lineRule="auto"/>
              <w:rPr>
                <w:sz w:val="20"/>
                <w:szCs w:val="20"/>
              </w:rPr>
            </w:pPr>
            <w:r w:rsidRPr="00954185">
              <w:rPr>
                <w:sz w:val="20"/>
                <w:szCs w:val="20"/>
              </w:rPr>
              <w:t>Song, X., Li, Y., Stirling, E., Zhao, K., Wang, B., Zhu, Y., ... &amp; Ma, B. (2022). Correction to: '</w:t>
            </w:r>
            <w:proofErr w:type="spellStart"/>
            <w:r w:rsidRPr="00954185">
              <w:rPr>
                <w:sz w:val="20"/>
                <w:szCs w:val="20"/>
              </w:rPr>
              <w:t>AsgeneDB</w:t>
            </w:r>
            <w:proofErr w:type="spellEnd"/>
            <w:r w:rsidRPr="00954185">
              <w:rPr>
                <w:sz w:val="20"/>
                <w:szCs w:val="20"/>
              </w:rPr>
              <w:t xml:space="preserve">: a curated </w:t>
            </w:r>
            <w:proofErr w:type="spellStart"/>
            <w:r w:rsidRPr="00954185">
              <w:rPr>
                <w:sz w:val="20"/>
                <w:szCs w:val="20"/>
              </w:rPr>
              <w:t>orthology</w:t>
            </w:r>
            <w:proofErr w:type="spellEnd"/>
            <w:r w:rsidRPr="00954185">
              <w:rPr>
                <w:sz w:val="20"/>
                <w:szCs w:val="20"/>
              </w:rPr>
              <w:t xml:space="preserve"> arsenic metabolism gene database and computational tool for metagenome annotation.' NAR Genomics and Bioinformatics, 4(4), lqac080.</w:t>
            </w:r>
          </w:p>
        </w:tc>
        <w:tc>
          <w:tcPr>
            <w:tcW w:w="2126" w:type="dxa"/>
            <w:tcBorders>
              <w:right w:val="single" w:sz="4" w:space="0" w:color="000000" w:themeColor="text1"/>
            </w:tcBorders>
            <w:shd w:val="clear" w:color="auto" w:fill="auto"/>
            <w:noWrap/>
            <w:vAlign w:val="center"/>
            <w:hideMark/>
          </w:tcPr>
          <w:p w14:paraId="2DD4C554" w14:textId="77777777" w:rsidR="00954185" w:rsidRPr="00954185" w:rsidRDefault="00954185" w:rsidP="00364C65">
            <w:pPr>
              <w:spacing w:line="360" w:lineRule="auto"/>
              <w:rPr>
                <w:sz w:val="20"/>
                <w:szCs w:val="20"/>
              </w:rPr>
            </w:pPr>
            <w:r w:rsidRPr="00954185">
              <w:rPr>
                <w:sz w:val="20"/>
                <w:szCs w:val="20"/>
              </w:rPr>
              <w:t>Secondary study design (e.g., review, meta-analysis)</w:t>
            </w:r>
          </w:p>
        </w:tc>
      </w:tr>
      <w:tr w:rsidR="00954185" w:rsidRPr="00954185" w14:paraId="3E7FD244" w14:textId="77777777" w:rsidTr="00364C65">
        <w:trPr>
          <w:trHeight w:val="1200"/>
        </w:trPr>
        <w:tc>
          <w:tcPr>
            <w:tcW w:w="8364" w:type="dxa"/>
            <w:tcBorders>
              <w:left w:val="single" w:sz="4" w:space="0" w:color="000000" w:themeColor="text1"/>
            </w:tcBorders>
            <w:shd w:val="clear" w:color="auto" w:fill="auto"/>
            <w:vAlign w:val="center"/>
            <w:hideMark/>
          </w:tcPr>
          <w:p w14:paraId="4604D6E7" w14:textId="77777777" w:rsidR="00954185" w:rsidRPr="00954185" w:rsidRDefault="00954185" w:rsidP="00364C65">
            <w:pPr>
              <w:spacing w:line="360" w:lineRule="auto"/>
              <w:rPr>
                <w:sz w:val="20"/>
                <w:szCs w:val="20"/>
              </w:rPr>
            </w:pPr>
            <w:proofErr w:type="spellStart"/>
            <w:r w:rsidRPr="00954185">
              <w:rPr>
                <w:sz w:val="20"/>
                <w:szCs w:val="20"/>
              </w:rPr>
              <w:t>Stajnko</w:t>
            </w:r>
            <w:proofErr w:type="spellEnd"/>
            <w:r w:rsidRPr="00954185">
              <w:rPr>
                <w:sz w:val="20"/>
                <w:szCs w:val="20"/>
              </w:rPr>
              <w:t xml:space="preserve">, A., </w:t>
            </w:r>
            <w:proofErr w:type="spellStart"/>
            <w:r w:rsidRPr="00954185">
              <w:rPr>
                <w:sz w:val="20"/>
                <w:szCs w:val="20"/>
              </w:rPr>
              <w:t>Šlejkovec</w:t>
            </w:r>
            <w:proofErr w:type="spellEnd"/>
            <w:r w:rsidRPr="00954185">
              <w:rPr>
                <w:sz w:val="20"/>
                <w:szCs w:val="20"/>
              </w:rPr>
              <w:t xml:space="preserve">, Z., </w:t>
            </w:r>
            <w:proofErr w:type="spellStart"/>
            <w:r w:rsidRPr="00954185">
              <w:rPr>
                <w:sz w:val="20"/>
                <w:szCs w:val="20"/>
              </w:rPr>
              <w:t>Mazej</w:t>
            </w:r>
            <w:proofErr w:type="spellEnd"/>
            <w:r w:rsidRPr="00954185">
              <w:rPr>
                <w:sz w:val="20"/>
                <w:szCs w:val="20"/>
              </w:rPr>
              <w:t>, D., France-</w:t>
            </w:r>
            <w:proofErr w:type="spellStart"/>
            <w:r w:rsidRPr="00954185">
              <w:rPr>
                <w:sz w:val="20"/>
                <w:szCs w:val="20"/>
              </w:rPr>
              <w:t>Štiglic</w:t>
            </w:r>
            <w:proofErr w:type="spellEnd"/>
            <w:r w:rsidRPr="00954185">
              <w:rPr>
                <w:sz w:val="20"/>
                <w:szCs w:val="20"/>
              </w:rPr>
              <w:t xml:space="preserve">, A., </w:t>
            </w:r>
            <w:proofErr w:type="spellStart"/>
            <w:r w:rsidRPr="00954185">
              <w:rPr>
                <w:sz w:val="20"/>
                <w:szCs w:val="20"/>
              </w:rPr>
              <w:t>Briški</w:t>
            </w:r>
            <w:proofErr w:type="spellEnd"/>
            <w:r w:rsidRPr="00954185">
              <w:rPr>
                <w:sz w:val="20"/>
                <w:szCs w:val="20"/>
              </w:rPr>
              <w:t xml:space="preserve">, A. S., Prpić, I., ... &amp; </w:t>
            </w:r>
            <w:proofErr w:type="spellStart"/>
            <w:r w:rsidRPr="00954185">
              <w:rPr>
                <w:sz w:val="20"/>
                <w:szCs w:val="20"/>
              </w:rPr>
              <w:t>Falnoga</w:t>
            </w:r>
            <w:proofErr w:type="spellEnd"/>
            <w:r w:rsidRPr="00954185">
              <w:rPr>
                <w:sz w:val="20"/>
                <w:szCs w:val="20"/>
              </w:rPr>
              <w:t>, I. (2019). Arsenic metabolites; selenium; and AS3MT, MTHFR, AQP4, AQP9, SELENOP, INMT, and MT2A polymorphisms in Croatian-Slovenian population from PHIME-CROME study. Environmental research, 170, 301-319.</w:t>
            </w:r>
          </w:p>
        </w:tc>
        <w:tc>
          <w:tcPr>
            <w:tcW w:w="2126" w:type="dxa"/>
            <w:tcBorders>
              <w:right w:val="single" w:sz="4" w:space="0" w:color="000000" w:themeColor="text1"/>
            </w:tcBorders>
            <w:shd w:val="clear" w:color="auto" w:fill="auto"/>
            <w:noWrap/>
            <w:vAlign w:val="center"/>
            <w:hideMark/>
          </w:tcPr>
          <w:p w14:paraId="42B540B2"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0FE113F5" w14:textId="77777777" w:rsidTr="00364C65">
        <w:trPr>
          <w:trHeight w:val="1200"/>
        </w:trPr>
        <w:tc>
          <w:tcPr>
            <w:tcW w:w="8364" w:type="dxa"/>
            <w:tcBorders>
              <w:left w:val="single" w:sz="4" w:space="0" w:color="000000" w:themeColor="text1"/>
            </w:tcBorders>
            <w:shd w:val="clear" w:color="auto" w:fill="auto"/>
            <w:vAlign w:val="center"/>
            <w:hideMark/>
          </w:tcPr>
          <w:p w14:paraId="48B2603B" w14:textId="77777777" w:rsidR="00954185" w:rsidRPr="00954185" w:rsidRDefault="00954185" w:rsidP="00364C65">
            <w:pPr>
              <w:spacing w:line="360" w:lineRule="auto"/>
              <w:rPr>
                <w:sz w:val="20"/>
                <w:szCs w:val="20"/>
              </w:rPr>
            </w:pPr>
            <w:proofErr w:type="spellStart"/>
            <w:r w:rsidRPr="00954185">
              <w:rPr>
                <w:sz w:val="20"/>
                <w:szCs w:val="20"/>
              </w:rPr>
              <w:t>Stajnko</w:t>
            </w:r>
            <w:proofErr w:type="spellEnd"/>
            <w:r w:rsidRPr="00954185">
              <w:rPr>
                <w:sz w:val="20"/>
                <w:szCs w:val="20"/>
              </w:rPr>
              <w:t xml:space="preserve">, A., </w:t>
            </w:r>
            <w:proofErr w:type="spellStart"/>
            <w:r w:rsidRPr="00954185">
              <w:rPr>
                <w:sz w:val="20"/>
                <w:szCs w:val="20"/>
              </w:rPr>
              <w:t>Tuhvatshin</w:t>
            </w:r>
            <w:proofErr w:type="spellEnd"/>
            <w:r w:rsidRPr="00954185">
              <w:rPr>
                <w:sz w:val="20"/>
                <w:szCs w:val="20"/>
              </w:rPr>
              <w:t xml:space="preserve">, R., </w:t>
            </w:r>
            <w:proofErr w:type="spellStart"/>
            <w:r w:rsidRPr="00954185">
              <w:rPr>
                <w:sz w:val="20"/>
                <w:szCs w:val="20"/>
              </w:rPr>
              <w:t>Suranova</w:t>
            </w:r>
            <w:proofErr w:type="spellEnd"/>
            <w:r w:rsidRPr="00954185">
              <w:rPr>
                <w:sz w:val="20"/>
                <w:szCs w:val="20"/>
              </w:rPr>
              <w:t xml:space="preserve">, G., </w:t>
            </w:r>
            <w:proofErr w:type="spellStart"/>
            <w:r w:rsidRPr="00954185">
              <w:rPr>
                <w:sz w:val="20"/>
                <w:szCs w:val="20"/>
              </w:rPr>
              <w:t>Mazej</w:t>
            </w:r>
            <w:proofErr w:type="spellEnd"/>
            <w:r w:rsidRPr="00954185">
              <w:rPr>
                <w:sz w:val="20"/>
                <w:szCs w:val="20"/>
              </w:rPr>
              <w:t xml:space="preserve">, D., </w:t>
            </w:r>
            <w:proofErr w:type="spellStart"/>
            <w:r w:rsidRPr="00954185">
              <w:rPr>
                <w:sz w:val="20"/>
                <w:szCs w:val="20"/>
              </w:rPr>
              <w:t>Šlejkovec</w:t>
            </w:r>
            <w:proofErr w:type="spellEnd"/>
            <w:r w:rsidRPr="00954185">
              <w:rPr>
                <w:sz w:val="20"/>
                <w:szCs w:val="20"/>
              </w:rPr>
              <w:t xml:space="preserve">, Z., </w:t>
            </w:r>
            <w:proofErr w:type="spellStart"/>
            <w:r w:rsidRPr="00954185">
              <w:rPr>
                <w:sz w:val="20"/>
                <w:szCs w:val="20"/>
              </w:rPr>
              <w:t>Falnoga</w:t>
            </w:r>
            <w:proofErr w:type="spellEnd"/>
            <w:r w:rsidRPr="00954185">
              <w:rPr>
                <w:sz w:val="20"/>
                <w:szCs w:val="20"/>
              </w:rPr>
              <w:t xml:space="preserve">, I., ... &amp; </w:t>
            </w:r>
            <w:proofErr w:type="spellStart"/>
            <w:r w:rsidRPr="00954185">
              <w:rPr>
                <w:sz w:val="20"/>
                <w:szCs w:val="20"/>
              </w:rPr>
              <w:t>Stegnar</w:t>
            </w:r>
            <w:proofErr w:type="spellEnd"/>
            <w:r w:rsidRPr="00954185">
              <w:rPr>
                <w:sz w:val="20"/>
                <w:szCs w:val="20"/>
              </w:rPr>
              <w:t>, P. (2020). Trace elements and ALAD gene polymorphisms in general population from three uranium legacy sites–A case study in Kyrgyzstan. Science of The Total Environment, 719, 134427.</w:t>
            </w:r>
          </w:p>
        </w:tc>
        <w:tc>
          <w:tcPr>
            <w:tcW w:w="2126" w:type="dxa"/>
            <w:tcBorders>
              <w:right w:val="single" w:sz="4" w:space="0" w:color="000000" w:themeColor="text1"/>
            </w:tcBorders>
            <w:shd w:val="clear" w:color="auto" w:fill="auto"/>
            <w:noWrap/>
            <w:vAlign w:val="center"/>
            <w:hideMark/>
          </w:tcPr>
          <w:p w14:paraId="7E2295FD" w14:textId="77777777" w:rsidR="00954185" w:rsidRPr="00954185" w:rsidRDefault="00954185" w:rsidP="00364C65">
            <w:pPr>
              <w:spacing w:line="360" w:lineRule="auto"/>
              <w:rPr>
                <w:sz w:val="20"/>
                <w:szCs w:val="20"/>
              </w:rPr>
            </w:pPr>
            <w:r w:rsidRPr="00954185">
              <w:rPr>
                <w:sz w:val="20"/>
                <w:szCs w:val="20"/>
              </w:rPr>
              <w:t xml:space="preserve">No arsenic metabolism, or arsenic-related disease </w:t>
            </w:r>
          </w:p>
        </w:tc>
      </w:tr>
      <w:tr w:rsidR="00954185" w:rsidRPr="00954185" w14:paraId="6E9B7CFB" w14:textId="77777777" w:rsidTr="00364C65">
        <w:trPr>
          <w:trHeight w:val="1200"/>
        </w:trPr>
        <w:tc>
          <w:tcPr>
            <w:tcW w:w="8364" w:type="dxa"/>
            <w:tcBorders>
              <w:left w:val="single" w:sz="4" w:space="0" w:color="000000" w:themeColor="text1"/>
            </w:tcBorders>
            <w:shd w:val="clear" w:color="auto" w:fill="auto"/>
            <w:vAlign w:val="center"/>
            <w:hideMark/>
          </w:tcPr>
          <w:p w14:paraId="48C75A05" w14:textId="77777777" w:rsidR="00954185" w:rsidRPr="00954185" w:rsidRDefault="00954185" w:rsidP="00364C65">
            <w:pPr>
              <w:spacing w:line="360" w:lineRule="auto"/>
              <w:rPr>
                <w:sz w:val="20"/>
                <w:szCs w:val="20"/>
              </w:rPr>
            </w:pPr>
            <w:r w:rsidRPr="00954185">
              <w:rPr>
                <w:sz w:val="20"/>
                <w:szCs w:val="20"/>
              </w:rPr>
              <w:lastRenderedPageBreak/>
              <w:t xml:space="preserve">Stea, F., </w:t>
            </w:r>
            <w:proofErr w:type="spellStart"/>
            <w:r w:rsidRPr="00954185">
              <w:rPr>
                <w:sz w:val="20"/>
                <w:szCs w:val="20"/>
              </w:rPr>
              <w:t>Faita</w:t>
            </w:r>
            <w:proofErr w:type="spellEnd"/>
            <w:r w:rsidRPr="00954185">
              <w:rPr>
                <w:sz w:val="20"/>
                <w:szCs w:val="20"/>
              </w:rPr>
              <w:t xml:space="preserve">, F., </w:t>
            </w:r>
            <w:proofErr w:type="spellStart"/>
            <w:r w:rsidRPr="00954185">
              <w:rPr>
                <w:sz w:val="20"/>
                <w:szCs w:val="20"/>
              </w:rPr>
              <w:t>Minichilli</w:t>
            </w:r>
            <w:proofErr w:type="spellEnd"/>
            <w:r w:rsidRPr="00954185">
              <w:rPr>
                <w:sz w:val="20"/>
                <w:szCs w:val="20"/>
              </w:rPr>
              <w:t xml:space="preserve">, F., </w:t>
            </w:r>
            <w:proofErr w:type="spellStart"/>
            <w:r w:rsidRPr="00954185">
              <w:rPr>
                <w:sz w:val="20"/>
                <w:szCs w:val="20"/>
              </w:rPr>
              <w:t>Faita</w:t>
            </w:r>
            <w:proofErr w:type="spellEnd"/>
            <w:r w:rsidRPr="00954185">
              <w:rPr>
                <w:sz w:val="20"/>
                <w:szCs w:val="20"/>
              </w:rPr>
              <w:t xml:space="preserve">, F., </w:t>
            </w:r>
            <w:proofErr w:type="spellStart"/>
            <w:r w:rsidRPr="00954185">
              <w:rPr>
                <w:sz w:val="20"/>
                <w:szCs w:val="20"/>
              </w:rPr>
              <w:t>Bustaffa</w:t>
            </w:r>
            <w:proofErr w:type="spellEnd"/>
            <w:r w:rsidRPr="00954185">
              <w:rPr>
                <w:sz w:val="20"/>
                <w:szCs w:val="20"/>
              </w:rPr>
              <w:t xml:space="preserve">, E., Cori, L., ... &amp; Sicari, R. (2014, September). Effects of arsenic exposure and genetic polymorphisms in detoxification metabolism and DNA repair genes on subclinical atherosclerosis in high-exposed population of our country. In European Heart Journal (Vol. 35, pp. 561-562). </w:t>
            </w:r>
          </w:p>
        </w:tc>
        <w:tc>
          <w:tcPr>
            <w:tcW w:w="2126" w:type="dxa"/>
            <w:tcBorders>
              <w:right w:val="single" w:sz="4" w:space="0" w:color="000000" w:themeColor="text1"/>
            </w:tcBorders>
            <w:shd w:val="clear" w:color="auto" w:fill="auto"/>
            <w:noWrap/>
            <w:vAlign w:val="center"/>
            <w:hideMark/>
          </w:tcPr>
          <w:p w14:paraId="22D55E9D" w14:textId="77777777" w:rsidR="00954185" w:rsidRPr="00954185" w:rsidRDefault="00954185" w:rsidP="00364C65">
            <w:pPr>
              <w:spacing w:line="360" w:lineRule="auto"/>
              <w:rPr>
                <w:sz w:val="20"/>
                <w:szCs w:val="20"/>
              </w:rPr>
            </w:pPr>
            <w:r w:rsidRPr="00954185">
              <w:rPr>
                <w:sz w:val="20"/>
                <w:szCs w:val="20"/>
              </w:rPr>
              <w:t>Conference abstract</w:t>
            </w:r>
          </w:p>
        </w:tc>
      </w:tr>
      <w:tr w:rsidR="00954185" w:rsidRPr="00954185" w14:paraId="77DC8335" w14:textId="77777777" w:rsidTr="00364C65">
        <w:trPr>
          <w:trHeight w:val="1200"/>
        </w:trPr>
        <w:tc>
          <w:tcPr>
            <w:tcW w:w="8364" w:type="dxa"/>
            <w:tcBorders>
              <w:left w:val="single" w:sz="4" w:space="0" w:color="000000" w:themeColor="text1"/>
            </w:tcBorders>
            <w:shd w:val="clear" w:color="auto" w:fill="auto"/>
            <w:vAlign w:val="center"/>
            <w:hideMark/>
          </w:tcPr>
          <w:p w14:paraId="5E16A21E" w14:textId="77777777" w:rsidR="00954185" w:rsidRPr="00954185" w:rsidRDefault="00954185" w:rsidP="00364C65">
            <w:pPr>
              <w:spacing w:line="360" w:lineRule="auto"/>
              <w:rPr>
                <w:sz w:val="20"/>
                <w:szCs w:val="20"/>
              </w:rPr>
            </w:pPr>
            <w:proofErr w:type="spellStart"/>
            <w:r w:rsidRPr="00954185">
              <w:rPr>
                <w:sz w:val="20"/>
                <w:szCs w:val="20"/>
              </w:rPr>
              <w:t>Steinmaus</w:t>
            </w:r>
            <w:proofErr w:type="spellEnd"/>
            <w:r w:rsidRPr="00954185">
              <w:rPr>
                <w:sz w:val="20"/>
                <w:szCs w:val="20"/>
              </w:rPr>
              <w:t>, C., Moore, L. E., Shipp, M., Kalman, D., Rey, O. A., Biggs, M. L., ... &amp; Smith, A. H. (2007). Genetic polymorphisms in MTHFR 677 and 1298, GSTM1 and T1, and metabolism of arsenic. Journal of Toxicology and Environmental Health, Part A, 70(2), 159-170.</w:t>
            </w:r>
          </w:p>
        </w:tc>
        <w:tc>
          <w:tcPr>
            <w:tcW w:w="2126" w:type="dxa"/>
            <w:tcBorders>
              <w:right w:val="single" w:sz="4" w:space="0" w:color="000000" w:themeColor="text1"/>
            </w:tcBorders>
            <w:shd w:val="clear" w:color="auto" w:fill="auto"/>
            <w:noWrap/>
            <w:vAlign w:val="center"/>
            <w:hideMark/>
          </w:tcPr>
          <w:p w14:paraId="2556392F"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7248FF9A" w14:textId="77777777" w:rsidTr="00364C65">
        <w:trPr>
          <w:trHeight w:val="1200"/>
        </w:trPr>
        <w:tc>
          <w:tcPr>
            <w:tcW w:w="8364" w:type="dxa"/>
            <w:tcBorders>
              <w:left w:val="single" w:sz="4" w:space="0" w:color="000000" w:themeColor="text1"/>
            </w:tcBorders>
            <w:shd w:val="clear" w:color="auto" w:fill="auto"/>
            <w:vAlign w:val="center"/>
            <w:hideMark/>
          </w:tcPr>
          <w:p w14:paraId="61A27EDD" w14:textId="77777777" w:rsidR="00954185" w:rsidRPr="00954185" w:rsidRDefault="00954185" w:rsidP="00364C65">
            <w:pPr>
              <w:spacing w:line="360" w:lineRule="auto"/>
              <w:rPr>
                <w:sz w:val="20"/>
                <w:szCs w:val="20"/>
              </w:rPr>
            </w:pPr>
            <w:r w:rsidRPr="00954185">
              <w:rPr>
                <w:sz w:val="20"/>
                <w:szCs w:val="20"/>
              </w:rPr>
              <w:t>Surdu, S., Fitzgerald, E. F., Bloom, M. S., Boscoe, F. P., Carpenter, D. O., Haase, R. F., ... &amp; Fletcher, T. (2014). Polymorphisms in DNA repair genes XRCC1 and XRCC3, occupational exposure to arsenic and sunlight, and the risk of non-melanoma skin cancer in a European case-control study. Environmental research, 134, 382-389.</w:t>
            </w:r>
          </w:p>
        </w:tc>
        <w:tc>
          <w:tcPr>
            <w:tcW w:w="2126" w:type="dxa"/>
            <w:tcBorders>
              <w:right w:val="single" w:sz="4" w:space="0" w:color="000000" w:themeColor="text1"/>
            </w:tcBorders>
            <w:shd w:val="clear" w:color="auto" w:fill="auto"/>
            <w:noWrap/>
            <w:vAlign w:val="center"/>
            <w:hideMark/>
          </w:tcPr>
          <w:p w14:paraId="31E9D2CE" w14:textId="77777777" w:rsidR="00954185" w:rsidRPr="00954185" w:rsidRDefault="00954185" w:rsidP="00364C65">
            <w:pPr>
              <w:spacing w:line="360" w:lineRule="auto"/>
              <w:rPr>
                <w:sz w:val="20"/>
                <w:szCs w:val="20"/>
              </w:rPr>
            </w:pPr>
            <w:r w:rsidRPr="00954185">
              <w:rPr>
                <w:sz w:val="20"/>
                <w:szCs w:val="20"/>
              </w:rPr>
              <w:t>Basal cell carcinoma, squamous cell carcinoma</w:t>
            </w:r>
          </w:p>
        </w:tc>
      </w:tr>
      <w:tr w:rsidR="00954185" w:rsidRPr="00954185" w14:paraId="6512789C" w14:textId="77777777" w:rsidTr="00364C65">
        <w:trPr>
          <w:trHeight w:val="1200"/>
        </w:trPr>
        <w:tc>
          <w:tcPr>
            <w:tcW w:w="8364" w:type="dxa"/>
            <w:tcBorders>
              <w:left w:val="single" w:sz="4" w:space="0" w:color="000000" w:themeColor="text1"/>
            </w:tcBorders>
            <w:shd w:val="clear" w:color="auto" w:fill="auto"/>
            <w:vAlign w:val="center"/>
            <w:hideMark/>
          </w:tcPr>
          <w:p w14:paraId="75829DD2" w14:textId="77777777" w:rsidR="00954185" w:rsidRPr="00954185" w:rsidRDefault="00954185" w:rsidP="00364C65">
            <w:pPr>
              <w:spacing w:line="360" w:lineRule="auto"/>
              <w:rPr>
                <w:sz w:val="20"/>
                <w:szCs w:val="20"/>
              </w:rPr>
            </w:pPr>
            <w:r w:rsidRPr="00954185">
              <w:rPr>
                <w:sz w:val="20"/>
                <w:szCs w:val="20"/>
              </w:rPr>
              <w:t>Szymańska-</w:t>
            </w:r>
            <w:proofErr w:type="spellStart"/>
            <w:r w:rsidRPr="00954185">
              <w:rPr>
                <w:sz w:val="20"/>
                <w:szCs w:val="20"/>
              </w:rPr>
              <w:t>Chabowska</w:t>
            </w:r>
            <w:proofErr w:type="spellEnd"/>
            <w:r w:rsidRPr="00954185">
              <w:rPr>
                <w:sz w:val="20"/>
                <w:szCs w:val="20"/>
              </w:rPr>
              <w:t xml:space="preserve">, A., Matys, T., </w:t>
            </w:r>
            <w:proofErr w:type="spellStart"/>
            <w:r w:rsidRPr="00954185">
              <w:rPr>
                <w:sz w:val="20"/>
                <w:szCs w:val="20"/>
              </w:rPr>
              <w:t>Łaczmański</w:t>
            </w:r>
            <w:proofErr w:type="spellEnd"/>
            <w:r w:rsidRPr="00954185">
              <w:rPr>
                <w:sz w:val="20"/>
                <w:szCs w:val="20"/>
              </w:rPr>
              <w:t xml:space="preserve">, Ł., Czerwińska, K., Janus, A., Smyk, B., ... &amp; </w:t>
            </w:r>
            <w:proofErr w:type="spellStart"/>
            <w:r w:rsidRPr="00954185">
              <w:rPr>
                <w:sz w:val="20"/>
                <w:szCs w:val="20"/>
              </w:rPr>
              <w:t>Gać</w:t>
            </w:r>
            <w:proofErr w:type="spellEnd"/>
            <w:r w:rsidRPr="00954185">
              <w:rPr>
                <w:sz w:val="20"/>
                <w:szCs w:val="20"/>
              </w:rPr>
              <w:t>, P. (2020). The relationship between PNP, GSTO-1, AS3MT and ADRB3 gene polymorphisms and urinary arsenic concentration among copper smelter and refinery employers. Human &amp; Experimental Toxicology, 39(11), 1443-1453.</w:t>
            </w:r>
          </w:p>
        </w:tc>
        <w:tc>
          <w:tcPr>
            <w:tcW w:w="2126" w:type="dxa"/>
            <w:tcBorders>
              <w:right w:val="single" w:sz="4" w:space="0" w:color="000000" w:themeColor="text1"/>
            </w:tcBorders>
            <w:shd w:val="clear" w:color="auto" w:fill="auto"/>
            <w:noWrap/>
            <w:vAlign w:val="center"/>
            <w:hideMark/>
          </w:tcPr>
          <w:p w14:paraId="2EED6A44" w14:textId="77777777" w:rsidR="00954185" w:rsidRPr="00954185" w:rsidRDefault="00954185" w:rsidP="00364C65">
            <w:pPr>
              <w:spacing w:line="360" w:lineRule="auto"/>
              <w:rPr>
                <w:sz w:val="20"/>
                <w:szCs w:val="20"/>
              </w:rPr>
            </w:pPr>
            <w:r w:rsidRPr="00954185">
              <w:rPr>
                <w:sz w:val="20"/>
                <w:szCs w:val="20"/>
              </w:rPr>
              <w:t xml:space="preserve">Not environmental arsenic exposure </w:t>
            </w:r>
          </w:p>
        </w:tc>
      </w:tr>
      <w:tr w:rsidR="00954185" w:rsidRPr="00954185" w14:paraId="3A9C3C61" w14:textId="77777777" w:rsidTr="00364C65">
        <w:trPr>
          <w:trHeight w:val="900"/>
        </w:trPr>
        <w:tc>
          <w:tcPr>
            <w:tcW w:w="8364" w:type="dxa"/>
            <w:tcBorders>
              <w:left w:val="single" w:sz="4" w:space="0" w:color="000000" w:themeColor="text1"/>
            </w:tcBorders>
            <w:shd w:val="clear" w:color="auto" w:fill="auto"/>
            <w:vAlign w:val="center"/>
            <w:hideMark/>
          </w:tcPr>
          <w:p w14:paraId="10A9E492" w14:textId="77777777" w:rsidR="00954185" w:rsidRPr="00954185" w:rsidRDefault="00954185" w:rsidP="00364C65">
            <w:pPr>
              <w:spacing w:line="360" w:lineRule="auto"/>
              <w:rPr>
                <w:sz w:val="20"/>
                <w:szCs w:val="20"/>
              </w:rPr>
            </w:pPr>
            <w:r w:rsidRPr="00954185">
              <w:rPr>
                <w:sz w:val="20"/>
                <w:szCs w:val="20"/>
              </w:rPr>
              <w:t xml:space="preserve">Tamayo, L. I., Kumarasinghe, Y., Tong, L., </w:t>
            </w:r>
            <w:proofErr w:type="spellStart"/>
            <w:r w:rsidRPr="00954185">
              <w:rPr>
                <w:sz w:val="20"/>
                <w:szCs w:val="20"/>
              </w:rPr>
              <w:t>Balac</w:t>
            </w:r>
            <w:proofErr w:type="spellEnd"/>
            <w:r w:rsidRPr="00954185">
              <w:rPr>
                <w:sz w:val="20"/>
                <w:szCs w:val="20"/>
              </w:rPr>
              <w:t>, O., Ahsan, H., Gamble, M., &amp; Pierce, B. L. (2022). Inherited genetic effects on arsenic metabolism: A comparison of effects on arsenic species measured in urine and in blood. Environmental Epidemiology, 6(6).</w:t>
            </w:r>
          </w:p>
        </w:tc>
        <w:tc>
          <w:tcPr>
            <w:tcW w:w="2126" w:type="dxa"/>
            <w:tcBorders>
              <w:right w:val="single" w:sz="4" w:space="0" w:color="000000" w:themeColor="text1"/>
            </w:tcBorders>
            <w:shd w:val="clear" w:color="auto" w:fill="auto"/>
            <w:noWrap/>
            <w:vAlign w:val="center"/>
            <w:hideMark/>
          </w:tcPr>
          <w:p w14:paraId="60B27E18"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017B08BD" w14:textId="77777777" w:rsidTr="00364C65">
        <w:trPr>
          <w:trHeight w:val="900"/>
        </w:trPr>
        <w:tc>
          <w:tcPr>
            <w:tcW w:w="8364" w:type="dxa"/>
            <w:tcBorders>
              <w:left w:val="single" w:sz="4" w:space="0" w:color="000000" w:themeColor="text1"/>
            </w:tcBorders>
            <w:shd w:val="clear" w:color="auto" w:fill="auto"/>
            <w:vAlign w:val="center"/>
            <w:hideMark/>
          </w:tcPr>
          <w:p w14:paraId="16C53107" w14:textId="77777777" w:rsidR="00954185" w:rsidRPr="00954185" w:rsidRDefault="00954185" w:rsidP="00364C65">
            <w:pPr>
              <w:spacing w:line="360" w:lineRule="auto"/>
              <w:rPr>
                <w:sz w:val="20"/>
                <w:szCs w:val="20"/>
              </w:rPr>
            </w:pPr>
            <w:r w:rsidRPr="00641BD3">
              <w:rPr>
                <w:sz w:val="20"/>
                <w:szCs w:val="20"/>
                <w:lang w:val="es-ES"/>
              </w:rPr>
              <w:t xml:space="preserve">Tamayo, L. I., </w:t>
            </w:r>
            <w:proofErr w:type="spellStart"/>
            <w:r w:rsidRPr="00641BD3">
              <w:rPr>
                <w:sz w:val="20"/>
                <w:szCs w:val="20"/>
                <w:lang w:val="es-ES"/>
              </w:rPr>
              <w:t>Tong</w:t>
            </w:r>
            <w:proofErr w:type="spellEnd"/>
            <w:r w:rsidRPr="00641BD3">
              <w:rPr>
                <w:sz w:val="20"/>
                <w:szCs w:val="20"/>
                <w:lang w:val="es-ES"/>
              </w:rPr>
              <w:t xml:space="preserve">, L., </w:t>
            </w:r>
            <w:proofErr w:type="spellStart"/>
            <w:r w:rsidRPr="00641BD3">
              <w:rPr>
                <w:sz w:val="20"/>
                <w:szCs w:val="20"/>
                <w:lang w:val="es-ES"/>
              </w:rPr>
              <w:t>Kibriya</w:t>
            </w:r>
            <w:proofErr w:type="spellEnd"/>
            <w:r w:rsidRPr="00641BD3">
              <w:rPr>
                <w:sz w:val="20"/>
                <w:szCs w:val="20"/>
                <w:lang w:val="es-ES"/>
              </w:rPr>
              <w:t xml:space="preserve">, M. G., Jasmine, F., Ahsan, H., &amp; Pierce, B. L. (2022). </w:t>
            </w:r>
            <w:r w:rsidRPr="00954185">
              <w:rPr>
                <w:sz w:val="20"/>
                <w:szCs w:val="20"/>
              </w:rPr>
              <w:t>Identifying inherited genetic variation that impacts individuals’ ability to metabolize arsenic and susceptibility to toxicity. Cancer Research, 82(12_Supplement), 1440-1440.</w:t>
            </w:r>
          </w:p>
        </w:tc>
        <w:tc>
          <w:tcPr>
            <w:tcW w:w="2126" w:type="dxa"/>
            <w:tcBorders>
              <w:right w:val="single" w:sz="4" w:space="0" w:color="000000" w:themeColor="text1"/>
            </w:tcBorders>
            <w:shd w:val="clear" w:color="auto" w:fill="auto"/>
            <w:noWrap/>
            <w:vAlign w:val="center"/>
            <w:hideMark/>
          </w:tcPr>
          <w:p w14:paraId="25F6A094" w14:textId="77777777" w:rsidR="00954185" w:rsidRPr="00954185" w:rsidRDefault="00954185" w:rsidP="00364C65">
            <w:pPr>
              <w:spacing w:line="360" w:lineRule="auto"/>
              <w:rPr>
                <w:sz w:val="20"/>
                <w:szCs w:val="20"/>
              </w:rPr>
            </w:pPr>
            <w:r w:rsidRPr="00954185">
              <w:rPr>
                <w:sz w:val="20"/>
                <w:szCs w:val="20"/>
              </w:rPr>
              <w:t>Conference abstract</w:t>
            </w:r>
          </w:p>
        </w:tc>
      </w:tr>
      <w:tr w:rsidR="00954185" w:rsidRPr="00954185" w14:paraId="2E76118E" w14:textId="77777777" w:rsidTr="00364C65">
        <w:trPr>
          <w:trHeight w:val="900"/>
        </w:trPr>
        <w:tc>
          <w:tcPr>
            <w:tcW w:w="8364" w:type="dxa"/>
            <w:tcBorders>
              <w:left w:val="single" w:sz="4" w:space="0" w:color="000000" w:themeColor="text1"/>
            </w:tcBorders>
            <w:shd w:val="clear" w:color="auto" w:fill="auto"/>
            <w:vAlign w:val="center"/>
            <w:hideMark/>
          </w:tcPr>
          <w:p w14:paraId="680AEC43" w14:textId="77777777" w:rsidR="00954185" w:rsidRPr="00954185" w:rsidRDefault="00954185" w:rsidP="00364C65">
            <w:pPr>
              <w:spacing w:line="360" w:lineRule="auto"/>
              <w:rPr>
                <w:sz w:val="20"/>
                <w:szCs w:val="20"/>
              </w:rPr>
            </w:pPr>
            <w:r w:rsidRPr="00954185">
              <w:rPr>
                <w:sz w:val="20"/>
                <w:szCs w:val="20"/>
              </w:rPr>
              <w:t>TIMP3 Gene Polymorphisms of -1296 T &gt; C and -915 A &gt; G Increase the Susceptibility to Arsenic-Induced Skin Cancer: A Cohort Study and In Silico Analysis of Mutation Impacts</w:t>
            </w:r>
          </w:p>
        </w:tc>
        <w:tc>
          <w:tcPr>
            <w:tcW w:w="2126" w:type="dxa"/>
            <w:tcBorders>
              <w:right w:val="single" w:sz="4" w:space="0" w:color="000000" w:themeColor="text1"/>
            </w:tcBorders>
            <w:shd w:val="clear" w:color="auto" w:fill="auto"/>
            <w:noWrap/>
            <w:vAlign w:val="center"/>
            <w:hideMark/>
          </w:tcPr>
          <w:p w14:paraId="0616A9A0" w14:textId="77777777" w:rsidR="00954185" w:rsidRPr="00954185" w:rsidRDefault="00954185" w:rsidP="00364C65">
            <w:pPr>
              <w:spacing w:line="360" w:lineRule="auto"/>
              <w:rPr>
                <w:sz w:val="20"/>
                <w:szCs w:val="20"/>
              </w:rPr>
            </w:pPr>
            <w:r w:rsidRPr="00954185">
              <w:rPr>
                <w:sz w:val="20"/>
                <w:szCs w:val="20"/>
              </w:rPr>
              <w:t>Skin cancer</w:t>
            </w:r>
          </w:p>
        </w:tc>
      </w:tr>
      <w:tr w:rsidR="00954185" w:rsidRPr="00954185" w14:paraId="5BC585C5" w14:textId="77777777" w:rsidTr="00364C65">
        <w:trPr>
          <w:trHeight w:val="900"/>
        </w:trPr>
        <w:tc>
          <w:tcPr>
            <w:tcW w:w="8364" w:type="dxa"/>
            <w:tcBorders>
              <w:left w:val="single" w:sz="4" w:space="0" w:color="000000" w:themeColor="text1"/>
            </w:tcBorders>
            <w:shd w:val="clear" w:color="auto" w:fill="auto"/>
            <w:vAlign w:val="center"/>
            <w:hideMark/>
          </w:tcPr>
          <w:p w14:paraId="028C316F" w14:textId="77777777" w:rsidR="00954185" w:rsidRPr="00954185" w:rsidRDefault="00954185" w:rsidP="00364C65">
            <w:pPr>
              <w:spacing w:line="360" w:lineRule="auto"/>
              <w:rPr>
                <w:sz w:val="20"/>
                <w:szCs w:val="20"/>
              </w:rPr>
            </w:pPr>
            <w:proofErr w:type="spellStart"/>
            <w:r w:rsidRPr="00954185">
              <w:rPr>
                <w:sz w:val="20"/>
                <w:szCs w:val="20"/>
              </w:rPr>
              <w:t>Trdin</w:t>
            </w:r>
            <w:proofErr w:type="spellEnd"/>
            <w:r w:rsidRPr="00954185">
              <w:rPr>
                <w:sz w:val="20"/>
                <w:szCs w:val="20"/>
              </w:rPr>
              <w:t xml:space="preserve">, A., Tratnik, J. S., </w:t>
            </w:r>
            <w:proofErr w:type="spellStart"/>
            <w:r w:rsidRPr="00954185">
              <w:rPr>
                <w:sz w:val="20"/>
                <w:szCs w:val="20"/>
              </w:rPr>
              <w:t>Stajnko</w:t>
            </w:r>
            <w:proofErr w:type="spellEnd"/>
            <w:r w:rsidRPr="00954185">
              <w:rPr>
                <w:sz w:val="20"/>
                <w:szCs w:val="20"/>
              </w:rPr>
              <w:t xml:space="preserve">, A., Marc, J., </w:t>
            </w:r>
            <w:proofErr w:type="spellStart"/>
            <w:r w:rsidRPr="00954185">
              <w:rPr>
                <w:sz w:val="20"/>
                <w:szCs w:val="20"/>
              </w:rPr>
              <w:t>Mazej</w:t>
            </w:r>
            <w:proofErr w:type="spellEnd"/>
            <w:r w:rsidRPr="00954185">
              <w:rPr>
                <w:sz w:val="20"/>
                <w:szCs w:val="20"/>
              </w:rPr>
              <w:t xml:space="preserve">, D., </w:t>
            </w:r>
            <w:proofErr w:type="spellStart"/>
            <w:r w:rsidRPr="00954185">
              <w:rPr>
                <w:sz w:val="20"/>
                <w:szCs w:val="20"/>
              </w:rPr>
              <w:t>Briški</w:t>
            </w:r>
            <w:proofErr w:type="spellEnd"/>
            <w:r w:rsidRPr="00954185">
              <w:rPr>
                <w:sz w:val="20"/>
                <w:szCs w:val="20"/>
              </w:rPr>
              <w:t xml:space="preserve">, A. S., ... &amp; </w:t>
            </w:r>
            <w:proofErr w:type="spellStart"/>
            <w:r w:rsidRPr="00954185">
              <w:rPr>
                <w:sz w:val="20"/>
                <w:szCs w:val="20"/>
              </w:rPr>
              <w:t>Falnoga</w:t>
            </w:r>
            <w:proofErr w:type="spellEnd"/>
            <w:r w:rsidRPr="00954185">
              <w:rPr>
                <w:sz w:val="20"/>
                <w:szCs w:val="20"/>
              </w:rPr>
              <w:t>, I. (2020). Trace elements and APOE polymorphisms in pregnant women and their new-borns. Environment international, 143, 105626.</w:t>
            </w:r>
          </w:p>
        </w:tc>
        <w:tc>
          <w:tcPr>
            <w:tcW w:w="2126" w:type="dxa"/>
            <w:tcBorders>
              <w:right w:val="single" w:sz="4" w:space="0" w:color="000000" w:themeColor="text1"/>
            </w:tcBorders>
            <w:shd w:val="clear" w:color="auto" w:fill="auto"/>
            <w:noWrap/>
            <w:vAlign w:val="center"/>
            <w:hideMark/>
          </w:tcPr>
          <w:p w14:paraId="57510F51" w14:textId="77777777" w:rsidR="00954185" w:rsidRPr="00954185" w:rsidRDefault="00954185" w:rsidP="00364C65">
            <w:pPr>
              <w:spacing w:line="360" w:lineRule="auto"/>
              <w:rPr>
                <w:sz w:val="20"/>
                <w:szCs w:val="20"/>
              </w:rPr>
            </w:pPr>
            <w:r w:rsidRPr="00954185">
              <w:rPr>
                <w:sz w:val="20"/>
                <w:szCs w:val="20"/>
              </w:rPr>
              <w:t xml:space="preserve">No arsenic metabolism, or arsenic-related disease </w:t>
            </w:r>
          </w:p>
        </w:tc>
      </w:tr>
      <w:tr w:rsidR="00954185" w:rsidRPr="00954185" w14:paraId="09C8738F" w14:textId="77777777" w:rsidTr="00364C65">
        <w:trPr>
          <w:trHeight w:val="600"/>
        </w:trPr>
        <w:tc>
          <w:tcPr>
            <w:tcW w:w="8364" w:type="dxa"/>
            <w:tcBorders>
              <w:left w:val="single" w:sz="4" w:space="0" w:color="000000" w:themeColor="text1"/>
            </w:tcBorders>
            <w:shd w:val="clear" w:color="auto" w:fill="auto"/>
            <w:vAlign w:val="center"/>
            <w:hideMark/>
          </w:tcPr>
          <w:p w14:paraId="43A9C443" w14:textId="77777777" w:rsidR="00954185" w:rsidRPr="00954185" w:rsidRDefault="00954185" w:rsidP="00364C65">
            <w:pPr>
              <w:spacing w:line="360" w:lineRule="auto"/>
              <w:rPr>
                <w:sz w:val="20"/>
                <w:szCs w:val="20"/>
              </w:rPr>
            </w:pPr>
            <w:proofErr w:type="spellStart"/>
            <w:r w:rsidRPr="00954185">
              <w:rPr>
                <w:sz w:val="20"/>
                <w:szCs w:val="20"/>
              </w:rPr>
              <w:t>Vahter</w:t>
            </w:r>
            <w:proofErr w:type="spellEnd"/>
            <w:r w:rsidRPr="00954185">
              <w:rPr>
                <w:sz w:val="20"/>
                <w:szCs w:val="20"/>
              </w:rPr>
              <w:t>, M. (2000). Genetic polymorphism in the biotransformation of inorganic arsenic and its role in toxicity. Toxicology letters, 112, 209-217.</w:t>
            </w:r>
          </w:p>
        </w:tc>
        <w:tc>
          <w:tcPr>
            <w:tcW w:w="2126" w:type="dxa"/>
            <w:tcBorders>
              <w:right w:val="single" w:sz="4" w:space="0" w:color="000000" w:themeColor="text1"/>
            </w:tcBorders>
            <w:shd w:val="clear" w:color="auto" w:fill="auto"/>
            <w:noWrap/>
            <w:vAlign w:val="center"/>
            <w:hideMark/>
          </w:tcPr>
          <w:p w14:paraId="62DB152E" w14:textId="77777777" w:rsidR="00954185" w:rsidRPr="00954185" w:rsidRDefault="00954185" w:rsidP="00364C65">
            <w:pPr>
              <w:spacing w:line="360" w:lineRule="auto"/>
              <w:rPr>
                <w:sz w:val="20"/>
                <w:szCs w:val="20"/>
              </w:rPr>
            </w:pPr>
            <w:r w:rsidRPr="00954185">
              <w:rPr>
                <w:sz w:val="20"/>
                <w:szCs w:val="20"/>
              </w:rPr>
              <w:t>Secondary study design (e.g., review, meta-analysis)</w:t>
            </w:r>
          </w:p>
        </w:tc>
      </w:tr>
      <w:tr w:rsidR="00954185" w:rsidRPr="00954185" w14:paraId="5F8BE77E" w14:textId="77777777" w:rsidTr="00364C65">
        <w:trPr>
          <w:trHeight w:val="1200"/>
        </w:trPr>
        <w:tc>
          <w:tcPr>
            <w:tcW w:w="8364" w:type="dxa"/>
            <w:tcBorders>
              <w:left w:val="single" w:sz="4" w:space="0" w:color="000000" w:themeColor="text1"/>
            </w:tcBorders>
            <w:shd w:val="clear" w:color="auto" w:fill="auto"/>
            <w:vAlign w:val="center"/>
            <w:hideMark/>
          </w:tcPr>
          <w:p w14:paraId="6A05F35D" w14:textId="77777777" w:rsidR="00954185" w:rsidRPr="00954185" w:rsidRDefault="00954185" w:rsidP="00364C65">
            <w:pPr>
              <w:spacing w:line="360" w:lineRule="auto"/>
              <w:rPr>
                <w:sz w:val="20"/>
                <w:szCs w:val="20"/>
              </w:rPr>
            </w:pPr>
            <w:r w:rsidRPr="00641BD3">
              <w:rPr>
                <w:sz w:val="20"/>
                <w:szCs w:val="20"/>
                <w:lang w:val="es-ES"/>
              </w:rPr>
              <w:t xml:space="preserve">Valenzuela, O. L., </w:t>
            </w:r>
            <w:proofErr w:type="spellStart"/>
            <w:r w:rsidRPr="00641BD3">
              <w:rPr>
                <w:sz w:val="20"/>
                <w:szCs w:val="20"/>
                <w:lang w:val="es-ES"/>
              </w:rPr>
              <w:t>Drobná</w:t>
            </w:r>
            <w:proofErr w:type="spellEnd"/>
            <w:r w:rsidRPr="00641BD3">
              <w:rPr>
                <w:sz w:val="20"/>
                <w:szCs w:val="20"/>
                <w:lang w:val="es-ES"/>
              </w:rPr>
              <w:t xml:space="preserve">, Z., Hernández-Castellanos, E., Sánchez-Peña, L. C., García-Vargas, G. G., Borja-Aburto, V. H., ... </w:t>
            </w:r>
            <w:r w:rsidRPr="00954185">
              <w:rPr>
                <w:sz w:val="20"/>
                <w:szCs w:val="20"/>
              </w:rPr>
              <w:t>&amp; Del Razo, L. M. (2009). Association of AS3MT polymorphisms and the risk of premalignant arsenic skin lesions. Toxicology and applied pharmacology, 239(2), 200-207.</w:t>
            </w:r>
          </w:p>
        </w:tc>
        <w:tc>
          <w:tcPr>
            <w:tcW w:w="2126" w:type="dxa"/>
            <w:tcBorders>
              <w:right w:val="single" w:sz="4" w:space="0" w:color="000000" w:themeColor="text1"/>
            </w:tcBorders>
            <w:shd w:val="clear" w:color="auto" w:fill="auto"/>
            <w:noWrap/>
            <w:vAlign w:val="center"/>
            <w:hideMark/>
          </w:tcPr>
          <w:p w14:paraId="01561C64" w14:textId="77777777" w:rsidR="00954185" w:rsidRPr="00954185" w:rsidRDefault="00954185" w:rsidP="00364C65">
            <w:pPr>
              <w:spacing w:line="360" w:lineRule="auto"/>
              <w:rPr>
                <w:sz w:val="20"/>
                <w:szCs w:val="20"/>
              </w:rPr>
            </w:pPr>
            <w:r w:rsidRPr="00954185">
              <w:rPr>
                <w:sz w:val="20"/>
                <w:szCs w:val="20"/>
              </w:rPr>
              <w:t xml:space="preserve">Skin lesions, arsenic metabolism </w:t>
            </w:r>
          </w:p>
        </w:tc>
      </w:tr>
      <w:tr w:rsidR="00954185" w:rsidRPr="00954185" w14:paraId="4EA42278" w14:textId="77777777" w:rsidTr="00364C65">
        <w:trPr>
          <w:trHeight w:val="600"/>
        </w:trPr>
        <w:tc>
          <w:tcPr>
            <w:tcW w:w="8364" w:type="dxa"/>
            <w:tcBorders>
              <w:left w:val="single" w:sz="4" w:space="0" w:color="000000" w:themeColor="text1"/>
            </w:tcBorders>
            <w:shd w:val="clear" w:color="auto" w:fill="auto"/>
            <w:vAlign w:val="center"/>
            <w:hideMark/>
          </w:tcPr>
          <w:p w14:paraId="153CAB56" w14:textId="77777777" w:rsidR="00954185" w:rsidRPr="00954185" w:rsidRDefault="00954185" w:rsidP="00364C65">
            <w:pPr>
              <w:spacing w:line="360" w:lineRule="auto"/>
              <w:rPr>
                <w:sz w:val="20"/>
                <w:szCs w:val="20"/>
              </w:rPr>
            </w:pPr>
            <w:r w:rsidRPr="00954185">
              <w:rPr>
                <w:sz w:val="20"/>
                <w:szCs w:val="20"/>
              </w:rPr>
              <w:t>Wang, S. L. (2012). S-051: Arsenic Exposure and Genetic Factors and Metabolic Syndrome in Two Populations from Taiwan. Epidemiology, 23(5S).</w:t>
            </w:r>
          </w:p>
        </w:tc>
        <w:tc>
          <w:tcPr>
            <w:tcW w:w="2126" w:type="dxa"/>
            <w:tcBorders>
              <w:right w:val="single" w:sz="4" w:space="0" w:color="000000" w:themeColor="text1"/>
            </w:tcBorders>
            <w:shd w:val="clear" w:color="auto" w:fill="auto"/>
            <w:noWrap/>
            <w:vAlign w:val="center"/>
            <w:hideMark/>
          </w:tcPr>
          <w:p w14:paraId="5385CA06" w14:textId="77777777" w:rsidR="00954185" w:rsidRPr="00954185" w:rsidRDefault="00954185" w:rsidP="00364C65">
            <w:pPr>
              <w:spacing w:line="360" w:lineRule="auto"/>
              <w:rPr>
                <w:sz w:val="20"/>
                <w:szCs w:val="20"/>
              </w:rPr>
            </w:pPr>
            <w:r w:rsidRPr="00954185">
              <w:rPr>
                <w:sz w:val="20"/>
                <w:szCs w:val="20"/>
              </w:rPr>
              <w:t>Conference abstract</w:t>
            </w:r>
          </w:p>
        </w:tc>
      </w:tr>
      <w:tr w:rsidR="00954185" w:rsidRPr="00954185" w14:paraId="73DEAEE9" w14:textId="77777777" w:rsidTr="00364C65">
        <w:trPr>
          <w:trHeight w:val="1200"/>
        </w:trPr>
        <w:tc>
          <w:tcPr>
            <w:tcW w:w="8364" w:type="dxa"/>
            <w:tcBorders>
              <w:left w:val="single" w:sz="4" w:space="0" w:color="000000" w:themeColor="text1"/>
            </w:tcBorders>
            <w:shd w:val="clear" w:color="auto" w:fill="auto"/>
            <w:vAlign w:val="center"/>
            <w:hideMark/>
          </w:tcPr>
          <w:p w14:paraId="09CB2AB7" w14:textId="77777777" w:rsidR="00954185" w:rsidRPr="00954185" w:rsidRDefault="00954185" w:rsidP="00364C65">
            <w:pPr>
              <w:spacing w:line="360" w:lineRule="auto"/>
              <w:rPr>
                <w:sz w:val="20"/>
                <w:szCs w:val="20"/>
              </w:rPr>
            </w:pPr>
            <w:r w:rsidRPr="00954185">
              <w:rPr>
                <w:sz w:val="20"/>
                <w:szCs w:val="20"/>
              </w:rPr>
              <w:t>Wang, Y. H., Yeh, S. D., Shen, K. H., Shen, C. H., Juang, G. D., Hsu, L. I., ... &amp; Chen, C. J. (2009). A significantly joint effect between arsenic and occupational exposures and risk genotypes/</w:t>
            </w:r>
            <w:proofErr w:type="spellStart"/>
            <w:r w:rsidRPr="00954185">
              <w:rPr>
                <w:sz w:val="20"/>
                <w:szCs w:val="20"/>
              </w:rPr>
              <w:t>diplotypes</w:t>
            </w:r>
            <w:proofErr w:type="spellEnd"/>
            <w:r w:rsidRPr="00954185">
              <w:rPr>
                <w:sz w:val="20"/>
                <w:szCs w:val="20"/>
              </w:rPr>
              <w:t xml:space="preserve"> of CYP2E1, GSTO1 and GSTO2 on risk of urothelial carcinoma. Toxicology and applied pharmacology, 241(1), 111-118.</w:t>
            </w:r>
          </w:p>
        </w:tc>
        <w:tc>
          <w:tcPr>
            <w:tcW w:w="2126" w:type="dxa"/>
            <w:tcBorders>
              <w:right w:val="single" w:sz="4" w:space="0" w:color="000000" w:themeColor="text1"/>
            </w:tcBorders>
            <w:shd w:val="clear" w:color="auto" w:fill="auto"/>
            <w:noWrap/>
            <w:vAlign w:val="center"/>
            <w:hideMark/>
          </w:tcPr>
          <w:p w14:paraId="52326F25" w14:textId="77777777" w:rsidR="00954185" w:rsidRPr="00954185" w:rsidRDefault="00954185" w:rsidP="00364C65">
            <w:pPr>
              <w:spacing w:line="360" w:lineRule="auto"/>
              <w:rPr>
                <w:sz w:val="20"/>
                <w:szCs w:val="20"/>
              </w:rPr>
            </w:pPr>
            <w:r w:rsidRPr="00954185">
              <w:rPr>
                <w:sz w:val="20"/>
                <w:szCs w:val="20"/>
              </w:rPr>
              <w:t xml:space="preserve">Urothelial carcinoma </w:t>
            </w:r>
          </w:p>
        </w:tc>
      </w:tr>
      <w:tr w:rsidR="00954185" w:rsidRPr="00954185" w14:paraId="4096CB88" w14:textId="77777777" w:rsidTr="00364C65">
        <w:trPr>
          <w:trHeight w:val="1200"/>
        </w:trPr>
        <w:tc>
          <w:tcPr>
            <w:tcW w:w="8364" w:type="dxa"/>
            <w:tcBorders>
              <w:left w:val="single" w:sz="4" w:space="0" w:color="000000" w:themeColor="text1"/>
            </w:tcBorders>
            <w:shd w:val="clear" w:color="auto" w:fill="auto"/>
            <w:vAlign w:val="center"/>
            <w:hideMark/>
          </w:tcPr>
          <w:p w14:paraId="40E923FE" w14:textId="77777777" w:rsidR="00954185" w:rsidRPr="00954185" w:rsidRDefault="00954185" w:rsidP="00364C65">
            <w:pPr>
              <w:spacing w:line="360" w:lineRule="auto"/>
              <w:rPr>
                <w:sz w:val="20"/>
                <w:szCs w:val="20"/>
              </w:rPr>
            </w:pPr>
            <w:r w:rsidRPr="00954185">
              <w:rPr>
                <w:sz w:val="20"/>
                <w:szCs w:val="20"/>
              </w:rPr>
              <w:lastRenderedPageBreak/>
              <w:t>Wang, Y. H., Yeh, S. D., Wu, M. M., Liu, C. T., Shen, C. H., Shen, K. H., ... &amp; Chen, C. J. (2013). Comparing the joint effect of arsenic exposure, cigarette smoking and risk genotypes of vascular endothelial growth factor on upper urinary tract urothelial carcinoma and bladder cancer. Journal of hazardous materials, 262, 1139-1146.</w:t>
            </w:r>
          </w:p>
        </w:tc>
        <w:tc>
          <w:tcPr>
            <w:tcW w:w="2126" w:type="dxa"/>
            <w:tcBorders>
              <w:right w:val="single" w:sz="4" w:space="0" w:color="000000" w:themeColor="text1"/>
            </w:tcBorders>
            <w:shd w:val="clear" w:color="auto" w:fill="auto"/>
            <w:noWrap/>
            <w:vAlign w:val="center"/>
            <w:hideMark/>
          </w:tcPr>
          <w:p w14:paraId="4B16B126" w14:textId="77777777" w:rsidR="00954185" w:rsidRPr="00954185" w:rsidRDefault="00954185" w:rsidP="00364C65">
            <w:pPr>
              <w:spacing w:line="360" w:lineRule="auto"/>
              <w:rPr>
                <w:sz w:val="20"/>
                <w:szCs w:val="20"/>
              </w:rPr>
            </w:pPr>
            <w:r w:rsidRPr="00954185">
              <w:rPr>
                <w:sz w:val="20"/>
                <w:szCs w:val="20"/>
              </w:rPr>
              <w:t>Upper urinary tract urothelial carcinoma, bladder cancer</w:t>
            </w:r>
          </w:p>
        </w:tc>
      </w:tr>
      <w:tr w:rsidR="00954185" w:rsidRPr="00954185" w14:paraId="7D348B56" w14:textId="77777777" w:rsidTr="00364C65">
        <w:trPr>
          <w:trHeight w:val="900"/>
        </w:trPr>
        <w:tc>
          <w:tcPr>
            <w:tcW w:w="8364" w:type="dxa"/>
            <w:tcBorders>
              <w:left w:val="single" w:sz="4" w:space="0" w:color="000000" w:themeColor="text1"/>
            </w:tcBorders>
            <w:shd w:val="clear" w:color="auto" w:fill="auto"/>
            <w:vAlign w:val="center"/>
            <w:hideMark/>
          </w:tcPr>
          <w:p w14:paraId="740AFA3E" w14:textId="77777777" w:rsidR="00954185" w:rsidRPr="00954185" w:rsidRDefault="00954185" w:rsidP="00364C65">
            <w:pPr>
              <w:spacing w:line="360" w:lineRule="auto"/>
              <w:rPr>
                <w:sz w:val="20"/>
                <w:szCs w:val="20"/>
              </w:rPr>
            </w:pPr>
            <w:r w:rsidRPr="00954185">
              <w:rPr>
                <w:sz w:val="20"/>
                <w:szCs w:val="20"/>
              </w:rPr>
              <w:t>Wei, S-F., Zhang, A-H., Liang, B., Huang, X-X.</w:t>
            </w:r>
            <w:proofErr w:type="gramStart"/>
            <w:r w:rsidRPr="00954185">
              <w:rPr>
                <w:sz w:val="20"/>
                <w:szCs w:val="20"/>
              </w:rPr>
              <w:t>,  (</w:t>
            </w:r>
            <w:proofErr w:type="gramEnd"/>
            <w:r w:rsidRPr="00954185">
              <w:rPr>
                <w:sz w:val="20"/>
                <w:szCs w:val="20"/>
              </w:rPr>
              <w:t xml:space="preserve">2011). Relationship between the genetic polymorphisms in nucleotide excision repair genes of ERCC1, XPD, XPC and the </w:t>
            </w:r>
            <w:proofErr w:type="spellStart"/>
            <w:r w:rsidRPr="00954185">
              <w:rPr>
                <w:sz w:val="20"/>
                <w:szCs w:val="20"/>
              </w:rPr>
              <w:t>arsenism</w:t>
            </w:r>
            <w:proofErr w:type="spellEnd"/>
            <w:r w:rsidRPr="00954185">
              <w:rPr>
                <w:sz w:val="20"/>
                <w:szCs w:val="20"/>
              </w:rPr>
              <w:t xml:space="preserve"> caused by coal-burning. Chinese Journal of </w:t>
            </w:r>
            <w:proofErr w:type="spellStart"/>
            <w:r w:rsidRPr="00954185">
              <w:rPr>
                <w:sz w:val="20"/>
                <w:szCs w:val="20"/>
              </w:rPr>
              <w:t>Endemiology</w:t>
            </w:r>
            <w:proofErr w:type="spellEnd"/>
            <w:r w:rsidRPr="00954185">
              <w:rPr>
                <w:sz w:val="20"/>
                <w:szCs w:val="20"/>
              </w:rPr>
              <w:t>, 633-637.</w:t>
            </w:r>
          </w:p>
        </w:tc>
        <w:tc>
          <w:tcPr>
            <w:tcW w:w="2126" w:type="dxa"/>
            <w:tcBorders>
              <w:right w:val="single" w:sz="4" w:space="0" w:color="000000" w:themeColor="text1"/>
            </w:tcBorders>
            <w:shd w:val="clear" w:color="auto" w:fill="auto"/>
            <w:noWrap/>
            <w:vAlign w:val="center"/>
            <w:hideMark/>
          </w:tcPr>
          <w:p w14:paraId="642F148F" w14:textId="77777777" w:rsidR="00954185" w:rsidRPr="00954185" w:rsidRDefault="00954185" w:rsidP="00364C65">
            <w:pPr>
              <w:spacing w:line="360" w:lineRule="auto"/>
              <w:rPr>
                <w:sz w:val="20"/>
                <w:szCs w:val="20"/>
              </w:rPr>
            </w:pPr>
            <w:r w:rsidRPr="00954185">
              <w:rPr>
                <w:sz w:val="20"/>
                <w:szCs w:val="20"/>
              </w:rPr>
              <w:t xml:space="preserve">Unable to access full text </w:t>
            </w:r>
          </w:p>
        </w:tc>
      </w:tr>
      <w:tr w:rsidR="00954185" w:rsidRPr="00954185" w14:paraId="711DE554" w14:textId="77777777" w:rsidTr="00364C65">
        <w:trPr>
          <w:trHeight w:val="1200"/>
        </w:trPr>
        <w:tc>
          <w:tcPr>
            <w:tcW w:w="8364" w:type="dxa"/>
            <w:tcBorders>
              <w:left w:val="single" w:sz="4" w:space="0" w:color="000000" w:themeColor="text1"/>
            </w:tcBorders>
            <w:shd w:val="clear" w:color="auto" w:fill="auto"/>
            <w:vAlign w:val="center"/>
            <w:hideMark/>
          </w:tcPr>
          <w:p w14:paraId="63D256D4" w14:textId="77777777" w:rsidR="00954185" w:rsidRPr="00954185" w:rsidRDefault="00954185" w:rsidP="00364C65">
            <w:pPr>
              <w:spacing w:line="360" w:lineRule="auto"/>
              <w:rPr>
                <w:sz w:val="20"/>
                <w:szCs w:val="20"/>
              </w:rPr>
            </w:pPr>
            <w:r w:rsidRPr="00954185">
              <w:rPr>
                <w:sz w:val="20"/>
                <w:szCs w:val="20"/>
              </w:rPr>
              <w:t>Weiss, M. C., Shih, Y. H., Bryan, M. S., Jackson, B. P., Aguilar, D., Brown, E. L., ... &amp; Sargis, R. M. (2023). Arsenic metabolism, diabetes prevalence, and insulin resistance among Mexican Americans: A mendelian randomization approach. Environmental Advances, 12, 100361.</w:t>
            </w:r>
          </w:p>
        </w:tc>
        <w:tc>
          <w:tcPr>
            <w:tcW w:w="2126" w:type="dxa"/>
            <w:tcBorders>
              <w:right w:val="single" w:sz="4" w:space="0" w:color="000000" w:themeColor="text1"/>
            </w:tcBorders>
            <w:shd w:val="clear" w:color="auto" w:fill="auto"/>
            <w:noWrap/>
            <w:vAlign w:val="center"/>
            <w:hideMark/>
          </w:tcPr>
          <w:p w14:paraId="1759F522"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4D012DEA" w14:textId="77777777" w:rsidTr="00364C65">
        <w:trPr>
          <w:trHeight w:val="1200"/>
        </w:trPr>
        <w:tc>
          <w:tcPr>
            <w:tcW w:w="8364" w:type="dxa"/>
            <w:tcBorders>
              <w:left w:val="single" w:sz="4" w:space="0" w:color="000000" w:themeColor="text1"/>
            </w:tcBorders>
            <w:shd w:val="clear" w:color="auto" w:fill="auto"/>
            <w:vAlign w:val="center"/>
            <w:hideMark/>
          </w:tcPr>
          <w:p w14:paraId="22F3A866" w14:textId="77777777" w:rsidR="00954185" w:rsidRPr="00954185" w:rsidRDefault="00954185" w:rsidP="00364C65">
            <w:pPr>
              <w:spacing w:line="360" w:lineRule="auto"/>
              <w:rPr>
                <w:sz w:val="20"/>
                <w:szCs w:val="20"/>
              </w:rPr>
            </w:pPr>
            <w:r w:rsidRPr="00954185">
              <w:rPr>
                <w:sz w:val="20"/>
                <w:szCs w:val="20"/>
              </w:rPr>
              <w:t>Wu, C. C., Huang, Y. K., Chung, C. J., Huang, C. Y., Pu, Y. S., Shiue, H. S., ... &amp; Hsueh, Y. M. (2013). Polymorphism of inflammatory genes and arsenic methylation capacity are associated with urothelial carcinoma. Toxicology and applied pharmacology, 272(1), 30-36.</w:t>
            </w:r>
          </w:p>
        </w:tc>
        <w:tc>
          <w:tcPr>
            <w:tcW w:w="2126" w:type="dxa"/>
            <w:tcBorders>
              <w:right w:val="single" w:sz="4" w:space="0" w:color="000000" w:themeColor="text1"/>
            </w:tcBorders>
            <w:shd w:val="clear" w:color="auto" w:fill="auto"/>
            <w:noWrap/>
            <w:vAlign w:val="center"/>
            <w:hideMark/>
          </w:tcPr>
          <w:p w14:paraId="789025A5" w14:textId="77777777" w:rsidR="00954185" w:rsidRPr="00954185" w:rsidRDefault="00954185" w:rsidP="00364C65">
            <w:pPr>
              <w:spacing w:line="360" w:lineRule="auto"/>
              <w:rPr>
                <w:sz w:val="20"/>
                <w:szCs w:val="20"/>
              </w:rPr>
            </w:pPr>
            <w:r w:rsidRPr="00954185">
              <w:rPr>
                <w:sz w:val="20"/>
                <w:szCs w:val="20"/>
              </w:rPr>
              <w:t xml:space="preserve">Urothelial carcinoma </w:t>
            </w:r>
          </w:p>
        </w:tc>
      </w:tr>
      <w:tr w:rsidR="00954185" w:rsidRPr="00954185" w14:paraId="066E92D4" w14:textId="77777777" w:rsidTr="00364C65">
        <w:trPr>
          <w:trHeight w:val="1200"/>
        </w:trPr>
        <w:tc>
          <w:tcPr>
            <w:tcW w:w="8364" w:type="dxa"/>
            <w:tcBorders>
              <w:left w:val="single" w:sz="4" w:space="0" w:color="000000" w:themeColor="text1"/>
            </w:tcBorders>
            <w:shd w:val="clear" w:color="auto" w:fill="auto"/>
            <w:vAlign w:val="center"/>
            <w:hideMark/>
          </w:tcPr>
          <w:p w14:paraId="414B5754" w14:textId="77777777" w:rsidR="00954185" w:rsidRPr="00954185" w:rsidRDefault="00954185" w:rsidP="00364C65">
            <w:pPr>
              <w:spacing w:line="360" w:lineRule="auto"/>
              <w:rPr>
                <w:sz w:val="20"/>
                <w:szCs w:val="20"/>
              </w:rPr>
            </w:pPr>
            <w:r w:rsidRPr="00954185">
              <w:rPr>
                <w:sz w:val="20"/>
                <w:szCs w:val="20"/>
              </w:rPr>
              <w:t xml:space="preserve">Wu, M. M., Chiou, H. Y., Chen, C. L., Hsu, L. I., Lien, L. M., Wang, C. H., ... &amp; Chen, C. J. (2011). Association of </w:t>
            </w:r>
            <w:proofErr w:type="spellStart"/>
            <w:r w:rsidRPr="00954185">
              <w:rPr>
                <w:sz w:val="20"/>
                <w:szCs w:val="20"/>
              </w:rPr>
              <w:t>heme</w:t>
            </w:r>
            <w:proofErr w:type="spellEnd"/>
            <w:r w:rsidRPr="00954185">
              <w:rPr>
                <w:sz w:val="20"/>
                <w:szCs w:val="20"/>
              </w:rPr>
              <w:t xml:space="preserve"> oxygenase-1 GT-repeat polymorphism with blood pressure phenotypes and its relevance to future cardiovascular mortality risk: an observation based on arsenic-exposed individuals. Atherosclerosis, 219(2), 704-708.</w:t>
            </w:r>
          </w:p>
        </w:tc>
        <w:tc>
          <w:tcPr>
            <w:tcW w:w="2126" w:type="dxa"/>
            <w:tcBorders>
              <w:right w:val="single" w:sz="4" w:space="0" w:color="000000" w:themeColor="text1"/>
            </w:tcBorders>
            <w:shd w:val="clear" w:color="auto" w:fill="auto"/>
            <w:noWrap/>
            <w:vAlign w:val="center"/>
            <w:hideMark/>
          </w:tcPr>
          <w:p w14:paraId="02620BE2" w14:textId="77777777" w:rsidR="00954185" w:rsidRPr="00954185" w:rsidRDefault="00954185" w:rsidP="00364C65">
            <w:pPr>
              <w:spacing w:line="360" w:lineRule="auto"/>
              <w:rPr>
                <w:sz w:val="20"/>
                <w:szCs w:val="20"/>
              </w:rPr>
            </w:pPr>
            <w:r w:rsidRPr="00954185">
              <w:rPr>
                <w:sz w:val="20"/>
                <w:szCs w:val="20"/>
              </w:rPr>
              <w:t xml:space="preserve">No arsenic metabolism, or arsenic-related disease </w:t>
            </w:r>
          </w:p>
        </w:tc>
      </w:tr>
      <w:tr w:rsidR="00954185" w:rsidRPr="00954185" w14:paraId="57A95EDD" w14:textId="77777777" w:rsidTr="00364C65">
        <w:trPr>
          <w:trHeight w:val="1200"/>
        </w:trPr>
        <w:tc>
          <w:tcPr>
            <w:tcW w:w="8364" w:type="dxa"/>
            <w:tcBorders>
              <w:left w:val="single" w:sz="4" w:space="0" w:color="000000" w:themeColor="text1"/>
            </w:tcBorders>
            <w:shd w:val="clear" w:color="auto" w:fill="auto"/>
            <w:vAlign w:val="center"/>
            <w:hideMark/>
          </w:tcPr>
          <w:p w14:paraId="5B038B8F" w14:textId="77777777" w:rsidR="00954185" w:rsidRPr="00954185" w:rsidRDefault="00954185" w:rsidP="00364C65">
            <w:pPr>
              <w:spacing w:line="360" w:lineRule="auto"/>
              <w:rPr>
                <w:sz w:val="20"/>
                <w:szCs w:val="20"/>
              </w:rPr>
            </w:pPr>
            <w:r w:rsidRPr="00954185">
              <w:rPr>
                <w:sz w:val="20"/>
                <w:szCs w:val="20"/>
              </w:rPr>
              <w:t xml:space="preserve">Wu, M. M., Chiou, H. Y., Chen, C. L., Wang, Y. H., Hsieh, Y. C., Lien, L. M., ... &amp; Chen, C. J. (2010). GT-repeat polymorphism in the </w:t>
            </w:r>
            <w:proofErr w:type="spellStart"/>
            <w:r w:rsidRPr="00954185">
              <w:rPr>
                <w:sz w:val="20"/>
                <w:szCs w:val="20"/>
              </w:rPr>
              <w:t>heme</w:t>
            </w:r>
            <w:proofErr w:type="spellEnd"/>
            <w:r w:rsidRPr="00954185">
              <w:rPr>
                <w:sz w:val="20"/>
                <w:szCs w:val="20"/>
              </w:rPr>
              <w:t xml:space="preserve"> oxygenase-1 gene promoter is associated with cardiovascular mortality risk in an arsenic-exposed population in northeastern Taiwan. Toxicology and applied pharmacology, 248(3), 226-233.</w:t>
            </w:r>
          </w:p>
        </w:tc>
        <w:tc>
          <w:tcPr>
            <w:tcW w:w="2126" w:type="dxa"/>
            <w:tcBorders>
              <w:right w:val="single" w:sz="4" w:space="0" w:color="000000" w:themeColor="text1"/>
            </w:tcBorders>
            <w:shd w:val="clear" w:color="auto" w:fill="auto"/>
            <w:noWrap/>
            <w:vAlign w:val="center"/>
            <w:hideMark/>
          </w:tcPr>
          <w:p w14:paraId="320DD4CC" w14:textId="77777777" w:rsidR="00954185" w:rsidRPr="00954185" w:rsidRDefault="00954185" w:rsidP="00364C65">
            <w:pPr>
              <w:spacing w:line="360" w:lineRule="auto"/>
              <w:rPr>
                <w:sz w:val="20"/>
                <w:szCs w:val="20"/>
              </w:rPr>
            </w:pPr>
            <w:r w:rsidRPr="00954185">
              <w:rPr>
                <w:sz w:val="20"/>
                <w:szCs w:val="20"/>
              </w:rPr>
              <w:t xml:space="preserve">No genetic </w:t>
            </w:r>
            <w:proofErr w:type="spellStart"/>
            <w:r w:rsidRPr="00954185">
              <w:rPr>
                <w:sz w:val="20"/>
                <w:szCs w:val="20"/>
              </w:rPr>
              <w:t>suspectibility</w:t>
            </w:r>
            <w:proofErr w:type="spellEnd"/>
            <w:r w:rsidRPr="00954185">
              <w:rPr>
                <w:sz w:val="20"/>
                <w:szCs w:val="20"/>
              </w:rPr>
              <w:t>, or not SNP</w:t>
            </w:r>
          </w:p>
        </w:tc>
      </w:tr>
      <w:tr w:rsidR="00954185" w:rsidRPr="00954185" w14:paraId="2543D51E" w14:textId="77777777" w:rsidTr="00364C65">
        <w:trPr>
          <w:trHeight w:val="1200"/>
        </w:trPr>
        <w:tc>
          <w:tcPr>
            <w:tcW w:w="8364" w:type="dxa"/>
            <w:tcBorders>
              <w:left w:val="single" w:sz="4" w:space="0" w:color="000000" w:themeColor="text1"/>
            </w:tcBorders>
            <w:shd w:val="clear" w:color="auto" w:fill="auto"/>
            <w:vAlign w:val="center"/>
            <w:hideMark/>
          </w:tcPr>
          <w:p w14:paraId="17A92C70" w14:textId="77777777" w:rsidR="00954185" w:rsidRPr="00954185" w:rsidRDefault="00954185" w:rsidP="00364C65">
            <w:pPr>
              <w:spacing w:line="360" w:lineRule="auto"/>
              <w:rPr>
                <w:sz w:val="20"/>
                <w:szCs w:val="20"/>
              </w:rPr>
            </w:pPr>
            <w:r w:rsidRPr="00954185">
              <w:rPr>
                <w:sz w:val="20"/>
                <w:szCs w:val="20"/>
              </w:rPr>
              <w:t xml:space="preserve">Wu, M. M., Chiou, H. Y., Lee, T. C., Chen, C. L., Hsu, L. I., Wang, Y. H., ... &amp; Chen, C. J. (2010). GT-repeat polymorphism in the </w:t>
            </w:r>
            <w:proofErr w:type="spellStart"/>
            <w:r w:rsidRPr="00954185">
              <w:rPr>
                <w:sz w:val="20"/>
                <w:szCs w:val="20"/>
              </w:rPr>
              <w:t>heme</w:t>
            </w:r>
            <w:proofErr w:type="spellEnd"/>
            <w:r w:rsidRPr="00954185">
              <w:rPr>
                <w:sz w:val="20"/>
                <w:szCs w:val="20"/>
              </w:rPr>
              <w:t xml:space="preserve"> oxygenase-1 gene promoter and the risk of carotid atherosclerosis related to arsenic exposure. Journal of biomedical science, 17, 1-11.</w:t>
            </w:r>
          </w:p>
        </w:tc>
        <w:tc>
          <w:tcPr>
            <w:tcW w:w="2126" w:type="dxa"/>
            <w:tcBorders>
              <w:right w:val="single" w:sz="4" w:space="0" w:color="000000" w:themeColor="text1"/>
            </w:tcBorders>
            <w:shd w:val="clear" w:color="auto" w:fill="auto"/>
            <w:noWrap/>
            <w:vAlign w:val="center"/>
            <w:hideMark/>
          </w:tcPr>
          <w:p w14:paraId="501A8A98" w14:textId="77777777" w:rsidR="00954185" w:rsidRPr="00954185" w:rsidRDefault="00954185" w:rsidP="00364C65">
            <w:pPr>
              <w:spacing w:line="360" w:lineRule="auto"/>
              <w:rPr>
                <w:sz w:val="20"/>
                <w:szCs w:val="20"/>
              </w:rPr>
            </w:pPr>
            <w:r w:rsidRPr="00954185">
              <w:rPr>
                <w:sz w:val="20"/>
                <w:szCs w:val="20"/>
              </w:rPr>
              <w:t xml:space="preserve">No genetic </w:t>
            </w:r>
            <w:proofErr w:type="spellStart"/>
            <w:r w:rsidRPr="00954185">
              <w:rPr>
                <w:sz w:val="20"/>
                <w:szCs w:val="20"/>
              </w:rPr>
              <w:t>suspectibility</w:t>
            </w:r>
            <w:proofErr w:type="spellEnd"/>
            <w:r w:rsidRPr="00954185">
              <w:rPr>
                <w:sz w:val="20"/>
                <w:szCs w:val="20"/>
              </w:rPr>
              <w:t>, or not SNP</w:t>
            </w:r>
          </w:p>
        </w:tc>
      </w:tr>
      <w:tr w:rsidR="00954185" w:rsidRPr="00954185" w14:paraId="151843C3" w14:textId="77777777" w:rsidTr="00364C65">
        <w:trPr>
          <w:trHeight w:val="1200"/>
        </w:trPr>
        <w:tc>
          <w:tcPr>
            <w:tcW w:w="8364" w:type="dxa"/>
            <w:tcBorders>
              <w:left w:val="single" w:sz="4" w:space="0" w:color="000000" w:themeColor="text1"/>
            </w:tcBorders>
            <w:shd w:val="clear" w:color="auto" w:fill="auto"/>
            <w:vAlign w:val="center"/>
            <w:hideMark/>
          </w:tcPr>
          <w:p w14:paraId="3653A8F4" w14:textId="77777777" w:rsidR="00954185" w:rsidRPr="00954185" w:rsidRDefault="00954185" w:rsidP="00364C65">
            <w:pPr>
              <w:spacing w:line="360" w:lineRule="auto"/>
              <w:rPr>
                <w:sz w:val="20"/>
                <w:szCs w:val="20"/>
              </w:rPr>
            </w:pPr>
            <w:r w:rsidRPr="00954185">
              <w:rPr>
                <w:sz w:val="20"/>
                <w:szCs w:val="20"/>
              </w:rPr>
              <w:t xml:space="preserve">Wu, M. M., Hsieh, F. I., Hsu, L. I., Lee, T. C., Chiou, H. Y., &amp; Chen, C. J. (2021). Gt-repeat polymorphism in the ho-1 gene promoter is associated with risk of liver cancer: A follow-up study from </w:t>
            </w:r>
            <w:proofErr w:type="spellStart"/>
            <w:r w:rsidRPr="00954185">
              <w:rPr>
                <w:sz w:val="20"/>
                <w:szCs w:val="20"/>
              </w:rPr>
              <w:t>arseniasis</w:t>
            </w:r>
            <w:proofErr w:type="spellEnd"/>
            <w:r w:rsidRPr="00954185">
              <w:rPr>
                <w:sz w:val="20"/>
                <w:szCs w:val="20"/>
              </w:rPr>
              <w:t xml:space="preserve">-endemic areas in </w:t>
            </w:r>
            <w:proofErr w:type="spellStart"/>
            <w:r w:rsidRPr="00954185">
              <w:rPr>
                <w:sz w:val="20"/>
                <w:szCs w:val="20"/>
              </w:rPr>
              <w:t>taiwan</w:t>
            </w:r>
            <w:proofErr w:type="spellEnd"/>
            <w:r w:rsidRPr="00954185">
              <w:rPr>
                <w:sz w:val="20"/>
                <w:szCs w:val="20"/>
              </w:rPr>
              <w:t>. Journal of Clinical Medicine, 10(7), 1489.</w:t>
            </w:r>
          </w:p>
        </w:tc>
        <w:tc>
          <w:tcPr>
            <w:tcW w:w="2126" w:type="dxa"/>
            <w:tcBorders>
              <w:right w:val="single" w:sz="4" w:space="0" w:color="000000" w:themeColor="text1"/>
            </w:tcBorders>
            <w:shd w:val="clear" w:color="auto" w:fill="auto"/>
            <w:noWrap/>
            <w:vAlign w:val="center"/>
            <w:hideMark/>
          </w:tcPr>
          <w:p w14:paraId="4285764D" w14:textId="77777777" w:rsidR="00954185" w:rsidRPr="00954185" w:rsidRDefault="00954185" w:rsidP="00364C65">
            <w:pPr>
              <w:spacing w:line="360" w:lineRule="auto"/>
              <w:rPr>
                <w:sz w:val="20"/>
                <w:szCs w:val="20"/>
              </w:rPr>
            </w:pPr>
            <w:r w:rsidRPr="00954185">
              <w:rPr>
                <w:sz w:val="20"/>
                <w:szCs w:val="20"/>
              </w:rPr>
              <w:t xml:space="preserve">No arsenic metabolism, or arsenic-related disease </w:t>
            </w:r>
          </w:p>
        </w:tc>
      </w:tr>
      <w:tr w:rsidR="00954185" w:rsidRPr="00954185" w14:paraId="074129F0" w14:textId="77777777" w:rsidTr="00364C65">
        <w:trPr>
          <w:trHeight w:val="1200"/>
        </w:trPr>
        <w:tc>
          <w:tcPr>
            <w:tcW w:w="8364" w:type="dxa"/>
            <w:tcBorders>
              <w:left w:val="single" w:sz="4" w:space="0" w:color="000000" w:themeColor="text1"/>
            </w:tcBorders>
            <w:shd w:val="clear" w:color="auto" w:fill="auto"/>
            <w:vAlign w:val="center"/>
            <w:hideMark/>
          </w:tcPr>
          <w:p w14:paraId="5EEC56DF" w14:textId="77777777" w:rsidR="00954185" w:rsidRPr="00954185" w:rsidRDefault="00954185" w:rsidP="00364C65">
            <w:pPr>
              <w:spacing w:line="360" w:lineRule="auto"/>
              <w:rPr>
                <w:sz w:val="20"/>
                <w:szCs w:val="20"/>
              </w:rPr>
            </w:pPr>
            <w:r w:rsidRPr="00954185">
              <w:rPr>
                <w:sz w:val="20"/>
                <w:szCs w:val="20"/>
              </w:rPr>
              <w:t xml:space="preserve">Wu, M. M., Lee, C. H., Hsu, L. I., Cheng, W. F., Lee, T. C., Wang, Y. H., ... &amp; Chen, C. J. (2016). Effect of </w:t>
            </w:r>
            <w:proofErr w:type="spellStart"/>
            <w:r w:rsidRPr="00954185">
              <w:rPr>
                <w:sz w:val="20"/>
                <w:szCs w:val="20"/>
              </w:rPr>
              <w:t>heme</w:t>
            </w:r>
            <w:proofErr w:type="spellEnd"/>
            <w:r w:rsidRPr="00954185">
              <w:rPr>
                <w:sz w:val="20"/>
                <w:szCs w:val="20"/>
              </w:rPr>
              <w:t xml:space="preserve"> oxygenase‐1 gene promoter polymorphism on cancer risk by histological subtype: A prospective study in </w:t>
            </w:r>
            <w:proofErr w:type="spellStart"/>
            <w:r w:rsidRPr="00954185">
              <w:rPr>
                <w:sz w:val="20"/>
                <w:szCs w:val="20"/>
              </w:rPr>
              <w:t>arseniasis</w:t>
            </w:r>
            <w:proofErr w:type="spellEnd"/>
            <w:r w:rsidRPr="00954185">
              <w:rPr>
                <w:sz w:val="20"/>
                <w:szCs w:val="20"/>
              </w:rPr>
              <w:t xml:space="preserve">‐endemic areas in T </w:t>
            </w:r>
            <w:proofErr w:type="spellStart"/>
            <w:r w:rsidRPr="00954185">
              <w:rPr>
                <w:sz w:val="20"/>
                <w:szCs w:val="20"/>
              </w:rPr>
              <w:t>aiwan</w:t>
            </w:r>
            <w:proofErr w:type="spellEnd"/>
            <w:r w:rsidRPr="00954185">
              <w:rPr>
                <w:sz w:val="20"/>
                <w:szCs w:val="20"/>
              </w:rPr>
              <w:t>. International Journal of Cancer, 138(8), 1875-1886.</w:t>
            </w:r>
          </w:p>
        </w:tc>
        <w:tc>
          <w:tcPr>
            <w:tcW w:w="2126" w:type="dxa"/>
            <w:tcBorders>
              <w:right w:val="single" w:sz="4" w:space="0" w:color="000000" w:themeColor="text1"/>
            </w:tcBorders>
            <w:shd w:val="clear" w:color="auto" w:fill="auto"/>
            <w:noWrap/>
            <w:vAlign w:val="center"/>
            <w:hideMark/>
          </w:tcPr>
          <w:p w14:paraId="2BCD8A58" w14:textId="77777777" w:rsidR="00954185" w:rsidRPr="00954185" w:rsidRDefault="00954185" w:rsidP="00364C65">
            <w:pPr>
              <w:spacing w:line="360" w:lineRule="auto"/>
              <w:rPr>
                <w:sz w:val="20"/>
                <w:szCs w:val="20"/>
              </w:rPr>
            </w:pPr>
            <w:r w:rsidRPr="00954185">
              <w:rPr>
                <w:sz w:val="20"/>
                <w:szCs w:val="20"/>
              </w:rPr>
              <w:t>Skin cancer</w:t>
            </w:r>
          </w:p>
        </w:tc>
      </w:tr>
      <w:tr w:rsidR="00954185" w:rsidRPr="00954185" w14:paraId="61D5F992" w14:textId="77777777" w:rsidTr="00364C65">
        <w:trPr>
          <w:trHeight w:val="1200"/>
        </w:trPr>
        <w:tc>
          <w:tcPr>
            <w:tcW w:w="8364" w:type="dxa"/>
            <w:tcBorders>
              <w:left w:val="single" w:sz="4" w:space="0" w:color="000000" w:themeColor="text1"/>
            </w:tcBorders>
            <w:shd w:val="clear" w:color="auto" w:fill="auto"/>
            <w:vAlign w:val="center"/>
            <w:hideMark/>
          </w:tcPr>
          <w:p w14:paraId="69F2991A" w14:textId="77777777" w:rsidR="00954185" w:rsidRPr="00954185" w:rsidRDefault="00954185" w:rsidP="00364C65">
            <w:pPr>
              <w:spacing w:line="360" w:lineRule="auto"/>
              <w:rPr>
                <w:sz w:val="20"/>
                <w:szCs w:val="20"/>
              </w:rPr>
            </w:pPr>
            <w:proofErr w:type="spellStart"/>
            <w:r w:rsidRPr="00641BD3">
              <w:rPr>
                <w:sz w:val="20"/>
                <w:szCs w:val="20"/>
                <w:lang w:val="es-ES"/>
              </w:rPr>
              <w:t>Xu</w:t>
            </w:r>
            <w:proofErr w:type="spellEnd"/>
            <w:r w:rsidRPr="00641BD3">
              <w:rPr>
                <w:sz w:val="20"/>
                <w:szCs w:val="20"/>
                <w:lang w:val="es-ES"/>
              </w:rPr>
              <w:t xml:space="preserve">, X., </w:t>
            </w:r>
            <w:proofErr w:type="spellStart"/>
            <w:r w:rsidRPr="00641BD3">
              <w:rPr>
                <w:sz w:val="20"/>
                <w:szCs w:val="20"/>
                <w:lang w:val="es-ES"/>
              </w:rPr>
              <w:t>Drobná</w:t>
            </w:r>
            <w:proofErr w:type="spellEnd"/>
            <w:r w:rsidRPr="00641BD3">
              <w:rPr>
                <w:sz w:val="20"/>
                <w:szCs w:val="20"/>
                <w:lang w:val="es-ES"/>
              </w:rPr>
              <w:t xml:space="preserve">, Z., </w:t>
            </w:r>
            <w:proofErr w:type="spellStart"/>
            <w:r w:rsidRPr="00641BD3">
              <w:rPr>
                <w:sz w:val="20"/>
                <w:szCs w:val="20"/>
                <w:lang w:val="es-ES"/>
              </w:rPr>
              <w:t>Voruganti</w:t>
            </w:r>
            <w:proofErr w:type="spellEnd"/>
            <w:r w:rsidRPr="00641BD3">
              <w:rPr>
                <w:sz w:val="20"/>
                <w:szCs w:val="20"/>
                <w:lang w:val="es-ES"/>
              </w:rPr>
              <w:t xml:space="preserve">, V. S., </w:t>
            </w:r>
            <w:proofErr w:type="spellStart"/>
            <w:r w:rsidRPr="00641BD3">
              <w:rPr>
                <w:sz w:val="20"/>
                <w:szCs w:val="20"/>
                <w:lang w:val="es-ES"/>
              </w:rPr>
              <w:t>Barron</w:t>
            </w:r>
            <w:proofErr w:type="spellEnd"/>
            <w:r w:rsidRPr="00641BD3">
              <w:rPr>
                <w:sz w:val="20"/>
                <w:szCs w:val="20"/>
                <w:lang w:val="es-ES"/>
              </w:rPr>
              <w:t xml:space="preserve">, K., González-Horta, C., Sánchez-Ramírez, B., ... </w:t>
            </w:r>
            <w:r w:rsidRPr="00954185">
              <w:rPr>
                <w:sz w:val="20"/>
                <w:szCs w:val="20"/>
              </w:rPr>
              <w:t xml:space="preserve">&amp; Mendez, M. A. (2016). Association between variants in arsenic (+ 3 oxidation state) </w:t>
            </w:r>
            <w:proofErr w:type="spellStart"/>
            <w:r w:rsidRPr="00954185">
              <w:rPr>
                <w:sz w:val="20"/>
                <w:szCs w:val="20"/>
              </w:rPr>
              <w:t>methyltranserase</w:t>
            </w:r>
            <w:proofErr w:type="spellEnd"/>
            <w:r w:rsidRPr="00954185">
              <w:rPr>
                <w:sz w:val="20"/>
                <w:szCs w:val="20"/>
              </w:rPr>
              <w:t xml:space="preserve"> (AS3MT) and urinary metabolites of inorganic arsenic: Role of exposure level. Toxicological Sciences, 153(1), 112-123.</w:t>
            </w:r>
          </w:p>
        </w:tc>
        <w:tc>
          <w:tcPr>
            <w:tcW w:w="2126" w:type="dxa"/>
            <w:tcBorders>
              <w:right w:val="single" w:sz="4" w:space="0" w:color="000000" w:themeColor="text1"/>
            </w:tcBorders>
            <w:shd w:val="clear" w:color="auto" w:fill="auto"/>
            <w:noWrap/>
            <w:vAlign w:val="center"/>
            <w:hideMark/>
          </w:tcPr>
          <w:p w14:paraId="1AE86E23" w14:textId="77777777" w:rsidR="00954185" w:rsidRPr="00954185" w:rsidRDefault="00954185" w:rsidP="00364C65">
            <w:pPr>
              <w:spacing w:line="360" w:lineRule="auto"/>
              <w:rPr>
                <w:sz w:val="20"/>
                <w:szCs w:val="20"/>
              </w:rPr>
            </w:pPr>
            <w:r w:rsidRPr="00954185">
              <w:rPr>
                <w:sz w:val="20"/>
                <w:szCs w:val="20"/>
              </w:rPr>
              <w:t xml:space="preserve">Arsenic metabolism </w:t>
            </w:r>
          </w:p>
        </w:tc>
      </w:tr>
      <w:tr w:rsidR="00954185" w:rsidRPr="00954185" w14:paraId="064CBB9A" w14:textId="77777777" w:rsidTr="00364C65">
        <w:trPr>
          <w:trHeight w:val="1200"/>
        </w:trPr>
        <w:tc>
          <w:tcPr>
            <w:tcW w:w="8364" w:type="dxa"/>
            <w:tcBorders>
              <w:left w:val="single" w:sz="4" w:space="0" w:color="000000" w:themeColor="text1"/>
            </w:tcBorders>
            <w:shd w:val="clear" w:color="auto" w:fill="auto"/>
            <w:vAlign w:val="center"/>
            <w:hideMark/>
          </w:tcPr>
          <w:p w14:paraId="68D45378" w14:textId="77777777" w:rsidR="00954185" w:rsidRPr="00954185" w:rsidRDefault="00954185" w:rsidP="00364C65">
            <w:pPr>
              <w:spacing w:line="360" w:lineRule="auto"/>
              <w:rPr>
                <w:sz w:val="20"/>
                <w:szCs w:val="20"/>
              </w:rPr>
            </w:pPr>
            <w:r w:rsidRPr="00954185">
              <w:rPr>
                <w:sz w:val="20"/>
                <w:szCs w:val="20"/>
              </w:rPr>
              <w:lastRenderedPageBreak/>
              <w:t>XU, X., Zhang, A., Liang, B., Han, X., Dong, X., &amp; Huang, X. (2014). Relationship between genetic polymorphisms in nucleotide excision repair gene excision repair cross complement group 6, xeroderma pigmentosum group A and coal-burning-borne-</w:t>
            </w:r>
            <w:proofErr w:type="spellStart"/>
            <w:r w:rsidRPr="00954185">
              <w:rPr>
                <w:sz w:val="20"/>
                <w:szCs w:val="20"/>
              </w:rPr>
              <w:t>arsenism</w:t>
            </w:r>
            <w:proofErr w:type="spellEnd"/>
            <w:r w:rsidRPr="00954185">
              <w:rPr>
                <w:sz w:val="20"/>
                <w:szCs w:val="20"/>
              </w:rPr>
              <w:t xml:space="preserve">. Chinese Journal of </w:t>
            </w:r>
            <w:proofErr w:type="spellStart"/>
            <w:r w:rsidRPr="00954185">
              <w:rPr>
                <w:sz w:val="20"/>
                <w:szCs w:val="20"/>
              </w:rPr>
              <w:t>Endemiology</w:t>
            </w:r>
            <w:proofErr w:type="spellEnd"/>
            <w:r w:rsidRPr="00954185">
              <w:rPr>
                <w:sz w:val="20"/>
                <w:szCs w:val="20"/>
              </w:rPr>
              <w:t>, 15-20.</w:t>
            </w:r>
          </w:p>
        </w:tc>
        <w:tc>
          <w:tcPr>
            <w:tcW w:w="2126" w:type="dxa"/>
            <w:tcBorders>
              <w:right w:val="single" w:sz="4" w:space="0" w:color="000000" w:themeColor="text1"/>
            </w:tcBorders>
            <w:shd w:val="clear" w:color="auto" w:fill="auto"/>
            <w:noWrap/>
            <w:vAlign w:val="center"/>
            <w:hideMark/>
          </w:tcPr>
          <w:p w14:paraId="3492FEFB" w14:textId="77777777" w:rsidR="00954185" w:rsidRPr="00954185" w:rsidRDefault="00954185" w:rsidP="00364C65">
            <w:pPr>
              <w:spacing w:line="360" w:lineRule="auto"/>
              <w:rPr>
                <w:sz w:val="20"/>
                <w:szCs w:val="20"/>
              </w:rPr>
            </w:pPr>
            <w:r w:rsidRPr="00954185">
              <w:rPr>
                <w:sz w:val="20"/>
                <w:szCs w:val="20"/>
              </w:rPr>
              <w:t xml:space="preserve">Unable to access full text </w:t>
            </w:r>
          </w:p>
        </w:tc>
      </w:tr>
      <w:tr w:rsidR="00954185" w:rsidRPr="00954185" w14:paraId="3EA1A8DD" w14:textId="77777777" w:rsidTr="00364C65">
        <w:trPr>
          <w:trHeight w:val="1500"/>
        </w:trPr>
        <w:tc>
          <w:tcPr>
            <w:tcW w:w="8364" w:type="dxa"/>
            <w:tcBorders>
              <w:left w:val="single" w:sz="4" w:space="0" w:color="000000" w:themeColor="text1"/>
            </w:tcBorders>
            <w:shd w:val="clear" w:color="auto" w:fill="auto"/>
            <w:vAlign w:val="center"/>
            <w:hideMark/>
          </w:tcPr>
          <w:p w14:paraId="48C5C34F" w14:textId="77777777" w:rsidR="00954185" w:rsidRPr="00BF5107" w:rsidRDefault="00954185" w:rsidP="00364C65">
            <w:pPr>
              <w:spacing w:line="360" w:lineRule="auto"/>
              <w:rPr>
                <w:sz w:val="20"/>
                <w:szCs w:val="20"/>
              </w:rPr>
            </w:pPr>
            <w:r w:rsidRPr="00BF5107">
              <w:rPr>
                <w:sz w:val="20"/>
                <w:szCs w:val="20"/>
              </w:rPr>
              <w:t>Xu, Y., Li, X., Zheng, Q., Wang, H., Wang, Y., &amp; Sun, G. (2009). Lack of association of glutathione-S-transferase omega 1 (A140D) and omega 2 (N142D) gene polymorphisms with urinary arsenic profile and oxidative stress status in arsenic-exposed population. Mutation Research/Genetic Toxicology and Environmental Mutagenesis, 679(1-2), 44-49.</w:t>
            </w:r>
          </w:p>
        </w:tc>
        <w:tc>
          <w:tcPr>
            <w:tcW w:w="2126" w:type="dxa"/>
            <w:tcBorders>
              <w:right w:val="single" w:sz="4" w:space="0" w:color="000000" w:themeColor="text1"/>
            </w:tcBorders>
            <w:shd w:val="clear" w:color="auto" w:fill="auto"/>
            <w:noWrap/>
            <w:vAlign w:val="center"/>
            <w:hideMark/>
          </w:tcPr>
          <w:p w14:paraId="65E288A9" w14:textId="77777777" w:rsidR="00954185" w:rsidRPr="00BF5107" w:rsidRDefault="00954185" w:rsidP="00364C65">
            <w:pPr>
              <w:spacing w:line="360" w:lineRule="auto"/>
              <w:rPr>
                <w:sz w:val="20"/>
                <w:szCs w:val="20"/>
              </w:rPr>
            </w:pPr>
            <w:r w:rsidRPr="00BF5107">
              <w:rPr>
                <w:sz w:val="20"/>
                <w:szCs w:val="20"/>
              </w:rPr>
              <w:t xml:space="preserve">Arsenic metabolism </w:t>
            </w:r>
          </w:p>
        </w:tc>
      </w:tr>
      <w:tr w:rsidR="00954185" w:rsidRPr="00954185" w14:paraId="7C7A1AE5" w14:textId="77777777" w:rsidTr="00364C65">
        <w:trPr>
          <w:trHeight w:val="1200"/>
        </w:trPr>
        <w:tc>
          <w:tcPr>
            <w:tcW w:w="8364" w:type="dxa"/>
            <w:tcBorders>
              <w:left w:val="single" w:sz="4" w:space="0" w:color="000000" w:themeColor="text1"/>
            </w:tcBorders>
            <w:shd w:val="clear" w:color="auto" w:fill="auto"/>
            <w:vAlign w:val="center"/>
            <w:hideMark/>
          </w:tcPr>
          <w:p w14:paraId="5AD80E96" w14:textId="77777777" w:rsidR="00954185" w:rsidRPr="00BF5107" w:rsidRDefault="00954185" w:rsidP="00364C65">
            <w:pPr>
              <w:spacing w:line="360" w:lineRule="auto"/>
              <w:rPr>
                <w:sz w:val="20"/>
                <w:szCs w:val="20"/>
              </w:rPr>
            </w:pPr>
            <w:r w:rsidRPr="00BF5107">
              <w:rPr>
                <w:sz w:val="20"/>
                <w:szCs w:val="20"/>
              </w:rPr>
              <w:t>Yang, J., Yan, L., Zhang, M., Wang, Y., Wang, C., &amp; Xiang, Q. (2015). Associations between the polymorphisms of GSTT1, GSTM1 and methylation of arsenic in the residents exposed to low-level arsenic in drinking water in China. Journal of human genetics, 60(7), 387-394.</w:t>
            </w:r>
          </w:p>
        </w:tc>
        <w:tc>
          <w:tcPr>
            <w:tcW w:w="2126" w:type="dxa"/>
            <w:tcBorders>
              <w:right w:val="single" w:sz="4" w:space="0" w:color="000000" w:themeColor="text1"/>
            </w:tcBorders>
            <w:shd w:val="clear" w:color="auto" w:fill="auto"/>
            <w:noWrap/>
            <w:vAlign w:val="center"/>
            <w:hideMark/>
          </w:tcPr>
          <w:p w14:paraId="2DB46457" w14:textId="77777777" w:rsidR="00954185" w:rsidRPr="00BF5107" w:rsidRDefault="00954185" w:rsidP="00364C65">
            <w:pPr>
              <w:spacing w:line="360" w:lineRule="auto"/>
              <w:rPr>
                <w:sz w:val="20"/>
                <w:szCs w:val="20"/>
              </w:rPr>
            </w:pPr>
            <w:r w:rsidRPr="00BF5107">
              <w:rPr>
                <w:sz w:val="20"/>
                <w:szCs w:val="20"/>
              </w:rPr>
              <w:t xml:space="preserve">Arsenic metabolism </w:t>
            </w:r>
          </w:p>
        </w:tc>
      </w:tr>
      <w:tr w:rsidR="00954185" w:rsidRPr="00954185" w14:paraId="6246E384" w14:textId="77777777" w:rsidTr="00364C65">
        <w:trPr>
          <w:trHeight w:val="1200"/>
        </w:trPr>
        <w:tc>
          <w:tcPr>
            <w:tcW w:w="8364" w:type="dxa"/>
            <w:tcBorders>
              <w:left w:val="single" w:sz="4" w:space="0" w:color="000000" w:themeColor="text1"/>
            </w:tcBorders>
            <w:shd w:val="clear" w:color="auto" w:fill="auto"/>
            <w:vAlign w:val="center"/>
            <w:hideMark/>
          </w:tcPr>
          <w:p w14:paraId="7366B35B" w14:textId="77777777" w:rsidR="00954185" w:rsidRPr="00BF5107" w:rsidRDefault="00954185" w:rsidP="00364C65">
            <w:pPr>
              <w:spacing w:line="360" w:lineRule="auto"/>
              <w:rPr>
                <w:sz w:val="20"/>
                <w:szCs w:val="20"/>
              </w:rPr>
            </w:pPr>
            <w:r w:rsidRPr="00BF5107">
              <w:rPr>
                <w:sz w:val="20"/>
                <w:szCs w:val="20"/>
              </w:rPr>
              <w:t>Yang, S. M., Huang, C. Y., Shiue, H. S., Pu, Y. S., Hsieh, Y. H., Chen, W. J., ... &amp; Hsueh, Y. M. (2016). Combined effects of DNA methyltransferase 1 and 3A polymorphisms and urinary total arsenic levels on the risk for clear cell renal cell carcinoma. Toxicology and applied pharmacology, 305, 103-110.</w:t>
            </w:r>
          </w:p>
        </w:tc>
        <w:tc>
          <w:tcPr>
            <w:tcW w:w="2126" w:type="dxa"/>
            <w:tcBorders>
              <w:right w:val="single" w:sz="4" w:space="0" w:color="000000" w:themeColor="text1"/>
            </w:tcBorders>
            <w:shd w:val="clear" w:color="auto" w:fill="auto"/>
            <w:noWrap/>
            <w:vAlign w:val="center"/>
            <w:hideMark/>
          </w:tcPr>
          <w:p w14:paraId="45FBA71D" w14:textId="77777777" w:rsidR="00954185" w:rsidRPr="00BF5107" w:rsidRDefault="00954185" w:rsidP="00364C65">
            <w:pPr>
              <w:spacing w:line="360" w:lineRule="auto"/>
              <w:rPr>
                <w:sz w:val="20"/>
                <w:szCs w:val="20"/>
              </w:rPr>
            </w:pPr>
            <w:r w:rsidRPr="00BF5107">
              <w:rPr>
                <w:sz w:val="20"/>
                <w:szCs w:val="20"/>
              </w:rPr>
              <w:t>Clear cell renal cell carcinoma</w:t>
            </w:r>
          </w:p>
        </w:tc>
      </w:tr>
      <w:tr w:rsidR="00954185" w:rsidRPr="00954185" w14:paraId="23143F1B" w14:textId="77777777" w:rsidTr="00364C65">
        <w:trPr>
          <w:trHeight w:val="900"/>
        </w:trPr>
        <w:tc>
          <w:tcPr>
            <w:tcW w:w="8364" w:type="dxa"/>
            <w:tcBorders>
              <w:left w:val="single" w:sz="4" w:space="0" w:color="000000" w:themeColor="text1"/>
            </w:tcBorders>
            <w:shd w:val="clear" w:color="auto" w:fill="auto"/>
            <w:vAlign w:val="center"/>
            <w:hideMark/>
          </w:tcPr>
          <w:p w14:paraId="549332F1" w14:textId="77777777" w:rsidR="00954185" w:rsidRPr="00BF5107" w:rsidRDefault="00954185" w:rsidP="00364C65">
            <w:pPr>
              <w:spacing w:line="360" w:lineRule="auto"/>
              <w:rPr>
                <w:sz w:val="20"/>
                <w:szCs w:val="20"/>
              </w:rPr>
            </w:pPr>
            <w:r w:rsidRPr="00BF5107">
              <w:rPr>
                <w:sz w:val="20"/>
                <w:szCs w:val="20"/>
              </w:rPr>
              <w:t>Yuan, Y., Long, P., Liu, K., Xiao, Y., He, S., Li, J., ... &amp; Wu, T. (2020). Multiple plasma metals, genetic risk and serum C-reactive protein: A metal-metal and gene-metal interaction study. Redox Biology, 29, 101404.</w:t>
            </w:r>
          </w:p>
        </w:tc>
        <w:tc>
          <w:tcPr>
            <w:tcW w:w="2126" w:type="dxa"/>
            <w:tcBorders>
              <w:right w:val="single" w:sz="4" w:space="0" w:color="000000" w:themeColor="text1"/>
            </w:tcBorders>
            <w:shd w:val="clear" w:color="auto" w:fill="auto"/>
            <w:noWrap/>
            <w:vAlign w:val="center"/>
            <w:hideMark/>
          </w:tcPr>
          <w:p w14:paraId="2E162849" w14:textId="77777777" w:rsidR="00954185" w:rsidRPr="00BF5107" w:rsidRDefault="00954185" w:rsidP="00364C65">
            <w:pPr>
              <w:spacing w:line="360" w:lineRule="auto"/>
              <w:rPr>
                <w:sz w:val="20"/>
                <w:szCs w:val="20"/>
              </w:rPr>
            </w:pPr>
            <w:r w:rsidRPr="00BF5107">
              <w:rPr>
                <w:sz w:val="20"/>
                <w:szCs w:val="20"/>
              </w:rPr>
              <w:t xml:space="preserve">No arsenic metabolism, or arsenic-related disease </w:t>
            </w:r>
          </w:p>
        </w:tc>
      </w:tr>
      <w:tr w:rsidR="00954185" w:rsidRPr="00954185" w14:paraId="48223349" w14:textId="77777777" w:rsidTr="00364C65">
        <w:trPr>
          <w:trHeight w:val="900"/>
        </w:trPr>
        <w:tc>
          <w:tcPr>
            <w:tcW w:w="8364" w:type="dxa"/>
            <w:tcBorders>
              <w:left w:val="single" w:sz="4" w:space="0" w:color="000000" w:themeColor="text1"/>
            </w:tcBorders>
            <w:shd w:val="clear" w:color="auto" w:fill="auto"/>
            <w:vAlign w:val="center"/>
            <w:hideMark/>
          </w:tcPr>
          <w:p w14:paraId="5AC5A654" w14:textId="77777777" w:rsidR="00954185" w:rsidRPr="00BF5107" w:rsidRDefault="00954185" w:rsidP="00364C65">
            <w:pPr>
              <w:spacing w:line="360" w:lineRule="auto"/>
              <w:rPr>
                <w:sz w:val="20"/>
                <w:szCs w:val="20"/>
              </w:rPr>
            </w:pPr>
            <w:r w:rsidRPr="00BF5107">
              <w:rPr>
                <w:sz w:val="20"/>
                <w:szCs w:val="20"/>
              </w:rPr>
              <w:t>Zhao, F., Wang, N., Bao, F., Zhao, G., Jing, L., Wang, G., ... &amp; Chen, B. (2022). Genome-wide association study reveals genetic basis of trace elements accumulation in maize kernels. Agriculture, 12(2), 262.</w:t>
            </w:r>
          </w:p>
        </w:tc>
        <w:tc>
          <w:tcPr>
            <w:tcW w:w="2126" w:type="dxa"/>
            <w:tcBorders>
              <w:right w:val="single" w:sz="4" w:space="0" w:color="000000" w:themeColor="text1"/>
            </w:tcBorders>
            <w:shd w:val="clear" w:color="auto" w:fill="auto"/>
            <w:noWrap/>
            <w:vAlign w:val="center"/>
            <w:hideMark/>
          </w:tcPr>
          <w:p w14:paraId="6B8AD535" w14:textId="77777777" w:rsidR="00954185" w:rsidRPr="00BF5107" w:rsidRDefault="00954185" w:rsidP="00364C65">
            <w:pPr>
              <w:spacing w:line="360" w:lineRule="auto"/>
              <w:rPr>
                <w:sz w:val="20"/>
                <w:szCs w:val="20"/>
              </w:rPr>
            </w:pPr>
            <w:r w:rsidRPr="00BF5107">
              <w:rPr>
                <w:sz w:val="20"/>
                <w:szCs w:val="20"/>
              </w:rPr>
              <w:t>Not human study (e.g., in vitro, in vivo, plants)</w:t>
            </w:r>
          </w:p>
        </w:tc>
      </w:tr>
      <w:tr w:rsidR="00954185" w:rsidRPr="00954185" w14:paraId="13F7556E" w14:textId="77777777" w:rsidTr="00364C65">
        <w:trPr>
          <w:trHeight w:val="1200"/>
        </w:trPr>
        <w:tc>
          <w:tcPr>
            <w:tcW w:w="8364" w:type="dxa"/>
            <w:tcBorders>
              <w:left w:val="single" w:sz="4" w:space="0" w:color="000000" w:themeColor="text1"/>
            </w:tcBorders>
            <w:shd w:val="clear" w:color="auto" w:fill="auto"/>
            <w:vAlign w:val="center"/>
            <w:hideMark/>
          </w:tcPr>
          <w:p w14:paraId="63165A0C" w14:textId="77777777" w:rsidR="00954185" w:rsidRPr="00BF5107" w:rsidRDefault="00954185" w:rsidP="00364C65">
            <w:pPr>
              <w:spacing w:line="360" w:lineRule="auto"/>
              <w:rPr>
                <w:sz w:val="20"/>
                <w:szCs w:val="20"/>
              </w:rPr>
            </w:pPr>
            <w:r w:rsidRPr="00BF5107">
              <w:rPr>
                <w:sz w:val="20"/>
                <w:szCs w:val="20"/>
              </w:rPr>
              <w:t xml:space="preserve">Zhao, P., Liang, J. B., Deng, Z. Y., Wang, M. J., Qin, J. Y., Chen, C. J., &amp; Hu, X. M. (2019). Association of gene mutations with response to arsenic-containing compound </w:t>
            </w:r>
            <w:proofErr w:type="spellStart"/>
            <w:r w:rsidRPr="00BF5107">
              <w:rPr>
                <w:sz w:val="20"/>
                <w:szCs w:val="20"/>
              </w:rPr>
              <w:t>Qinghuang</w:t>
            </w:r>
            <w:proofErr w:type="spellEnd"/>
            <w:r w:rsidRPr="00BF5107">
              <w:rPr>
                <w:sz w:val="20"/>
                <w:szCs w:val="20"/>
              </w:rPr>
              <w:t xml:space="preserve"> powder (</w:t>
            </w:r>
            <w:proofErr w:type="spellStart"/>
            <w:r w:rsidRPr="00BF5107">
              <w:rPr>
                <w:rFonts w:eastAsia="MS Mincho"/>
                <w:sz w:val="20"/>
                <w:szCs w:val="20"/>
              </w:rPr>
              <w:t>复方青黄散</w:t>
            </w:r>
            <w:proofErr w:type="spellEnd"/>
            <w:r w:rsidRPr="00BF5107">
              <w:rPr>
                <w:sz w:val="20"/>
                <w:szCs w:val="20"/>
              </w:rPr>
              <w:t>) in patients with myelodysplastic syndromes. Chinese journal of integrative medicine, 25, 409-415.</w:t>
            </w:r>
          </w:p>
        </w:tc>
        <w:tc>
          <w:tcPr>
            <w:tcW w:w="2126" w:type="dxa"/>
            <w:tcBorders>
              <w:right w:val="single" w:sz="4" w:space="0" w:color="000000" w:themeColor="text1"/>
            </w:tcBorders>
            <w:shd w:val="clear" w:color="auto" w:fill="auto"/>
            <w:noWrap/>
            <w:vAlign w:val="center"/>
            <w:hideMark/>
          </w:tcPr>
          <w:p w14:paraId="6B897917" w14:textId="77777777" w:rsidR="00954185" w:rsidRPr="00BF5107" w:rsidRDefault="00954185" w:rsidP="00364C65">
            <w:pPr>
              <w:spacing w:line="360" w:lineRule="auto"/>
              <w:rPr>
                <w:sz w:val="20"/>
                <w:szCs w:val="20"/>
              </w:rPr>
            </w:pPr>
            <w:r w:rsidRPr="00BF5107">
              <w:rPr>
                <w:sz w:val="20"/>
                <w:szCs w:val="20"/>
              </w:rPr>
              <w:t xml:space="preserve">Not environmental arsenic exposure </w:t>
            </w:r>
          </w:p>
        </w:tc>
      </w:tr>
      <w:tr w:rsidR="00954185" w:rsidRPr="00364C65" w14:paraId="61E99236" w14:textId="77777777" w:rsidTr="00954185">
        <w:trPr>
          <w:trHeight w:val="1200"/>
        </w:trPr>
        <w:tc>
          <w:tcPr>
            <w:tcW w:w="8364" w:type="dxa"/>
            <w:tcBorders>
              <w:left w:val="single" w:sz="4" w:space="0" w:color="000000" w:themeColor="text1"/>
            </w:tcBorders>
            <w:shd w:val="clear" w:color="auto" w:fill="auto"/>
            <w:vAlign w:val="center"/>
            <w:hideMark/>
          </w:tcPr>
          <w:p w14:paraId="129509FF" w14:textId="77777777" w:rsidR="00954185" w:rsidRPr="00BF5107" w:rsidRDefault="00954185" w:rsidP="00364C65">
            <w:pPr>
              <w:spacing w:line="360" w:lineRule="auto"/>
              <w:rPr>
                <w:sz w:val="20"/>
                <w:szCs w:val="20"/>
              </w:rPr>
            </w:pPr>
            <w:r w:rsidRPr="00BF5107">
              <w:rPr>
                <w:sz w:val="20"/>
                <w:szCs w:val="20"/>
              </w:rPr>
              <w:t xml:space="preserve">Zhao, Z., Gong, C., Gao, Y., Liu, X., Wu, S., Zhao, H., ... &amp; He, Y. (2020). Association between single nucleotide polymorphisms in cardiovascular developmental critical genes and hypertension: a propensity </w:t>
            </w:r>
            <w:proofErr w:type="gramStart"/>
            <w:r w:rsidRPr="00BF5107">
              <w:rPr>
                <w:sz w:val="20"/>
                <w:szCs w:val="20"/>
              </w:rPr>
              <w:t>score</w:t>
            </w:r>
            <w:proofErr w:type="gramEnd"/>
            <w:r w:rsidRPr="00BF5107">
              <w:rPr>
                <w:sz w:val="20"/>
                <w:szCs w:val="20"/>
              </w:rPr>
              <w:t xml:space="preserve"> matching analysis. International Journal of Hypertension, 2020.</w:t>
            </w:r>
          </w:p>
        </w:tc>
        <w:tc>
          <w:tcPr>
            <w:tcW w:w="2126" w:type="dxa"/>
            <w:tcBorders>
              <w:right w:val="single" w:sz="4" w:space="0" w:color="000000" w:themeColor="text1"/>
            </w:tcBorders>
            <w:shd w:val="clear" w:color="auto" w:fill="auto"/>
            <w:noWrap/>
            <w:vAlign w:val="center"/>
            <w:hideMark/>
          </w:tcPr>
          <w:p w14:paraId="7AAD357A" w14:textId="77777777" w:rsidR="00954185" w:rsidRPr="00BF5107" w:rsidRDefault="00954185" w:rsidP="00364C65">
            <w:pPr>
              <w:spacing w:line="360" w:lineRule="auto"/>
              <w:rPr>
                <w:sz w:val="20"/>
                <w:szCs w:val="20"/>
              </w:rPr>
            </w:pPr>
            <w:r w:rsidRPr="00BF5107">
              <w:rPr>
                <w:sz w:val="20"/>
                <w:szCs w:val="20"/>
              </w:rPr>
              <w:t xml:space="preserve">No arsenic metabolism, or arsenic-related disease </w:t>
            </w:r>
          </w:p>
        </w:tc>
      </w:tr>
      <w:tr w:rsidR="00954185" w:rsidRPr="00364C65" w14:paraId="5799D693" w14:textId="77777777" w:rsidTr="00641BD3">
        <w:trPr>
          <w:trHeight w:val="1200"/>
        </w:trPr>
        <w:tc>
          <w:tcPr>
            <w:tcW w:w="8364" w:type="dxa"/>
            <w:tcBorders>
              <w:left w:val="single" w:sz="4" w:space="0" w:color="000000" w:themeColor="text1"/>
            </w:tcBorders>
            <w:shd w:val="clear" w:color="auto" w:fill="auto"/>
            <w:vAlign w:val="center"/>
          </w:tcPr>
          <w:p w14:paraId="417A5CA1" w14:textId="022D88FC" w:rsidR="00954185" w:rsidRPr="00BF5107" w:rsidRDefault="00954185" w:rsidP="00364C65">
            <w:pPr>
              <w:spacing w:line="360" w:lineRule="auto"/>
              <w:rPr>
                <w:sz w:val="20"/>
                <w:szCs w:val="20"/>
              </w:rPr>
            </w:pPr>
            <w:r w:rsidRPr="00BF5107">
              <w:rPr>
                <w:sz w:val="20"/>
                <w:szCs w:val="20"/>
                <w:lang w:val="es-ES"/>
              </w:rPr>
              <w:t xml:space="preserve">Ochoa-Martínez, Á. C., Araiza-Gamboa, Y., Varela-Silva, J. A., Orta-García, S. T., Carrizales-Yáñez, L., &amp; Pérez-Maldonado, I. N. (2021). </w:t>
            </w:r>
            <w:r w:rsidRPr="00BF5107">
              <w:rPr>
                <w:sz w:val="20"/>
                <w:szCs w:val="20"/>
              </w:rPr>
              <w:t>Effect of gene-environment interaction (arsenic exposure-PON1 Q192R polymorphism) on cardiovascular disease biomarkers in Mexican population. Environmental Toxicology and Pharmacology, 81, 103519.</w:t>
            </w:r>
          </w:p>
        </w:tc>
        <w:tc>
          <w:tcPr>
            <w:tcW w:w="2126" w:type="dxa"/>
            <w:tcBorders>
              <w:right w:val="single" w:sz="4" w:space="0" w:color="000000" w:themeColor="text1"/>
            </w:tcBorders>
            <w:shd w:val="clear" w:color="auto" w:fill="auto"/>
            <w:noWrap/>
            <w:vAlign w:val="center"/>
          </w:tcPr>
          <w:p w14:paraId="0E40661B" w14:textId="5B3BCD33" w:rsidR="00954185" w:rsidRPr="00BF5107" w:rsidRDefault="00BF5107" w:rsidP="00364C65">
            <w:pPr>
              <w:spacing w:line="360" w:lineRule="auto"/>
              <w:rPr>
                <w:sz w:val="20"/>
                <w:szCs w:val="20"/>
              </w:rPr>
            </w:pPr>
            <w:r w:rsidRPr="00BF5107">
              <w:rPr>
                <w:sz w:val="20"/>
                <w:szCs w:val="20"/>
              </w:rPr>
              <w:t>No arsenic metabolism, or arsenic-related disease</w:t>
            </w:r>
          </w:p>
        </w:tc>
      </w:tr>
      <w:tr w:rsidR="00954185" w:rsidRPr="00364C65" w14:paraId="0BA70610" w14:textId="77777777" w:rsidTr="00641BD3">
        <w:trPr>
          <w:trHeight w:val="1200"/>
        </w:trPr>
        <w:tc>
          <w:tcPr>
            <w:tcW w:w="8364" w:type="dxa"/>
            <w:tcBorders>
              <w:left w:val="single" w:sz="4" w:space="0" w:color="000000" w:themeColor="text1"/>
              <w:bottom w:val="single" w:sz="4" w:space="0" w:color="000000" w:themeColor="text1"/>
            </w:tcBorders>
            <w:shd w:val="clear" w:color="auto" w:fill="auto"/>
            <w:vAlign w:val="center"/>
          </w:tcPr>
          <w:p w14:paraId="6CB11F2B" w14:textId="25273820" w:rsidR="00954185" w:rsidRPr="006252DE" w:rsidRDefault="00954185" w:rsidP="00364C65">
            <w:pPr>
              <w:spacing w:line="360" w:lineRule="auto"/>
              <w:rPr>
                <w:sz w:val="20"/>
                <w:szCs w:val="20"/>
                <w:highlight w:val="yellow"/>
              </w:rPr>
            </w:pPr>
            <w:proofErr w:type="spellStart"/>
            <w:r w:rsidRPr="00BD153B">
              <w:rPr>
                <w:sz w:val="20"/>
                <w:szCs w:val="20"/>
                <w:lang w:val="es-ES"/>
              </w:rPr>
              <w:t>Spratlen</w:t>
            </w:r>
            <w:proofErr w:type="spellEnd"/>
            <w:r w:rsidRPr="00BD153B">
              <w:rPr>
                <w:sz w:val="20"/>
                <w:szCs w:val="20"/>
                <w:lang w:val="es-ES"/>
              </w:rPr>
              <w:t>, M. J., Grau-</w:t>
            </w:r>
            <w:proofErr w:type="spellStart"/>
            <w:r w:rsidRPr="00BD153B">
              <w:rPr>
                <w:sz w:val="20"/>
                <w:szCs w:val="20"/>
                <w:lang w:val="es-ES"/>
              </w:rPr>
              <w:t>Perez</w:t>
            </w:r>
            <w:proofErr w:type="spellEnd"/>
            <w:r w:rsidRPr="00BD153B">
              <w:rPr>
                <w:sz w:val="20"/>
                <w:szCs w:val="20"/>
                <w:lang w:val="es-ES"/>
              </w:rPr>
              <w:t xml:space="preserve">, M., </w:t>
            </w:r>
            <w:proofErr w:type="spellStart"/>
            <w:r w:rsidRPr="00BD153B">
              <w:rPr>
                <w:sz w:val="20"/>
                <w:szCs w:val="20"/>
                <w:lang w:val="es-ES"/>
              </w:rPr>
              <w:t>Umans</w:t>
            </w:r>
            <w:proofErr w:type="spellEnd"/>
            <w:r w:rsidRPr="00BD153B">
              <w:rPr>
                <w:sz w:val="20"/>
                <w:szCs w:val="20"/>
                <w:lang w:val="es-ES"/>
              </w:rPr>
              <w:t xml:space="preserve">, J. G., </w:t>
            </w:r>
            <w:proofErr w:type="spellStart"/>
            <w:r w:rsidRPr="00BD153B">
              <w:rPr>
                <w:sz w:val="20"/>
                <w:szCs w:val="20"/>
                <w:lang w:val="es-ES"/>
              </w:rPr>
              <w:t>Yracheta</w:t>
            </w:r>
            <w:proofErr w:type="spellEnd"/>
            <w:r w:rsidRPr="00BD153B">
              <w:rPr>
                <w:sz w:val="20"/>
                <w:szCs w:val="20"/>
                <w:lang w:val="es-ES"/>
              </w:rPr>
              <w:t xml:space="preserve">, J., </w:t>
            </w:r>
            <w:proofErr w:type="spellStart"/>
            <w:r w:rsidRPr="00BD153B">
              <w:rPr>
                <w:sz w:val="20"/>
                <w:szCs w:val="20"/>
                <w:lang w:val="es-ES"/>
              </w:rPr>
              <w:t>Best</w:t>
            </w:r>
            <w:proofErr w:type="spellEnd"/>
            <w:r w:rsidRPr="00BD153B">
              <w:rPr>
                <w:sz w:val="20"/>
                <w:szCs w:val="20"/>
                <w:lang w:val="es-ES"/>
              </w:rPr>
              <w:t xml:space="preserve">, L. G., </w:t>
            </w:r>
            <w:proofErr w:type="spellStart"/>
            <w:r w:rsidRPr="00BD153B">
              <w:rPr>
                <w:sz w:val="20"/>
                <w:szCs w:val="20"/>
                <w:lang w:val="es-ES"/>
              </w:rPr>
              <w:t>Francesconi</w:t>
            </w:r>
            <w:proofErr w:type="spellEnd"/>
            <w:r w:rsidRPr="00BD153B">
              <w:rPr>
                <w:sz w:val="20"/>
                <w:szCs w:val="20"/>
                <w:lang w:val="es-ES"/>
              </w:rPr>
              <w:t>, K., ... &amp; Navas-</w:t>
            </w:r>
            <w:proofErr w:type="spellStart"/>
            <w:r w:rsidRPr="00BD153B">
              <w:rPr>
                <w:sz w:val="20"/>
                <w:szCs w:val="20"/>
                <w:lang w:val="es-ES"/>
              </w:rPr>
              <w:t>Acien</w:t>
            </w:r>
            <w:proofErr w:type="spellEnd"/>
            <w:r w:rsidRPr="00BD153B">
              <w:rPr>
                <w:sz w:val="20"/>
                <w:szCs w:val="20"/>
                <w:lang w:val="es-ES"/>
              </w:rPr>
              <w:t xml:space="preserve">, A. (2018). </w:t>
            </w:r>
            <w:r w:rsidRPr="00BD153B">
              <w:rPr>
                <w:sz w:val="20"/>
                <w:szCs w:val="20"/>
              </w:rPr>
              <w:t>Arsenic, one carbon metabolism and diabetes-related outcomes in the Strong Heart Family Study. Environment international, 121, 728-740.</w:t>
            </w:r>
          </w:p>
        </w:tc>
        <w:tc>
          <w:tcPr>
            <w:tcW w:w="2126" w:type="dxa"/>
            <w:tcBorders>
              <w:bottom w:val="single" w:sz="4" w:space="0" w:color="000000" w:themeColor="text1"/>
              <w:right w:val="single" w:sz="4" w:space="0" w:color="000000" w:themeColor="text1"/>
            </w:tcBorders>
            <w:shd w:val="clear" w:color="auto" w:fill="auto"/>
            <w:noWrap/>
            <w:vAlign w:val="center"/>
          </w:tcPr>
          <w:p w14:paraId="6205980D" w14:textId="7B89B303" w:rsidR="00954185" w:rsidRPr="006252DE" w:rsidRDefault="00BD153B" w:rsidP="00364C65">
            <w:pPr>
              <w:spacing w:line="360" w:lineRule="auto"/>
              <w:rPr>
                <w:sz w:val="20"/>
                <w:szCs w:val="20"/>
                <w:highlight w:val="yellow"/>
              </w:rPr>
            </w:pPr>
            <w:r w:rsidRPr="00954185">
              <w:rPr>
                <w:sz w:val="20"/>
                <w:szCs w:val="20"/>
              </w:rPr>
              <w:t xml:space="preserve">No genetic </w:t>
            </w:r>
            <w:r w:rsidR="001967C4" w:rsidRPr="00954185">
              <w:rPr>
                <w:sz w:val="20"/>
                <w:szCs w:val="20"/>
              </w:rPr>
              <w:t>susceptibility</w:t>
            </w:r>
            <w:r w:rsidRPr="00954185">
              <w:rPr>
                <w:sz w:val="20"/>
                <w:szCs w:val="20"/>
              </w:rPr>
              <w:t xml:space="preserve">, </w:t>
            </w:r>
            <w:r>
              <w:rPr>
                <w:sz w:val="20"/>
                <w:szCs w:val="20"/>
              </w:rPr>
              <w:t>arsenic metabolism</w:t>
            </w:r>
          </w:p>
        </w:tc>
      </w:tr>
    </w:tbl>
    <w:p w14:paraId="738BE93E" w14:textId="77777777" w:rsidR="00364C65" w:rsidRDefault="00364C65" w:rsidP="0099775C">
      <w:pPr>
        <w:spacing w:line="360" w:lineRule="auto"/>
        <w:rPr>
          <w:b/>
          <w:color w:val="000000" w:themeColor="text1"/>
          <w:sz w:val="22"/>
          <w:szCs w:val="22"/>
        </w:rPr>
      </w:pPr>
    </w:p>
    <w:p w14:paraId="44ED51D1" w14:textId="77777777" w:rsidR="00364C65" w:rsidRDefault="00364C65">
      <w:pPr>
        <w:rPr>
          <w:b/>
          <w:color w:val="000000" w:themeColor="text1"/>
          <w:sz w:val="22"/>
          <w:szCs w:val="22"/>
        </w:rPr>
      </w:pPr>
      <w:r>
        <w:rPr>
          <w:b/>
          <w:color w:val="000000" w:themeColor="text1"/>
          <w:sz w:val="22"/>
          <w:szCs w:val="22"/>
        </w:rPr>
        <w:br w:type="page"/>
      </w:r>
    </w:p>
    <w:p w14:paraId="37235CE3" w14:textId="44BCA7D5" w:rsidR="0099775C" w:rsidRDefault="00364C65" w:rsidP="0099775C">
      <w:pPr>
        <w:spacing w:line="360" w:lineRule="auto"/>
        <w:rPr>
          <w:b/>
          <w:color w:val="000000"/>
          <w:sz w:val="22"/>
          <w:szCs w:val="22"/>
        </w:rPr>
      </w:pPr>
      <w:r>
        <w:rPr>
          <w:b/>
          <w:color w:val="000000" w:themeColor="text1"/>
          <w:sz w:val="22"/>
          <w:szCs w:val="22"/>
        </w:rPr>
        <w:lastRenderedPageBreak/>
        <w:t xml:space="preserve">Supplement Table </w:t>
      </w:r>
      <w:r w:rsidR="00730C4C">
        <w:rPr>
          <w:b/>
          <w:color w:val="000000" w:themeColor="text1"/>
          <w:sz w:val="22"/>
          <w:szCs w:val="22"/>
        </w:rPr>
        <w:t>5</w:t>
      </w:r>
      <w:r w:rsidR="0099775C" w:rsidRPr="00231479">
        <w:rPr>
          <w:b/>
          <w:color w:val="000000" w:themeColor="text1"/>
          <w:sz w:val="22"/>
          <w:szCs w:val="22"/>
        </w:rPr>
        <w:t xml:space="preserve"> </w:t>
      </w:r>
      <w:r w:rsidR="0099775C">
        <w:rPr>
          <w:b/>
          <w:color w:val="000000" w:themeColor="text1"/>
          <w:sz w:val="22"/>
          <w:szCs w:val="22"/>
        </w:rPr>
        <w:t xml:space="preserve">Overview of the </w:t>
      </w:r>
      <w:r w:rsidR="00A74065">
        <w:rPr>
          <w:b/>
          <w:color w:val="000000"/>
          <w:sz w:val="22"/>
          <w:szCs w:val="22"/>
        </w:rPr>
        <w:t>SNPs investigated</w:t>
      </w:r>
      <w:r w:rsidR="0099775C" w:rsidRPr="00231479">
        <w:rPr>
          <w:b/>
          <w:color w:val="000000"/>
          <w:sz w:val="22"/>
          <w:szCs w:val="22"/>
        </w:rPr>
        <w:t xml:space="preserve"> </w:t>
      </w:r>
      <w:r w:rsidR="0099775C">
        <w:rPr>
          <w:b/>
          <w:color w:val="000000"/>
          <w:sz w:val="22"/>
          <w:szCs w:val="22"/>
        </w:rPr>
        <w:t>in the</w:t>
      </w:r>
      <w:r w:rsidR="00A74065">
        <w:rPr>
          <w:b/>
          <w:color w:val="000000"/>
          <w:sz w:val="22"/>
          <w:szCs w:val="22"/>
        </w:rPr>
        <w:t xml:space="preserve"> included</w:t>
      </w:r>
      <w:r w:rsidR="0099775C">
        <w:rPr>
          <w:b/>
          <w:color w:val="000000"/>
          <w:sz w:val="22"/>
          <w:szCs w:val="22"/>
        </w:rPr>
        <w:t xml:space="preserve"> </w:t>
      </w:r>
      <w:r w:rsidR="00A74065" w:rsidRPr="00231479">
        <w:rPr>
          <w:b/>
          <w:color w:val="000000"/>
          <w:sz w:val="22"/>
          <w:szCs w:val="22"/>
        </w:rPr>
        <w:t>studies.</w:t>
      </w:r>
    </w:p>
    <w:tbl>
      <w:tblPr>
        <w:tblW w:w="10485" w:type="dxa"/>
        <w:tblInd w:w="-709" w:type="dxa"/>
        <w:tblBorders>
          <w:insideH w:val="single" w:sz="4" w:space="0" w:color="000000"/>
        </w:tblBorders>
        <w:tblLayout w:type="fixed"/>
        <w:tblLook w:val="0400" w:firstRow="0" w:lastRow="0" w:firstColumn="0" w:lastColumn="0" w:noHBand="0" w:noVBand="1"/>
      </w:tblPr>
      <w:tblGrid>
        <w:gridCol w:w="993"/>
        <w:gridCol w:w="3402"/>
        <w:gridCol w:w="992"/>
        <w:gridCol w:w="851"/>
        <w:gridCol w:w="1701"/>
        <w:gridCol w:w="708"/>
        <w:gridCol w:w="1838"/>
      </w:tblGrid>
      <w:tr w:rsidR="00CB0062" w14:paraId="644A973C" w14:textId="77777777" w:rsidTr="00923C73">
        <w:tc>
          <w:tcPr>
            <w:tcW w:w="993" w:type="dxa"/>
            <w:tcBorders>
              <w:top w:val="single" w:sz="4" w:space="0" w:color="000000"/>
              <w:left w:val="single" w:sz="4" w:space="0" w:color="000000" w:themeColor="text1"/>
              <w:bottom w:val="single" w:sz="4" w:space="0" w:color="000000"/>
            </w:tcBorders>
            <w:tcMar>
              <w:top w:w="-113" w:type="dxa"/>
              <w:left w:w="-113" w:type="dxa"/>
              <w:bottom w:w="-113" w:type="dxa"/>
              <w:right w:w="-113" w:type="dxa"/>
            </w:tcMar>
          </w:tcPr>
          <w:p w14:paraId="32EACB3B" w14:textId="77777777" w:rsidR="00CB0062" w:rsidRDefault="00CB0062" w:rsidP="00223E56">
            <w:pPr>
              <w:rPr>
                <w:b/>
                <w:color w:val="000000"/>
                <w:sz w:val="16"/>
                <w:szCs w:val="16"/>
              </w:rPr>
            </w:pPr>
            <w:r>
              <w:rPr>
                <w:b/>
                <w:color w:val="000000"/>
                <w:sz w:val="16"/>
                <w:szCs w:val="16"/>
              </w:rPr>
              <w:t>Gene</w:t>
            </w:r>
          </w:p>
        </w:tc>
        <w:tc>
          <w:tcPr>
            <w:tcW w:w="3402" w:type="dxa"/>
            <w:tcBorders>
              <w:top w:val="single" w:sz="4" w:space="0" w:color="000000"/>
              <w:bottom w:val="single" w:sz="4" w:space="0" w:color="000000"/>
            </w:tcBorders>
            <w:tcMar>
              <w:top w:w="-113" w:type="dxa"/>
              <w:left w:w="-113" w:type="dxa"/>
              <w:bottom w:w="-113" w:type="dxa"/>
              <w:right w:w="-113" w:type="dxa"/>
            </w:tcMar>
          </w:tcPr>
          <w:p w14:paraId="74835944" w14:textId="77777777" w:rsidR="00CB0062" w:rsidRDefault="00CB0062" w:rsidP="00223E56">
            <w:pPr>
              <w:rPr>
                <w:b/>
                <w:color w:val="000000"/>
                <w:sz w:val="16"/>
                <w:szCs w:val="16"/>
              </w:rPr>
            </w:pPr>
            <w:r>
              <w:rPr>
                <w:b/>
                <w:color w:val="000000"/>
                <w:sz w:val="16"/>
                <w:szCs w:val="16"/>
              </w:rPr>
              <w:t>Name</w:t>
            </w:r>
          </w:p>
        </w:tc>
        <w:tc>
          <w:tcPr>
            <w:tcW w:w="992" w:type="dxa"/>
            <w:tcBorders>
              <w:top w:val="single" w:sz="4" w:space="0" w:color="000000"/>
              <w:bottom w:val="single" w:sz="4" w:space="0" w:color="000000"/>
            </w:tcBorders>
            <w:tcMar>
              <w:top w:w="-113" w:type="dxa"/>
              <w:left w:w="-113" w:type="dxa"/>
              <w:bottom w:w="-113" w:type="dxa"/>
              <w:right w:w="-113" w:type="dxa"/>
            </w:tcMar>
          </w:tcPr>
          <w:p w14:paraId="6E0486CD" w14:textId="77777777" w:rsidR="00CB0062" w:rsidRDefault="00CB0062" w:rsidP="00223E56">
            <w:pPr>
              <w:rPr>
                <w:b/>
                <w:color w:val="000000"/>
                <w:sz w:val="16"/>
                <w:szCs w:val="16"/>
              </w:rPr>
            </w:pPr>
            <w:r>
              <w:rPr>
                <w:b/>
                <w:color w:val="000000"/>
                <w:sz w:val="16"/>
                <w:szCs w:val="16"/>
              </w:rPr>
              <w:t>SNP (</w:t>
            </w:r>
            <w:proofErr w:type="spellStart"/>
            <w:r>
              <w:rPr>
                <w:b/>
                <w:color w:val="000000"/>
                <w:sz w:val="16"/>
                <w:szCs w:val="16"/>
              </w:rPr>
              <w:t>rsID</w:t>
            </w:r>
            <w:proofErr w:type="spellEnd"/>
            <w:r>
              <w:rPr>
                <w:b/>
                <w:color w:val="000000"/>
                <w:sz w:val="16"/>
                <w:szCs w:val="16"/>
              </w:rPr>
              <w:t>)</w:t>
            </w:r>
          </w:p>
        </w:tc>
        <w:tc>
          <w:tcPr>
            <w:tcW w:w="851" w:type="dxa"/>
            <w:tcBorders>
              <w:top w:val="single" w:sz="4" w:space="0" w:color="000000"/>
              <w:bottom w:val="single" w:sz="4" w:space="0" w:color="000000"/>
            </w:tcBorders>
            <w:tcMar>
              <w:top w:w="-113" w:type="dxa"/>
              <w:left w:w="-113" w:type="dxa"/>
              <w:bottom w:w="-113" w:type="dxa"/>
              <w:right w:w="-113" w:type="dxa"/>
            </w:tcMar>
          </w:tcPr>
          <w:p w14:paraId="3EB4657A" w14:textId="77777777" w:rsidR="00CB0062" w:rsidRDefault="00CB0062" w:rsidP="00223E56">
            <w:pPr>
              <w:rPr>
                <w:b/>
                <w:color w:val="000000"/>
                <w:sz w:val="16"/>
                <w:szCs w:val="16"/>
              </w:rPr>
            </w:pPr>
            <w:r>
              <w:rPr>
                <w:b/>
                <w:sz w:val="16"/>
                <w:szCs w:val="16"/>
              </w:rPr>
              <w:t xml:space="preserve">Alleles </w:t>
            </w:r>
          </w:p>
        </w:tc>
        <w:tc>
          <w:tcPr>
            <w:tcW w:w="1701" w:type="dxa"/>
            <w:tcBorders>
              <w:top w:val="single" w:sz="4" w:space="0" w:color="000000"/>
              <w:bottom w:val="single" w:sz="4" w:space="0" w:color="000000"/>
            </w:tcBorders>
            <w:tcMar>
              <w:top w:w="-113" w:type="dxa"/>
              <w:left w:w="-113" w:type="dxa"/>
              <w:bottom w:w="-113" w:type="dxa"/>
              <w:right w:w="-113" w:type="dxa"/>
            </w:tcMar>
          </w:tcPr>
          <w:p w14:paraId="29A5CEAA" w14:textId="77777777" w:rsidR="00CB0062" w:rsidRDefault="00CB0062" w:rsidP="00223E56">
            <w:pPr>
              <w:rPr>
                <w:b/>
                <w:sz w:val="16"/>
                <w:szCs w:val="16"/>
              </w:rPr>
            </w:pPr>
            <w:r>
              <w:rPr>
                <w:b/>
                <w:sz w:val="16"/>
                <w:szCs w:val="16"/>
              </w:rPr>
              <w:t>Consequence</w:t>
            </w:r>
          </w:p>
        </w:tc>
        <w:tc>
          <w:tcPr>
            <w:tcW w:w="708" w:type="dxa"/>
            <w:tcBorders>
              <w:top w:val="single" w:sz="4" w:space="0" w:color="000000"/>
              <w:bottom w:val="single" w:sz="4" w:space="0" w:color="000000"/>
            </w:tcBorders>
            <w:tcMar>
              <w:top w:w="-113" w:type="dxa"/>
              <w:left w:w="-113" w:type="dxa"/>
              <w:bottom w:w="-113" w:type="dxa"/>
              <w:right w:w="-113" w:type="dxa"/>
            </w:tcMar>
          </w:tcPr>
          <w:p w14:paraId="58F62553" w14:textId="77777777" w:rsidR="00CB0062" w:rsidRDefault="00CB0062" w:rsidP="00223E56">
            <w:pPr>
              <w:rPr>
                <w:b/>
                <w:color w:val="000000"/>
                <w:sz w:val="16"/>
                <w:szCs w:val="16"/>
              </w:rPr>
            </w:pPr>
            <w:r>
              <w:rPr>
                <w:b/>
                <w:color w:val="000000"/>
                <w:sz w:val="16"/>
                <w:szCs w:val="16"/>
              </w:rPr>
              <w:t>Outcome</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7602CB9F" w14:textId="77777777" w:rsidR="00CB0062" w:rsidRDefault="00CB0062" w:rsidP="00223E56">
            <w:pPr>
              <w:rPr>
                <w:b/>
                <w:color w:val="000000"/>
                <w:sz w:val="16"/>
                <w:szCs w:val="16"/>
              </w:rPr>
            </w:pPr>
            <w:r>
              <w:rPr>
                <w:b/>
                <w:color w:val="000000"/>
                <w:sz w:val="16"/>
                <w:szCs w:val="16"/>
              </w:rPr>
              <w:t>Reference</w:t>
            </w:r>
          </w:p>
        </w:tc>
      </w:tr>
      <w:tr w:rsidR="00CB0062" w14:paraId="234A4954" w14:textId="77777777" w:rsidTr="00923C73">
        <w:trPr>
          <w:trHeight w:val="232"/>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C98B809" w14:textId="77777777" w:rsidR="00CB0062" w:rsidRDefault="00CB0062" w:rsidP="00223E56">
            <w:pPr>
              <w:rPr>
                <w:i/>
                <w:color w:val="000000"/>
                <w:sz w:val="16"/>
                <w:szCs w:val="16"/>
              </w:rPr>
            </w:pPr>
            <w:r>
              <w:rPr>
                <w:i/>
                <w:color w:val="000000"/>
                <w:sz w:val="16"/>
                <w:szCs w:val="16"/>
              </w:rPr>
              <w:t>ABCA1</w:t>
            </w:r>
          </w:p>
          <w:p w14:paraId="29D8DF94"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005EDFC" w14:textId="77777777" w:rsidR="00CB0062" w:rsidRDefault="00CB0062" w:rsidP="00223E56">
            <w:pPr>
              <w:rPr>
                <w:color w:val="000000"/>
                <w:sz w:val="16"/>
                <w:szCs w:val="16"/>
              </w:rPr>
            </w:pPr>
            <w:r>
              <w:rPr>
                <w:color w:val="000000"/>
                <w:sz w:val="16"/>
                <w:szCs w:val="16"/>
                <w:highlight w:val="white"/>
              </w:rPr>
              <w:t>ATP Binding Cassette Subfamily A Member 1</w:t>
            </w:r>
          </w:p>
          <w:p w14:paraId="7E879F61" w14:textId="77777777" w:rsidR="00CB0062" w:rsidRDefault="00CB0062" w:rsidP="00223E56">
            <w:pPr>
              <w:rPr>
                <w:color w:val="000000"/>
                <w:sz w:val="16"/>
                <w:szCs w:val="16"/>
              </w:rPr>
            </w:pP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33FA4D58" w14:textId="77777777" w:rsidR="00CB0062" w:rsidRDefault="00CB0062" w:rsidP="00223E56">
            <w:pPr>
              <w:rPr>
                <w:sz w:val="16"/>
                <w:szCs w:val="16"/>
              </w:rPr>
            </w:pPr>
            <w:r>
              <w:rPr>
                <w:sz w:val="16"/>
                <w:szCs w:val="16"/>
              </w:rPr>
              <w:t>rs1800977</w:t>
            </w:r>
          </w:p>
        </w:tc>
        <w:tc>
          <w:tcPr>
            <w:tcW w:w="851" w:type="dxa"/>
            <w:tcBorders>
              <w:top w:val="single" w:sz="4" w:space="0" w:color="000000"/>
              <w:bottom w:val="single" w:sz="4" w:space="0" w:color="D0CECE"/>
            </w:tcBorders>
            <w:tcMar>
              <w:top w:w="-113" w:type="dxa"/>
              <w:left w:w="-113" w:type="dxa"/>
              <w:bottom w:w="-113" w:type="dxa"/>
              <w:right w:w="-113" w:type="dxa"/>
            </w:tcMar>
          </w:tcPr>
          <w:p w14:paraId="2475E909" w14:textId="77777777" w:rsidR="00CB0062" w:rsidRDefault="00CB0062" w:rsidP="00223E56">
            <w:pPr>
              <w:rPr>
                <w:sz w:val="16"/>
                <w:szCs w:val="16"/>
              </w:rPr>
            </w:pPr>
            <w:r>
              <w:rPr>
                <w:sz w:val="16"/>
                <w:szCs w:val="16"/>
              </w:rPr>
              <w:t>G&gt;</w:t>
            </w:r>
            <w:proofErr w:type="gramStart"/>
            <w:r>
              <w:rPr>
                <w:sz w:val="16"/>
                <w:szCs w:val="16"/>
              </w:rPr>
              <w:t>A,C</w:t>
            </w:r>
            <w:proofErr w:type="gramEnd"/>
          </w:p>
        </w:tc>
        <w:tc>
          <w:tcPr>
            <w:tcW w:w="1701" w:type="dxa"/>
            <w:tcBorders>
              <w:top w:val="single" w:sz="4" w:space="0" w:color="000000"/>
              <w:bottom w:val="single" w:sz="4" w:space="0" w:color="D0CECE"/>
            </w:tcBorders>
            <w:tcMar>
              <w:top w:w="-113" w:type="dxa"/>
              <w:left w:w="-113" w:type="dxa"/>
              <w:bottom w:w="-113" w:type="dxa"/>
              <w:right w:w="-113" w:type="dxa"/>
            </w:tcMar>
          </w:tcPr>
          <w:p w14:paraId="5A79BD5C" w14:textId="77777777" w:rsidR="00CB0062" w:rsidRDefault="00CB0062" w:rsidP="00223E56">
            <w:pPr>
              <w:rPr>
                <w:sz w:val="16"/>
                <w:szCs w:val="16"/>
              </w:rPr>
            </w:pPr>
            <w:r>
              <w:rPr>
                <w:sz w:val="16"/>
                <w:szCs w:val="16"/>
              </w:rPr>
              <w:t>5 Prime UTR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0B624A04" w14:textId="77777777" w:rsidR="00CB0062" w:rsidRDefault="00CB0062" w:rsidP="00223E56">
            <w:pPr>
              <w:rPr>
                <w:color w:val="000000"/>
                <w:sz w:val="16"/>
                <w:szCs w:val="16"/>
              </w:rPr>
            </w:pPr>
            <w:r>
              <w:rPr>
                <w:color w:val="000000"/>
                <w:sz w:val="16"/>
                <w:szCs w:val="16"/>
              </w:rPr>
              <w:t>T2DM</w:t>
            </w:r>
          </w:p>
          <w:p w14:paraId="54BE3BE4" w14:textId="77777777" w:rsidR="00CB0062" w:rsidRDefault="00CB0062" w:rsidP="00223E56">
            <w:pPr>
              <w:rPr>
                <w:color w:val="000000"/>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210C7BC3" w14:textId="77777777" w:rsidR="00CB0062" w:rsidRDefault="00CB0062" w:rsidP="00223E56">
            <w:pPr>
              <w:rPr>
                <w:sz w:val="16"/>
                <w:szCs w:val="16"/>
              </w:rPr>
            </w:pPr>
            <w:r>
              <w:rPr>
                <w:sz w:val="16"/>
                <w:szCs w:val="16"/>
              </w:rPr>
              <w:t>Grau-Perez et al. 2018</w:t>
            </w:r>
          </w:p>
          <w:p w14:paraId="76F4AAD3" w14:textId="77777777" w:rsidR="00CB0062" w:rsidRDefault="00CB0062" w:rsidP="00223E56">
            <w:pPr>
              <w:rPr>
                <w:color w:val="000000"/>
                <w:sz w:val="16"/>
                <w:szCs w:val="16"/>
              </w:rPr>
            </w:pPr>
          </w:p>
        </w:tc>
      </w:tr>
      <w:tr w:rsidR="00CB0062" w14:paraId="7BCB468E" w14:textId="77777777" w:rsidTr="00923C73">
        <w:trPr>
          <w:trHeight w:val="157"/>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3EBEBE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CC6460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1D79421A" w14:textId="77777777" w:rsidR="00CB0062" w:rsidRDefault="00CB0062" w:rsidP="00223E56">
            <w:pPr>
              <w:rPr>
                <w:color w:val="000000"/>
                <w:sz w:val="16"/>
                <w:szCs w:val="16"/>
              </w:rPr>
            </w:pPr>
            <w:r>
              <w:rPr>
                <w:color w:val="000000"/>
                <w:sz w:val="16"/>
                <w:szCs w:val="16"/>
              </w:rPr>
              <w:t>rs2230806</w:t>
            </w:r>
          </w:p>
        </w:tc>
        <w:tc>
          <w:tcPr>
            <w:tcW w:w="851" w:type="dxa"/>
            <w:tcBorders>
              <w:top w:val="single" w:sz="4" w:space="0" w:color="D0CECE"/>
              <w:bottom w:val="single" w:sz="4" w:space="0" w:color="D0CECE"/>
            </w:tcBorders>
            <w:tcMar>
              <w:top w:w="-113" w:type="dxa"/>
              <w:left w:w="-113" w:type="dxa"/>
              <w:bottom w:w="-113" w:type="dxa"/>
              <w:right w:w="-113" w:type="dxa"/>
            </w:tcMar>
          </w:tcPr>
          <w:p w14:paraId="4FE9A4D4" w14:textId="77777777" w:rsidR="00CB0062" w:rsidRDefault="00CB0062" w:rsidP="00223E56">
            <w:pPr>
              <w:rPr>
                <w:sz w:val="16"/>
                <w:szCs w:val="16"/>
              </w:rPr>
            </w:pPr>
            <w:r>
              <w:rPr>
                <w:sz w:val="16"/>
                <w:szCs w:val="16"/>
              </w:rPr>
              <w:t>C&gt;</w:t>
            </w:r>
            <w:proofErr w:type="gramStart"/>
            <w:r>
              <w:rPr>
                <w:sz w:val="16"/>
                <w:szCs w:val="16"/>
              </w:rPr>
              <w:t>G,T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51653A7F" w14:textId="77777777" w:rsidR="00CB0062" w:rsidRDefault="00CB0062" w:rsidP="00223E56">
            <w:pPr>
              <w:rPr>
                <w:sz w:val="16"/>
                <w:szCs w:val="16"/>
              </w:rPr>
            </w:pPr>
            <w:r>
              <w:rPr>
                <w:sz w:val="16"/>
                <w:szCs w:val="16"/>
              </w:rPr>
              <w:t xml:space="preserve">Missense variant </w:t>
            </w:r>
          </w:p>
        </w:tc>
        <w:tc>
          <w:tcPr>
            <w:tcW w:w="708" w:type="dxa"/>
            <w:vMerge/>
            <w:tcBorders>
              <w:top w:val="single" w:sz="4" w:space="0" w:color="000000"/>
              <w:bottom w:val="single" w:sz="4" w:space="0" w:color="D0CECE"/>
            </w:tcBorders>
            <w:tcMar>
              <w:top w:w="-113" w:type="dxa"/>
              <w:left w:w="-113" w:type="dxa"/>
              <w:bottom w:w="-113" w:type="dxa"/>
              <w:right w:w="-113" w:type="dxa"/>
            </w:tcMar>
          </w:tcPr>
          <w:p w14:paraId="3382000A" w14:textId="77777777" w:rsidR="00CB0062" w:rsidRDefault="00CB0062" w:rsidP="00223E56">
            <w:pPr>
              <w:widowControl w:val="0"/>
              <w:pBdr>
                <w:top w:val="nil"/>
                <w:left w:val="nil"/>
                <w:bottom w:val="nil"/>
                <w:right w:val="nil"/>
                <w:between w:val="nil"/>
              </w:pBdr>
              <w:spacing w:line="276" w:lineRule="auto"/>
              <w:rPr>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1D485AAC" w14:textId="77777777" w:rsidR="00CB0062" w:rsidRDefault="00CB0062" w:rsidP="00223E56">
            <w:pPr>
              <w:widowControl w:val="0"/>
              <w:pBdr>
                <w:top w:val="nil"/>
                <w:left w:val="nil"/>
                <w:bottom w:val="nil"/>
                <w:right w:val="nil"/>
                <w:between w:val="nil"/>
              </w:pBdr>
              <w:spacing w:line="276" w:lineRule="auto"/>
              <w:rPr>
                <w:sz w:val="16"/>
                <w:szCs w:val="16"/>
              </w:rPr>
            </w:pPr>
          </w:p>
        </w:tc>
      </w:tr>
      <w:tr w:rsidR="00CB0062" w14:paraId="0C594465" w14:textId="77777777" w:rsidTr="00923C73">
        <w:trPr>
          <w:trHeight w:val="61"/>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05EC021" w14:textId="77777777" w:rsidR="00CB0062" w:rsidRDefault="00CB0062" w:rsidP="00223E56">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DFD8649" w14:textId="77777777" w:rsidR="00CB0062" w:rsidRDefault="00CB0062" w:rsidP="00223E56">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52155F42" w14:textId="77777777" w:rsidR="00CB0062" w:rsidRDefault="00CB0062" w:rsidP="00223E56">
            <w:pPr>
              <w:rPr>
                <w:color w:val="000000"/>
                <w:sz w:val="16"/>
                <w:szCs w:val="16"/>
              </w:rPr>
            </w:pPr>
            <w:r>
              <w:rPr>
                <w:color w:val="000000"/>
                <w:sz w:val="16"/>
                <w:szCs w:val="16"/>
              </w:rPr>
              <w:t>rs2230808</w:t>
            </w:r>
          </w:p>
        </w:tc>
        <w:tc>
          <w:tcPr>
            <w:tcW w:w="851" w:type="dxa"/>
            <w:tcBorders>
              <w:top w:val="single" w:sz="4" w:space="0" w:color="D0CECE"/>
              <w:bottom w:val="single" w:sz="4" w:space="0" w:color="D0CECE"/>
            </w:tcBorders>
            <w:tcMar>
              <w:top w:w="-113" w:type="dxa"/>
              <w:left w:w="-113" w:type="dxa"/>
              <w:bottom w:w="-113" w:type="dxa"/>
              <w:right w:w="-113" w:type="dxa"/>
            </w:tcMar>
          </w:tcPr>
          <w:p w14:paraId="18F43E6C" w14:textId="77777777" w:rsidR="00CB0062" w:rsidRDefault="00CB0062" w:rsidP="00223E56">
            <w:pPr>
              <w:rPr>
                <w:sz w:val="16"/>
                <w:szCs w:val="16"/>
              </w:rPr>
            </w:pPr>
            <w:r>
              <w:rPr>
                <w:sz w:val="16"/>
                <w:szCs w:val="16"/>
              </w:rPr>
              <w:t>T&gt;</w:t>
            </w:r>
            <w:proofErr w:type="gramStart"/>
            <w:r>
              <w:rPr>
                <w:sz w:val="16"/>
                <w:szCs w:val="16"/>
              </w:rPr>
              <w:t>A,C</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6D0B67BC" w14:textId="77777777" w:rsidR="00CB0062" w:rsidRDefault="00CB0062" w:rsidP="00223E56">
            <w:pPr>
              <w:rPr>
                <w:sz w:val="16"/>
                <w:szCs w:val="16"/>
              </w:rPr>
            </w:pPr>
            <w:r>
              <w:rPr>
                <w:sz w:val="16"/>
                <w:szCs w:val="16"/>
              </w:rPr>
              <w:t xml:space="preserve">Missense variant </w:t>
            </w:r>
          </w:p>
        </w:tc>
        <w:tc>
          <w:tcPr>
            <w:tcW w:w="708" w:type="dxa"/>
            <w:vMerge/>
            <w:tcBorders>
              <w:top w:val="single" w:sz="4" w:space="0" w:color="000000"/>
              <w:bottom w:val="single" w:sz="4" w:space="0" w:color="D0CECE"/>
            </w:tcBorders>
            <w:tcMar>
              <w:top w:w="-113" w:type="dxa"/>
              <w:left w:w="-113" w:type="dxa"/>
              <w:bottom w:w="-113" w:type="dxa"/>
              <w:right w:w="-113" w:type="dxa"/>
            </w:tcMar>
          </w:tcPr>
          <w:p w14:paraId="69978178" w14:textId="77777777" w:rsidR="00CB0062" w:rsidRDefault="00CB0062" w:rsidP="00223E56">
            <w:pPr>
              <w:widowControl w:val="0"/>
              <w:pBdr>
                <w:top w:val="nil"/>
                <w:left w:val="nil"/>
                <w:bottom w:val="nil"/>
                <w:right w:val="nil"/>
                <w:between w:val="nil"/>
              </w:pBdr>
              <w:spacing w:line="276" w:lineRule="auto"/>
              <w:rPr>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744EC144" w14:textId="77777777" w:rsidR="00CB0062" w:rsidRDefault="00CB0062" w:rsidP="00223E56">
            <w:pPr>
              <w:widowControl w:val="0"/>
              <w:pBdr>
                <w:top w:val="nil"/>
                <w:left w:val="nil"/>
                <w:bottom w:val="nil"/>
                <w:right w:val="nil"/>
                <w:between w:val="nil"/>
              </w:pBdr>
              <w:spacing w:line="276" w:lineRule="auto"/>
              <w:rPr>
                <w:sz w:val="16"/>
                <w:szCs w:val="16"/>
              </w:rPr>
            </w:pPr>
          </w:p>
        </w:tc>
      </w:tr>
      <w:tr w:rsidR="00CB0062" w14:paraId="23828302" w14:textId="77777777" w:rsidTr="00923C73">
        <w:trPr>
          <w:trHeight w:val="61"/>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7A17F60" w14:textId="77777777" w:rsidR="00CB0062" w:rsidRDefault="00CB0062" w:rsidP="00223E56">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9A077EA" w14:textId="77777777" w:rsidR="00CB0062" w:rsidRDefault="00CB0062" w:rsidP="00223E56">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C253761" w14:textId="77777777" w:rsidR="00CB0062" w:rsidRDefault="00CB0062" w:rsidP="00223E56">
            <w:pPr>
              <w:rPr>
                <w:color w:val="000000"/>
                <w:sz w:val="16"/>
                <w:szCs w:val="16"/>
              </w:rPr>
            </w:pPr>
            <w:r>
              <w:rPr>
                <w:color w:val="000000"/>
                <w:sz w:val="16"/>
                <w:szCs w:val="16"/>
              </w:rPr>
              <w:t>rs2246293</w:t>
            </w:r>
          </w:p>
        </w:tc>
        <w:tc>
          <w:tcPr>
            <w:tcW w:w="851" w:type="dxa"/>
            <w:tcBorders>
              <w:top w:val="single" w:sz="4" w:space="0" w:color="D0CECE"/>
              <w:bottom w:val="single" w:sz="4" w:space="0" w:color="D0CECE"/>
            </w:tcBorders>
            <w:tcMar>
              <w:top w:w="-113" w:type="dxa"/>
              <w:left w:w="-113" w:type="dxa"/>
              <w:bottom w:w="-113" w:type="dxa"/>
              <w:right w:w="-113" w:type="dxa"/>
            </w:tcMar>
          </w:tcPr>
          <w:p w14:paraId="4ACA693E" w14:textId="77777777" w:rsidR="00CB0062" w:rsidRDefault="00CB0062" w:rsidP="00223E56">
            <w:pPr>
              <w:rPr>
                <w:sz w:val="16"/>
                <w:szCs w:val="16"/>
              </w:rPr>
            </w:pPr>
            <w:r>
              <w:rPr>
                <w:sz w:val="16"/>
                <w:szCs w:val="16"/>
              </w:rPr>
              <w:t>C&gt;</w:t>
            </w:r>
            <w:proofErr w:type="gramStart"/>
            <w:r>
              <w:rPr>
                <w:sz w:val="16"/>
                <w:szCs w:val="16"/>
              </w:rPr>
              <w:t>G,T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523443AB" w14:textId="77777777" w:rsidR="00CB0062" w:rsidRDefault="00CB0062" w:rsidP="00223E56">
            <w:pPr>
              <w:rPr>
                <w:sz w:val="16"/>
                <w:szCs w:val="16"/>
              </w:rPr>
            </w:pPr>
            <w:r>
              <w:rPr>
                <w:sz w:val="16"/>
                <w:szCs w:val="16"/>
              </w:rPr>
              <w:t>5 Prime UTR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3A14D049" w14:textId="77777777" w:rsidR="00CB0062" w:rsidRDefault="00CB0062" w:rsidP="00223E56">
            <w:pPr>
              <w:widowControl w:val="0"/>
              <w:pBdr>
                <w:top w:val="nil"/>
                <w:left w:val="nil"/>
                <w:bottom w:val="nil"/>
                <w:right w:val="nil"/>
                <w:between w:val="nil"/>
              </w:pBdr>
              <w:spacing w:line="276" w:lineRule="auto"/>
              <w:rPr>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4B876034" w14:textId="77777777" w:rsidR="00CB0062" w:rsidRDefault="00CB0062" w:rsidP="00223E56">
            <w:pPr>
              <w:widowControl w:val="0"/>
              <w:pBdr>
                <w:top w:val="nil"/>
                <w:left w:val="nil"/>
                <w:bottom w:val="nil"/>
                <w:right w:val="nil"/>
                <w:between w:val="nil"/>
              </w:pBdr>
              <w:spacing w:line="276" w:lineRule="auto"/>
              <w:rPr>
                <w:sz w:val="16"/>
                <w:szCs w:val="16"/>
              </w:rPr>
            </w:pPr>
          </w:p>
        </w:tc>
      </w:tr>
      <w:tr w:rsidR="00CB0062" w14:paraId="7CC860AD" w14:textId="77777777" w:rsidTr="00923C73">
        <w:trPr>
          <w:trHeight w:val="61"/>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0E8AE94" w14:textId="77777777" w:rsidR="00CB0062" w:rsidRDefault="00CB0062" w:rsidP="00223E56">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97E4F36" w14:textId="77777777" w:rsidR="00CB0062" w:rsidRDefault="00CB0062" w:rsidP="00223E56">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5DB1B696" w14:textId="77777777" w:rsidR="00CB0062" w:rsidRDefault="00CB0062" w:rsidP="00223E56">
            <w:pPr>
              <w:rPr>
                <w:color w:val="000000"/>
                <w:sz w:val="16"/>
                <w:szCs w:val="16"/>
              </w:rPr>
            </w:pPr>
            <w:r>
              <w:rPr>
                <w:color w:val="000000"/>
                <w:sz w:val="16"/>
                <w:szCs w:val="16"/>
              </w:rPr>
              <w:t>rs2422493</w:t>
            </w:r>
          </w:p>
        </w:tc>
        <w:tc>
          <w:tcPr>
            <w:tcW w:w="851" w:type="dxa"/>
            <w:tcBorders>
              <w:top w:val="single" w:sz="4" w:space="0" w:color="D0CECE"/>
              <w:bottom w:val="single" w:sz="4" w:space="0" w:color="000000"/>
            </w:tcBorders>
            <w:tcMar>
              <w:top w:w="-113" w:type="dxa"/>
              <w:left w:w="-113" w:type="dxa"/>
              <w:bottom w:w="-113" w:type="dxa"/>
              <w:right w:w="-113" w:type="dxa"/>
            </w:tcMar>
          </w:tcPr>
          <w:p w14:paraId="05B68EE2" w14:textId="77777777" w:rsidR="00CB0062" w:rsidRDefault="00CB0062" w:rsidP="00223E56">
            <w:pPr>
              <w:rPr>
                <w:sz w:val="16"/>
                <w:szCs w:val="16"/>
              </w:rPr>
            </w:pPr>
            <w:r>
              <w:rPr>
                <w:sz w:val="16"/>
                <w:szCs w:val="16"/>
              </w:rPr>
              <w:t>G&gt;A</w:t>
            </w:r>
          </w:p>
        </w:tc>
        <w:tc>
          <w:tcPr>
            <w:tcW w:w="1701" w:type="dxa"/>
            <w:tcBorders>
              <w:top w:val="single" w:sz="4" w:space="0" w:color="D0CECE"/>
              <w:bottom w:val="single" w:sz="4" w:space="0" w:color="000000"/>
            </w:tcBorders>
            <w:tcMar>
              <w:top w:w="-113" w:type="dxa"/>
              <w:left w:w="-113" w:type="dxa"/>
              <w:bottom w:w="-113" w:type="dxa"/>
              <w:right w:w="-113" w:type="dxa"/>
            </w:tcMar>
          </w:tcPr>
          <w:p w14:paraId="47942747" w14:textId="77777777" w:rsidR="00CB0062" w:rsidRDefault="00CB0062" w:rsidP="00223E56">
            <w:pPr>
              <w:rPr>
                <w:sz w:val="16"/>
                <w:szCs w:val="16"/>
              </w:rPr>
            </w:pPr>
            <w:r>
              <w:rPr>
                <w:sz w:val="16"/>
                <w:szCs w:val="16"/>
              </w:rPr>
              <w:t>5 Prime UTR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19B3AAF5" w14:textId="77777777" w:rsidR="00CB0062" w:rsidRDefault="00CB0062" w:rsidP="00223E56">
            <w:pPr>
              <w:widowControl w:val="0"/>
              <w:pBdr>
                <w:top w:val="nil"/>
                <w:left w:val="nil"/>
                <w:bottom w:val="nil"/>
                <w:right w:val="nil"/>
                <w:between w:val="nil"/>
              </w:pBdr>
              <w:spacing w:line="276" w:lineRule="auto"/>
              <w:rPr>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1CB23C84" w14:textId="77777777" w:rsidR="00CB0062" w:rsidRDefault="00CB0062" w:rsidP="00223E56">
            <w:pPr>
              <w:widowControl w:val="0"/>
              <w:pBdr>
                <w:top w:val="nil"/>
                <w:left w:val="nil"/>
                <w:bottom w:val="nil"/>
                <w:right w:val="nil"/>
                <w:between w:val="nil"/>
              </w:pBdr>
              <w:spacing w:line="276" w:lineRule="auto"/>
              <w:rPr>
                <w:sz w:val="16"/>
                <w:szCs w:val="16"/>
              </w:rPr>
            </w:pPr>
          </w:p>
        </w:tc>
      </w:tr>
      <w:tr w:rsidR="00CB0062" w14:paraId="2A51F63D" w14:textId="77777777" w:rsidTr="00923C73">
        <w:trPr>
          <w:trHeight w:val="61"/>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E31CD0D" w14:textId="77777777" w:rsidR="00CB0062" w:rsidRDefault="00CB0062" w:rsidP="00223E56">
            <w:pPr>
              <w:rPr>
                <w:i/>
                <w:color w:val="000000"/>
                <w:sz w:val="16"/>
                <w:szCs w:val="16"/>
              </w:rPr>
            </w:pPr>
            <w:r>
              <w:rPr>
                <w:i/>
                <w:color w:val="000000"/>
                <w:sz w:val="16"/>
                <w:szCs w:val="16"/>
              </w:rPr>
              <w:t>ACE</w:t>
            </w:r>
          </w:p>
          <w:p w14:paraId="47943D78"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D0704F4" w14:textId="77777777" w:rsidR="00CB0062" w:rsidRDefault="00CB0062" w:rsidP="00223E56">
            <w:pPr>
              <w:rPr>
                <w:color w:val="000000"/>
                <w:sz w:val="16"/>
                <w:szCs w:val="16"/>
              </w:rPr>
            </w:pPr>
            <w:r>
              <w:rPr>
                <w:color w:val="000000"/>
                <w:sz w:val="16"/>
                <w:szCs w:val="16"/>
                <w:highlight w:val="white"/>
              </w:rPr>
              <w:t xml:space="preserve">Angiotensin I </w:t>
            </w:r>
            <w:proofErr w:type="gramStart"/>
            <w:r>
              <w:rPr>
                <w:color w:val="000000"/>
                <w:sz w:val="16"/>
                <w:szCs w:val="16"/>
                <w:highlight w:val="white"/>
              </w:rPr>
              <w:t>Converting</w:t>
            </w:r>
            <w:proofErr w:type="gramEnd"/>
            <w:r>
              <w:rPr>
                <w:color w:val="000000"/>
                <w:sz w:val="16"/>
                <w:szCs w:val="16"/>
                <w:highlight w:val="white"/>
              </w:rPr>
              <w:t xml:space="preserve"> Enzyme</w:t>
            </w:r>
          </w:p>
          <w:p w14:paraId="3155CEBF" w14:textId="77777777" w:rsidR="00CB0062" w:rsidRDefault="00CB0062" w:rsidP="00223E56">
            <w:pPr>
              <w:rPr>
                <w:color w:val="000000"/>
                <w:sz w:val="16"/>
                <w:szCs w:val="16"/>
              </w:rPr>
            </w:pP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43E94184" w14:textId="77777777" w:rsidR="00CB0062" w:rsidRDefault="00CB0062" w:rsidP="00223E56">
            <w:pPr>
              <w:rPr>
                <w:color w:val="000000"/>
                <w:sz w:val="16"/>
                <w:szCs w:val="16"/>
              </w:rPr>
            </w:pPr>
            <w:r>
              <w:rPr>
                <w:color w:val="000000"/>
                <w:sz w:val="16"/>
                <w:szCs w:val="16"/>
              </w:rPr>
              <w:t>rs4295</w:t>
            </w:r>
          </w:p>
        </w:tc>
        <w:tc>
          <w:tcPr>
            <w:tcW w:w="851" w:type="dxa"/>
            <w:tcBorders>
              <w:top w:val="single" w:sz="4" w:space="0" w:color="000000"/>
              <w:bottom w:val="single" w:sz="4" w:space="0" w:color="D0CECE"/>
            </w:tcBorders>
            <w:tcMar>
              <w:top w:w="-113" w:type="dxa"/>
              <w:left w:w="-113" w:type="dxa"/>
              <w:bottom w:w="-113" w:type="dxa"/>
              <w:right w:w="-113" w:type="dxa"/>
            </w:tcMar>
          </w:tcPr>
          <w:p w14:paraId="66832D68" w14:textId="77777777" w:rsidR="00CB0062" w:rsidRDefault="00CB0062" w:rsidP="00223E56">
            <w:pPr>
              <w:rPr>
                <w:sz w:val="16"/>
                <w:szCs w:val="16"/>
              </w:rPr>
            </w:pPr>
            <w:r>
              <w:rPr>
                <w:sz w:val="16"/>
                <w:szCs w:val="16"/>
              </w:rPr>
              <w:t>C&gt;G</w:t>
            </w:r>
          </w:p>
        </w:tc>
        <w:tc>
          <w:tcPr>
            <w:tcW w:w="1701" w:type="dxa"/>
            <w:tcBorders>
              <w:top w:val="single" w:sz="4" w:space="0" w:color="000000"/>
              <w:bottom w:val="single" w:sz="4" w:space="0" w:color="D0CECE"/>
            </w:tcBorders>
            <w:tcMar>
              <w:top w:w="-113" w:type="dxa"/>
              <w:left w:w="-113" w:type="dxa"/>
              <w:bottom w:w="-113" w:type="dxa"/>
              <w:right w:w="-113" w:type="dxa"/>
            </w:tcMar>
          </w:tcPr>
          <w:p w14:paraId="5171E16C" w14:textId="77777777" w:rsidR="00CB0062" w:rsidRDefault="00CB0062" w:rsidP="00223E56">
            <w:pPr>
              <w:rPr>
                <w:sz w:val="16"/>
                <w:szCs w:val="16"/>
              </w:rPr>
            </w:pPr>
            <w:r>
              <w:rPr>
                <w:sz w:val="16"/>
                <w:szCs w:val="16"/>
              </w:rPr>
              <w:t>Intron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18E1C2A1" w14:textId="77777777" w:rsidR="00CB0062" w:rsidRDefault="00CB0062" w:rsidP="00223E56">
            <w:pPr>
              <w:rPr>
                <w:color w:val="000000"/>
                <w:sz w:val="16"/>
                <w:szCs w:val="16"/>
              </w:rPr>
            </w:pPr>
            <w:r>
              <w:rPr>
                <w:color w:val="000000"/>
                <w:sz w:val="16"/>
                <w:szCs w:val="16"/>
              </w:rPr>
              <w:t>T2DM</w:t>
            </w:r>
          </w:p>
          <w:p w14:paraId="27F45E86" w14:textId="77777777" w:rsidR="00CB0062" w:rsidRDefault="00CB0062" w:rsidP="00223E56">
            <w:pPr>
              <w:rPr>
                <w:color w:val="000000"/>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64DB11D2" w14:textId="77777777" w:rsidR="00CB0062" w:rsidRDefault="00CB0062" w:rsidP="00223E56">
            <w:pPr>
              <w:rPr>
                <w:sz w:val="16"/>
                <w:szCs w:val="16"/>
              </w:rPr>
            </w:pPr>
            <w:r>
              <w:rPr>
                <w:sz w:val="16"/>
                <w:szCs w:val="16"/>
              </w:rPr>
              <w:t>Grau-Perez et al. 2018</w:t>
            </w:r>
          </w:p>
          <w:p w14:paraId="434788A5" w14:textId="77777777" w:rsidR="00CB0062" w:rsidRDefault="00CB0062" w:rsidP="00223E56">
            <w:pPr>
              <w:rPr>
                <w:color w:val="000000"/>
                <w:sz w:val="16"/>
                <w:szCs w:val="16"/>
              </w:rPr>
            </w:pPr>
          </w:p>
        </w:tc>
      </w:tr>
      <w:tr w:rsidR="00CB0062" w14:paraId="6DB8702A" w14:textId="77777777" w:rsidTr="00923C73">
        <w:trPr>
          <w:trHeight w:val="61"/>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56042E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8F348F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28443781" w14:textId="77777777" w:rsidR="00CB0062" w:rsidRDefault="00CB0062" w:rsidP="00223E56">
            <w:pPr>
              <w:rPr>
                <w:color w:val="000000"/>
                <w:sz w:val="16"/>
                <w:szCs w:val="16"/>
              </w:rPr>
            </w:pPr>
            <w:r>
              <w:rPr>
                <w:color w:val="000000"/>
                <w:sz w:val="16"/>
                <w:szCs w:val="16"/>
              </w:rPr>
              <w:t>rs4320</w:t>
            </w:r>
          </w:p>
        </w:tc>
        <w:tc>
          <w:tcPr>
            <w:tcW w:w="851" w:type="dxa"/>
            <w:tcBorders>
              <w:top w:val="single" w:sz="4" w:space="0" w:color="D0CECE"/>
              <w:bottom w:val="single" w:sz="4" w:space="0" w:color="D0CECE"/>
            </w:tcBorders>
            <w:tcMar>
              <w:top w:w="-113" w:type="dxa"/>
              <w:left w:w="-113" w:type="dxa"/>
              <w:bottom w:w="-113" w:type="dxa"/>
              <w:right w:w="-113" w:type="dxa"/>
            </w:tcMar>
          </w:tcPr>
          <w:p w14:paraId="5C1213AC" w14:textId="77777777" w:rsidR="00CB0062" w:rsidRDefault="00CB0062" w:rsidP="00223E56">
            <w:pPr>
              <w:rPr>
                <w:sz w:val="16"/>
                <w:szCs w:val="16"/>
              </w:rPr>
            </w:pPr>
            <w:r>
              <w:rPr>
                <w:sz w:val="16"/>
                <w:szCs w:val="16"/>
              </w:rPr>
              <w:t>G &gt;</w:t>
            </w:r>
            <w:proofErr w:type="gramStart"/>
            <w:r>
              <w:rPr>
                <w:sz w:val="16"/>
                <w:szCs w:val="16"/>
              </w:rPr>
              <w:t>A,T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3C899616" w14:textId="77777777" w:rsidR="00CB0062" w:rsidRDefault="00CB0062" w:rsidP="00223E56">
            <w:pPr>
              <w:rPr>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054F935A" w14:textId="77777777" w:rsidR="00CB0062" w:rsidRDefault="00CB0062" w:rsidP="00223E56">
            <w:pPr>
              <w:widowControl w:val="0"/>
              <w:pBdr>
                <w:top w:val="nil"/>
                <w:left w:val="nil"/>
                <w:bottom w:val="nil"/>
                <w:right w:val="nil"/>
                <w:between w:val="nil"/>
              </w:pBdr>
              <w:spacing w:line="276" w:lineRule="auto"/>
              <w:rPr>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8D49080" w14:textId="77777777" w:rsidR="00CB0062" w:rsidRDefault="00CB0062" w:rsidP="00223E56">
            <w:pPr>
              <w:widowControl w:val="0"/>
              <w:pBdr>
                <w:top w:val="nil"/>
                <w:left w:val="nil"/>
                <w:bottom w:val="nil"/>
                <w:right w:val="nil"/>
                <w:between w:val="nil"/>
              </w:pBdr>
              <w:spacing w:line="276" w:lineRule="auto"/>
              <w:rPr>
                <w:sz w:val="16"/>
                <w:szCs w:val="16"/>
              </w:rPr>
            </w:pPr>
          </w:p>
        </w:tc>
      </w:tr>
      <w:tr w:rsidR="00CB0062" w14:paraId="6DBAE8F1" w14:textId="77777777" w:rsidTr="00923C73">
        <w:trPr>
          <w:trHeight w:val="61"/>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7B3EA27" w14:textId="77777777" w:rsidR="00CB0062" w:rsidRDefault="00CB0062" w:rsidP="00223E56">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C2AAD6A" w14:textId="77777777" w:rsidR="00CB0062" w:rsidRDefault="00CB0062" w:rsidP="00223E56">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7C4B8DC7" w14:textId="77777777" w:rsidR="00CB0062" w:rsidRDefault="00CB0062" w:rsidP="00223E56">
            <w:pPr>
              <w:rPr>
                <w:color w:val="000000"/>
                <w:sz w:val="16"/>
                <w:szCs w:val="16"/>
              </w:rPr>
            </w:pPr>
            <w:r>
              <w:rPr>
                <w:color w:val="000000"/>
                <w:sz w:val="16"/>
                <w:szCs w:val="16"/>
              </w:rPr>
              <w:t>rs4343</w:t>
            </w:r>
          </w:p>
        </w:tc>
        <w:tc>
          <w:tcPr>
            <w:tcW w:w="851" w:type="dxa"/>
            <w:tcBorders>
              <w:top w:val="single" w:sz="4" w:space="0" w:color="D0CECE"/>
              <w:bottom w:val="single" w:sz="4" w:space="0" w:color="D0CECE"/>
            </w:tcBorders>
            <w:tcMar>
              <w:top w:w="-113" w:type="dxa"/>
              <w:left w:w="-113" w:type="dxa"/>
              <w:bottom w:w="-113" w:type="dxa"/>
              <w:right w:w="-113" w:type="dxa"/>
            </w:tcMar>
          </w:tcPr>
          <w:p w14:paraId="798AF610" w14:textId="77777777" w:rsidR="00CB0062" w:rsidRDefault="00CB0062" w:rsidP="00223E56">
            <w:pPr>
              <w:rPr>
                <w:sz w:val="16"/>
                <w:szCs w:val="16"/>
              </w:rPr>
            </w:pPr>
            <w:r>
              <w:rPr>
                <w:sz w:val="16"/>
                <w:szCs w:val="16"/>
              </w:rPr>
              <w:t>G&gt;A</w:t>
            </w:r>
          </w:p>
        </w:tc>
        <w:tc>
          <w:tcPr>
            <w:tcW w:w="1701" w:type="dxa"/>
            <w:tcBorders>
              <w:top w:val="single" w:sz="4" w:space="0" w:color="D0CECE"/>
              <w:bottom w:val="single" w:sz="4" w:space="0" w:color="D0CECE"/>
            </w:tcBorders>
            <w:tcMar>
              <w:top w:w="-113" w:type="dxa"/>
              <w:left w:w="-113" w:type="dxa"/>
              <w:bottom w:w="-113" w:type="dxa"/>
              <w:right w:w="-113" w:type="dxa"/>
            </w:tcMar>
          </w:tcPr>
          <w:p w14:paraId="630EBDDE" w14:textId="77777777" w:rsidR="00CB0062" w:rsidRDefault="00CB0062" w:rsidP="00223E56">
            <w:pPr>
              <w:rPr>
                <w:sz w:val="16"/>
                <w:szCs w:val="16"/>
              </w:rPr>
            </w:pPr>
            <w:r>
              <w:rPr>
                <w:sz w:val="16"/>
                <w:szCs w:val="16"/>
              </w:rPr>
              <w:t>Synonymous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4796E9CE" w14:textId="77777777" w:rsidR="00CB0062" w:rsidRDefault="00CB0062" w:rsidP="00223E56">
            <w:pPr>
              <w:widowControl w:val="0"/>
              <w:pBdr>
                <w:top w:val="nil"/>
                <w:left w:val="nil"/>
                <w:bottom w:val="nil"/>
                <w:right w:val="nil"/>
                <w:between w:val="nil"/>
              </w:pBdr>
              <w:spacing w:line="276" w:lineRule="auto"/>
              <w:rPr>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03945CDB" w14:textId="77777777" w:rsidR="00CB0062" w:rsidRDefault="00CB0062" w:rsidP="00223E56">
            <w:pPr>
              <w:widowControl w:val="0"/>
              <w:pBdr>
                <w:top w:val="nil"/>
                <w:left w:val="nil"/>
                <w:bottom w:val="nil"/>
                <w:right w:val="nil"/>
                <w:between w:val="nil"/>
              </w:pBdr>
              <w:spacing w:line="276" w:lineRule="auto"/>
              <w:rPr>
                <w:sz w:val="16"/>
                <w:szCs w:val="16"/>
              </w:rPr>
            </w:pPr>
          </w:p>
        </w:tc>
      </w:tr>
      <w:tr w:rsidR="00CB0062" w14:paraId="47EC00EB" w14:textId="77777777" w:rsidTr="00923C73">
        <w:trPr>
          <w:trHeight w:val="61"/>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68745E9" w14:textId="77777777" w:rsidR="00CB0062" w:rsidRDefault="00CB0062" w:rsidP="00223E56">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E91C5BF" w14:textId="77777777" w:rsidR="00CB0062" w:rsidRDefault="00CB0062" w:rsidP="00223E56">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95C22E1" w14:textId="77777777" w:rsidR="00CB0062" w:rsidRDefault="00CB0062" w:rsidP="00223E56">
            <w:pPr>
              <w:rPr>
                <w:color w:val="000000"/>
                <w:sz w:val="16"/>
                <w:szCs w:val="16"/>
              </w:rPr>
            </w:pPr>
            <w:r>
              <w:rPr>
                <w:color w:val="000000"/>
                <w:sz w:val="16"/>
                <w:szCs w:val="16"/>
              </w:rPr>
              <w:t>rs4353</w:t>
            </w:r>
          </w:p>
        </w:tc>
        <w:tc>
          <w:tcPr>
            <w:tcW w:w="851" w:type="dxa"/>
            <w:tcBorders>
              <w:top w:val="single" w:sz="4" w:space="0" w:color="D0CECE"/>
              <w:bottom w:val="single" w:sz="4" w:space="0" w:color="D0CECE"/>
            </w:tcBorders>
            <w:tcMar>
              <w:top w:w="-113" w:type="dxa"/>
              <w:left w:w="-113" w:type="dxa"/>
              <w:bottom w:w="-113" w:type="dxa"/>
              <w:right w:w="-113" w:type="dxa"/>
            </w:tcMar>
          </w:tcPr>
          <w:p w14:paraId="1EB2DA32" w14:textId="77777777" w:rsidR="00CB0062" w:rsidRDefault="00CB0062" w:rsidP="00223E56">
            <w:pPr>
              <w:rPr>
                <w:sz w:val="16"/>
                <w:szCs w:val="16"/>
              </w:rPr>
            </w:pPr>
            <w:r>
              <w:rPr>
                <w:sz w:val="16"/>
                <w:szCs w:val="16"/>
              </w:rPr>
              <w:t>A&gt;</w:t>
            </w:r>
            <w:proofErr w:type="gramStart"/>
            <w:r>
              <w:rPr>
                <w:sz w:val="16"/>
                <w:szCs w:val="16"/>
              </w:rPr>
              <w:t>G,T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4E697C71" w14:textId="77777777" w:rsidR="00CB0062" w:rsidRDefault="00CB0062" w:rsidP="00223E56">
            <w:pPr>
              <w:rPr>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3FD7D172" w14:textId="77777777" w:rsidR="00CB0062" w:rsidRDefault="00CB0062" w:rsidP="00223E56">
            <w:pPr>
              <w:widowControl w:val="0"/>
              <w:pBdr>
                <w:top w:val="nil"/>
                <w:left w:val="nil"/>
                <w:bottom w:val="nil"/>
                <w:right w:val="nil"/>
                <w:between w:val="nil"/>
              </w:pBdr>
              <w:spacing w:line="276" w:lineRule="auto"/>
              <w:rPr>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58AC673" w14:textId="77777777" w:rsidR="00CB0062" w:rsidRDefault="00CB0062" w:rsidP="00223E56">
            <w:pPr>
              <w:widowControl w:val="0"/>
              <w:pBdr>
                <w:top w:val="nil"/>
                <w:left w:val="nil"/>
                <w:bottom w:val="nil"/>
                <w:right w:val="nil"/>
                <w:between w:val="nil"/>
              </w:pBdr>
              <w:spacing w:line="276" w:lineRule="auto"/>
              <w:rPr>
                <w:sz w:val="16"/>
                <w:szCs w:val="16"/>
              </w:rPr>
            </w:pPr>
          </w:p>
        </w:tc>
      </w:tr>
      <w:tr w:rsidR="00CB0062" w14:paraId="43640A12" w14:textId="77777777" w:rsidTr="00923C73">
        <w:trPr>
          <w:trHeight w:val="61"/>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3EC1ABA" w14:textId="77777777" w:rsidR="00CB0062" w:rsidRDefault="00CB0062" w:rsidP="00223E56">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3CA25DD" w14:textId="77777777" w:rsidR="00CB0062" w:rsidRDefault="00CB0062" w:rsidP="00223E56">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D1B7664" w14:textId="77777777" w:rsidR="00CB0062" w:rsidRDefault="00CB0062" w:rsidP="00223E56">
            <w:pPr>
              <w:rPr>
                <w:color w:val="000000"/>
                <w:sz w:val="16"/>
                <w:szCs w:val="16"/>
              </w:rPr>
            </w:pPr>
            <w:r>
              <w:rPr>
                <w:color w:val="000000"/>
                <w:sz w:val="16"/>
                <w:szCs w:val="16"/>
              </w:rPr>
              <w:t>rs4359</w:t>
            </w:r>
          </w:p>
        </w:tc>
        <w:tc>
          <w:tcPr>
            <w:tcW w:w="851" w:type="dxa"/>
            <w:tcBorders>
              <w:top w:val="single" w:sz="4" w:space="0" w:color="D0CECE"/>
              <w:bottom w:val="single" w:sz="4" w:space="0" w:color="D0CECE"/>
            </w:tcBorders>
            <w:tcMar>
              <w:top w:w="-113" w:type="dxa"/>
              <w:left w:w="-113" w:type="dxa"/>
              <w:bottom w:w="-113" w:type="dxa"/>
              <w:right w:w="-113" w:type="dxa"/>
            </w:tcMar>
          </w:tcPr>
          <w:p w14:paraId="71998B67" w14:textId="77777777" w:rsidR="00CB0062" w:rsidRDefault="00CB0062" w:rsidP="00223E56">
            <w:pPr>
              <w:rPr>
                <w:sz w:val="16"/>
                <w:szCs w:val="16"/>
              </w:rPr>
            </w:pPr>
            <w:r>
              <w:rPr>
                <w:sz w:val="16"/>
                <w:szCs w:val="16"/>
              </w:rPr>
              <w:t>T&gt;</w:t>
            </w:r>
            <w:proofErr w:type="gramStart"/>
            <w:r>
              <w:rPr>
                <w:sz w:val="16"/>
                <w:szCs w:val="16"/>
              </w:rPr>
              <w:t>A,C</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2A85EDA6" w14:textId="77777777" w:rsidR="00CB0062" w:rsidRDefault="00CB0062" w:rsidP="00223E56">
            <w:pPr>
              <w:rPr>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6EFABD1D" w14:textId="77777777" w:rsidR="00CB0062" w:rsidRDefault="00CB0062" w:rsidP="00223E56">
            <w:pPr>
              <w:widowControl w:val="0"/>
              <w:pBdr>
                <w:top w:val="nil"/>
                <w:left w:val="nil"/>
                <w:bottom w:val="nil"/>
                <w:right w:val="nil"/>
                <w:between w:val="nil"/>
              </w:pBdr>
              <w:spacing w:line="276" w:lineRule="auto"/>
              <w:rPr>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2435EA23" w14:textId="77777777" w:rsidR="00CB0062" w:rsidRDefault="00CB0062" w:rsidP="00223E56">
            <w:pPr>
              <w:widowControl w:val="0"/>
              <w:pBdr>
                <w:top w:val="nil"/>
                <w:left w:val="nil"/>
                <w:bottom w:val="nil"/>
                <w:right w:val="nil"/>
                <w:between w:val="nil"/>
              </w:pBdr>
              <w:spacing w:line="276" w:lineRule="auto"/>
              <w:rPr>
                <w:sz w:val="16"/>
                <w:szCs w:val="16"/>
              </w:rPr>
            </w:pPr>
          </w:p>
        </w:tc>
      </w:tr>
      <w:tr w:rsidR="00CB0062" w14:paraId="12F6E67C" w14:textId="77777777" w:rsidTr="00923C73">
        <w:trPr>
          <w:trHeight w:val="61"/>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FE327B5" w14:textId="77777777" w:rsidR="00CB0062" w:rsidRDefault="00CB0062" w:rsidP="00223E56">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8773C6B" w14:textId="77777777" w:rsidR="00CB0062" w:rsidRDefault="00CB0062" w:rsidP="00223E56">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1155C3D8" w14:textId="77777777" w:rsidR="00CB0062" w:rsidRDefault="00CB0062" w:rsidP="00223E56">
            <w:pPr>
              <w:rPr>
                <w:color w:val="000000"/>
                <w:sz w:val="16"/>
                <w:szCs w:val="16"/>
              </w:rPr>
            </w:pPr>
            <w:r>
              <w:rPr>
                <w:color w:val="000000"/>
                <w:sz w:val="16"/>
                <w:szCs w:val="16"/>
              </w:rPr>
              <w:t>rs4362</w:t>
            </w:r>
          </w:p>
        </w:tc>
        <w:tc>
          <w:tcPr>
            <w:tcW w:w="851" w:type="dxa"/>
            <w:tcBorders>
              <w:top w:val="single" w:sz="4" w:space="0" w:color="D0CECE"/>
              <w:bottom w:val="single" w:sz="4" w:space="0" w:color="D0CECE"/>
            </w:tcBorders>
            <w:tcMar>
              <w:top w:w="-113" w:type="dxa"/>
              <w:left w:w="-113" w:type="dxa"/>
              <w:bottom w:w="-113" w:type="dxa"/>
              <w:right w:w="-113" w:type="dxa"/>
            </w:tcMar>
          </w:tcPr>
          <w:p w14:paraId="2246E965" w14:textId="77777777" w:rsidR="00CB0062" w:rsidRDefault="00CB0062" w:rsidP="00223E56">
            <w:pPr>
              <w:rPr>
                <w:sz w:val="16"/>
                <w:szCs w:val="16"/>
              </w:rPr>
            </w:pPr>
            <w:r>
              <w:rPr>
                <w:sz w:val="16"/>
                <w:szCs w:val="16"/>
              </w:rPr>
              <w:t>T&gt;</w:t>
            </w:r>
            <w:proofErr w:type="gramStart"/>
            <w:r>
              <w:rPr>
                <w:sz w:val="16"/>
                <w:szCs w:val="16"/>
              </w:rPr>
              <w:t>A,C</w:t>
            </w:r>
            <w:proofErr w:type="gramEnd"/>
            <w:r>
              <w:rPr>
                <w:sz w:val="16"/>
                <w:szCs w:val="16"/>
              </w:rPr>
              <w:t>,G</w:t>
            </w:r>
          </w:p>
        </w:tc>
        <w:tc>
          <w:tcPr>
            <w:tcW w:w="1701" w:type="dxa"/>
            <w:tcBorders>
              <w:top w:val="single" w:sz="4" w:space="0" w:color="D0CECE"/>
              <w:bottom w:val="single" w:sz="4" w:space="0" w:color="D0CECE"/>
            </w:tcBorders>
            <w:tcMar>
              <w:top w:w="-113" w:type="dxa"/>
              <w:left w:w="-113" w:type="dxa"/>
              <w:bottom w:w="-113" w:type="dxa"/>
              <w:right w:w="-113" w:type="dxa"/>
            </w:tcMar>
          </w:tcPr>
          <w:p w14:paraId="15749CD0" w14:textId="77777777" w:rsidR="00CB0062" w:rsidRDefault="00CB0062" w:rsidP="00223E56">
            <w:pPr>
              <w:rPr>
                <w:sz w:val="16"/>
                <w:szCs w:val="16"/>
              </w:rPr>
            </w:pPr>
            <w:r>
              <w:rPr>
                <w:sz w:val="16"/>
                <w:szCs w:val="16"/>
              </w:rPr>
              <w:t>Synonymous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35B0983A" w14:textId="77777777" w:rsidR="00CB0062" w:rsidRDefault="00CB0062" w:rsidP="00223E56">
            <w:pPr>
              <w:widowControl w:val="0"/>
              <w:pBdr>
                <w:top w:val="nil"/>
                <w:left w:val="nil"/>
                <w:bottom w:val="nil"/>
                <w:right w:val="nil"/>
                <w:between w:val="nil"/>
              </w:pBdr>
              <w:spacing w:line="276" w:lineRule="auto"/>
              <w:rPr>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2CCB98B" w14:textId="77777777" w:rsidR="00CB0062" w:rsidRDefault="00CB0062" w:rsidP="00223E56">
            <w:pPr>
              <w:widowControl w:val="0"/>
              <w:pBdr>
                <w:top w:val="nil"/>
                <w:left w:val="nil"/>
                <w:bottom w:val="nil"/>
                <w:right w:val="nil"/>
                <w:between w:val="nil"/>
              </w:pBdr>
              <w:spacing w:line="276" w:lineRule="auto"/>
              <w:rPr>
                <w:sz w:val="16"/>
                <w:szCs w:val="16"/>
              </w:rPr>
            </w:pPr>
          </w:p>
        </w:tc>
      </w:tr>
      <w:tr w:rsidR="00CB0062" w14:paraId="1D46E0F8" w14:textId="77777777" w:rsidTr="00923C73">
        <w:trPr>
          <w:trHeight w:val="61"/>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4F4E67C" w14:textId="77777777" w:rsidR="00CB0062" w:rsidRDefault="00CB0062" w:rsidP="00223E56">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23AE8CE" w14:textId="77777777" w:rsidR="00CB0062" w:rsidRDefault="00CB0062" w:rsidP="00223E56">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090204CD" w14:textId="77777777" w:rsidR="00CB0062" w:rsidRDefault="00CB0062" w:rsidP="00223E56">
            <w:pPr>
              <w:rPr>
                <w:color w:val="000000"/>
                <w:sz w:val="16"/>
                <w:szCs w:val="16"/>
              </w:rPr>
            </w:pPr>
            <w:r>
              <w:rPr>
                <w:color w:val="000000"/>
                <w:sz w:val="16"/>
                <w:szCs w:val="16"/>
              </w:rPr>
              <w:t>rs4363</w:t>
            </w:r>
          </w:p>
        </w:tc>
        <w:tc>
          <w:tcPr>
            <w:tcW w:w="851" w:type="dxa"/>
            <w:tcBorders>
              <w:top w:val="single" w:sz="4" w:space="0" w:color="D0CECE"/>
              <w:bottom w:val="single" w:sz="4" w:space="0" w:color="000000"/>
            </w:tcBorders>
            <w:tcMar>
              <w:top w:w="-113" w:type="dxa"/>
              <w:left w:w="-113" w:type="dxa"/>
              <w:bottom w:w="-113" w:type="dxa"/>
              <w:right w:w="-113" w:type="dxa"/>
            </w:tcMar>
          </w:tcPr>
          <w:p w14:paraId="2D7ED768" w14:textId="77777777" w:rsidR="00CB0062" w:rsidRDefault="00CB0062" w:rsidP="00223E56">
            <w:pPr>
              <w:rPr>
                <w:sz w:val="16"/>
                <w:szCs w:val="16"/>
              </w:rPr>
            </w:pPr>
            <w:r>
              <w:rPr>
                <w:sz w:val="16"/>
                <w:szCs w:val="16"/>
              </w:rPr>
              <w:t>G&gt;</w:t>
            </w:r>
            <w:proofErr w:type="gramStart"/>
            <w:r>
              <w:rPr>
                <w:sz w:val="16"/>
                <w:szCs w:val="16"/>
              </w:rPr>
              <w:t>A,C</w:t>
            </w:r>
            <w:proofErr w:type="gramEnd"/>
          </w:p>
        </w:tc>
        <w:tc>
          <w:tcPr>
            <w:tcW w:w="1701" w:type="dxa"/>
            <w:tcBorders>
              <w:top w:val="single" w:sz="4" w:space="0" w:color="D0CECE"/>
              <w:bottom w:val="single" w:sz="4" w:space="0" w:color="000000"/>
            </w:tcBorders>
            <w:tcMar>
              <w:top w:w="-113" w:type="dxa"/>
              <w:left w:w="-113" w:type="dxa"/>
              <w:bottom w:w="-113" w:type="dxa"/>
              <w:right w:w="-113" w:type="dxa"/>
            </w:tcMar>
          </w:tcPr>
          <w:p w14:paraId="761A8DB0" w14:textId="77777777" w:rsidR="00CB0062" w:rsidRDefault="00CB0062" w:rsidP="00223E56">
            <w:pPr>
              <w:rPr>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73BAA221" w14:textId="77777777" w:rsidR="00CB0062" w:rsidRDefault="00CB0062" w:rsidP="00223E56">
            <w:pPr>
              <w:widowControl w:val="0"/>
              <w:pBdr>
                <w:top w:val="nil"/>
                <w:left w:val="nil"/>
                <w:bottom w:val="nil"/>
                <w:right w:val="nil"/>
                <w:between w:val="nil"/>
              </w:pBdr>
              <w:spacing w:line="276" w:lineRule="auto"/>
              <w:rPr>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9EABC4E" w14:textId="77777777" w:rsidR="00CB0062" w:rsidRDefault="00CB0062" w:rsidP="00223E56">
            <w:pPr>
              <w:widowControl w:val="0"/>
              <w:pBdr>
                <w:top w:val="nil"/>
                <w:left w:val="nil"/>
                <w:bottom w:val="nil"/>
                <w:right w:val="nil"/>
                <w:between w:val="nil"/>
              </w:pBdr>
              <w:spacing w:line="276" w:lineRule="auto"/>
              <w:rPr>
                <w:sz w:val="16"/>
                <w:szCs w:val="16"/>
              </w:rPr>
            </w:pPr>
          </w:p>
        </w:tc>
      </w:tr>
      <w:tr w:rsidR="00CB0062" w14:paraId="3FBBF940" w14:textId="77777777" w:rsidTr="00923C73">
        <w:trPr>
          <w:trHeight w:val="61"/>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3313B66" w14:textId="77777777" w:rsidR="00CB0062" w:rsidRDefault="00CB0062" w:rsidP="00223E56">
            <w:pPr>
              <w:rPr>
                <w:i/>
                <w:color w:val="000000"/>
                <w:sz w:val="16"/>
                <w:szCs w:val="16"/>
              </w:rPr>
            </w:pPr>
            <w:r>
              <w:rPr>
                <w:i/>
                <w:color w:val="000000"/>
                <w:sz w:val="16"/>
                <w:szCs w:val="16"/>
              </w:rPr>
              <w:t>ADAMTS9</w:t>
            </w:r>
          </w:p>
          <w:p w14:paraId="52C07F76"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DE6AFAE" w14:textId="77777777" w:rsidR="00CB0062" w:rsidRDefault="00CB0062" w:rsidP="00223E56">
            <w:pPr>
              <w:rPr>
                <w:color w:val="000000"/>
                <w:sz w:val="16"/>
                <w:szCs w:val="16"/>
              </w:rPr>
            </w:pPr>
            <w:r>
              <w:rPr>
                <w:color w:val="000000"/>
                <w:sz w:val="16"/>
                <w:szCs w:val="16"/>
                <w:highlight w:val="white"/>
              </w:rPr>
              <w:t>ADAM Metallopeptidase with Thrombospondin Type 1 Motif 9</w:t>
            </w:r>
          </w:p>
          <w:p w14:paraId="55EE6992" w14:textId="77777777" w:rsidR="00CB0062" w:rsidRDefault="00CB0062" w:rsidP="00223E56">
            <w:pPr>
              <w:rPr>
                <w:color w:val="000000"/>
                <w:sz w:val="16"/>
                <w:szCs w:val="16"/>
              </w:rPr>
            </w:pP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3654EB31" w14:textId="77777777" w:rsidR="00CB0062" w:rsidRDefault="00CB0062" w:rsidP="00223E56">
            <w:pPr>
              <w:rPr>
                <w:color w:val="000000"/>
                <w:sz w:val="16"/>
                <w:szCs w:val="16"/>
              </w:rPr>
            </w:pPr>
            <w:r>
              <w:rPr>
                <w:color w:val="000000"/>
                <w:sz w:val="16"/>
                <w:szCs w:val="16"/>
              </w:rPr>
              <w:t>rs17070905</w:t>
            </w:r>
          </w:p>
        </w:tc>
        <w:tc>
          <w:tcPr>
            <w:tcW w:w="851" w:type="dxa"/>
            <w:tcBorders>
              <w:top w:val="single" w:sz="4" w:space="0" w:color="000000"/>
              <w:bottom w:val="single" w:sz="4" w:space="0" w:color="D0CECE"/>
            </w:tcBorders>
            <w:tcMar>
              <w:top w:w="-113" w:type="dxa"/>
              <w:left w:w="-113" w:type="dxa"/>
              <w:bottom w:w="-113" w:type="dxa"/>
              <w:right w:w="-113" w:type="dxa"/>
            </w:tcMar>
          </w:tcPr>
          <w:p w14:paraId="72CF98E1" w14:textId="77777777" w:rsidR="00CB0062" w:rsidRDefault="00CB0062" w:rsidP="00223E56">
            <w:pPr>
              <w:rPr>
                <w:sz w:val="16"/>
                <w:szCs w:val="16"/>
              </w:rPr>
            </w:pPr>
            <w:r>
              <w:rPr>
                <w:sz w:val="16"/>
                <w:szCs w:val="16"/>
              </w:rPr>
              <w:t>C&gt;T</w:t>
            </w:r>
          </w:p>
        </w:tc>
        <w:tc>
          <w:tcPr>
            <w:tcW w:w="1701" w:type="dxa"/>
            <w:tcBorders>
              <w:top w:val="single" w:sz="4" w:space="0" w:color="000000"/>
              <w:bottom w:val="single" w:sz="4" w:space="0" w:color="D0CECE"/>
            </w:tcBorders>
            <w:tcMar>
              <w:top w:w="-113" w:type="dxa"/>
              <w:left w:w="-113" w:type="dxa"/>
              <w:bottom w:w="-113" w:type="dxa"/>
              <w:right w:w="-113" w:type="dxa"/>
            </w:tcMar>
          </w:tcPr>
          <w:p w14:paraId="2128E707" w14:textId="77777777" w:rsidR="00CB0062" w:rsidRDefault="00CB0062" w:rsidP="00223E56">
            <w:pPr>
              <w:rPr>
                <w:sz w:val="16"/>
                <w:szCs w:val="16"/>
              </w:rPr>
            </w:pPr>
            <w:r>
              <w:rPr>
                <w:sz w:val="16"/>
                <w:szCs w:val="16"/>
              </w:rPr>
              <w:t xml:space="preserve">Missense variant </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3933B19D" w14:textId="77777777" w:rsidR="00CB0062" w:rsidRDefault="00CB0062" w:rsidP="00223E56">
            <w:pPr>
              <w:rPr>
                <w:color w:val="000000"/>
                <w:sz w:val="16"/>
                <w:szCs w:val="16"/>
              </w:rPr>
            </w:pPr>
            <w:r>
              <w:rPr>
                <w:color w:val="000000"/>
                <w:sz w:val="16"/>
                <w:szCs w:val="16"/>
              </w:rPr>
              <w:t>T2DM</w:t>
            </w:r>
          </w:p>
          <w:p w14:paraId="0F31A51C" w14:textId="77777777" w:rsidR="00CB0062" w:rsidRDefault="00CB0062" w:rsidP="00223E56">
            <w:pPr>
              <w:rPr>
                <w:color w:val="000000"/>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7E97EB2D" w14:textId="77777777" w:rsidR="00CB0062" w:rsidRDefault="00CB0062" w:rsidP="00223E56">
            <w:pPr>
              <w:rPr>
                <w:sz w:val="16"/>
                <w:szCs w:val="16"/>
              </w:rPr>
            </w:pPr>
            <w:r>
              <w:rPr>
                <w:sz w:val="16"/>
                <w:szCs w:val="16"/>
              </w:rPr>
              <w:t xml:space="preserve">Pan </w:t>
            </w:r>
            <w:r>
              <w:rPr>
                <w:i/>
                <w:sz w:val="16"/>
                <w:szCs w:val="16"/>
              </w:rPr>
              <w:t>et al.</w:t>
            </w:r>
            <w:r>
              <w:rPr>
                <w:sz w:val="16"/>
                <w:szCs w:val="16"/>
              </w:rPr>
              <w:t xml:space="preserve"> 2013</w:t>
            </w:r>
          </w:p>
          <w:p w14:paraId="25260C8B" w14:textId="77777777" w:rsidR="00CB0062" w:rsidRDefault="00CB0062" w:rsidP="00223E56">
            <w:pPr>
              <w:rPr>
                <w:color w:val="000000"/>
                <w:sz w:val="16"/>
                <w:szCs w:val="16"/>
              </w:rPr>
            </w:pPr>
            <w:r>
              <w:rPr>
                <w:sz w:val="16"/>
                <w:szCs w:val="16"/>
              </w:rPr>
              <w:t xml:space="preserve"> </w:t>
            </w:r>
          </w:p>
        </w:tc>
      </w:tr>
      <w:tr w:rsidR="00CB0062" w14:paraId="7B2F2A9A" w14:textId="77777777" w:rsidTr="00923C73">
        <w:trPr>
          <w:trHeight w:val="61"/>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955F46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18DD95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19D7310D" w14:textId="77777777" w:rsidR="00CB0062" w:rsidRDefault="00CB0062" w:rsidP="00223E56">
            <w:pPr>
              <w:rPr>
                <w:color w:val="000000"/>
                <w:sz w:val="16"/>
                <w:szCs w:val="16"/>
              </w:rPr>
            </w:pPr>
            <w:r>
              <w:rPr>
                <w:color w:val="000000"/>
                <w:sz w:val="16"/>
                <w:szCs w:val="16"/>
              </w:rPr>
              <w:t>rs17070967</w:t>
            </w:r>
          </w:p>
        </w:tc>
        <w:tc>
          <w:tcPr>
            <w:tcW w:w="851" w:type="dxa"/>
            <w:tcBorders>
              <w:top w:val="single" w:sz="4" w:space="0" w:color="D0CECE"/>
              <w:bottom w:val="single" w:sz="4" w:space="0" w:color="D0CECE"/>
            </w:tcBorders>
            <w:tcMar>
              <w:top w:w="-113" w:type="dxa"/>
              <w:left w:w="-113" w:type="dxa"/>
              <w:bottom w:w="-113" w:type="dxa"/>
              <w:right w:w="-113" w:type="dxa"/>
            </w:tcMar>
          </w:tcPr>
          <w:p w14:paraId="6F8188C6" w14:textId="77777777" w:rsidR="00CB0062" w:rsidRDefault="00CB0062" w:rsidP="00223E56">
            <w:pPr>
              <w:rPr>
                <w:sz w:val="16"/>
                <w:szCs w:val="16"/>
              </w:rPr>
            </w:pPr>
            <w:r>
              <w:rPr>
                <w:sz w:val="16"/>
                <w:szCs w:val="16"/>
              </w:rPr>
              <w:t>T&gt;C</w:t>
            </w:r>
          </w:p>
        </w:tc>
        <w:tc>
          <w:tcPr>
            <w:tcW w:w="1701" w:type="dxa"/>
            <w:tcBorders>
              <w:top w:val="single" w:sz="4" w:space="0" w:color="D0CECE"/>
              <w:bottom w:val="single" w:sz="4" w:space="0" w:color="D0CECE"/>
            </w:tcBorders>
            <w:tcMar>
              <w:top w:w="-113" w:type="dxa"/>
              <w:left w:w="-113" w:type="dxa"/>
              <w:bottom w:w="-113" w:type="dxa"/>
              <w:right w:w="-113" w:type="dxa"/>
            </w:tcMar>
          </w:tcPr>
          <w:p w14:paraId="576917F4" w14:textId="77777777" w:rsidR="00CB0062" w:rsidRDefault="00CB0062" w:rsidP="00223E56">
            <w:pPr>
              <w:rPr>
                <w:sz w:val="16"/>
                <w:szCs w:val="16"/>
              </w:rPr>
            </w:pPr>
            <w:r>
              <w:rPr>
                <w:sz w:val="16"/>
                <w:szCs w:val="16"/>
              </w:rPr>
              <w:t xml:space="preserve">Missense variant </w:t>
            </w:r>
          </w:p>
        </w:tc>
        <w:tc>
          <w:tcPr>
            <w:tcW w:w="708" w:type="dxa"/>
            <w:vMerge/>
            <w:tcBorders>
              <w:top w:val="single" w:sz="4" w:space="0" w:color="000000"/>
              <w:bottom w:val="single" w:sz="4" w:space="0" w:color="D0CECE"/>
            </w:tcBorders>
            <w:tcMar>
              <w:top w:w="-113" w:type="dxa"/>
              <w:left w:w="-113" w:type="dxa"/>
              <w:bottom w:w="-113" w:type="dxa"/>
              <w:right w:w="-113" w:type="dxa"/>
            </w:tcMar>
          </w:tcPr>
          <w:p w14:paraId="75C8C76D" w14:textId="77777777" w:rsidR="00CB0062" w:rsidRDefault="00CB0062" w:rsidP="00223E56">
            <w:pPr>
              <w:widowControl w:val="0"/>
              <w:pBdr>
                <w:top w:val="nil"/>
                <w:left w:val="nil"/>
                <w:bottom w:val="nil"/>
                <w:right w:val="nil"/>
                <w:between w:val="nil"/>
              </w:pBdr>
              <w:spacing w:line="276" w:lineRule="auto"/>
              <w:rPr>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32978DFE" w14:textId="77777777" w:rsidR="00CB0062" w:rsidRDefault="00CB0062" w:rsidP="00223E56">
            <w:pPr>
              <w:widowControl w:val="0"/>
              <w:pBdr>
                <w:top w:val="nil"/>
                <w:left w:val="nil"/>
                <w:bottom w:val="nil"/>
                <w:right w:val="nil"/>
                <w:between w:val="nil"/>
              </w:pBdr>
              <w:spacing w:line="276" w:lineRule="auto"/>
              <w:rPr>
                <w:sz w:val="16"/>
                <w:szCs w:val="16"/>
              </w:rPr>
            </w:pPr>
          </w:p>
        </w:tc>
      </w:tr>
      <w:tr w:rsidR="00CB0062" w14:paraId="68AF1571" w14:textId="77777777" w:rsidTr="00923C73">
        <w:trPr>
          <w:trHeight w:val="61"/>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B825446" w14:textId="77777777" w:rsidR="00CB0062" w:rsidRDefault="00CB0062" w:rsidP="00223E56">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1E7E4B6" w14:textId="77777777" w:rsidR="00CB0062" w:rsidRDefault="00CB0062" w:rsidP="00223E56">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283DE772" w14:textId="77777777" w:rsidR="00CB0062" w:rsidRDefault="00CB0062" w:rsidP="00223E56">
            <w:pPr>
              <w:rPr>
                <w:color w:val="000000"/>
                <w:sz w:val="16"/>
                <w:szCs w:val="16"/>
              </w:rPr>
            </w:pPr>
            <w:r>
              <w:rPr>
                <w:color w:val="000000"/>
                <w:sz w:val="16"/>
                <w:szCs w:val="16"/>
              </w:rPr>
              <w:t>rs6766801</w:t>
            </w:r>
          </w:p>
        </w:tc>
        <w:tc>
          <w:tcPr>
            <w:tcW w:w="851" w:type="dxa"/>
            <w:tcBorders>
              <w:top w:val="single" w:sz="4" w:space="0" w:color="D0CECE"/>
              <w:bottom w:val="single" w:sz="4" w:space="0" w:color="000000"/>
            </w:tcBorders>
            <w:tcMar>
              <w:top w:w="-113" w:type="dxa"/>
              <w:left w:w="-113" w:type="dxa"/>
              <w:bottom w:w="-113" w:type="dxa"/>
              <w:right w:w="-113" w:type="dxa"/>
            </w:tcMar>
          </w:tcPr>
          <w:p w14:paraId="69E4C545" w14:textId="77777777" w:rsidR="00CB0062" w:rsidRDefault="00CB0062" w:rsidP="00223E56">
            <w:pPr>
              <w:rPr>
                <w:sz w:val="16"/>
                <w:szCs w:val="16"/>
              </w:rPr>
            </w:pPr>
            <w:r>
              <w:rPr>
                <w:sz w:val="16"/>
                <w:szCs w:val="16"/>
              </w:rPr>
              <w:t>T&gt;C</w:t>
            </w:r>
          </w:p>
        </w:tc>
        <w:tc>
          <w:tcPr>
            <w:tcW w:w="1701" w:type="dxa"/>
            <w:tcBorders>
              <w:top w:val="single" w:sz="4" w:space="0" w:color="D0CECE"/>
              <w:bottom w:val="single" w:sz="4" w:space="0" w:color="000000"/>
            </w:tcBorders>
            <w:tcMar>
              <w:top w:w="-113" w:type="dxa"/>
              <w:left w:w="-113" w:type="dxa"/>
              <w:bottom w:w="-113" w:type="dxa"/>
              <w:right w:w="-113" w:type="dxa"/>
            </w:tcMar>
          </w:tcPr>
          <w:p w14:paraId="0870E580" w14:textId="77777777" w:rsidR="00CB0062" w:rsidRDefault="00CB0062" w:rsidP="00223E56">
            <w:pPr>
              <w:rPr>
                <w:sz w:val="16"/>
                <w:szCs w:val="16"/>
              </w:rPr>
            </w:pPr>
            <w:r>
              <w:rPr>
                <w:sz w:val="16"/>
                <w:szCs w:val="16"/>
              </w:rPr>
              <w:t>Non-coding transcript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6E211585" w14:textId="77777777" w:rsidR="00CB0062" w:rsidRDefault="00CB0062" w:rsidP="00223E56">
            <w:pPr>
              <w:widowControl w:val="0"/>
              <w:pBdr>
                <w:top w:val="nil"/>
                <w:left w:val="nil"/>
                <w:bottom w:val="nil"/>
                <w:right w:val="nil"/>
                <w:between w:val="nil"/>
              </w:pBdr>
              <w:spacing w:line="276" w:lineRule="auto"/>
              <w:rPr>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06438E19" w14:textId="77777777" w:rsidR="00CB0062" w:rsidRDefault="00CB0062" w:rsidP="00223E56">
            <w:pPr>
              <w:widowControl w:val="0"/>
              <w:pBdr>
                <w:top w:val="nil"/>
                <w:left w:val="nil"/>
                <w:bottom w:val="nil"/>
                <w:right w:val="nil"/>
                <w:between w:val="nil"/>
              </w:pBdr>
              <w:spacing w:line="276" w:lineRule="auto"/>
              <w:rPr>
                <w:sz w:val="16"/>
                <w:szCs w:val="16"/>
              </w:rPr>
            </w:pPr>
          </w:p>
        </w:tc>
      </w:tr>
      <w:tr w:rsidR="00CB0062" w14:paraId="1C793396"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1FD69161" w14:textId="77777777" w:rsidR="00CB0062" w:rsidRDefault="00CB0062" w:rsidP="00223E56">
            <w:pPr>
              <w:rPr>
                <w:i/>
                <w:color w:val="000000"/>
                <w:sz w:val="16"/>
                <w:szCs w:val="16"/>
              </w:rPr>
            </w:pPr>
            <w:r>
              <w:rPr>
                <w:i/>
                <w:color w:val="000000"/>
                <w:sz w:val="16"/>
                <w:szCs w:val="16"/>
              </w:rPr>
              <w:t>ADIPOQ</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0593FD59" w14:textId="77777777" w:rsidR="00CB0062" w:rsidRDefault="00CB0062" w:rsidP="00223E56">
            <w:pPr>
              <w:rPr>
                <w:color w:val="000000"/>
                <w:sz w:val="16"/>
                <w:szCs w:val="16"/>
              </w:rPr>
            </w:pPr>
            <w:r>
              <w:rPr>
                <w:color w:val="000000"/>
                <w:sz w:val="16"/>
                <w:szCs w:val="16"/>
                <w:highlight w:val="white"/>
              </w:rPr>
              <w:t>Adiponectin</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196B0146" w14:textId="77777777" w:rsidR="00CB0062" w:rsidRDefault="00CB0062" w:rsidP="00223E56">
            <w:pPr>
              <w:rPr>
                <w:color w:val="000000"/>
                <w:sz w:val="16"/>
                <w:szCs w:val="16"/>
              </w:rPr>
            </w:pPr>
            <w:r>
              <w:rPr>
                <w:color w:val="000000"/>
                <w:sz w:val="16"/>
                <w:szCs w:val="16"/>
              </w:rPr>
              <w:t>rs3774261</w:t>
            </w:r>
          </w:p>
        </w:tc>
        <w:tc>
          <w:tcPr>
            <w:tcW w:w="851" w:type="dxa"/>
            <w:tcBorders>
              <w:top w:val="single" w:sz="4" w:space="0" w:color="000000"/>
              <w:bottom w:val="single" w:sz="4" w:space="0" w:color="000000"/>
            </w:tcBorders>
            <w:tcMar>
              <w:top w:w="-113" w:type="dxa"/>
              <w:left w:w="-113" w:type="dxa"/>
              <w:bottom w:w="-113" w:type="dxa"/>
              <w:right w:w="-113" w:type="dxa"/>
            </w:tcMar>
          </w:tcPr>
          <w:p w14:paraId="391C87E9" w14:textId="77777777" w:rsidR="00CB0062" w:rsidRDefault="00CB0062" w:rsidP="00223E56">
            <w:pPr>
              <w:rPr>
                <w:sz w:val="16"/>
                <w:szCs w:val="16"/>
              </w:rPr>
            </w:pPr>
            <w:r>
              <w:rPr>
                <w:sz w:val="16"/>
                <w:szCs w:val="16"/>
              </w:rPr>
              <w:t>A&gt;G</w:t>
            </w:r>
          </w:p>
        </w:tc>
        <w:tc>
          <w:tcPr>
            <w:tcW w:w="1701" w:type="dxa"/>
            <w:tcBorders>
              <w:top w:val="single" w:sz="4" w:space="0" w:color="000000"/>
              <w:bottom w:val="single" w:sz="4" w:space="0" w:color="000000"/>
            </w:tcBorders>
            <w:tcMar>
              <w:top w:w="-113" w:type="dxa"/>
              <w:left w:w="-113" w:type="dxa"/>
              <w:bottom w:w="-113" w:type="dxa"/>
              <w:right w:w="-113" w:type="dxa"/>
            </w:tcMar>
          </w:tcPr>
          <w:p w14:paraId="1696D94D" w14:textId="77777777" w:rsidR="00CB0062" w:rsidRDefault="00CB0062" w:rsidP="00223E56">
            <w:pPr>
              <w:rPr>
                <w:sz w:val="16"/>
                <w:szCs w:val="16"/>
              </w:rPr>
            </w:pPr>
            <w:r>
              <w:rPr>
                <w:sz w:val="16"/>
                <w:szCs w:val="16"/>
              </w:rPr>
              <w:t>Intron variant</w:t>
            </w:r>
          </w:p>
        </w:tc>
        <w:tc>
          <w:tcPr>
            <w:tcW w:w="708" w:type="dxa"/>
            <w:tcBorders>
              <w:top w:val="single" w:sz="4" w:space="0" w:color="000000"/>
              <w:bottom w:val="single" w:sz="4" w:space="0" w:color="000000"/>
            </w:tcBorders>
            <w:tcMar>
              <w:top w:w="-113" w:type="dxa"/>
              <w:left w:w="-113" w:type="dxa"/>
              <w:bottom w:w="-113" w:type="dxa"/>
              <w:right w:w="-113" w:type="dxa"/>
            </w:tcMar>
          </w:tcPr>
          <w:p w14:paraId="341B28C7" w14:textId="77777777" w:rsidR="00CB0062" w:rsidRDefault="00CB0062" w:rsidP="00223E56">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10F830EA" w14:textId="77777777" w:rsidR="00CB0062" w:rsidRDefault="00CB0062" w:rsidP="00223E56">
            <w:pPr>
              <w:rPr>
                <w:color w:val="000000"/>
                <w:sz w:val="16"/>
                <w:szCs w:val="16"/>
              </w:rPr>
            </w:pPr>
            <w:r>
              <w:rPr>
                <w:sz w:val="16"/>
                <w:szCs w:val="16"/>
              </w:rPr>
              <w:t>Grau-Perez et al. 2018</w:t>
            </w:r>
          </w:p>
        </w:tc>
      </w:tr>
      <w:tr w:rsidR="00CB0062" w14:paraId="7981214C" w14:textId="77777777" w:rsidTr="00923C73">
        <w:trPr>
          <w:trHeight w:val="61"/>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0BCCC45" w14:textId="77777777" w:rsidR="00CB0062" w:rsidRDefault="00CB0062" w:rsidP="00223E56">
            <w:pPr>
              <w:rPr>
                <w:i/>
                <w:color w:val="000000"/>
                <w:sz w:val="16"/>
                <w:szCs w:val="16"/>
              </w:rPr>
            </w:pPr>
            <w:r>
              <w:rPr>
                <w:i/>
                <w:color w:val="000000"/>
                <w:sz w:val="16"/>
                <w:szCs w:val="16"/>
              </w:rPr>
              <w:t>ADRB2</w:t>
            </w:r>
          </w:p>
          <w:p w14:paraId="15F5578C"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02C5FAB" w14:textId="77777777" w:rsidR="00CB0062" w:rsidRDefault="00CB0062" w:rsidP="00223E56">
            <w:pPr>
              <w:rPr>
                <w:color w:val="000000"/>
                <w:sz w:val="16"/>
                <w:szCs w:val="16"/>
              </w:rPr>
            </w:pPr>
            <w:r>
              <w:rPr>
                <w:color w:val="000000"/>
                <w:sz w:val="16"/>
                <w:szCs w:val="16"/>
                <w:highlight w:val="white"/>
              </w:rPr>
              <w:t>Adrenoceptor Beta 2</w:t>
            </w:r>
          </w:p>
          <w:p w14:paraId="415ED360" w14:textId="77777777" w:rsidR="00CB0062" w:rsidRDefault="00CB0062" w:rsidP="00223E56">
            <w:pPr>
              <w:rPr>
                <w:color w:val="000000"/>
                <w:sz w:val="16"/>
                <w:szCs w:val="16"/>
              </w:rPr>
            </w:pP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6DDFE2D0" w14:textId="77777777" w:rsidR="00CB0062" w:rsidRDefault="00CB0062" w:rsidP="00223E56">
            <w:pPr>
              <w:rPr>
                <w:color w:val="000000"/>
                <w:sz w:val="16"/>
                <w:szCs w:val="16"/>
              </w:rPr>
            </w:pPr>
            <w:r>
              <w:rPr>
                <w:color w:val="000000"/>
                <w:sz w:val="16"/>
                <w:szCs w:val="16"/>
              </w:rPr>
              <w:t>rs1042713</w:t>
            </w:r>
          </w:p>
        </w:tc>
        <w:tc>
          <w:tcPr>
            <w:tcW w:w="851" w:type="dxa"/>
            <w:tcBorders>
              <w:top w:val="single" w:sz="4" w:space="0" w:color="000000"/>
              <w:bottom w:val="single" w:sz="4" w:space="0" w:color="D0CECE"/>
            </w:tcBorders>
            <w:tcMar>
              <w:top w:w="-113" w:type="dxa"/>
              <w:left w:w="-113" w:type="dxa"/>
              <w:bottom w:w="-113" w:type="dxa"/>
              <w:right w:w="-113" w:type="dxa"/>
            </w:tcMar>
          </w:tcPr>
          <w:p w14:paraId="410D4517" w14:textId="77777777" w:rsidR="00CB0062" w:rsidRDefault="00CB0062" w:rsidP="00223E56">
            <w:pPr>
              <w:rPr>
                <w:sz w:val="16"/>
                <w:szCs w:val="16"/>
              </w:rPr>
            </w:pPr>
            <w:r>
              <w:rPr>
                <w:sz w:val="16"/>
                <w:szCs w:val="16"/>
              </w:rPr>
              <w:t>G&gt;</w:t>
            </w:r>
            <w:proofErr w:type="gramStart"/>
            <w:r>
              <w:rPr>
                <w:sz w:val="16"/>
                <w:szCs w:val="16"/>
              </w:rPr>
              <w:t>A,C</w:t>
            </w:r>
            <w:proofErr w:type="gramEnd"/>
          </w:p>
        </w:tc>
        <w:tc>
          <w:tcPr>
            <w:tcW w:w="1701" w:type="dxa"/>
            <w:tcBorders>
              <w:top w:val="single" w:sz="4" w:space="0" w:color="000000"/>
              <w:bottom w:val="single" w:sz="4" w:space="0" w:color="D0CECE"/>
            </w:tcBorders>
            <w:tcMar>
              <w:top w:w="-113" w:type="dxa"/>
              <w:left w:w="-113" w:type="dxa"/>
              <w:bottom w:w="-113" w:type="dxa"/>
              <w:right w:w="-113" w:type="dxa"/>
            </w:tcMar>
          </w:tcPr>
          <w:p w14:paraId="3520630A" w14:textId="77777777" w:rsidR="00CB0062" w:rsidRDefault="00CB0062" w:rsidP="00223E56">
            <w:pPr>
              <w:rPr>
                <w:sz w:val="16"/>
                <w:szCs w:val="16"/>
              </w:rPr>
            </w:pPr>
            <w:r>
              <w:rPr>
                <w:sz w:val="16"/>
                <w:szCs w:val="16"/>
              </w:rPr>
              <w:t xml:space="preserve">Missense variant </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36844EC0" w14:textId="77777777" w:rsidR="00CB0062" w:rsidRDefault="00CB0062" w:rsidP="00223E56">
            <w:pPr>
              <w:rPr>
                <w:color w:val="000000"/>
                <w:sz w:val="16"/>
                <w:szCs w:val="16"/>
              </w:rPr>
            </w:pPr>
            <w:r>
              <w:rPr>
                <w:color w:val="000000"/>
                <w:sz w:val="16"/>
                <w:szCs w:val="16"/>
              </w:rPr>
              <w:t>T2DM</w:t>
            </w:r>
          </w:p>
          <w:p w14:paraId="0CCDE69B" w14:textId="77777777" w:rsidR="00CB0062" w:rsidRDefault="00CB0062" w:rsidP="00223E56">
            <w:pPr>
              <w:rPr>
                <w:color w:val="000000"/>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2148D64" w14:textId="77777777" w:rsidR="00CB0062" w:rsidRDefault="00CB0062" w:rsidP="00223E56">
            <w:pPr>
              <w:rPr>
                <w:color w:val="000000"/>
                <w:sz w:val="16"/>
                <w:szCs w:val="16"/>
              </w:rPr>
            </w:pPr>
            <w:r>
              <w:rPr>
                <w:sz w:val="16"/>
                <w:szCs w:val="16"/>
              </w:rPr>
              <w:t>Grau-Perez et al. 2018</w:t>
            </w:r>
          </w:p>
        </w:tc>
      </w:tr>
      <w:tr w:rsidR="00CB0062" w14:paraId="3FC5D18B" w14:textId="77777777" w:rsidTr="00923C73">
        <w:trPr>
          <w:trHeight w:val="61"/>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9E756F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B014E2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2C20F083" w14:textId="77777777" w:rsidR="00CB0062" w:rsidRDefault="00CB0062" w:rsidP="00223E56">
            <w:pPr>
              <w:rPr>
                <w:color w:val="000000"/>
                <w:sz w:val="16"/>
                <w:szCs w:val="16"/>
              </w:rPr>
            </w:pPr>
            <w:r>
              <w:rPr>
                <w:color w:val="000000"/>
                <w:sz w:val="16"/>
                <w:szCs w:val="16"/>
              </w:rPr>
              <w:t>rs12654778</w:t>
            </w:r>
          </w:p>
        </w:tc>
        <w:tc>
          <w:tcPr>
            <w:tcW w:w="851" w:type="dxa"/>
            <w:tcBorders>
              <w:top w:val="single" w:sz="4" w:space="0" w:color="D0CECE"/>
              <w:bottom w:val="single" w:sz="4" w:space="0" w:color="000000"/>
            </w:tcBorders>
            <w:tcMar>
              <w:top w:w="-113" w:type="dxa"/>
              <w:left w:w="-113" w:type="dxa"/>
              <w:bottom w:w="-113" w:type="dxa"/>
              <w:right w:w="-113" w:type="dxa"/>
            </w:tcMar>
          </w:tcPr>
          <w:p w14:paraId="06B7951B" w14:textId="77777777" w:rsidR="00CB0062" w:rsidRDefault="00CB0062" w:rsidP="00223E56">
            <w:pPr>
              <w:rPr>
                <w:sz w:val="16"/>
                <w:szCs w:val="16"/>
              </w:rPr>
            </w:pPr>
            <w:r>
              <w:rPr>
                <w:sz w:val="16"/>
                <w:szCs w:val="16"/>
              </w:rPr>
              <w:t>G&gt;</w:t>
            </w:r>
            <w:proofErr w:type="gramStart"/>
            <w:r>
              <w:rPr>
                <w:sz w:val="16"/>
                <w:szCs w:val="16"/>
              </w:rPr>
              <w:t>A,C</w:t>
            </w:r>
            <w:proofErr w:type="gramEnd"/>
          </w:p>
        </w:tc>
        <w:tc>
          <w:tcPr>
            <w:tcW w:w="1701" w:type="dxa"/>
            <w:tcBorders>
              <w:top w:val="single" w:sz="4" w:space="0" w:color="D0CECE"/>
              <w:bottom w:val="single" w:sz="4" w:space="0" w:color="000000"/>
            </w:tcBorders>
            <w:tcMar>
              <w:top w:w="-113" w:type="dxa"/>
              <w:left w:w="-113" w:type="dxa"/>
              <w:bottom w:w="-113" w:type="dxa"/>
              <w:right w:w="-113" w:type="dxa"/>
            </w:tcMar>
          </w:tcPr>
          <w:p w14:paraId="4BDFD32C" w14:textId="77777777" w:rsidR="00CB0062" w:rsidRDefault="00CB0062" w:rsidP="00223E56">
            <w:pPr>
              <w:rPr>
                <w:sz w:val="16"/>
                <w:szCs w:val="16"/>
              </w:rPr>
            </w:pPr>
            <w:r>
              <w:rPr>
                <w:sz w:val="16"/>
                <w:szCs w:val="16"/>
              </w:rPr>
              <w:t>5 Prime UTR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64B518D2" w14:textId="77777777" w:rsidR="00CB0062" w:rsidRDefault="00CB0062" w:rsidP="00223E56">
            <w:pPr>
              <w:widowControl w:val="0"/>
              <w:pBdr>
                <w:top w:val="nil"/>
                <w:left w:val="nil"/>
                <w:bottom w:val="nil"/>
                <w:right w:val="nil"/>
                <w:between w:val="nil"/>
              </w:pBdr>
              <w:spacing w:line="276" w:lineRule="auto"/>
              <w:rPr>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12862854" w14:textId="77777777" w:rsidR="00CB0062" w:rsidRDefault="00CB0062" w:rsidP="00223E56">
            <w:pPr>
              <w:widowControl w:val="0"/>
              <w:pBdr>
                <w:top w:val="nil"/>
                <w:left w:val="nil"/>
                <w:bottom w:val="nil"/>
                <w:right w:val="nil"/>
                <w:between w:val="nil"/>
              </w:pBdr>
              <w:spacing w:line="276" w:lineRule="auto"/>
              <w:rPr>
                <w:sz w:val="16"/>
                <w:szCs w:val="16"/>
              </w:rPr>
            </w:pPr>
          </w:p>
        </w:tc>
      </w:tr>
      <w:tr w:rsidR="00CB0062" w14:paraId="5E04D98A"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23048FB9" w14:textId="77777777" w:rsidR="00CB0062" w:rsidRDefault="00CB0062" w:rsidP="00223E56">
            <w:pPr>
              <w:rPr>
                <w:i/>
                <w:color w:val="000000"/>
                <w:sz w:val="16"/>
                <w:szCs w:val="16"/>
              </w:rPr>
            </w:pPr>
            <w:r>
              <w:rPr>
                <w:i/>
                <w:color w:val="000000"/>
                <w:sz w:val="16"/>
                <w:szCs w:val="16"/>
              </w:rPr>
              <w:t>AGT</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010A77F7" w14:textId="77777777" w:rsidR="00CB0062" w:rsidRDefault="00CB0062" w:rsidP="00223E56">
            <w:pPr>
              <w:rPr>
                <w:color w:val="000000"/>
                <w:sz w:val="16"/>
                <w:szCs w:val="16"/>
              </w:rPr>
            </w:pPr>
            <w:r>
              <w:rPr>
                <w:color w:val="000000"/>
                <w:sz w:val="16"/>
                <w:szCs w:val="16"/>
                <w:highlight w:val="white"/>
              </w:rPr>
              <w:t>Angiotensinogen</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09A8E459" w14:textId="77777777" w:rsidR="00CB0062" w:rsidRDefault="00CB0062" w:rsidP="00223E56">
            <w:pPr>
              <w:rPr>
                <w:color w:val="000000"/>
                <w:sz w:val="16"/>
                <w:szCs w:val="16"/>
              </w:rPr>
            </w:pPr>
            <w:r>
              <w:rPr>
                <w:color w:val="000000"/>
                <w:sz w:val="16"/>
                <w:szCs w:val="16"/>
              </w:rPr>
              <w:t>rs2493132</w:t>
            </w:r>
          </w:p>
        </w:tc>
        <w:tc>
          <w:tcPr>
            <w:tcW w:w="851" w:type="dxa"/>
            <w:tcBorders>
              <w:top w:val="single" w:sz="4" w:space="0" w:color="000000"/>
              <w:bottom w:val="single" w:sz="4" w:space="0" w:color="000000"/>
            </w:tcBorders>
            <w:tcMar>
              <w:top w:w="-113" w:type="dxa"/>
              <w:left w:w="-113" w:type="dxa"/>
              <w:bottom w:w="-113" w:type="dxa"/>
              <w:right w:w="-113" w:type="dxa"/>
            </w:tcMar>
          </w:tcPr>
          <w:p w14:paraId="2F4CE4DB" w14:textId="77777777" w:rsidR="00CB0062" w:rsidRDefault="00CB0062" w:rsidP="00223E56">
            <w:pPr>
              <w:rPr>
                <w:sz w:val="16"/>
                <w:szCs w:val="16"/>
              </w:rPr>
            </w:pPr>
            <w:r>
              <w:rPr>
                <w:sz w:val="16"/>
                <w:szCs w:val="16"/>
              </w:rPr>
              <w:t>T&gt;</w:t>
            </w:r>
            <w:proofErr w:type="gramStart"/>
            <w:r>
              <w:rPr>
                <w:sz w:val="16"/>
                <w:szCs w:val="16"/>
              </w:rPr>
              <w:t>A,C</w:t>
            </w:r>
            <w:proofErr w:type="gramEnd"/>
            <w:r>
              <w:rPr>
                <w:sz w:val="16"/>
                <w:szCs w:val="16"/>
              </w:rPr>
              <w:t>,G</w:t>
            </w:r>
          </w:p>
        </w:tc>
        <w:tc>
          <w:tcPr>
            <w:tcW w:w="1701" w:type="dxa"/>
            <w:tcBorders>
              <w:top w:val="single" w:sz="4" w:space="0" w:color="000000"/>
              <w:bottom w:val="single" w:sz="4" w:space="0" w:color="000000"/>
            </w:tcBorders>
            <w:tcMar>
              <w:top w:w="-113" w:type="dxa"/>
              <w:left w:w="-113" w:type="dxa"/>
              <w:bottom w:w="-113" w:type="dxa"/>
              <w:right w:w="-113" w:type="dxa"/>
            </w:tcMar>
          </w:tcPr>
          <w:p w14:paraId="33F45F38" w14:textId="77777777" w:rsidR="00CB0062" w:rsidRDefault="00CB0062" w:rsidP="00223E56">
            <w:pPr>
              <w:rPr>
                <w:sz w:val="16"/>
                <w:szCs w:val="16"/>
              </w:rPr>
            </w:pPr>
            <w:r>
              <w:rPr>
                <w:sz w:val="16"/>
                <w:szCs w:val="16"/>
              </w:rPr>
              <w:t>Intron variant</w:t>
            </w:r>
          </w:p>
        </w:tc>
        <w:tc>
          <w:tcPr>
            <w:tcW w:w="708" w:type="dxa"/>
            <w:tcBorders>
              <w:top w:val="single" w:sz="4" w:space="0" w:color="000000"/>
              <w:bottom w:val="single" w:sz="4" w:space="0" w:color="000000"/>
            </w:tcBorders>
            <w:tcMar>
              <w:top w:w="-113" w:type="dxa"/>
              <w:left w:w="-113" w:type="dxa"/>
              <w:bottom w:w="-113" w:type="dxa"/>
              <w:right w:w="-113" w:type="dxa"/>
            </w:tcMar>
          </w:tcPr>
          <w:p w14:paraId="40F5A546" w14:textId="77777777" w:rsidR="00CB0062" w:rsidRDefault="00CB0062" w:rsidP="00223E56">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2AD239EC" w14:textId="77777777" w:rsidR="00CB0062" w:rsidRDefault="00CB0062" w:rsidP="00223E56">
            <w:pPr>
              <w:rPr>
                <w:color w:val="000000"/>
                <w:sz w:val="16"/>
                <w:szCs w:val="16"/>
              </w:rPr>
            </w:pPr>
            <w:r>
              <w:rPr>
                <w:sz w:val="16"/>
                <w:szCs w:val="16"/>
              </w:rPr>
              <w:t>Grau-Perez et al. 2018</w:t>
            </w:r>
          </w:p>
        </w:tc>
      </w:tr>
      <w:tr w:rsidR="00CB0062" w14:paraId="62F611D2"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B1A75EB" w14:textId="77777777" w:rsidR="00CB0062" w:rsidRDefault="00CB0062" w:rsidP="00223E56">
            <w:pPr>
              <w:rPr>
                <w:i/>
                <w:color w:val="000000"/>
                <w:sz w:val="16"/>
                <w:szCs w:val="16"/>
              </w:rPr>
            </w:pPr>
            <w:r>
              <w:rPr>
                <w:i/>
                <w:color w:val="000000"/>
                <w:sz w:val="16"/>
                <w:szCs w:val="16"/>
              </w:rPr>
              <w:t>AGTR1</w:t>
            </w:r>
          </w:p>
          <w:p w14:paraId="412AC310"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08A1F0C" w14:textId="77777777" w:rsidR="00CB0062" w:rsidRDefault="00CB0062" w:rsidP="00223E56">
            <w:pPr>
              <w:rPr>
                <w:color w:val="000000"/>
                <w:sz w:val="16"/>
                <w:szCs w:val="16"/>
              </w:rPr>
            </w:pPr>
            <w:r>
              <w:rPr>
                <w:color w:val="000000"/>
                <w:sz w:val="16"/>
                <w:szCs w:val="16"/>
                <w:highlight w:val="white"/>
              </w:rPr>
              <w:t>Angiotensin II Receptor Type 1</w:t>
            </w:r>
          </w:p>
          <w:p w14:paraId="6DD5C7DA" w14:textId="77777777" w:rsidR="00CB0062" w:rsidRDefault="00CB0062" w:rsidP="00223E56">
            <w:pPr>
              <w:rPr>
                <w:color w:val="000000"/>
                <w:sz w:val="16"/>
                <w:szCs w:val="16"/>
              </w:rPr>
            </w:pP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3D60F4C0" w14:textId="77777777" w:rsidR="00CB0062" w:rsidRDefault="00CB0062" w:rsidP="00223E56">
            <w:pPr>
              <w:rPr>
                <w:color w:val="000000"/>
                <w:sz w:val="16"/>
                <w:szCs w:val="16"/>
              </w:rPr>
            </w:pPr>
            <w:r>
              <w:rPr>
                <w:color w:val="000000"/>
                <w:sz w:val="16"/>
                <w:szCs w:val="16"/>
              </w:rPr>
              <w:t>rs12721241</w:t>
            </w:r>
          </w:p>
        </w:tc>
        <w:tc>
          <w:tcPr>
            <w:tcW w:w="851" w:type="dxa"/>
            <w:tcBorders>
              <w:top w:val="single" w:sz="4" w:space="0" w:color="000000"/>
              <w:bottom w:val="single" w:sz="4" w:space="0" w:color="D0CECE"/>
            </w:tcBorders>
            <w:tcMar>
              <w:top w:w="-113" w:type="dxa"/>
              <w:left w:w="-113" w:type="dxa"/>
              <w:bottom w:w="-113" w:type="dxa"/>
              <w:right w:w="-113" w:type="dxa"/>
            </w:tcMar>
          </w:tcPr>
          <w:p w14:paraId="4B9A3BA5" w14:textId="77777777" w:rsidR="00CB0062" w:rsidRDefault="00CB0062" w:rsidP="00223E56">
            <w:pPr>
              <w:rPr>
                <w:sz w:val="16"/>
                <w:szCs w:val="16"/>
              </w:rPr>
            </w:pPr>
            <w:r>
              <w:rPr>
                <w:sz w:val="16"/>
                <w:szCs w:val="16"/>
              </w:rPr>
              <w:t>G&gt;A</w:t>
            </w:r>
          </w:p>
        </w:tc>
        <w:tc>
          <w:tcPr>
            <w:tcW w:w="1701" w:type="dxa"/>
            <w:tcBorders>
              <w:top w:val="single" w:sz="4" w:space="0" w:color="000000"/>
              <w:bottom w:val="single" w:sz="4" w:space="0" w:color="D0CECE"/>
            </w:tcBorders>
            <w:tcMar>
              <w:top w:w="-113" w:type="dxa"/>
              <w:left w:w="-113" w:type="dxa"/>
              <w:bottom w:w="-113" w:type="dxa"/>
              <w:right w:w="-113" w:type="dxa"/>
            </w:tcMar>
          </w:tcPr>
          <w:p w14:paraId="76EF173C" w14:textId="77777777" w:rsidR="00CB0062" w:rsidRDefault="00CB0062" w:rsidP="00223E56">
            <w:pPr>
              <w:rPr>
                <w:sz w:val="16"/>
                <w:szCs w:val="16"/>
              </w:rPr>
            </w:pPr>
            <w:r>
              <w:rPr>
                <w:sz w:val="16"/>
                <w:szCs w:val="16"/>
              </w:rPr>
              <w:t>Intron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4D5B4106" w14:textId="77777777" w:rsidR="00CB0062" w:rsidRDefault="00CB0062" w:rsidP="00223E56">
            <w:pPr>
              <w:rPr>
                <w:sz w:val="16"/>
                <w:szCs w:val="16"/>
              </w:rPr>
            </w:pPr>
            <w:r>
              <w:rPr>
                <w:color w:val="000000"/>
                <w:sz w:val="16"/>
                <w:szCs w:val="16"/>
              </w:rPr>
              <w:t>T2DM</w:t>
            </w:r>
          </w:p>
          <w:p w14:paraId="40DA5022" w14:textId="77777777" w:rsidR="00CB0062" w:rsidRDefault="00CB0062" w:rsidP="00223E56">
            <w:pPr>
              <w:rPr>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1240F0BC" w14:textId="77777777" w:rsidR="00CB0062" w:rsidRDefault="00CB0062" w:rsidP="00223E56">
            <w:pPr>
              <w:rPr>
                <w:color w:val="000000"/>
                <w:sz w:val="16"/>
                <w:szCs w:val="16"/>
              </w:rPr>
            </w:pPr>
            <w:r>
              <w:rPr>
                <w:sz w:val="16"/>
                <w:szCs w:val="16"/>
              </w:rPr>
              <w:t>Grau-Perez et al. 2018</w:t>
            </w:r>
          </w:p>
          <w:p w14:paraId="6060219B" w14:textId="77777777" w:rsidR="00CB0062" w:rsidRDefault="00CB0062" w:rsidP="00223E56">
            <w:pPr>
              <w:rPr>
                <w:color w:val="000000"/>
                <w:sz w:val="16"/>
                <w:szCs w:val="16"/>
              </w:rPr>
            </w:pPr>
          </w:p>
        </w:tc>
      </w:tr>
      <w:tr w:rsidR="00CB0062" w14:paraId="23041B65"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5168F5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D84CAB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A62132C" w14:textId="77777777" w:rsidR="00CB0062" w:rsidRDefault="00CB0062" w:rsidP="00223E56">
            <w:pPr>
              <w:rPr>
                <w:color w:val="000000"/>
                <w:sz w:val="16"/>
                <w:szCs w:val="16"/>
              </w:rPr>
            </w:pPr>
            <w:r>
              <w:rPr>
                <w:color w:val="000000"/>
                <w:sz w:val="16"/>
                <w:szCs w:val="16"/>
              </w:rPr>
              <w:t>rs275649</w:t>
            </w:r>
          </w:p>
        </w:tc>
        <w:tc>
          <w:tcPr>
            <w:tcW w:w="851" w:type="dxa"/>
            <w:tcBorders>
              <w:top w:val="single" w:sz="4" w:space="0" w:color="D0CECE"/>
              <w:bottom w:val="single" w:sz="4" w:space="0" w:color="D0CECE"/>
            </w:tcBorders>
            <w:tcMar>
              <w:top w:w="-113" w:type="dxa"/>
              <w:left w:w="-113" w:type="dxa"/>
              <w:bottom w:w="-113" w:type="dxa"/>
              <w:right w:w="-113" w:type="dxa"/>
            </w:tcMar>
          </w:tcPr>
          <w:p w14:paraId="6F862B0A" w14:textId="77777777" w:rsidR="00CB0062" w:rsidRDefault="00CB0062" w:rsidP="00223E56">
            <w:pPr>
              <w:rPr>
                <w:sz w:val="16"/>
                <w:szCs w:val="16"/>
              </w:rPr>
            </w:pPr>
            <w:r>
              <w:rPr>
                <w:sz w:val="16"/>
                <w:szCs w:val="16"/>
              </w:rPr>
              <w:t>A&gt;</w:t>
            </w:r>
            <w:proofErr w:type="gramStart"/>
            <w:r>
              <w:rPr>
                <w:sz w:val="16"/>
                <w:szCs w:val="16"/>
              </w:rPr>
              <w:t>C,G</w:t>
            </w:r>
            <w:proofErr w:type="gramEnd"/>
            <w:r>
              <w:rPr>
                <w:sz w:val="16"/>
                <w:szCs w:val="16"/>
              </w:rPr>
              <w:t>,T</w:t>
            </w:r>
          </w:p>
        </w:tc>
        <w:tc>
          <w:tcPr>
            <w:tcW w:w="1701" w:type="dxa"/>
            <w:tcBorders>
              <w:top w:val="single" w:sz="4" w:space="0" w:color="D0CECE"/>
              <w:bottom w:val="single" w:sz="4" w:space="0" w:color="D0CECE"/>
            </w:tcBorders>
            <w:tcMar>
              <w:top w:w="-113" w:type="dxa"/>
              <w:left w:w="-113" w:type="dxa"/>
              <w:bottom w:w="-113" w:type="dxa"/>
              <w:right w:w="-113" w:type="dxa"/>
            </w:tcMar>
          </w:tcPr>
          <w:p w14:paraId="092E1759" w14:textId="77777777" w:rsidR="00CB0062" w:rsidRDefault="00CB0062" w:rsidP="00223E56">
            <w:pPr>
              <w:rPr>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4842566C" w14:textId="77777777" w:rsidR="00CB0062" w:rsidRDefault="00CB0062" w:rsidP="00223E56">
            <w:pPr>
              <w:widowControl w:val="0"/>
              <w:pBdr>
                <w:top w:val="nil"/>
                <w:left w:val="nil"/>
                <w:bottom w:val="nil"/>
                <w:right w:val="nil"/>
                <w:between w:val="nil"/>
              </w:pBdr>
              <w:spacing w:line="276" w:lineRule="auto"/>
              <w:rPr>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33FA43B4" w14:textId="77777777" w:rsidR="00CB0062" w:rsidRDefault="00CB0062" w:rsidP="00223E56">
            <w:pPr>
              <w:widowControl w:val="0"/>
              <w:pBdr>
                <w:top w:val="nil"/>
                <w:left w:val="nil"/>
                <w:bottom w:val="nil"/>
                <w:right w:val="nil"/>
                <w:between w:val="nil"/>
              </w:pBdr>
              <w:spacing w:line="276" w:lineRule="auto"/>
              <w:rPr>
                <w:sz w:val="16"/>
                <w:szCs w:val="16"/>
              </w:rPr>
            </w:pPr>
          </w:p>
        </w:tc>
      </w:tr>
      <w:tr w:rsidR="00CB0062" w14:paraId="3B5AA277"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F9BC4B6" w14:textId="77777777" w:rsidR="00CB0062" w:rsidRDefault="00CB0062" w:rsidP="00223E56">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5D65DD9" w14:textId="77777777" w:rsidR="00CB0062" w:rsidRDefault="00CB0062" w:rsidP="00223E56">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BDB1EAE" w14:textId="77777777" w:rsidR="00CB0062" w:rsidRDefault="00CB0062" w:rsidP="00223E56">
            <w:pPr>
              <w:rPr>
                <w:color w:val="000000"/>
                <w:sz w:val="16"/>
                <w:szCs w:val="16"/>
              </w:rPr>
            </w:pPr>
            <w:r>
              <w:rPr>
                <w:color w:val="000000"/>
                <w:sz w:val="16"/>
                <w:szCs w:val="16"/>
              </w:rPr>
              <w:t>rs2933249</w:t>
            </w:r>
          </w:p>
        </w:tc>
        <w:tc>
          <w:tcPr>
            <w:tcW w:w="851" w:type="dxa"/>
            <w:tcBorders>
              <w:top w:val="single" w:sz="4" w:space="0" w:color="D0CECE"/>
              <w:bottom w:val="single" w:sz="4" w:space="0" w:color="D0CECE"/>
            </w:tcBorders>
            <w:tcMar>
              <w:top w:w="-113" w:type="dxa"/>
              <w:left w:w="-113" w:type="dxa"/>
              <w:bottom w:w="-113" w:type="dxa"/>
              <w:right w:w="-113" w:type="dxa"/>
            </w:tcMar>
          </w:tcPr>
          <w:p w14:paraId="3034D2AD" w14:textId="77777777" w:rsidR="00CB0062" w:rsidRDefault="00CB0062" w:rsidP="00223E56">
            <w:pPr>
              <w:rPr>
                <w:sz w:val="16"/>
                <w:szCs w:val="16"/>
              </w:rPr>
            </w:pPr>
            <w:r>
              <w:rPr>
                <w:sz w:val="16"/>
                <w:szCs w:val="16"/>
              </w:rPr>
              <w:t>G&gt;A</w:t>
            </w:r>
          </w:p>
        </w:tc>
        <w:tc>
          <w:tcPr>
            <w:tcW w:w="1701" w:type="dxa"/>
            <w:tcBorders>
              <w:top w:val="single" w:sz="4" w:space="0" w:color="D0CECE"/>
              <w:bottom w:val="single" w:sz="4" w:space="0" w:color="D0CECE"/>
            </w:tcBorders>
            <w:tcMar>
              <w:top w:w="-113" w:type="dxa"/>
              <w:left w:w="-113" w:type="dxa"/>
              <w:bottom w:w="-113" w:type="dxa"/>
              <w:right w:w="-113" w:type="dxa"/>
            </w:tcMar>
          </w:tcPr>
          <w:p w14:paraId="75830C0A" w14:textId="77777777" w:rsidR="00CB0062" w:rsidRDefault="00CB0062" w:rsidP="00223E56">
            <w:pPr>
              <w:rPr>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3F71C9A1" w14:textId="77777777" w:rsidR="00CB0062" w:rsidRDefault="00CB0062" w:rsidP="00223E56">
            <w:pPr>
              <w:widowControl w:val="0"/>
              <w:pBdr>
                <w:top w:val="nil"/>
                <w:left w:val="nil"/>
                <w:bottom w:val="nil"/>
                <w:right w:val="nil"/>
                <w:between w:val="nil"/>
              </w:pBdr>
              <w:spacing w:line="276" w:lineRule="auto"/>
              <w:rPr>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0B50F1D8" w14:textId="77777777" w:rsidR="00CB0062" w:rsidRDefault="00CB0062" w:rsidP="00223E56">
            <w:pPr>
              <w:widowControl w:val="0"/>
              <w:pBdr>
                <w:top w:val="nil"/>
                <w:left w:val="nil"/>
                <w:bottom w:val="nil"/>
                <w:right w:val="nil"/>
                <w:between w:val="nil"/>
              </w:pBdr>
              <w:spacing w:line="276" w:lineRule="auto"/>
              <w:rPr>
                <w:sz w:val="16"/>
                <w:szCs w:val="16"/>
              </w:rPr>
            </w:pPr>
          </w:p>
        </w:tc>
      </w:tr>
      <w:tr w:rsidR="00CB0062" w14:paraId="41551B1E"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F179583" w14:textId="77777777" w:rsidR="00CB0062" w:rsidRDefault="00CB0062" w:rsidP="00223E56">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6CF73BE" w14:textId="77777777" w:rsidR="00CB0062" w:rsidRDefault="00CB0062" w:rsidP="00223E56">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F981FDB" w14:textId="77777777" w:rsidR="00CB0062" w:rsidRDefault="00CB0062" w:rsidP="00223E56">
            <w:pPr>
              <w:rPr>
                <w:color w:val="000000"/>
                <w:sz w:val="16"/>
                <w:szCs w:val="16"/>
              </w:rPr>
            </w:pPr>
            <w:r>
              <w:rPr>
                <w:color w:val="000000"/>
                <w:sz w:val="16"/>
                <w:szCs w:val="16"/>
              </w:rPr>
              <w:t>rs5182</w:t>
            </w:r>
          </w:p>
        </w:tc>
        <w:tc>
          <w:tcPr>
            <w:tcW w:w="851" w:type="dxa"/>
            <w:tcBorders>
              <w:top w:val="single" w:sz="4" w:space="0" w:color="D0CECE"/>
              <w:bottom w:val="single" w:sz="4" w:space="0" w:color="D0CECE"/>
            </w:tcBorders>
            <w:tcMar>
              <w:top w:w="-113" w:type="dxa"/>
              <w:left w:w="-113" w:type="dxa"/>
              <w:bottom w:w="-113" w:type="dxa"/>
              <w:right w:w="-113" w:type="dxa"/>
            </w:tcMar>
          </w:tcPr>
          <w:p w14:paraId="4A0AFA9C" w14:textId="77777777" w:rsidR="00CB0062" w:rsidRDefault="00CB0062" w:rsidP="00223E56">
            <w:pPr>
              <w:rPr>
                <w:sz w:val="16"/>
                <w:szCs w:val="16"/>
              </w:rPr>
            </w:pPr>
            <w:r>
              <w:rPr>
                <w:sz w:val="16"/>
                <w:szCs w:val="16"/>
              </w:rPr>
              <w:t>C&gt;</w:t>
            </w:r>
            <w:proofErr w:type="gramStart"/>
            <w:r>
              <w:rPr>
                <w:sz w:val="16"/>
                <w:szCs w:val="16"/>
              </w:rPr>
              <w:t>G,T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223D1BA6" w14:textId="77777777" w:rsidR="00CB0062" w:rsidRDefault="00CB0062" w:rsidP="00223E56">
            <w:pPr>
              <w:rPr>
                <w:sz w:val="16"/>
                <w:szCs w:val="16"/>
              </w:rPr>
            </w:pPr>
            <w:r>
              <w:rPr>
                <w:sz w:val="16"/>
                <w:szCs w:val="16"/>
              </w:rPr>
              <w:t>Synonymous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1D5A7524" w14:textId="77777777" w:rsidR="00CB0062" w:rsidRDefault="00CB0062" w:rsidP="00223E56">
            <w:pPr>
              <w:widowControl w:val="0"/>
              <w:pBdr>
                <w:top w:val="nil"/>
                <w:left w:val="nil"/>
                <w:bottom w:val="nil"/>
                <w:right w:val="nil"/>
                <w:between w:val="nil"/>
              </w:pBdr>
              <w:spacing w:line="276" w:lineRule="auto"/>
              <w:rPr>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324CA4A5" w14:textId="77777777" w:rsidR="00CB0062" w:rsidRDefault="00CB0062" w:rsidP="00223E56">
            <w:pPr>
              <w:widowControl w:val="0"/>
              <w:pBdr>
                <w:top w:val="nil"/>
                <w:left w:val="nil"/>
                <w:bottom w:val="nil"/>
                <w:right w:val="nil"/>
                <w:between w:val="nil"/>
              </w:pBdr>
              <w:spacing w:line="276" w:lineRule="auto"/>
              <w:rPr>
                <w:sz w:val="16"/>
                <w:szCs w:val="16"/>
              </w:rPr>
            </w:pPr>
          </w:p>
        </w:tc>
      </w:tr>
      <w:tr w:rsidR="00CB0062" w14:paraId="43A43F43"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8FE2B2E" w14:textId="77777777" w:rsidR="00CB0062" w:rsidRDefault="00CB0062" w:rsidP="00223E56">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9CB8962" w14:textId="77777777" w:rsidR="00CB0062" w:rsidRDefault="00CB0062" w:rsidP="00223E56">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2062503E" w14:textId="77777777" w:rsidR="00CB0062" w:rsidRDefault="00CB0062" w:rsidP="00223E56">
            <w:pPr>
              <w:rPr>
                <w:color w:val="000000"/>
                <w:sz w:val="16"/>
                <w:szCs w:val="16"/>
              </w:rPr>
            </w:pPr>
            <w:r>
              <w:rPr>
                <w:color w:val="000000"/>
                <w:sz w:val="16"/>
                <w:szCs w:val="16"/>
              </w:rPr>
              <w:t>rs5186</w:t>
            </w:r>
          </w:p>
        </w:tc>
        <w:tc>
          <w:tcPr>
            <w:tcW w:w="851" w:type="dxa"/>
            <w:tcBorders>
              <w:top w:val="single" w:sz="4" w:space="0" w:color="D0CECE"/>
              <w:bottom w:val="single" w:sz="4" w:space="0" w:color="D0CECE"/>
            </w:tcBorders>
            <w:tcMar>
              <w:top w:w="-113" w:type="dxa"/>
              <w:left w:w="-113" w:type="dxa"/>
              <w:bottom w:w="-113" w:type="dxa"/>
              <w:right w:w="-113" w:type="dxa"/>
            </w:tcMar>
          </w:tcPr>
          <w:p w14:paraId="76AD139E" w14:textId="77777777" w:rsidR="00CB0062" w:rsidRDefault="00CB0062" w:rsidP="00223E56">
            <w:pPr>
              <w:rPr>
                <w:sz w:val="16"/>
                <w:szCs w:val="16"/>
              </w:rPr>
            </w:pPr>
            <w:r>
              <w:rPr>
                <w:sz w:val="16"/>
                <w:szCs w:val="16"/>
              </w:rPr>
              <w:t>A&gt;C</w:t>
            </w:r>
          </w:p>
        </w:tc>
        <w:tc>
          <w:tcPr>
            <w:tcW w:w="1701" w:type="dxa"/>
            <w:tcBorders>
              <w:top w:val="single" w:sz="4" w:space="0" w:color="D0CECE"/>
              <w:bottom w:val="single" w:sz="4" w:space="0" w:color="D0CECE"/>
            </w:tcBorders>
            <w:tcMar>
              <w:top w:w="-113" w:type="dxa"/>
              <w:left w:w="-113" w:type="dxa"/>
              <w:bottom w:w="-113" w:type="dxa"/>
              <w:right w:w="-113" w:type="dxa"/>
            </w:tcMar>
          </w:tcPr>
          <w:p w14:paraId="68D67DF8" w14:textId="77777777" w:rsidR="00CB0062" w:rsidRDefault="00CB0062" w:rsidP="00223E56">
            <w:pPr>
              <w:rPr>
                <w:sz w:val="16"/>
                <w:szCs w:val="16"/>
              </w:rPr>
            </w:pPr>
            <w:r>
              <w:rPr>
                <w:sz w:val="16"/>
                <w:szCs w:val="16"/>
              </w:rPr>
              <w:t>3 Prime UTR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07AB90C1" w14:textId="77777777" w:rsidR="00CB0062" w:rsidRDefault="00CB0062" w:rsidP="00223E56">
            <w:pPr>
              <w:widowControl w:val="0"/>
              <w:pBdr>
                <w:top w:val="nil"/>
                <w:left w:val="nil"/>
                <w:bottom w:val="nil"/>
                <w:right w:val="nil"/>
                <w:between w:val="nil"/>
              </w:pBdr>
              <w:spacing w:line="276" w:lineRule="auto"/>
              <w:rPr>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BDCE0AD" w14:textId="77777777" w:rsidR="00CB0062" w:rsidRDefault="00CB0062" w:rsidP="00223E56">
            <w:pPr>
              <w:widowControl w:val="0"/>
              <w:pBdr>
                <w:top w:val="nil"/>
                <w:left w:val="nil"/>
                <w:bottom w:val="nil"/>
                <w:right w:val="nil"/>
                <w:between w:val="nil"/>
              </w:pBdr>
              <w:spacing w:line="276" w:lineRule="auto"/>
              <w:rPr>
                <w:sz w:val="16"/>
                <w:szCs w:val="16"/>
              </w:rPr>
            </w:pPr>
          </w:p>
        </w:tc>
      </w:tr>
      <w:tr w:rsidR="00CB0062" w14:paraId="732206CC" w14:textId="77777777" w:rsidTr="00923C73">
        <w:trPr>
          <w:trHeight w:val="202"/>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F1BD532" w14:textId="77777777" w:rsidR="00CB0062" w:rsidRDefault="00CB0062" w:rsidP="00223E56">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9CE8933" w14:textId="77777777" w:rsidR="00CB0062" w:rsidRDefault="00CB0062" w:rsidP="00223E56">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43723F8C" w14:textId="77777777" w:rsidR="00CB0062" w:rsidRDefault="00CB0062" w:rsidP="00223E56">
            <w:pPr>
              <w:rPr>
                <w:color w:val="000000"/>
                <w:sz w:val="16"/>
                <w:szCs w:val="16"/>
              </w:rPr>
            </w:pPr>
            <w:r>
              <w:rPr>
                <w:color w:val="000000"/>
                <w:sz w:val="16"/>
                <w:szCs w:val="16"/>
              </w:rPr>
              <w:t>rs909383</w:t>
            </w:r>
          </w:p>
        </w:tc>
        <w:tc>
          <w:tcPr>
            <w:tcW w:w="851" w:type="dxa"/>
            <w:tcBorders>
              <w:top w:val="single" w:sz="4" w:space="0" w:color="D0CECE"/>
              <w:bottom w:val="single" w:sz="4" w:space="0" w:color="000000"/>
            </w:tcBorders>
            <w:tcMar>
              <w:top w:w="-113" w:type="dxa"/>
              <w:left w:w="-113" w:type="dxa"/>
              <w:bottom w:w="-113" w:type="dxa"/>
              <w:right w:w="-113" w:type="dxa"/>
            </w:tcMar>
          </w:tcPr>
          <w:p w14:paraId="10FCA56B" w14:textId="77777777" w:rsidR="00CB0062" w:rsidRDefault="00CB0062" w:rsidP="00223E56">
            <w:pPr>
              <w:rPr>
                <w:sz w:val="16"/>
                <w:szCs w:val="16"/>
              </w:rPr>
            </w:pPr>
            <w:r>
              <w:rPr>
                <w:sz w:val="16"/>
                <w:szCs w:val="16"/>
              </w:rPr>
              <w:t>C&gt;T</w:t>
            </w:r>
          </w:p>
        </w:tc>
        <w:tc>
          <w:tcPr>
            <w:tcW w:w="1701" w:type="dxa"/>
            <w:tcBorders>
              <w:top w:val="single" w:sz="4" w:space="0" w:color="D0CECE"/>
              <w:bottom w:val="single" w:sz="4" w:space="0" w:color="000000"/>
            </w:tcBorders>
            <w:tcMar>
              <w:top w:w="-113" w:type="dxa"/>
              <w:left w:w="-113" w:type="dxa"/>
              <w:bottom w:w="-113" w:type="dxa"/>
              <w:right w:w="-113" w:type="dxa"/>
            </w:tcMar>
          </w:tcPr>
          <w:p w14:paraId="4762BF41" w14:textId="77777777" w:rsidR="00CB0062" w:rsidRDefault="00CB0062" w:rsidP="00223E56">
            <w:pPr>
              <w:rPr>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32500219" w14:textId="77777777" w:rsidR="00CB0062" w:rsidRDefault="00CB0062" w:rsidP="00223E56">
            <w:pPr>
              <w:widowControl w:val="0"/>
              <w:pBdr>
                <w:top w:val="nil"/>
                <w:left w:val="nil"/>
                <w:bottom w:val="nil"/>
                <w:right w:val="nil"/>
                <w:between w:val="nil"/>
              </w:pBdr>
              <w:spacing w:line="276" w:lineRule="auto"/>
              <w:rPr>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426D389F" w14:textId="77777777" w:rsidR="00CB0062" w:rsidRDefault="00CB0062" w:rsidP="00223E56">
            <w:pPr>
              <w:widowControl w:val="0"/>
              <w:pBdr>
                <w:top w:val="nil"/>
                <w:left w:val="nil"/>
                <w:bottom w:val="nil"/>
                <w:right w:val="nil"/>
                <w:between w:val="nil"/>
              </w:pBdr>
              <w:spacing w:line="276" w:lineRule="auto"/>
              <w:rPr>
                <w:sz w:val="16"/>
                <w:szCs w:val="16"/>
              </w:rPr>
            </w:pPr>
          </w:p>
        </w:tc>
      </w:tr>
      <w:tr w:rsidR="00CB0062" w14:paraId="6AD7DC77"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B6BB48B" w14:textId="77777777" w:rsidR="00CB0062" w:rsidRDefault="00CB0062" w:rsidP="00223E56">
            <w:pPr>
              <w:rPr>
                <w:i/>
                <w:color w:val="000000"/>
                <w:sz w:val="16"/>
                <w:szCs w:val="16"/>
              </w:rPr>
            </w:pPr>
            <w:r>
              <w:rPr>
                <w:i/>
                <w:color w:val="000000"/>
                <w:sz w:val="16"/>
                <w:szCs w:val="16"/>
              </w:rPr>
              <w:t>AGTRAP</w:t>
            </w:r>
          </w:p>
          <w:p w14:paraId="6DFA4309"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4EAAAEE" w14:textId="77777777" w:rsidR="00CB0062" w:rsidRDefault="00CB0062" w:rsidP="00223E56">
            <w:pPr>
              <w:rPr>
                <w:color w:val="000000"/>
                <w:sz w:val="16"/>
                <w:szCs w:val="16"/>
              </w:rPr>
            </w:pPr>
            <w:r>
              <w:rPr>
                <w:color w:val="000000"/>
                <w:sz w:val="16"/>
                <w:szCs w:val="16"/>
                <w:highlight w:val="white"/>
              </w:rPr>
              <w:t>Type-1 angiotensin II receptor-associated protein</w:t>
            </w:r>
          </w:p>
          <w:p w14:paraId="29AC2D47" w14:textId="77777777" w:rsidR="00CB0062" w:rsidRDefault="00CB0062" w:rsidP="00223E56">
            <w:pPr>
              <w:rPr>
                <w:color w:val="000000"/>
                <w:sz w:val="16"/>
                <w:szCs w:val="16"/>
              </w:rPr>
            </w:pP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4D51B4D7" w14:textId="77777777" w:rsidR="00CB0062" w:rsidRDefault="00CB0062" w:rsidP="00223E56">
            <w:pPr>
              <w:rPr>
                <w:color w:val="000000"/>
                <w:sz w:val="16"/>
                <w:szCs w:val="16"/>
              </w:rPr>
            </w:pPr>
            <w:r>
              <w:rPr>
                <w:color w:val="000000"/>
                <w:sz w:val="16"/>
                <w:szCs w:val="16"/>
              </w:rPr>
              <w:t>rs12095517</w:t>
            </w:r>
          </w:p>
        </w:tc>
        <w:tc>
          <w:tcPr>
            <w:tcW w:w="851" w:type="dxa"/>
            <w:tcBorders>
              <w:top w:val="single" w:sz="4" w:space="0" w:color="000000"/>
              <w:bottom w:val="single" w:sz="4" w:space="0" w:color="D0CECE"/>
            </w:tcBorders>
            <w:tcMar>
              <w:top w:w="-113" w:type="dxa"/>
              <w:left w:w="-113" w:type="dxa"/>
              <w:bottom w:w="-113" w:type="dxa"/>
              <w:right w:w="-113" w:type="dxa"/>
            </w:tcMar>
          </w:tcPr>
          <w:p w14:paraId="529370D9" w14:textId="77777777" w:rsidR="00CB0062" w:rsidRDefault="00CB0062" w:rsidP="00223E56">
            <w:pPr>
              <w:rPr>
                <w:sz w:val="16"/>
                <w:szCs w:val="16"/>
              </w:rPr>
            </w:pPr>
            <w:r>
              <w:rPr>
                <w:sz w:val="16"/>
                <w:szCs w:val="16"/>
              </w:rPr>
              <w:t>T&gt;C</w:t>
            </w:r>
          </w:p>
        </w:tc>
        <w:tc>
          <w:tcPr>
            <w:tcW w:w="1701" w:type="dxa"/>
            <w:tcBorders>
              <w:top w:val="single" w:sz="4" w:space="0" w:color="000000"/>
              <w:bottom w:val="single" w:sz="4" w:space="0" w:color="D0CECE"/>
            </w:tcBorders>
            <w:tcMar>
              <w:top w:w="-113" w:type="dxa"/>
              <w:left w:w="-113" w:type="dxa"/>
              <w:bottom w:w="-113" w:type="dxa"/>
              <w:right w:w="-113" w:type="dxa"/>
            </w:tcMar>
          </w:tcPr>
          <w:p w14:paraId="7D5D1F60" w14:textId="77777777" w:rsidR="00CB0062" w:rsidRDefault="00CB0062" w:rsidP="00223E56">
            <w:pPr>
              <w:rPr>
                <w:sz w:val="16"/>
                <w:szCs w:val="16"/>
              </w:rPr>
            </w:pPr>
            <w:r>
              <w:rPr>
                <w:sz w:val="16"/>
                <w:szCs w:val="16"/>
              </w:rPr>
              <w:t>Intron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7889B150" w14:textId="77777777" w:rsidR="00CB0062" w:rsidRDefault="00CB0062" w:rsidP="00223E56">
            <w:pPr>
              <w:rPr>
                <w:sz w:val="16"/>
                <w:szCs w:val="16"/>
              </w:rPr>
            </w:pPr>
            <w:r>
              <w:rPr>
                <w:color w:val="000000"/>
                <w:sz w:val="16"/>
                <w:szCs w:val="16"/>
              </w:rPr>
              <w:t>T2DM</w:t>
            </w:r>
          </w:p>
          <w:p w14:paraId="55644B9D" w14:textId="77777777" w:rsidR="00CB0062" w:rsidRDefault="00CB0062" w:rsidP="00223E56">
            <w:pPr>
              <w:rPr>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03B5A220" w14:textId="77777777" w:rsidR="00CB0062" w:rsidRDefault="00CB0062" w:rsidP="00223E56">
            <w:pPr>
              <w:rPr>
                <w:color w:val="000000"/>
                <w:sz w:val="16"/>
                <w:szCs w:val="16"/>
              </w:rPr>
            </w:pPr>
            <w:r>
              <w:rPr>
                <w:sz w:val="16"/>
                <w:szCs w:val="16"/>
              </w:rPr>
              <w:t>Grau-Perez et al. 2018</w:t>
            </w:r>
          </w:p>
          <w:p w14:paraId="6A19622A" w14:textId="77777777" w:rsidR="00CB0062" w:rsidRDefault="00CB0062" w:rsidP="00223E56">
            <w:pPr>
              <w:rPr>
                <w:color w:val="000000"/>
                <w:sz w:val="16"/>
                <w:szCs w:val="16"/>
              </w:rPr>
            </w:pPr>
          </w:p>
        </w:tc>
      </w:tr>
      <w:tr w:rsidR="00CB0062" w14:paraId="3CEF062C"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631C10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DC831A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4254EA6" w14:textId="77777777" w:rsidR="00CB0062" w:rsidRDefault="00CB0062" w:rsidP="00223E56">
            <w:pPr>
              <w:rPr>
                <w:color w:val="000000"/>
                <w:sz w:val="16"/>
                <w:szCs w:val="16"/>
              </w:rPr>
            </w:pPr>
            <w:r>
              <w:rPr>
                <w:color w:val="000000"/>
                <w:sz w:val="16"/>
                <w:szCs w:val="16"/>
              </w:rPr>
              <w:t>rs4073575</w:t>
            </w:r>
          </w:p>
        </w:tc>
        <w:tc>
          <w:tcPr>
            <w:tcW w:w="851" w:type="dxa"/>
            <w:tcBorders>
              <w:top w:val="single" w:sz="4" w:space="0" w:color="D0CECE"/>
              <w:bottom w:val="single" w:sz="4" w:space="0" w:color="D0CECE"/>
            </w:tcBorders>
            <w:tcMar>
              <w:top w:w="-113" w:type="dxa"/>
              <w:left w:w="-113" w:type="dxa"/>
              <w:bottom w:w="-113" w:type="dxa"/>
              <w:right w:w="-113" w:type="dxa"/>
            </w:tcMar>
          </w:tcPr>
          <w:p w14:paraId="164709B4" w14:textId="77777777" w:rsidR="00CB0062" w:rsidRDefault="00CB0062" w:rsidP="00223E56">
            <w:pPr>
              <w:rPr>
                <w:sz w:val="16"/>
                <w:szCs w:val="16"/>
              </w:rPr>
            </w:pPr>
            <w:r>
              <w:rPr>
                <w:sz w:val="16"/>
                <w:szCs w:val="16"/>
              </w:rPr>
              <w:t>C&gt;</w:t>
            </w:r>
            <w:proofErr w:type="gramStart"/>
            <w:r>
              <w:rPr>
                <w:sz w:val="16"/>
                <w:szCs w:val="16"/>
              </w:rPr>
              <w:t>G,T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3E4BF83C" w14:textId="77777777" w:rsidR="00CB0062" w:rsidRDefault="00CB0062" w:rsidP="00223E56">
            <w:pPr>
              <w:rPr>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037EF855" w14:textId="77777777" w:rsidR="00CB0062" w:rsidRDefault="00CB0062" w:rsidP="00223E56">
            <w:pPr>
              <w:widowControl w:val="0"/>
              <w:pBdr>
                <w:top w:val="nil"/>
                <w:left w:val="nil"/>
                <w:bottom w:val="nil"/>
                <w:right w:val="nil"/>
                <w:between w:val="nil"/>
              </w:pBdr>
              <w:spacing w:line="276" w:lineRule="auto"/>
              <w:rPr>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390982E3" w14:textId="77777777" w:rsidR="00CB0062" w:rsidRDefault="00CB0062" w:rsidP="00223E56">
            <w:pPr>
              <w:widowControl w:val="0"/>
              <w:pBdr>
                <w:top w:val="nil"/>
                <w:left w:val="nil"/>
                <w:bottom w:val="nil"/>
                <w:right w:val="nil"/>
                <w:between w:val="nil"/>
              </w:pBdr>
              <w:spacing w:line="276" w:lineRule="auto"/>
              <w:rPr>
                <w:sz w:val="16"/>
                <w:szCs w:val="16"/>
              </w:rPr>
            </w:pPr>
          </w:p>
        </w:tc>
      </w:tr>
      <w:tr w:rsidR="00CB0062" w14:paraId="5A37A267"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8CC994E" w14:textId="77777777" w:rsidR="00CB0062" w:rsidRDefault="00CB0062" w:rsidP="00223E56">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C221E94" w14:textId="77777777" w:rsidR="00CB0062" w:rsidRDefault="00CB0062" w:rsidP="00223E56">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63FBD40D" w14:textId="77777777" w:rsidR="00CB0062" w:rsidRDefault="00CB0062" w:rsidP="00223E56">
            <w:pPr>
              <w:rPr>
                <w:color w:val="000000"/>
                <w:sz w:val="16"/>
                <w:szCs w:val="16"/>
              </w:rPr>
            </w:pPr>
            <w:r>
              <w:rPr>
                <w:color w:val="000000"/>
                <w:sz w:val="16"/>
                <w:szCs w:val="16"/>
              </w:rPr>
              <w:t>rs6540992</w:t>
            </w:r>
          </w:p>
        </w:tc>
        <w:tc>
          <w:tcPr>
            <w:tcW w:w="851" w:type="dxa"/>
            <w:tcBorders>
              <w:top w:val="single" w:sz="4" w:space="0" w:color="D0CECE"/>
              <w:bottom w:val="single" w:sz="4" w:space="0" w:color="D0CECE"/>
            </w:tcBorders>
            <w:tcMar>
              <w:top w:w="-113" w:type="dxa"/>
              <w:left w:w="-113" w:type="dxa"/>
              <w:bottom w:w="-113" w:type="dxa"/>
              <w:right w:w="-113" w:type="dxa"/>
            </w:tcMar>
          </w:tcPr>
          <w:p w14:paraId="4F02F114" w14:textId="77777777" w:rsidR="00CB0062" w:rsidRDefault="00CB0062" w:rsidP="00223E56">
            <w:pPr>
              <w:rPr>
                <w:sz w:val="16"/>
                <w:szCs w:val="16"/>
              </w:rPr>
            </w:pPr>
            <w:r>
              <w:rPr>
                <w:sz w:val="16"/>
                <w:szCs w:val="16"/>
              </w:rPr>
              <w:t>T&gt;</w:t>
            </w:r>
            <w:proofErr w:type="gramStart"/>
            <w:r>
              <w:rPr>
                <w:sz w:val="16"/>
                <w:szCs w:val="16"/>
              </w:rPr>
              <w:t>A,C</w:t>
            </w:r>
            <w:proofErr w:type="gramEnd"/>
            <w:r>
              <w:rPr>
                <w:sz w:val="16"/>
                <w:szCs w:val="16"/>
              </w:rPr>
              <w:t>,G</w:t>
            </w:r>
          </w:p>
        </w:tc>
        <w:tc>
          <w:tcPr>
            <w:tcW w:w="1701" w:type="dxa"/>
            <w:tcBorders>
              <w:top w:val="single" w:sz="4" w:space="0" w:color="D0CECE"/>
              <w:bottom w:val="single" w:sz="4" w:space="0" w:color="D0CECE"/>
            </w:tcBorders>
            <w:tcMar>
              <w:top w:w="-113" w:type="dxa"/>
              <w:left w:w="-113" w:type="dxa"/>
              <w:bottom w:w="-113" w:type="dxa"/>
              <w:right w:w="-113" w:type="dxa"/>
            </w:tcMar>
          </w:tcPr>
          <w:p w14:paraId="3EE77DDB" w14:textId="77777777" w:rsidR="00CB0062" w:rsidRDefault="00CB0062" w:rsidP="00223E56">
            <w:pPr>
              <w:rPr>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51D4227C" w14:textId="77777777" w:rsidR="00CB0062" w:rsidRDefault="00CB0062" w:rsidP="00223E56">
            <w:pPr>
              <w:widowControl w:val="0"/>
              <w:pBdr>
                <w:top w:val="nil"/>
                <w:left w:val="nil"/>
                <w:bottom w:val="nil"/>
                <w:right w:val="nil"/>
                <w:between w:val="nil"/>
              </w:pBdr>
              <w:spacing w:line="276" w:lineRule="auto"/>
              <w:rPr>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23BC66A" w14:textId="77777777" w:rsidR="00CB0062" w:rsidRDefault="00CB0062" w:rsidP="00223E56">
            <w:pPr>
              <w:widowControl w:val="0"/>
              <w:pBdr>
                <w:top w:val="nil"/>
                <w:left w:val="nil"/>
                <w:bottom w:val="nil"/>
                <w:right w:val="nil"/>
                <w:between w:val="nil"/>
              </w:pBdr>
              <w:spacing w:line="276" w:lineRule="auto"/>
              <w:rPr>
                <w:sz w:val="16"/>
                <w:szCs w:val="16"/>
              </w:rPr>
            </w:pPr>
          </w:p>
        </w:tc>
      </w:tr>
      <w:tr w:rsidR="00CB0062" w14:paraId="0C41D7D5"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35E37B7" w14:textId="77777777" w:rsidR="00CB0062" w:rsidRDefault="00CB0062" w:rsidP="00223E56">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08C2957" w14:textId="77777777" w:rsidR="00CB0062" w:rsidRDefault="00CB0062" w:rsidP="00223E56">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4C1AE1D8" w14:textId="77777777" w:rsidR="00CB0062" w:rsidRDefault="00CB0062" w:rsidP="00223E56">
            <w:pPr>
              <w:rPr>
                <w:color w:val="000000"/>
                <w:sz w:val="16"/>
                <w:szCs w:val="16"/>
              </w:rPr>
            </w:pPr>
            <w:r>
              <w:rPr>
                <w:color w:val="000000"/>
                <w:sz w:val="16"/>
                <w:szCs w:val="16"/>
              </w:rPr>
              <w:t>rs6677313</w:t>
            </w:r>
          </w:p>
        </w:tc>
        <w:tc>
          <w:tcPr>
            <w:tcW w:w="851" w:type="dxa"/>
            <w:tcBorders>
              <w:top w:val="single" w:sz="4" w:space="0" w:color="D0CECE"/>
              <w:bottom w:val="single" w:sz="4" w:space="0" w:color="000000"/>
            </w:tcBorders>
            <w:tcMar>
              <w:top w:w="-113" w:type="dxa"/>
              <w:left w:w="-113" w:type="dxa"/>
              <w:bottom w:w="-113" w:type="dxa"/>
              <w:right w:w="-113" w:type="dxa"/>
            </w:tcMar>
          </w:tcPr>
          <w:p w14:paraId="3E57033F" w14:textId="77777777" w:rsidR="00CB0062" w:rsidRDefault="00CB0062" w:rsidP="00223E56">
            <w:pPr>
              <w:rPr>
                <w:sz w:val="16"/>
                <w:szCs w:val="16"/>
              </w:rPr>
            </w:pPr>
            <w:r>
              <w:rPr>
                <w:sz w:val="16"/>
                <w:szCs w:val="16"/>
              </w:rPr>
              <w:t>C&gt;G</w:t>
            </w:r>
          </w:p>
        </w:tc>
        <w:tc>
          <w:tcPr>
            <w:tcW w:w="1701" w:type="dxa"/>
            <w:tcBorders>
              <w:top w:val="single" w:sz="4" w:space="0" w:color="D0CECE"/>
              <w:bottom w:val="single" w:sz="4" w:space="0" w:color="000000"/>
            </w:tcBorders>
            <w:tcMar>
              <w:top w:w="-113" w:type="dxa"/>
              <w:left w:w="-113" w:type="dxa"/>
              <w:bottom w:w="-113" w:type="dxa"/>
              <w:right w:w="-113" w:type="dxa"/>
            </w:tcMar>
          </w:tcPr>
          <w:p w14:paraId="2B245151" w14:textId="77777777" w:rsidR="00CB0062" w:rsidRDefault="00CB0062" w:rsidP="00223E56">
            <w:pPr>
              <w:rPr>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2B506A91" w14:textId="77777777" w:rsidR="00CB0062" w:rsidRDefault="00CB0062" w:rsidP="00223E56">
            <w:pPr>
              <w:widowControl w:val="0"/>
              <w:pBdr>
                <w:top w:val="nil"/>
                <w:left w:val="nil"/>
                <w:bottom w:val="nil"/>
                <w:right w:val="nil"/>
                <w:between w:val="nil"/>
              </w:pBdr>
              <w:spacing w:line="276" w:lineRule="auto"/>
              <w:rPr>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471503DC" w14:textId="77777777" w:rsidR="00CB0062" w:rsidRDefault="00CB0062" w:rsidP="00223E56">
            <w:pPr>
              <w:widowControl w:val="0"/>
              <w:pBdr>
                <w:top w:val="nil"/>
                <w:left w:val="nil"/>
                <w:bottom w:val="nil"/>
                <w:right w:val="nil"/>
                <w:between w:val="nil"/>
              </w:pBdr>
              <w:spacing w:line="276" w:lineRule="auto"/>
              <w:rPr>
                <w:sz w:val="16"/>
                <w:szCs w:val="16"/>
              </w:rPr>
            </w:pPr>
          </w:p>
        </w:tc>
      </w:tr>
      <w:tr w:rsidR="00CB0062" w14:paraId="18B776D6"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501AFBD" w14:textId="77777777" w:rsidR="00CB0062" w:rsidRDefault="00CB0062" w:rsidP="00223E56">
            <w:pPr>
              <w:rPr>
                <w:i/>
                <w:color w:val="000000"/>
                <w:sz w:val="16"/>
                <w:szCs w:val="16"/>
              </w:rPr>
            </w:pPr>
            <w:r>
              <w:rPr>
                <w:i/>
                <w:color w:val="000000"/>
                <w:sz w:val="16"/>
                <w:szCs w:val="16"/>
              </w:rPr>
              <w:t>APOA5</w:t>
            </w:r>
          </w:p>
          <w:p w14:paraId="3CBFC9B1"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4A95196" w14:textId="77777777" w:rsidR="00CB0062" w:rsidRDefault="00CB0062" w:rsidP="00223E56">
            <w:pPr>
              <w:rPr>
                <w:color w:val="000000"/>
                <w:sz w:val="16"/>
                <w:szCs w:val="16"/>
              </w:rPr>
            </w:pPr>
            <w:r>
              <w:rPr>
                <w:color w:val="000000"/>
                <w:sz w:val="16"/>
                <w:szCs w:val="16"/>
                <w:highlight w:val="white"/>
              </w:rPr>
              <w:t>Apolipoprotein A5</w:t>
            </w:r>
          </w:p>
          <w:p w14:paraId="0EABA982" w14:textId="77777777" w:rsidR="00CB0062" w:rsidRDefault="00CB0062" w:rsidP="00223E56">
            <w:pPr>
              <w:rPr>
                <w:color w:val="000000"/>
                <w:sz w:val="16"/>
                <w:szCs w:val="16"/>
              </w:rPr>
            </w:pP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6A9294AD" w14:textId="77777777" w:rsidR="00CB0062" w:rsidRDefault="00CB0062" w:rsidP="00223E56">
            <w:pPr>
              <w:rPr>
                <w:color w:val="000000"/>
                <w:sz w:val="16"/>
                <w:szCs w:val="16"/>
              </w:rPr>
            </w:pPr>
            <w:r>
              <w:rPr>
                <w:color w:val="000000"/>
                <w:sz w:val="16"/>
                <w:szCs w:val="16"/>
              </w:rPr>
              <w:t>rs10750097</w:t>
            </w:r>
          </w:p>
        </w:tc>
        <w:tc>
          <w:tcPr>
            <w:tcW w:w="851" w:type="dxa"/>
            <w:tcBorders>
              <w:top w:val="single" w:sz="4" w:space="0" w:color="000000"/>
              <w:bottom w:val="single" w:sz="4" w:space="0" w:color="D0CECE"/>
            </w:tcBorders>
            <w:tcMar>
              <w:top w:w="-113" w:type="dxa"/>
              <w:left w:w="-113" w:type="dxa"/>
              <w:bottom w:w="-113" w:type="dxa"/>
              <w:right w:w="-113" w:type="dxa"/>
            </w:tcMar>
          </w:tcPr>
          <w:p w14:paraId="145E9062" w14:textId="77777777" w:rsidR="00CB0062" w:rsidRDefault="00CB0062" w:rsidP="00223E56">
            <w:pPr>
              <w:rPr>
                <w:sz w:val="16"/>
                <w:szCs w:val="16"/>
              </w:rPr>
            </w:pPr>
            <w:r>
              <w:rPr>
                <w:sz w:val="16"/>
                <w:szCs w:val="16"/>
              </w:rPr>
              <w:t>G&gt;</w:t>
            </w:r>
            <w:proofErr w:type="gramStart"/>
            <w:r>
              <w:rPr>
                <w:sz w:val="16"/>
                <w:szCs w:val="16"/>
              </w:rPr>
              <w:t>A,C</w:t>
            </w:r>
            <w:proofErr w:type="gramEnd"/>
          </w:p>
        </w:tc>
        <w:tc>
          <w:tcPr>
            <w:tcW w:w="1701" w:type="dxa"/>
            <w:tcBorders>
              <w:top w:val="single" w:sz="4" w:space="0" w:color="000000"/>
              <w:bottom w:val="single" w:sz="4" w:space="0" w:color="D0CECE"/>
            </w:tcBorders>
            <w:tcMar>
              <w:top w:w="-113" w:type="dxa"/>
              <w:left w:w="-113" w:type="dxa"/>
              <w:bottom w:w="-113" w:type="dxa"/>
              <w:right w:w="-113" w:type="dxa"/>
            </w:tcMar>
          </w:tcPr>
          <w:p w14:paraId="0AD5C9C9" w14:textId="77777777" w:rsidR="00CB0062" w:rsidRDefault="00CB0062" w:rsidP="00223E56">
            <w:pPr>
              <w:rPr>
                <w:sz w:val="16"/>
                <w:szCs w:val="16"/>
              </w:rPr>
            </w:pPr>
            <w:r>
              <w:rPr>
                <w:sz w:val="16"/>
                <w:szCs w:val="16"/>
              </w:rPr>
              <w:t>5 Prime UTR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46AAD0C0" w14:textId="77777777" w:rsidR="00CB0062" w:rsidRDefault="00CB0062" w:rsidP="00223E56">
            <w:pPr>
              <w:rPr>
                <w:sz w:val="16"/>
                <w:szCs w:val="16"/>
              </w:rPr>
            </w:pPr>
            <w:r>
              <w:rPr>
                <w:color w:val="000000"/>
                <w:sz w:val="16"/>
                <w:szCs w:val="16"/>
              </w:rPr>
              <w:t>DM</w:t>
            </w: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22174073" w14:textId="77777777" w:rsidR="00CB0062" w:rsidRDefault="00CB0062" w:rsidP="00223E56">
            <w:pPr>
              <w:rPr>
                <w:color w:val="000000"/>
                <w:sz w:val="16"/>
                <w:szCs w:val="16"/>
              </w:rPr>
            </w:pPr>
            <w:r>
              <w:rPr>
                <w:sz w:val="16"/>
                <w:szCs w:val="16"/>
              </w:rPr>
              <w:t>Grau-Perez et al. 2018</w:t>
            </w:r>
          </w:p>
          <w:p w14:paraId="7110486D" w14:textId="77777777" w:rsidR="00CB0062" w:rsidRDefault="00CB0062" w:rsidP="00223E56">
            <w:pPr>
              <w:rPr>
                <w:color w:val="000000"/>
                <w:sz w:val="16"/>
                <w:szCs w:val="16"/>
              </w:rPr>
            </w:pPr>
          </w:p>
        </w:tc>
      </w:tr>
      <w:tr w:rsidR="00CB0062" w14:paraId="759F8D66"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1569F2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325340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4548B5BF" w14:textId="77777777" w:rsidR="00CB0062" w:rsidRDefault="00CB0062" w:rsidP="00223E56">
            <w:pPr>
              <w:rPr>
                <w:color w:val="000000"/>
                <w:sz w:val="16"/>
                <w:szCs w:val="16"/>
              </w:rPr>
            </w:pPr>
            <w:r>
              <w:rPr>
                <w:color w:val="000000"/>
                <w:sz w:val="16"/>
                <w:szCs w:val="16"/>
              </w:rPr>
              <w:t>rs619054</w:t>
            </w:r>
          </w:p>
        </w:tc>
        <w:tc>
          <w:tcPr>
            <w:tcW w:w="851" w:type="dxa"/>
            <w:tcBorders>
              <w:top w:val="single" w:sz="4" w:space="0" w:color="D0CECE"/>
              <w:bottom w:val="single" w:sz="4" w:space="0" w:color="000000"/>
            </w:tcBorders>
            <w:tcMar>
              <w:top w:w="-113" w:type="dxa"/>
              <w:left w:w="-113" w:type="dxa"/>
              <w:bottom w:w="-113" w:type="dxa"/>
              <w:right w:w="-113" w:type="dxa"/>
            </w:tcMar>
          </w:tcPr>
          <w:p w14:paraId="117140C0" w14:textId="77777777" w:rsidR="00CB0062" w:rsidRDefault="00CB0062" w:rsidP="00223E56">
            <w:pPr>
              <w:rPr>
                <w:sz w:val="16"/>
                <w:szCs w:val="16"/>
              </w:rPr>
            </w:pPr>
            <w:r>
              <w:rPr>
                <w:sz w:val="16"/>
                <w:szCs w:val="16"/>
              </w:rPr>
              <w:t>G&gt;A</w:t>
            </w:r>
          </w:p>
        </w:tc>
        <w:tc>
          <w:tcPr>
            <w:tcW w:w="1701" w:type="dxa"/>
            <w:tcBorders>
              <w:top w:val="single" w:sz="4" w:space="0" w:color="D0CECE"/>
              <w:bottom w:val="single" w:sz="4" w:space="0" w:color="000000"/>
            </w:tcBorders>
            <w:tcMar>
              <w:top w:w="-113" w:type="dxa"/>
              <w:left w:w="-113" w:type="dxa"/>
              <w:bottom w:w="-113" w:type="dxa"/>
              <w:right w:w="-113" w:type="dxa"/>
            </w:tcMar>
          </w:tcPr>
          <w:p w14:paraId="40CDC07E" w14:textId="77777777" w:rsidR="00CB0062" w:rsidRDefault="00CB0062" w:rsidP="00223E56">
            <w:pPr>
              <w:rPr>
                <w:sz w:val="16"/>
                <w:szCs w:val="16"/>
              </w:rPr>
            </w:pPr>
            <w:r>
              <w:rPr>
                <w:sz w:val="16"/>
                <w:szCs w:val="16"/>
              </w:rPr>
              <w:t>3 Prime UTR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305E8B33" w14:textId="77777777" w:rsidR="00CB0062" w:rsidRDefault="00CB0062" w:rsidP="00223E56">
            <w:pPr>
              <w:widowControl w:val="0"/>
              <w:pBdr>
                <w:top w:val="nil"/>
                <w:left w:val="nil"/>
                <w:bottom w:val="nil"/>
                <w:right w:val="nil"/>
                <w:between w:val="nil"/>
              </w:pBdr>
              <w:spacing w:line="276" w:lineRule="auto"/>
              <w:rPr>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360EECCF" w14:textId="77777777" w:rsidR="00CB0062" w:rsidRDefault="00CB0062" w:rsidP="00223E56">
            <w:pPr>
              <w:widowControl w:val="0"/>
              <w:pBdr>
                <w:top w:val="nil"/>
                <w:left w:val="nil"/>
                <w:bottom w:val="nil"/>
                <w:right w:val="nil"/>
                <w:between w:val="nil"/>
              </w:pBdr>
              <w:spacing w:line="276" w:lineRule="auto"/>
              <w:rPr>
                <w:sz w:val="16"/>
                <w:szCs w:val="16"/>
              </w:rPr>
            </w:pPr>
          </w:p>
        </w:tc>
      </w:tr>
      <w:tr w:rsidR="00CB0062" w:rsidRPr="0030321B" w14:paraId="3C628204"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50077D9" w14:textId="77777777" w:rsidR="00CB0062" w:rsidRDefault="00CB0062" w:rsidP="00223E56">
            <w:pPr>
              <w:rPr>
                <w:i/>
                <w:color w:val="000000"/>
                <w:sz w:val="16"/>
                <w:szCs w:val="16"/>
              </w:rPr>
            </w:pPr>
            <w:r>
              <w:rPr>
                <w:i/>
                <w:color w:val="000000"/>
                <w:sz w:val="16"/>
                <w:szCs w:val="16"/>
              </w:rPr>
              <w:t>APOE</w:t>
            </w:r>
          </w:p>
          <w:p w14:paraId="7E02619F"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C680DE4" w14:textId="77777777" w:rsidR="00CB0062" w:rsidRDefault="00CB0062" w:rsidP="00223E56">
            <w:pPr>
              <w:rPr>
                <w:color w:val="000000"/>
                <w:sz w:val="16"/>
                <w:szCs w:val="16"/>
              </w:rPr>
            </w:pPr>
            <w:r>
              <w:rPr>
                <w:color w:val="000000"/>
                <w:sz w:val="16"/>
                <w:szCs w:val="16"/>
                <w:highlight w:val="white"/>
              </w:rPr>
              <w:t>Apolipoprotein E</w:t>
            </w:r>
          </w:p>
          <w:p w14:paraId="7EE9CAB3" w14:textId="77777777" w:rsidR="00CB0062" w:rsidRDefault="00CB0062" w:rsidP="00223E56">
            <w:pPr>
              <w:rPr>
                <w:color w:val="000000"/>
                <w:sz w:val="16"/>
                <w:szCs w:val="16"/>
              </w:rPr>
            </w:pP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6A12444A" w14:textId="77777777" w:rsidR="00CB0062" w:rsidRDefault="00CB0062" w:rsidP="00223E56">
            <w:pPr>
              <w:rPr>
                <w:color w:val="000000"/>
                <w:sz w:val="16"/>
                <w:szCs w:val="16"/>
              </w:rPr>
            </w:pPr>
            <w:r>
              <w:rPr>
                <w:color w:val="000000"/>
                <w:sz w:val="16"/>
                <w:szCs w:val="16"/>
              </w:rPr>
              <w:t>rs1081101</w:t>
            </w:r>
          </w:p>
        </w:tc>
        <w:tc>
          <w:tcPr>
            <w:tcW w:w="851" w:type="dxa"/>
            <w:tcBorders>
              <w:top w:val="single" w:sz="4" w:space="0" w:color="000000"/>
              <w:bottom w:val="single" w:sz="4" w:space="0" w:color="D0CECE"/>
            </w:tcBorders>
            <w:tcMar>
              <w:top w:w="-113" w:type="dxa"/>
              <w:left w:w="-113" w:type="dxa"/>
              <w:bottom w:w="-113" w:type="dxa"/>
              <w:right w:w="-113" w:type="dxa"/>
            </w:tcMar>
          </w:tcPr>
          <w:p w14:paraId="59D2B01C" w14:textId="77777777" w:rsidR="00CB0062" w:rsidRDefault="00CB0062" w:rsidP="00223E56">
            <w:pPr>
              <w:rPr>
                <w:color w:val="000000"/>
                <w:sz w:val="16"/>
                <w:szCs w:val="16"/>
              </w:rPr>
            </w:pPr>
            <w:r>
              <w:rPr>
                <w:sz w:val="16"/>
                <w:szCs w:val="16"/>
              </w:rPr>
              <w:t>C&gt;T</w:t>
            </w:r>
          </w:p>
        </w:tc>
        <w:tc>
          <w:tcPr>
            <w:tcW w:w="1701" w:type="dxa"/>
            <w:tcBorders>
              <w:top w:val="single" w:sz="4" w:space="0" w:color="000000"/>
              <w:bottom w:val="single" w:sz="4" w:space="0" w:color="D0CECE"/>
            </w:tcBorders>
            <w:tcMar>
              <w:top w:w="-113" w:type="dxa"/>
              <w:left w:w="-113" w:type="dxa"/>
              <w:bottom w:w="-113" w:type="dxa"/>
              <w:right w:w="-113" w:type="dxa"/>
            </w:tcMar>
          </w:tcPr>
          <w:p w14:paraId="02BB0B3A" w14:textId="77777777" w:rsidR="00CB0062" w:rsidRDefault="00CB0062" w:rsidP="00223E56">
            <w:pPr>
              <w:rPr>
                <w:color w:val="000000"/>
                <w:sz w:val="16"/>
                <w:szCs w:val="16"/>
              </w:rPr>
            </w:pPr>
            <w:r>
              <w:rPr>
                <w:sz w:val="16"/>
                <w:szCs w:val="16"/>
              </w:rPr>
              <w:t>2KB Upstream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5CAA5682" w14:textId="77777777" w:rsidR="00CB0062" w:rsidRDefault="00CB0062" w:rsidP="00223E56">
            <w:pPr>
              <w:rPr>
                <w:sz w:val="16"/>
                <w:szCs w:val="16"/>
              </w:rPr>
            </w:pPr>
            <w:r>
              <w:rPr>
                <w:color w:val="000000"/>
                <w:sz w:val="16"/>
                <w:szCs w:val="16"/>
              </w:rPr>
              <w:t>CVD</w:t>
            </w:r>
          </w:p>
          <w:p w14:paraId="0DC59A0A" w14:textId="77777777" w:rsidR="00CB0062" w:rsidRDefault="00CB0062" w:rsidP="00223E56">
            <w:pPr>
              <w:rPr>
                <w:sz w:val="16"/>
                <w:szCs w:val="16"/>
              </w:rPr>
            </w:pPr>
            <w:r>
              <w:rPr>
                <w:sz w:val="16"/>
                <w:szCs w:val="16"/>
              </w:rPr>
              <w:t>CIMT</w:t>
            </w: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70B32FD2"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253E825A"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p w14:paraId="6A1B824C" w14:textId="77777777" w:rsidR="00CB0062" w:rsidRPr="00641BD3" w:rsidRDefault="00CB0062" w:rsidP="00223E56">
            <w:pPr>
              <w:rPr>
                <w:color w:val="000000"/>
                <w:sz w:val="16"/>
                <w:szCs w:val="16"/>
                <w:lang w:val="es-ES"/>
              </w:rPr>
            </w:pPr>
          </w:p>
        </w:tc>
      </w:tr>
      <w:tr w:rsidR="00CB0062" w14:paraId="5BE67D3E"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A229637" w14:textId="77777777" w:rsidR="00CB0062" w:rsidRPr="00641BD3" w:rsidRDefault="00CB0062" w:rsidP="00223E56">
            <w:pPr>
              <w:widowControl w:val="0"/>
              <w:pBdr>
                <w:top w:val="nil"/>
                <w:left w:val="nil"/>
                <w:bottom w:val="nil"/>
                <w:right w:val="nil"/>
                <w:between w:val="nil"/>
              </w:pBdr>
              <w:rPr>
                <w:color w:val="000000"/>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BE98FC1" w14:textId="77777777" w:rsidR="00CB0062" w:rsidRPr="00641BD3" w:rsidRDefault="00CB0062" w:rsidP="00223E56">
            <w:pPr>
              <w:widowControl w:val="0"/>
              <w:pBdr>
                <w:top w:val="nil"/>
                <w:left w:val="nil"/>
                <w:bottom w:val="nil"/>
                <w:right w:val="nil"/>
                <w:between w:val="nil"/>
              </w:pBdr>
              <w:rPr>
                <w:color w:val="000000"/>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1A3C9570" w14:textId="77777777" w:rsidR="00CB0062" w:rsidRDefault="00CB0062" w:rsidP="00223E56">
            <w:pPr>
              <w:rPr>
                <w:color w:val="000000"/>
                <w:sz w:val="16"/>
                <w:szCs w:val="16"/>
              </w:rPr>
            </w:pPr>
            <w:r>
              <w:rPr>
                <w:color w:val="000000"/>
                <w:sz w:val="16"/>
                <w:szCs w:val="16"/>
              </w:rPr>
              <w:t>rs12982192</w:t>
            </w:r>
          </w:p>
        </w:tc>
        <w:tc>
          <w:tcPr>
            <w:tcW w:w="851" w:type="dxa"/>
            <w:tcBorders>
              <w:top w:val="single" w:sz="4" w:space="0" w:color="D0CECE"/>
              <w:bottom w:val="single" w:sz="4" w:space="0" w:color="D0CECE"/>
            </w:tcBorders>
            <w:tcMar>
              <w:top w:w="-113" w:type="dxa"/>
              <w:left w:w="-113" w:type="dxa"/>
              <w:bottom w:w="-113" w:type="dxa"/>
              <w:right w:w="-113" w:type="dxa"/>
            </w:tcMar>
          </w:tcPr>
          <w:p w14:paraId="213DB79D" w14:textId="77777777" w:rsidR="00CB0062" w:rsidRDefault="00CB0062" w:rsidP="00223E56">
            <w:pPr>
              <w:rPr>
                <w:color w:val="000000"/>
                <w:sz w:val="16"/>
                <w:szCs w:val="16"/>
              </w:rPr>
            </w:pPr>
            <w:r>
              <w:rPr>
                <w:sz w:val="16"/>
                <w:szCs w:val="16"/>
              </w:rPr>
              <w:t>T&gt;C</w:t>
            </w:r>
          </w:p>
        </w:tc>
        <w:tc>
          <w:tcPr>
            <w:tcW w:w="1701" w:type="dxa"/>
            <w:tcBorders>
              <w:top w:val="single" w:sz="4" w:space="0" w:color="D0CECE"/>
              <w:bottom w:val="single" w:sz="4" w:space="0" w:color="D0CECE"/>
            </w:tcBorders>
            <w:tcMar>
              <w:top w:w="-113" w:type="dxa"/>
              <w:left w:w="-113" w:type="dxa"/>
              <w:bottom w:w="-113" w:type="dxa"/>
              <w:right w:w="-113" w:type="dxa"/>
            </w:tcMar>
          </w:tcPr>
          <w:p w14:paraId="57B9D847" w14:textId="77777777" w:rsidR="00CB0062" w:rsidRDefault="00CB0062" w:rsidP="00223E56">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0FAAF84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2D02B50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131FFB80"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45F8EDD" w14:textId="77777777" w:rsidR="00CB0062" w:rsidRDefault="00CB0062" w:rsidP="00223E56">
            <w:pPr>
              <w:widowControl w:val="0"/>
              <w:pBdr>
                <w:top w:val="nil"/>
                <w:left w:val="nil"/>
                <w:bottom w:val="nil"/>
                <w:right w:val="nil"/>
                <w:between w:val="nil"/>
              </w:pBdr>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0F877DF" w14:textId="77777777" w:rsidR="00CB0062" w:rsidRDefault="00CB0062" w:rsidP="00223E56">
            <w:pPr>
              <w:widowControl w:val="0"/>
              <w:pBdr>
                <w:top w:val="nil"/>
                <w:left w:val="nil"/>
                <w:bottom w:val="nil"/>
                <w:right w:val="nil"/>
                <w:between w:val="nil"/>
              </w:pBdr>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671B79B4" w14:textId="77777777" w:rsidR="00CB0062" w:rsidRDefault="00CB0062" w:rsidP="00223E56">
            <w:pPr>
              <w:rPr>
                <w:color w:val="000000"/>
                <w:sz w:val="16"/>
                <w:szCs w:val="16"/>
              </w:rPr>
            </w:pPr>
            <w:r>
              <w:rPr>
                <w:color w:val="000000"/>
                <w:sz w:val="16"/>
                <w:szCs w:val="16"/>
              </w:rPr>
              <w:t>rs405509</w:t>
            </w:r>
          </w:p>
        </w:tc>
        <w:tc>
          <w:tcPr>
            <w:tcW w:w="851" w:type="dxa"/>
            <w:tcBorders>
              <w:top w:val="single" w:sz="4" w:space="0" w:color="D0CECE"/>
              <w:bottom w:val="single" w:sz="4" w:space="0" w:color="D0CECE"/>
            </w:tcBorders>
            <w:tcMar>
              <w:top w:w="-113" w:type="dxa"/>
              <w:left w:w="-113" w:type="dxa"/>
              <w:bottom w:w="-113" w:type="dxa"/>
              <w:right w:w="-113" w:type="dxa"/>
            </w:tcMar>
          </w:tcPr>
          <w:p w14:paraId="2418EA79" w14:textId="77777777" w:rsidR="00CB0062" w:rsidRDefault="00CB0062" w:rsidP="00223E56">
            <w:pPr>
              <w:rPr>
                <w:color w:val="000000"/>
                <w:sz w:val="16"/>
                <w:szCs w:val="16"/>
              </w:rPr>
            </w:pPr>
            <w:r>
              <w:rPr>
                <w:color w:val="000000"/>
                <w:sz w:val="16"/>
                <w:szCs w:val="16"/>
              </w:rPr>
              <w:t>T&gt;G</w:t>
            </w:r>
          </w:p>
        </w:tc>
        <w:tc>
          <w:tcPr>
            <w:tcW w:w="1701" w:type="dxa"/>
            <w:tcBorders>
              <w:top w:val="single" w:sz="4" w:space="0" w:color="D0CECE"/>
              <w:bottom w:val="single" w:sz="4" w:space="0" w:color="D0CECE"/>
            </w:tcBorders>
            <w:shd w:val="clear" w:color="auto" w:fill="auto"/>
            <w:tcMar>
              <w:top w:w="-113" w:type="dxa"/>
              <w:left w:w="-113" w:type="dxa"/>
              <w:bottom w:w="-113" w:type="dxa"/>
              <w:right w:w="-113" w:type="dxa"/>
            </w:tcMar>
          </w:tcPr>
          <w:p w14:paraId="6AE7F600" w14:textId="77777777" w:rsidR="00CB0062" w:rsidRDefault="00CB0062" w:rsidP="00223E56">
            <w:pPr>
              <w:rPr>
                <w:sz w:val="16"/>
                <w:szCs w:val="16"/>
              </w:rPr>
            </w:pPr>
            <w:r>
              <w:rPr>
                <w:sz w:val="16"/>
                <w:szCs w:val="16"/>
              </w:rPr>
              <w:t>2KB Upstream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5FD55A3B" w14:textId="77777777" w:rsidR="00CB0062" w:rsidRDefault="00CB0062" w:rsidP="00223E56">
            <w:pPr>
              <w:widowControl w:val="0"/>
              <w:pBdr>
                <w:top w:val="nil"/>
                <w:left w:val="nil"/>
                <w:bottom w:val="nil"/>
                <w:right w:val="nil"/>
                <w:between w:val="nil"/>
              </w:pBdr>
              <w:spacing w:line="276" w:lineRule="auto"/>
              <w:rPr>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16F3696B" w14:textId="77777777" w:rsidR="00CB0062" w:rsidRDefault="00CB0062" w:rsidP="00223E56">
            <w:pPr>
              <w:widowControl w:val="0"/>
              <w:pBdr>
                <w:top w:val="nil"/>
                <w:left w:val="nil"/>
                <w:bottom w:val="nil"/>
                <w:right w:val="nil"/>
                <w:between w:val="nil"/>
              </w:pBdr>
              <w:spacing w:line="276" w:lineRule="auto"/>
              <w:rPr>
                <w:sz w:val="16"/>
                <w:szCs w:val="16"/>
              </w:rPr>
            </w:pPr>
          </w:p>
        </w:tc>
      </w:tr>
      <w:tr w:rsidR="00CB0062" w14:paraId="57B4F70D"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D0017DE" w14:textId="77777777" w:rsidR="00CB0062" w:rsidRDefault="00CB0062" w:rsidP="00223E56">
            <w:pPr>
              <w:widowControl w:val="0"/>
              <w:pBdr>
                <w:top w:val="nil"/>
                <w:left w:val="nil"/>
                <w:bottom w:val="nil"/>
                <w:right w:val="nil"/>
                <w:between w:val="nil"/>
              </w:pBdr>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7A08C99" w14:textId="77777777" w:rsidR="00CB0062" w:rsidRDefault="00CB0062" w:rsidP="00223E56">
            <w:pPr>
              <w:widowControl w:val="0"/>
              <w:pBdr>
                <w:top w:val="nil"/>
                <w:left w:val="nil"/>
                <w:bottom w:val="nil"/>
                <w:right w:val="nil"/>
                <w:between w:val="nil"/>
              </w:pBdr>
              <w:rPr>
                <w:sz w:val="16"/>
                <w:szCs w:val="16"/>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053E811C" w14:textId="77777777" w:rsidR="00CB0062" w:rsidRDefault="00CB0062" w:rsidP="00223E56">
            <w:pPr>
              <w:rPr>
                <w:sz w:val="16"/>
                <w:szCs w:val="16"/>
              </w:rPr>
            </w:pPr>
            <w:r>
              <w:rPr>
                <w:color w:val="000000"/>
                <w:sz w:val="16"/>
                <w:szCs w:val="16"/>
              </w:rPr>
              <w:t>rs429358</w:t>
            </w:r>
          </w:p>
        </w:tc>
        <w:tc>
          <w:tcPr>
            <w:tcW w:w="85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49EBB323" w14:textId="77777777" w:rsidR="00CB0062" w:rsidRDefault="00CB0062" w:rsidP="00223E56">
            <w:pPr>
              <w:rPr>
                <w:color w:val="000000"/>
                <w:sz w:val="16"/>
                <w:szCs w:val="16"/>
              </w:rPr>
            </w:pPr>
            <w:r>
              <w:rPr>
                <w:color w:val="000000"/>
                <w:sz w:val="16"/>
                <w:szCs w:val="16"/>
              </w:rPr>
              <w:t>T&gt;C</w:t>
            </w:r>
          </w:p>
        </w:tc>
        <w:tc>
          <w:tcPr>
            <w:tcW w:w="170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724426BF" w14:textId="77777777" w:rsidR="00CB0062" w:rsidRDefault="00CB0062" w:rsidP="00223E56">
            <w:pPr>
              <w:rPr>
                <w:sz w:val="16"/>
                <w:szCs w:val="16"/>
              </w:rPr>
            </w:pPr>
            <w:r>
              <w:rPr>
                <w:sz w:val="16"/>
                <w:szCs w:val="16"/>
              </w:rPr>
              <w:t>Missense variant</w:t>
            </w:r>
          </w:p>
        </w:tc>
        <w:tc>
          <w:tcPr>
            <w:tcW w:w="708" w:type="dxa"/>
            <w:tcBorders>
              <w:top w:val="single" w:sz="4" w:space="0" w:color="D0CECE"/>
              <w:bottom w:val="single" w:sz="4" w:space="0" w:color="D0CECE"/>
            </w:tcBorders>
            <w:shd w:val="clear" w:color="auto" w:fill="auto"/>
            <w:tcMar>
              <w:top w:w="-113" w:type="dxa"/>
              <w:left w:w="-113" w:type="dxa"/>
              <w:bottom w:w="-113" w:type="dxa"/>
              <w:right w:w="-113" w:type="dxa"/>
            </w:tcMar>
          </w:tcPr>
          <w:p w14:paraId="3B8F4FD8" w14:textId="77777777" w:rsidR="00CB0062" w:rsidRDefault="00CB0062" w:rsidP="00223E56">
            <w:pPr>
              <w:rPr>
                <w:color w:val="000000"/>
                <w:sz w:val="16"/>
                <w:szCs w:val="16"/>
              </w:rPr>
            </w:pPr>
            <w:r>
              <w:rPr>
                <w:color w:val="000000"/>
                <w:sz w:val="16"/>
                <w:szCs w:val="16"/>
              </w:rPr>
              <w:t>SBP</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3F6DEE0" w14:textId="77777777" w:rsidR="00CB0062" w:rsidRDefault="00CB0062" w:rsidP="00223E56">
            <w:pPr>
              <w:rPr>
                <w:color w:val="000000"/>
                <w:sz w:val="16"/>
                <w:szCs w:val="16"/>
              </w:rPr>
            </w:pPr>
            <w:r>
              <w:rPr>
                <w:sz w:val="16"/>
                <w:szCs w:val="16"/>
              </w:rPr>
              <w:t xml:space="preserve">Farzan </w:t>
            </w:r>
            <w:r>
              <w:rPr>
                <w:i/>
                <w:sz w:val="16"/>
                <w:szCs w:val="16"/>
              </w:rPr>
              <w:t>et al.</w:t>
            </w:r>
            <w:r>
              <w:rPr>
                <w:sz w:val="16"/>
                <w:szCs w:val="16"/>
              </w:rPr>
              <w:t xml:space="preserve"> 2016</w:t>
            </w:r>
          </w:p>
          <w:p w14:paraId="30D0DCD7" w14:textId="77777777" w:rsidR="00CB0062" w:rsidRDefault="00CB0062" w:rsidP="00223E56">
            <w:pPr>
              <w:rPr>
                <w:color w:val="000000"/>
                <w:sz w:val="16"/>
                <w:szCs w:val="16"/>
              </w:rPr>
            </w:pPr>
          </w:p>
        </w:tc>
      </w:tr>
      <w:tr w:rsidR="00CB0062" w14:paraId="22E22B39"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4768A7C" w14:textId="77777777" w:rsidR="00CB0062" w:rsidRDefault="00CB0062" w:rsidP="00223E56">
            <w:pPr>
              <w:widowControl w:val="0"/>
              <w:pBdr>
                <w:top w:val="nil"/>
                <w:left w:val="nil"/>
                <w:bottom w:val="nil"/>
                <w:right w:val="nil"/>
                <w:between w:val="nil"/>
              </w:pBdr>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2AB8BF0" w14:textId="77777777" w:rsidR="00CB0062" w:rsidRDefault="00CB0062" w:rsidP="00223E56">
            <w:pPr>
              <w:widowControl w:val="0"/>
              <w:pBdr>
                <w:top w:val="nil"/>
                <w:left w:val="nil"/>
                <w:bottom w:val="nil"/>
                <w:right w:val="nil"/>
                <w:between w:val="nil"/>
              </w:pBdr>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6A246EA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12B6995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0224BAA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tcBorders>
              <w:top w:val="single" w:sz="4" w:space="0" w:color="D0CECE"/>
              <w:bottom w:val="single" w:sz="4" w:space="0" w:color="D9D9D9"/>
            </w:tcBorders>
            <w:tcMar>
              <w:top w:w="-113" w:type="dxa"/>
              <w:left w:w="-113" w:type="dxa"/>
              <w:bottom w:w="-113" w:type="dxa"/>
              <w:right w:w="-113" w:type="dxa"/>
            </w:tcMar>
          </w:tcPr>
          <w:p w14:paraId="561966AB" w14:textId="77777777" w:rsidR="00CB0062" w:rsidRDefault="00CB0062" w:rsidP="00223E56">
            <w:pPr>
              <w:rPr>
                <w:color w:val="000000"/>
                <w:sz w:val="16"/>
                <w:szCs w:val="16"/>
              </w:rPr>
            </w:pPr>
            <w:r>
              <w:rPr>
                <w:color w:val="000000"/>
                <w:sz w:val="16"/>
                <w:szCs w:val="16"/>
              </w:rPr>
              <w:t>BP</w:t>
            </w:r>
          </w:p>
        </w:tc>
        <w:tc>
          <w:tcPr>
            <w:tcW w:w="1838" w:type="dxa"/>
            <w:vMerge/>
            <w:tcBorders>
              <w:top w:val="single" w:sz="4" w:space="0" w:color="D0CECE"/>
              <w:bottom w:val="single" w:sz="4" w:space="0" w:color="D9D9D9"/>
              <w:right w:val="single" w:sz="4" w:space="0" w:color="000000" w:themeColor="text1"/>
            </w:tcBorders>
            <w:tcMar>
              <w:top w:w="-113" w:type="dxa"/>
              <w:left w:w="-113" w:type="dxa"/>
              <w:bottom w:w="-113" w:type="dxa"/>
              <w:right w:w="-113" w:type="dxa"/>
            </w:tcMar>
          </w:tcPr>
          <w:p w14:paraId="27848B5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rsidRPr="0030321B" w14:paraId="5D10AAE7" w14:textId="77777777" w:rsidTr="00923C73">
        <w:trPr>
          <w:trHeight w:val="317"/>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9A10066" w14:textId="77777777" w:rsidR="00CB0062" w:rsidRDefault="00CB0062" w:rsidP="00223E56">
            <w:pPr>
              <w:widowControl w:val="0"/>
              <w:pBdr>
                <w:top w:val="nil"/>
                <w:left w:val="nil"/>
                <w:bottom w:val="nil"/>
                <w:right w:val="nil"/>
                <w:between w:val="nil"/>
              </w:pBdr>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09928F7" w14:textId="77777777" w:rsidR="00CB0062" w:rsidRDefault="00CB0062" w:rsidP="00223E56">
            <w:pPr>
              <w:widowControl w:val="0"/>
              <w:pBdr>
                <w:top w:val="nil"/>
                <w:left w:val="nil"/>
                <w:bottom w:val="nil"/>
                <w:right w:val="nil"/>
                <w:between w:val="nil"/>
              </w:pBdr>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5EC5526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52F684D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right w:val="nil"/>
            </w:tcBorders>
            <w:shd w:val="clear" w:color="auto" w:fill="auto"/>
            <w:tcMar>
              <w:top w:w="-113" w:type="dxa"/>
              <w:left w:w="-113" w:type="dxa"/>
              <w:bottom w:w="-113" w:type="dxa"/>
              <w:right w:w="-113" w:type="dxa"/>
            </w:tcMar>
          </w:tcPr>
          <w:p w14:paraId="5652327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vMerge w:val="restart"/>
            <w:tcBorders>
              <w:top w:val="single" w:sz="4" w:space="0" w:color="D9D9D9"/>
              <w:left w:val="nil"/>
              <w:bottom w:val="single" w:sz="4" w:space="0" w:color="D9D9D9"/>
              <w:right w:val="nil"/>
            </w:tcBorders>
            <w:tcMar>
              <w:top w:w="-113" w:type="dxa"/>
              <w:left w:w="-113" w:type="dxa"/>
              <w:bottom w:w="-113" w:type="dxa"/>
              <w:right w:w="-113" w:type="dxa"/>
            </w:tcMar>
          </w:tcPr>
          <w:p w14:paraId="2A68138C" w14:textId="77777777" w:rsidR="00CB0062" w:rsidRDefault="00CB0062" w:rsidP="00223E56">
            <w:pPr>
              <w:rPr>
                <w:sz w:val="16"/>
                <w:szCs w:val="16"/>
              </w:rPr>
            </w:pPr>
            <w:r>
              <w:rPr>
                <w:color w:val="000000"/>
                <w:sz w:val="16"/>
                <w:szCs w:val="16"/>
              </w:rPr>
              <w:t>CVD</w:t>
            </w:r>
          </w:p>
          <w:p w14:paraId="75C29A6D" w14:textId="77777777" w:rsidR="00CB0062" w:rsidRDefault="00CB0062" w:rsidP="00223E56">
            <w:pPr>
              <w:rPr>
                <w:sz w:val="16"/>
                <w:szCs w:val="16"/>
              </w:rPr>
            </w:pPr>
            <w:r>
              <w:rPr>
                <w:sz w:val="16"/>
                <w:szCs w:val="16"/>
              </w:rPr>
              <w:t>CIMT</w:t>
            </w:r>
          </w:p>
          <w:p w14:paraId="45AB4D1F" w14:textId="77777777" w:rsidR="00CB0062" w:rsidRDefault="00CB0062" w:rsidP="00223E56">
            <w:pPr>
              <w:rPr>
                <w:sz w:val="16"/>
                <w:szCs w:val="16"/>
              </w:rPr>
            </w:pPr>
          </w:p>
          <w:p w14:paraId="57BA6BF6" w14:textId="77777777" w:rsidR="00CB0062" w:rsidRDefault="00CB0062" w:rsidP="00223E56">
            <w:pPr>
              <w:rPr>
                <w:sz w:val="16"/>
                <w:szCs w:val="16"/>
              </w:rPr>
            </w:pPr>
          </w:p>
          <w:p w14:paraId="25CCA412" w14:textId="77777777" w:rsidR="00CB0062" w:rsidRDefault="00CB0062" w:rsidP="00223E56">
            <w:pPr>
              <w:rPr>
                <w:sz w:val="16"/>
                <w:szCs w:val="16"/>
              </w:rPr>
            </w:pPr>
          </w:p>
          <w:p w14:paraId="36BF0900" w14:textId="77777777" w:rsidR="00CB0062" w:rsidRDefault="00CB0062" w:rsidP="00223E56">
            <w:pPr>
              <w:rPr>
                <w:sz w:val="16"/>
                <w:szCs w:val="16"/>
              </w:rPr>
            </w:pPr>
          </w:p>
          <w:p w14:paraId="59C92342" w14:textId="77777777" w:rsidR="00CB0062" w:rsidRDefault="00CB0062" w:rsidP="00223E56">
            <w:pPr>
              <w:rPr>
                <w:sz w:val="16"/>
                <w:szCs w:val="16"/>
              </w:rPr>
            </w:pPr>
          </w:p>
          <w:p w14:paraId="145A8826" w14:textId="77777777" w:rsidR="00CB0062" w:rsidRDefault="00CB0062" w:rsidP="00223E56">
            <w:pPr>
              <w:rPr>
                <w:sz w:val="16"/>
                <w:szCs w:val="16"/>
              </w:rPr>
            </w:pPr>
          </w:p>
          <w:p w14:paraId="7025E63B" w14:textId="77777777" w:rsidR="00CB0062" w:rsidRDefault="00CB0062" w:rsidP="00223E56">
            <w:pPr>
              <w:rPr>
                <w:sz w:val="16"/>
                <w:szCs w:val="16"/>
              </w:rPr>
            </w:pPr>
          </w:p>
          <w:p w14:paraId="78FE49C2" w14:textId="77777777" w:rsidR="00CB0062" w:rsidRDefault="00CB0062" w:rsidP="00223E56">
            <w:pPr>
              <w:rPr>
                <w:sz w:val="16"/>
                <w:szCs w:val="16"/>
              </w:rPr>
            </w:pPr>
          </w:p>
          <w:p w14:paraId="4E60A012" w14:textId="77777777" w:rsidR="00CB0062" w:rsidRDefault="00CB0062" w:rsidP="00223E56">
            <w:pPr>
              <w:rPr>
                <w:sz w:val="16"/>
                <w:szCs w:val="16"/>
              </w:rPr>
            </w:pPr>
          </w:p>
          <w:p w14:paraId="6BE9B179" w14:textId="77777777" w:rsidR="00CB0062" w:rsidRDefault="00CB0062" w:rsidP="00223E56">
            <w:pPr>
              <w:rPr>
                <w:sz w:val="16"/>
                <w:szCs w:val="16"/>
              </w:rPr>
            </w:pPr>
          </w:p>
        </w:tc>
        <w:tc>
          <w:tcPr>
            <w:tcW w:w="1838" w:type="dxa"/>
            <w:vMerge w:val="restart"/>
            <w:tcBorders>
              <w:top w:val="single" w:sz="4" w:space="0" w:color="D9D9D9"/>
              <w:left w:val="nil"/>
              <w:bottom w:val="single" w:sz="4" w:space="0" w:color="D9D9D9"/>
              <w:right w:val="single" w:sz="4" w:space="0" w:color="000000" w:themeColor="text1"/>
            </w:tcBorders>
            <w:tcMar>
              <w:top w:w="-113" w:type="dxa"/>
              <w:left w:w="-113" w:type="dxa"/>
              <w:bottom w:w="-113" w:type="dxa"/>
              <w:right w:w="-113" w:type="dxa"/>
            </w:tcMar>
          </w:tcPr>
          <w:p w14:paraId="7F4A4E1D" w14:textId="77777777" w:rsidR="00CB0062" w:rsidRPr="00641BD3" w:rsidRDefault="00CB0062" w:rsidP="00223E56">
            <w:pPr>
              <w:rPr>
                <w:color w:val="000000"/>
                <w:sz w:val="16"/>
                <w:szCs w:val="16"/>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60A3A299" w14:textId="77777777" w:rsidR="00CB0062" w:rsidRPr="00641BD3" w:rsidRDefault="00CB0062" w:rsidP="00223E56">
            <w:pPr>
              <w:rPr>
                <w:sz w:val="16"/>
                <w:szCs w:val="16"/>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p w14:paraId="00A1AF5D" w14:textId="77777777" w:rsidR="00CB0062" w:rsidRPr="00641BD3" w:rsidRDefault="00CB0062" w:rsidP="00223E56">
            <w:pPr>
              <w:rPr>
                <w:sz w:val="16"/>
                <w:szCs w:val="16"/>
                <w:lang w:val="es-ES"/>
              </w:rPr>
            </w:pPr>
          </w:p>
          <w:p w14:paraId="55D125DA" w14:textId="77777777" w:rsidR="00CB0062" w:rsidRPr="00641BD3" w:rsidRDefault="00CB0062" w:rsidP="00223E56">
            <w:pPr>
              <w:rPr>
                <w:sz w:val="16"/>
                <w:szCs w:val="16"/>
                <w:lang w:val="es-ES"/>
              </w:rPr>
            </w:pPr>
          </w:p>
          <w:p w14:paraId="53A5F656" w14:textId="77777777" w:rsidR="00CB0062" w:rsidRPr="00641BD3" w:rsidRDefault="00CB0062" w:rsidP="00223E56">
            <w:pPr>
              <w:rPr>
                <w:sz w:val="16"/>
                <w:szCs w:val="16"/>
                <w:lang w:val="es-ES"/>
              </w:rPr>
            </w:pPr>
          </w:p>
          <w:p w14:paraId="20E813E4" w14:textId="77777777" w:rsidR="00CB0062" w:rsidRPr="00641BD3" w:rsidRDefault="00CB0062" w:rsidP="00223E56">
            <w:pPr>
              <w:rPr>
                <w:sz w:val="16"/>
                <w:szCs w:val="16"/>
                <w:lang w:val="es-ES"/>
              </w:rPr>
            </w:pPr>
          </w:p>
          <w:p w14:paraId="024FD2B8" w14:textId="77777777" w:rsidR="00CB0062" w:rsidRPr="00641BD3" w:rsidRDefault="00CB0062" w:rsidP="00223E56">
            <w:pPr>
              <w:rPr>
                <w:sz w:val="16"/>
                <w:szCs w:val="16"/>
                <w:lang w:val="es-ES"/>
              </w:rPr>
            </w:pPr>
          </w:p>
          <w:p w14:paraId="4B539BDC" w14:textId="77777777" w:rsidR="00CB0062" w:rsidRPr="00641BD3" w:rsidRDefault="00CB0062" w:rsidP="00223E56">
            <w:pPr>
              <w:rPr>
                <w:sz w:val="16"/>
                <w:szCs w:val="16"/>
                <w:lang w:val="es-ES"/>
              </w:rPr>
            </w:pPr>
          </w:p>
          <w:p w14:paraId="618F178C" w14:textId="77777777" w:rsidR="00CB0062" w:rsidRPr="00641BD3" w:rsidRDefault="00CB0062" w:rsidP="00223E56">
            <w:pPr>
              <w:rPr>
                <w:sz w:val="16"/>
                <w:szCs w:val="16"/>
                <w:lang w:val="es-ES"/>
              </w:rPr>
            </w:pPr>
          </w:p>
          <w:p w14:paraId="4987316C" w14:textId="77777777" w:rsidR="00CB0062" w:rsidRPr="00641BD3" w:rsidRDefault="00CB0062" w:rsidP="00223E56">
            <w:pPr>
              <w:rPr>
                <w:sz w:val="16"/>
                <w:szCs w:val="16"/>
                <w:lang w:val="es-ES"/>
              </w:rPr>
            </w:pPr>
          </w:p>
          <w:p w14:paraId="627FD4B9" w14:textId="77777777" w:rsidR="00CB0062" w:rsidRPr="00641BD3" w:rsidRDefault="00CB0062" w:rsidP="00223E56">
            <w:pPr>
              <w:rPr>
                <w:sz w:val="16"/>
                <w:szCs w:val="16"/>
                <w:lang w:val="es-ES"/>
              </w:rPr>
            </w:pPr>
          </w:p>
        </w:tc>
      </w:tr>
      <w:tr w:rsidR="00CB0062" w14:paraId="2441C366"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37936C2" w14:textId="77777777" w:rsidR="00CB0062" w:rsidRPr="00641BD3" w:rsidRDefault="00CB0062" w:rsidP="00223E56">
            <w:pPr>
              <w:widowControl w:val="0"/>
              <w:pBdr>
                <w:top w:val="nil"/>
                <w:left w:val="nil"/>
                <w:bottom w:val="nil"/>
                <w:right w:val="nil"/>
                <w:between w:val="nil"/>
              </w:pBdr>
              <w:rPr>
                <w:color w:val="000000"/>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C369E52" w14:textId="77777777" w:rsidR="00CB0062" w:rsidRPr="00641BD3" w:rsidRDefault="00CB0062" w:rsidP="00223E56">
            <w:pPr>
              <w:widowControl w:val="0"/>
              <w:pBdr>
                <w:top w:val="nil"/>
                <w:left w:val="nil"/>
                <w:bottom w:val="nil"/>
                <w:right w:val="nil"/>
                <w:between w:val="nil"/>
              </w:pBdr>
              <w:rPr>
                <w:color w:val="000000"/>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16649492" w14:textId="77777777" w:rsidR="00CB0062" w:rsidRDefault="00CB0062" w:rsidP="00223E56">
            <w:pPr>
              <w:rPr>
                <w:color w:val="000000"/>
                <w:sz w:val="16"/>
                <w:szCs w:val="16"/>
              </w:rPr>
            </w:pPr>
            <w:r>
              <w:rPr>
                <w:color w:val="000000"/>
                <w:sz w:val="16"/>
                <w:szCs w:val="16"/>
              </w:rPr>
              <w:t>rs434132</w:t>
            </w:r>
          </w:p>
        </w:tc>
        <w:tc>
          <w:tcPr>
            <w:tcW w:w="851" w:type="dxa"/>
            <w:tcBorders>
              <w:top w:val="single" w:sz="4" w:space="0" w:color="D0CECE"/>
              <w:bottom w:val="single" w:sz="4" w:space="0" w:color="D0CECE"/>
            </w:tcBorders>
            <w:tcMar>
              <w:top w:w="-113" w:type="dxa"/>
              <w:left w:w="-113" w:type="dxa"/>
              <w:bottom w:w="-113" w:type="dxa"/>
              <w:right w:w="-113" w:type="dxa"/>
            </w:tcMar>
          </w:tcPr>
          <w:p w14:paraId="2BA46448" w14:textId="77777777" w:rsidR="00CB0062" w:rsidRDefault="00CB0062" w:rsidP="00223E56">
            <w:pPr>
              <w:rPr>
                <w:color w:val="000000"/>
                <w:sz w:val="16"/>
                <w:szCs w:val="16"/>
              </w:rPr>
            </w:pPr>
            <w:r>
              <w:rPr>
                <w:color w:val="000000"/>
                <w:sz w:val="16"/>
                <w:szCs w:val="16"/>
              </w:rPr>
              <w:t>C&gt;</w:t>
            </w:r>
            <w:proofErr w:type="gramStart"/>
            <w:r>
              <w:rPr>
                <w:color w:val="000000"/>
                <w:sz w:val="16"/>
                <w:szCs w:val="16"/>
              </w:rPr>
              <w:t>G,T</w:t>
            </w:r>
            <w:proofErr w:type="gramEnd"/>
          </w:p>
        </w:tc>
        <w:tc>
          <w:tcPr>
            <w:tcW w:w="1701" w:type="dxa"/>
            <w:tcBorders>
              <w:top w:val="single" w:sz="4" w:space="0" w:color="D0CECE"/>
              <w:bottom w:val="single" w:sz="4" w:space="0" w:color="D0CECE"/>
              <w:right w:val="nil"/>
            </w:tcBorders>
            <w:shd w:val="clear" w:color="auto" w:fill="auto"/>
            <w:tcMar>
              <w:top w:w="-113" w:type="dxa"/>
              <w:left w:w="-113" w:type="dxa"/>
              <w:bottom w:w="-113" w:type="dxa"/>
              <w:right w:w="-113" w:type="dxa"/>
            </w:tcMar>
          </w:tcPr>
          <w:p w14:paraId="5CA7DD52" w14:textId="77777777" w:rsidR="00CB0062" w:rsidRDefault="00CB0062" w:rsidP="00223E56">
            <w:pPr>
              <w:rPr>
                <w:sz w:val="16"/>
                <w:szCs w:val="16"/>
              </w:rPr>
            </w:pPr>
            <w:r>
              <w:rPr>
                <w:sz w:val="16"/>
                <w:szCs w:val="16"/>
              </w:rPr>
              <w:t>2KB Upstream variant</w:t>
            </w:r>
          </w:p>
        </w:tc>
        <w:tc>
          <w:tcPr>
            <w:tcW w:w="708" w:type="dxa"/>
            <w:vMerge/>
            <w:tcBorders>
              <w:top w:val="single" w:sz="4" w:space="0" w:color="D9D9D9"/>
              <w:left w:val="nil"/>
              <w:bottom w:val="single" w:sz="4" w:space="0" w:color="D9D9D9"/>
              <w:right w:val="nil"/>
            </w:tcBorders>
            <w:tcMar>
              <w:top w:w="-113" w:type="dxa"/>
              <w:left w:w="-113" w:type="dxa"/>
              <w:bottom w:w="-113" w:type="dxa"/>
              <w:right w:w="-113" w:type="dxa"/>
            </w:tcMar>
          </w:tcPr>
          <w:p w14:paraId="2EE2715A" w14:textId="77777777" w:rsidR="00CB0062" w:rsidRDefault="00CB0062" w:rsidP="00223E56">
            <w:pPr>
              <w:widowControl w:val="0"/>
              <w:pBdr>
                <w:top w:val="nil"/>
                <w:left w:val="nil"/>
                <w:bottom w:val="nil"/>
                <w:right w:val="nil"/>
                <w:between w:val="nil"/>
              </w:pBdr>
              <w:spacing w:line="276" w:lineRule="auto"/>
              <w:rPr>
                <w:sz w:val="16"/>
                <w:szCs w:val="16"/>
              </w:rPr>
            </w:pPr>
          </w:p>
        </w:tc>
        <w:tc>
          <w:tcPr>
            <w:tcW w:w="1838" w:type="dxa"/>
            <w:vMerge/>
            <w:tcBorders>
              <w:top w:val="single" w:sz="4" w:space="0" w:color="D9D9D9"/>
              <w:left w:val="nil"/>
              <w:bottom w:val="single" w:sz="4" w:space="0" w:color="D9D9D9"/>
              <w:right w:val="single" w:sz="4" w:space="0" w:color="000000" w:themeColor="text1"/>
            </w:tcBorders>
            <w:tcMar>
              <w:top w:w="-113" w:type="dxa"/>
              <w:left w:w="-113" w:type="dxa"/>
              <w:bottom w:w="-113" w:type="dxa"/>
              <w:right w:w="-113" w:type="dxa"/>
            </w:tcMar>
          </w:tcPr>
          <w:p w14:paraId="40234603" w14:textId="77777777" w:rsidR="00CB0062" w:rsidRDefault="00CB0062" w:rsidP="00223E56">
            <w:pPr>
              <w:widowControl w:val="0"/>
              <w:pBdr>
                <w:top w:val="nil"/>
                <w:left w:val="nil"/>
                <w:bottom w:val="nil"/>
                <w:right w:val="nil"/>
                <w:between w:val="nil"/>
              </w:pBdr>
              <w:spacing w:line="276" w:lineRule="auto"/>
              <w:rPr>
                <w:sz w:val="16"/>
                <w:szCs w:val="16"/>
              </w:rPr>
            </w:pPr>
          </w:p>
        </w:tc>
      </w:tr>
      <w:tr w:rsidR="00CB0062" w14:paraId="40D99342"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9F1DF86" w14:textId="77777777" w:rsidR="00CB0062" w:rsidRDefault="00CB0062" w:rsidP="00223E56">
            <w:pPr>
              <w:widowControl w:val="0"/>
              <w:pBdr>
                <w:top w:val="nil"/>
                <w:left w:val="nil"/>
                <w:bottom w:val="nil"/>
                <w:right w:val="nil"/>
                <w:between w:val="nil"/>
              </w:pBdr>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F18C563" w14:textId="77777777" w:rsidR="00CB0062" w:rsidRDefault="00CB0062" w:rsidP="00223E56">
            <w:pPr>
              <w:widowControl w:val="0"/>
              <w:pBdr>
                <w:top w:val="nil"/>
                <w:left w:val="nil"/>
                <w:bottom w:val="nil"/>
                <w:right w:val="nil"/>
                <w:between w:val="nil"/>
              </w:pBdr>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1459392A" w14:textId="77777777" w:rsidR="00CB0062" w:rsidRDefault="00CB0062" w:rsidP="00223E56">
            <w:pPr>
              <w:rPr>
                <w:color w:val="000000"/>
                <w:sz w:val="16"/>
                <w:szCs w:val="16"/>
              </w:rPr>
            </w:pPr>
            <w:r>
              <w:rPr>
                <w:color w:val="000000"/>
                <w:sz w:val="16"/>
                <w:szCs w:val="16"/>
              </w:rPr>
              <w:t>rs435380</w:t>
            </w:r>
          </w:p>
        </w:tc>
        <w:tc>
          <w:tcPr>
            <w:tcW w:w="851" w:type="dxa"/>
            <w:tcBorders>
              <w:top w:val="single" w:sz="4" w:space="0" w:color="D0CECE"/>
              <w:bottom w:val="single" w:sz="4" w:space="0" w:color="D0CECE"/>
            </w:tcBorders>
            <w:tcMar>
              <w:top w:w="-113" w:type="dxa"/>
              <w:left w:w="-113" w:type="dxa"/>
              <w:bottom w:w="-113" w:type="dxa"/>
              <w:right w:w="-113" w:type="dxa"/>
            </w:tcMar>
          </w:tcPr>
          <w:p w14:paraId="3DF2BDB3" w14:textId="77777777" w:rsidR="00CB0062" w:rsidRDefault="00CB0062" w:rsidP="00223E56">
            <w:pPr>
              <w:rPr>
                <w:color w:val="000000"/>
                <w:sz w:val="16"/>
                <w:szCs w:val="16"/>
              </w:rPr>
            </w:pPr>
            <w:r>
              <w:rPr>
                <w:color w:val="000000"/>
                <w:sz w:val="16"/>
                <w:szCs w:val="16"/>
              </w:rPr>
              <w:t>G&gt;A</w:t>
            </w:r>
          </w:p>
        </w:tc>
        <w:tc>
          <w:tcPr>
            <w:tcW w:w="1701" w:type="dxa"/>
            <w:tcBorders>
              <w:top w:val="single" w:sz="4" w:space="0" w:color="D0CECE"/>
              <w:bottom w:val="single" w:sz="4" w:space="0" w:color="D0CECE"/>
              <w:right w:val="nil"/>
            </w:tcBorders>
            <w:shd w:val="clear" w:color="auto" w:fill="auto"/>
            <w:tcMar>
              <w:top w:w="-113" w:type="dxa"/>
              <w:left w:w="-113" w:type="dxa"/>
              <w:bottom w:w="-113" w:type="dxa"/>
              <w:right w:w="-113" w:type="dxa"/>
            </w:tcMar>
          </w:tcPr>
          <w:p w14:paraId="246453C5" w14:textId="77777777" w:rsidR="00CB0062" w:rsidRDefault="00CB0062" w:rsidP="00223E56">
            <w:pPr>
              <w:rPr>
                <w:sz w:val="16"/>
                <w:szCs w:val="16"/>
              </w:rPr>
            </w:pPr>
            <w:r>
              <w:rPr>
                <w:sz w:val="16"/>
                <w:szCs w:val="16"/>
              </w:rPr>
              <w:t>2KB Upstream variant</w:t>
            </w:r>
          </w:p>
        </w:tc>
        <w:tc>
          <w:tcPr>
            <w:tcW w:w="708" w:type="dxa"/>
            <w:vMerge/>
            <w:tcBorders>
              <w:top w:val="single" w:sz="4" w:space="0" w:color="D9D9D9"/>
              <w:left w:val="nil"/>
              <w:bottom w:val="single" w:sz="4" w:space="0" w:color="D9D9D9"/>
              <w:right w:val="nil"/>
            </w:tcBorders>
            <w:tcMar>
              <w:top w:w="-113" w:type="dxa"/>
              <w:left w:w="-113" w:type="dxa"/>
              <w:bottom w:w="-113" w:type="dxa"/>
              <w:right w:w="-113" w:type="dxa"/>
            </w:tcMar>
          </w:tcPr>
          <w:p w14:paraId="37EE7AF1" w14:textId="77777777" w:rsidR="00CB0062" w:rsidRDefault="00CB0062" w:rsidP="00223E56">
            <w:pPr>
              <w:widowControl w:val="0"/>
              <w:pBdr>
                <w:top w:val="nil"/>
                <w:left w:val="nil"/>
                <w:bottom w:val="nil"/>
                <w:right w:val="nil"/>
                <w:between w:val="nil"/>
              </w:pBdr>
              <w:spacing w:line="276" w:lineRule="auto"/>
              <w:rPr>
                <w:sz w:val="16"/>
                <w:szCs w:val="16"/>
              </w:rPr>
            </w:pPr>
          </w:p>
        </w:tc>
        <w:tc>
          <w:tcPr>
            <w:tcW w:w="1838" w:type="dxa"/>
            <w:vMerge/>
            <w:tcBorders>
              <w:top w:val="single" w:sz="4" w:space="0" w:color="D9D9D9"/>
              <w:left w:val="nil"/>
              <w:bottom w:val="single" w:sz="4" w:space="0" w:color="D9D9D9"/>
              <w:right w:val="single" w:sz="4" w:space="0" w:color="000000" w:themeColor="text1"/>
            </w:tcBorders>
            <w:tcMar>
              <w:top w:w="-113" w:type="dxa"/>
              <w:left w:w="-113" w:type="dxa"/>
              <w:bottom w:w="-113" w:type="dxa"/>
              <w:right w:w="-113" w:type="dxa"/>
            </w:tcMar>
          </w:tcPr>
          <w:p w14:paraId="52EF493D" w14:textId="77777777" w:rsidR="00CB0062" w:rsidRDefault="00CB0062" w:rsidP="00223E56">
            <w:pPr>
              <w:widowControl w:val="0"/>
              <w:pBdr>
                <w:top w:val="nil"/>
                <w:left w:val="nil"/>
                <w:bottom w:val="nil"/>
                <w:right w:val="nil"/>
                <w:between w:val="nil"/>
              </w:pBdr>
              <w:spacing w:line="276" w:lineRule="auto"/>
              <w:rPr>
                <w:sz w:val="16"/>
                <w:szCs w:val="16"/>
              </w:rPr>
            </w:pPr>
          </w:p>
        </w:tc>
      </w:tr>
      <w:tr w:rsidR="00CB0062" w14:paraId="6F1CF18D"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5F32C9B" w14:textId="77777777" w:rsidR="00CB0062" w:rsidRDefault="00CB0062" w:rsidP="00223E56">
            <w:pPr>
              <w:widowControl w:val="0"/>
              <w:pBdr>
                <w:top w:val="nil"/>
                <w:left w:val="nil"/>
                <w:bottom w:val="nil"/>
                <w:right w:val="nil"/>
                <w:between w:val="nil"/>
              </w:pBdr>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D032A27" w14:textId="77777777" w:rsidR="00CB0062" w:rsidRDefault="00CB0062" w:rsidP="00223E56">
            <w:pPr>
              <w:widowControl w:val="0"/>
              <w:pBdr>
                <w:top w:val="nil"/>
                <w:left w:val="nil"/>
                <w:bottom w:val="nil"/>
                <w:right w:val="nil"/>
                <w:between w:val="nil"/>
              </w:pBdr>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D74C69A" w14:textId="77777777" w:rsidR="00CB0062" w:rsidRDefault="00CB0062" w:rsidP="00223E56">
            <w:pPr>
              <w:rPr>
                <w:color w:val="000000"/>
                <w:sz w:val="16"/>
                <w:szCs w:val="16"/>
              </w:rPr>
            </w:pPr>
            <w:r>
              <w:rPr>
                <w:color w:val="000000"/>
                <w:sz w:val="16"/>
                <w:szCs w:val="16"/>
              </w:rPr>
              <w:t>rs446037</w:t>
            </w:r>
          </w:p>
        </w:tc>
        <w:tc>
          <w:tcPr>
            <w:tcW w:w="851" w:type="dxa"/>
            <w:tcBorders>
              <w:top w:val="single" w:sz="4" w:space="0" w:color="D0CECE"/>
              <w:bottom w:val="single" w:sz="4" w:space="0" w:color="D0CECE"/>
            </w:tcBorders>
            <w:tcMar>
              <w:top w:w="-113" w:type="dxa"/>
              <w:left w:w="-113" w:type="dxa"/>
              <w:bottom w:w="-113" w:type="dxa"/>
              <w:right w:w="-113" w:type="dxa"/>
            </w:tcMar>
          </w:tcPr>
          <w:p w14:paraId="13F3D0C6" w14:textId="77777777" w:rsidR="00CB0062" w:rsidRDefault="00CB0062" w:rsidP="00223E56">
            <w:pPr>
              <w:rPr>
                <w:color w:val="000000"/>
                <w:sz w:val="16"/>
                <w:szCs w:val="16"/>
              </w:rPr>
            </w:pPr>
            <w:r>
              <w:rPr>
                <w:color w:val="000000"/>
                <w:sz w:val="16"/>
                <w:szCs w:val="16"/>
              </w:rPr>
              <w:t>G&gt;T</w:t>
            </w:r>
          </w:p>
        </w:tc>
        <w:tc>
          <w:tcPr>
            <w:tcW w:w="1701" w:type="dxa"/>
            <w:tcBorders>
              <w:top w:val="single" w:sz="4" w:space="0" w:color="D0CECE"/>
              <w:bottom w:val="single" w:sz="4" w:space="0" w:color="D0CECE"/>
              <w:right w:val="nil"/>
            </w:tcBorders>
            <w:shd w:val="clear" w:color="auto" w:fill="auto"/>
            <w:tcMar>
              <w:top w:w="-113" w:type="dxa"/>
              <w:left w:w="-113" w:type="dxa"/>
              <w:bottom w:w="-113" w:type="dxa"/>
              <w:right w:w="-113" w:type="dxa"/>
            </w:tcMar>
          </w:tcPr>
          <w:p w14:paraId="0B9CF2B5" w14:textId="77777777" w:rsidR="00CB0062" w:rsidRDefault="00CB0062" w:rsidP="00223E56">
            <w:pPr>
              <w:rPr>
                <w:sz w:val="16"/>
                <w:szCs w:val="16"/>
              </w:rPr>
            </w:pPr>
            <w:r>
              <w:rPr>
                <w:sz w:val="16"/>
                <w:szCs w:val="16"/>
              </w:rPr>
              <w:t>2KB Upstream variant</w:t>
            </w:r>
          </w:p>
        </w:tc>
        <w:tc>
          <w:tcPr>
            <w:tcW w:w="708" w:type="dxa"/>
            <w:vMerge/>
            <w:tcBorders>
              <w:top w:val="single" w:sz="4" w:space="0" w:color="D9D9D9"/>
              <w:left w:val="nil"/>
              <w:bottom w:val="single" w:sz="4" w:space="0" w:color="D9D9D9"/>
              <w:right w:val="nil"/>
            </w:tcBorders>
            <w:tcMar>
              <w:top w:w="-113" w:type="dxa"/>
              <w:left w:w="-113" w:type="dxa"/>
              <w:bottom w:w="-113" w:type="dxa"/>
              <w:right w:w="-113" w:type="dxa"/>
            </w:tcMar>
          </w:tcPr>
          <w:p w14:paraId="1F17B4C4" w14:textId="77777777" w:rsidR="00CB0062" w:rsidRDefault="00CB0062" w:rsidP="00223E56">
            <w:pPr>
              <w:widowControl w:val="0"/>
              <w:pBdr>
                <w:top w:val="nil"/>
                <w:left w:val="nil"/>
                <w:bottom w:val="nil"/>
                <w:right w:val="nil"/>
                <w:between w:val="nil"/>
              </w:pBdr>
              <w:spacing w:line="276" w:lineRule="auto"/>
              <w:rPr>
                <w:sz w:val="16"/>
                <w:szCs w:val="16"/>
              </w:rPr>
            </w:pPr>
          </w:p>
        </w:tc>
        <w:tc>
          <w:tcPr>
            <w:tcW w:w="1838" w:type="dxa"/>
            <w:vMerge/>
            <w:tcBorders>
              <w:top w:val="single" w:sz="4" w:space="0" w:color="D9D9D9"/>
              <w:left w:val="nil"/>
              <w:bottom w:val="single" w:sz="4" w:space="0" w:color="D9D9D9"/>
              <w:right w:val="single" w:sz="4" w:space="0" w:color="000000" w:themeColor="text1"/>
            </w:tcBorders>
            <w:tcMar>
              <w:top w:w="-113" w:type="dxa"/>
              <w:left w:w="-113" w:type="dxa"/>
              <w:bottom w:w="-113" w:type="dxa"/>
              <w:right w:w="-113" w:type="dxa"/>
            </w:tcMar>
          </w:tcPr>
          <w:p w14:paraId="6B7E80B8" w14:textId="77777777" w:rsidR="00CB0062" w:rsidRDefault="00CB0062" w:rsidP="00223E56">
            <w:pPr>
              <w:widowControl w:val="0"/>
              <w:pBdr>
                <w:top w:val="nil"/>
                <w:left w:val="nil"/>
                <w:bottom w:val="nil"/>
                <w:right w:val="nil"/>
                <w:between w:val="nil"/>
              </w:pBdr>
              <w:spacing w:line="276" w:lineRule="auto"/>
              <w:rPr>
                <w:sz w:val="16"/>
                <w:szCs w:val="16"/>
              </w:rPr>
            </w:pPr>
          </w:p>
        </w:tc>
      </w:tr>
      <w:tr w:rsidR="00CB0062" w14:paraId="5B715F7F"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46B9ED7" w14:textId="77777777" w:rsidR="00CB0062" w:rsidRDefault="00CB0062" w:rsidP="00223E56">
            <w:pPr>
              <w:widowControl w:val="0"/>
              <w:pBdr>
                <w:top w:val="nil"/>
                <w:left w:val="nil"/>
                <w:bottom w:val="nil"/>
                <w:right w:val="nil"/>
                <w:between w:val="nil"/>
              </w:pBdr>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FB9783E" w14:textId="77777777" w:rsidR="00CB0062" w:rsidRDefault="00CB0062" w:rsidP="00223E56">
            <w:pPr>
              <w:widowControl w:val="0"/>
              <w:pBdr>
                <w:top w:val="nil"/>
                <w:left w:val="nil"/>
                <w:bottom w:val="nil"/>
                <w:right w:val="nil"/>
                <w:between w:val="nil"/>
              </w:pBdr>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946D012" w14:textId="77777777" w:rsidR="00CB0062" w:rsidRDefault="00CB0062" w:rsidP="00223E56">
            <w:pPr>
              <w:rPr>
                <w:color w:val="000000"/>
                <w:sz w:val="16"/>
                <w:szCs w:val="16"/>
              </w:rPr>
            </w:pPr>
            <w:r>
              <w:rPr>
                <w:color w:val="000000"/>
                <w:sz w:val="16"/>
                <w:szCs w:val="16"/>
              </w:rPr>
              <w:t>rs7256173</w:t>
            </w:r>
          </w:p>
        </w:tc>
        <w:tc>
          <w:tcPr>
            <w:tcW w:w="851" w:type="dxa"/>
            <w:tcBorders>
              <w:top w:val="single" w:sz="4" w:space="0" w:color="D0CECE"/>
              <w:bottom w:val="single" w:sz="4" w:space="0" w:color="D0CECE"/>
            </w:tcBorders>
            <w:tcMar>
              <w:top w:w="-113" w:type="dxa"/>
              <w:left w:w="-113" w:type="dxa"/>
              <w:bottom w:w="-113" w:type="dxa"/>
              <w:right w:w="-113" w:type="dxa"/>
            </w:tcMar>
          </w:tcPr>
          <w:p w14:paraId="6CA90B71" w14:textId="77777777" w:rsidR="00CB0062" w:rsidRDefault="00CB0062" w:rsidP="00223E56">
            <w:pPr>
              <w:rPr>
                <w:color w:val="000000"/>
                <w:sz w:val="16"/>
                <w:szCs w:val="16"/>
              </w:rPr>
            </w:pPr>
            <w:r>
              <w:rPr>
                <w:color w:val="000000"/>
                <w:sz w:val="16"/>
                <w:szCs w:val="16"/>
              </w:rPr>
              <w:t>C&gt;T</w:t>
            </w:r>
          </w:p>
        </w:tc>
        <w:tc>
          <w:tcPr>
            <w:tcW w:w="1701" w:type="dxa"/>
            <w:tcBorders>
              <w:top w:val="single" w:sz="4" w:space="0" w:color="D0CECE"/>
              <w:bottom w:val="single" w:sz="4" w:space="0" w:color="D0CECE"/>
              <w:right w:val="nil"/>
            </w:tcBorders>
            <w:shd w:val="clear" w:color="auto" w:fill="auto"/>
            <w:tcMar>
              <w:top w:w="-113" w:type="dxa"/>
              <w:left w:w="-113" w:type="dxa"/>
              <w:bottom w:w="-113" w:type="dxa"/>
              <w:right w:w="-113" w:type="dxa"/>
            </w:tcMar>
          </w:tcPr>
          <w:p w14:paraId="2C28E424" w14:textId="77777777" w:rsidR="00CB0062" w:rsidRDefault="00CB0062" w:rsidP="00223E56">
            <w:pPr>
              <w:rPr>
                <w:sz w:val="16"/>
                <w:szCs w:val="16"/>
              </w:rPr>
            </w:pPr>
            <w:r>
              <w:rPr>
                <w:sz w:val="16"/>
                <w:szCs w:val="16"/>
              </w:rPr>
              <w:t>2KB Upstream variant</w:t>
            </w:r>
          </w:p>
        </w:tc>
        <w:tc>
          <w:tcPr>
            <w:tcW w:w="708" w:type="dxa"/>
            <w:vMerge/>
            <w:tcBorders>
              <w:top w:val="single" w:sz="4" w:space="0" w:color="D9D9D9"/>
              <w:left w:val="nil"/>
              <w:bottom w:val="single" w:sz="4" w:space="0" w:color="D9D9D9"/>
              <w:right w:val="nil"/>
            </w:tcBorders>
            <w:tcMar>
              <w:top w:w="-113" w:type="dxa"/>
              <w:left w:w="-113" w:type="dxa"/>
              <w:bottom w:w="-113" w:type="dxa"/>
              <w:right w:w="-113" w:type="dxa"/>
            </w:tcMar>
          </w:tcPr>
          <w:p w14:paraId="37C4F6BF" w14:textId="77777777" w:rsidR="00CB0062" w:rsidRDefault="00CB0062" w:rsidP="00223E56">
            <w:pPr>
              <w:widowControl w:val="0"/>
              <w:pBdr>
                <w:top w:val="nil"/>
                <w:left w:val="nil"/>
                <w:bottom w:val="nil"/>
                <w:right w:val="nil"/>
                <w:between w:val="nil"/>
              </w:pBdr>
              <w:spacing w:line="276" w:lineRule="auto"/>
              <w:rPr>
                <w:sz w:val="16"/>
                <w:szCs w:val="16"/>
              </w:rPr>
            </w:pPr>
          </w:p>
        </w:tc>
        <w:tc>
          <w:tcPr>
            <w:tcW w:w="1838" w:type="dxa"/>
            <w:vMerge/>
            <w:tcBorders>
              <w:top w:val="single" w:sz="4" w:space="0" w:color="D9D9D9"/>
              <w:left w:val="nil"/>
              <w:bottom w:val="single" w:sz="4" w:space="0" w:color="D9D9D9"/>
              <w:right w:val="single" w:sz="4" w:space="0" w:color="000000" w:themeColor="text1"/>
            </w:tcBorders>
            <w:tcMar>
              <w:top w:w="-113" w:type="dxa"/>
              <w:left w:w="-113" w:type="dxa"/>
              <w:bottom w:w="-113" w:type="dxa"/>
              <w:right w:w="-113" w:type="dxa"/>
            </w:tcMar>
          </w:tcPr>
          <w:p w14:paraId="1A3AC3AC" w14:textId="77777777" w:rsidR="00CB0062" w:rsidRDefault="00CB0062" w:rsidP="00223E56">
            <w:pPr>
              <w:widowControl w:val="0"/>
              <w:pBdr>
                <w:top w:val="nil"/>
                <w:left w:val="nil"/>
                <w:bottom w:val="nil"/>
                <w:right w:val="nil"/>
                <w:between w:val="nil"/>
              </w:pBdr>
              <w:spacing w:line="276" w:lineRule="auto"/>
              <w:rPr>
                <w:sz w:val="16"/>
                <w:szCs w:val="16"/>
              </w:rPr>
            </w:pPr>
          </w:p>
        </w:tc>
      </w:tr>
      <w:tr w:rsidR="00CB0062" w14:paraId="728A63E9"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76965F4" w14:textId="77777777" w:rsidR="00CB0062" w:rsidRDefault="00CB0062" w:rsidP="00223E56">
            <w:pPr>
              <w:widowControl w:val="0"/>
              <w:pBdr>
                <w:top w:val="nil"/>
                <w:left w:val="nil"/>
                <w:bottom w:val="nil"/>
                <w:right w:val="nil"/>
                <w:between w:val="nil"/>
              </w:pBdr>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178FAD0" w14:textId="77777777" w:rsidR="00CB0062" w:rsidRDefault="00CB0062" w:rsidP="00223E56">
            <w:pPr>
              <w:widowControl w:val="0"/>
              <w:pBdr>
                <w:top w:val="nil"/>
                <w:left w:val="nil"/>
                <w:bottom w:val="nil"/>
                <w:right w:val="nil"/>
                <w:between w:val="nil"/>
              </w:pBdr>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693AC7BD" w14:textId="77777777" w:rsidR="00CB0062" w:rsidRDefault="00CB0062" w:rsidP="00223E56">
            <w:pPr>
              <w:rPr>
                <w:color w:val="000000"/>
                <w:sz w:val="16"/>
                <w:szCs w:val="16"/>
              </w:rPr>
            </w:pPr>
            <w:r>
              <w:rPr>
                <w:color w:val="000000"/>
                <w:sz w:val="16"/>
                <w:szCs w:val="16"/>
              </w:rPr>
              <w:t>rs7259620</w:t>
            </w:r>
          </w:p>
        </w:tc>
        <w:tc>
          <w:tcPr>
            <w:tcW w:w="851" w:type="dxa"/>
            <w:tcBorders>
              <w:top w:val="single" w:sz="4" w:space="0" w:color="D0CECE"/>
              <w:bottom w:val="single" w:sz="4" w:space="0" w:color="D0CECE"/>
            </w:tcBorders>
            <w:tcMar>
              <w:top w:w="-113" w:type="dxa"/>
              <w:left w:w="-113" w:type="dxa"/>
              <w:bottom w:w="-113" w:type="dxa"/>
              <w:right w:w="-113" w:type="dxa"/>
            </w:tcMar>
          </w:tcPr>
          <w:p w14:paraId="0F0D971F" w14:textId="77777777" w:rsidR="00CB0062" w:rsidRDefault="00CB0062" w:rsidP="00223E56">
            <w:pPr>
              <w:rPr>
                <w:color w:val="000000"/>
                <w:sz w:val="16"/>
                <w:szCs w:val="16"/>
              </w:rPr>
            </w:pPr>
            <w:r>
              <w:rPr>
                <w:color w:val="000000"/>
                <w:sz w:val="16"/>
                <w:szCs w:val="16"/>
              </w:rPr>
              <w:t>G&gt;</w:t>
            </w:r>
            <w:proofErr w:type="gramStart"/>
            <w:r>
              <w:rPr>
                <w:color w:val="000000"/>
                <w:sz w:val="16"/>
                <w:szCs w:val="16"/>
              </w:rPr>
              <w:t>A,C</w:t>
            </w:r>
            <w:proofErr w:type="gramEnd"/>
          </w:p>
        </w:tc>
        <w:tc>
          <w:tcPr>
            <w:tcW w:w="1701" w:type="dxa"/>
            <w:tcBorders>
              <w:top w:val="single" w:sz="4" w:space="0" w:color="D0CECE"/>
              <w:bottom w:val="single" w:sz="4" w:space="0" w:color="D0CECE"/>
              <w:right w:val="nil"/>
            </w:tcBorders>
            <w:shd w:val="clear" w:color="auto" w:fill="auto"/>
            <w:tcMar>
              <w:top w:w="-113" w:type="dxa"/>
              <w:left w:w="-113" w:type="dxa"/>
              <w:bottom w:w="-113" w:type="dxa"/>
              <w:right w:w="-113" w:type="dxa"/>
            </w:tcMar>
          </w:tcPr>
          <w:p w14:paraId="176B4499" w14:textId="77777777" w:rsidR="00CB0062" w:rsidRDefault="00CB0062" w:rsidP="00223E56">
            <w:pPr>
              <w:rPr>
                <w:sz w:val="16"/>
                <w:szCs w:val="16"/>
              </w:rPr>
            </w:pPr>
            <w:r>
              <w:rPr>
                <w:sz w:val="16"/>
                <w:szCs w:val="16"/>
              </w:rPr>
              <w:t>2KB Upstream variant</w:t>
            </w:r>
          </w:p>
        </w:tc>
        <w:tc>
          <w:tcPr>
            <w:tcW w:w="708" w:type="dxa"/>
            <w:vMerge/>
            <w:tcBorders>
              <w:top w:val="single" w:sz="4" w:space="0" w:color="D9D9D9"/>
              <w:left w:val="nil"/>
              <w:bottom w:val="single" w:sz="4" w:space="0" w:color="D9D9D9"/>
              <w:right w:val="nil"/>
            </w:tcBorders>
            <w:tcMar>
              <w:top w:w="-113" w:type="dxa"/>
              <w:left w:w="-113" w:type="dxa"/>
              <w:bottom w:w="-113" w:type="dxa"/>
              <w:right w:w="-113" w:type="dxa"/>
            </w:tcMar>
          </w:tcPr>
          <w:p w14:paraId="09336E3D" w14:textId="77777777" w:rsidR="00CB0062" w:rsidRDefault="00CB0062" w:rsidP="00223E56">
            <w:pPr>
              <w:widowControl w:val="0"/>
              <w:pBdr>
                <w:top w:val="nil"/>
                <w:left w:val="nil"/>
                <w:bottom w:val="nil"/>
                <w:right w:val="nil"/>
                <w:between w:val="nil"/>
              </w:pBdr>
              <w:spacing w:line="276" w:lineRule="auto"/>
              <w:rPr>
                <w:sz w:val="16"/>
                <w:szCs w:val="16"/>
              </w:rPr>
            </w:pPr>
          </w:p>
        </w:tc>
        <w:tc>
          <w:tcPr>
            <w:tcW w:w="1838" w:type="dxa"/>
            <w:vMerge/>
            <w:tcBorders>
              <w:top w:val="single" w:sz="4" w:space="0" w:color="D9D9D9"/>
              <w:left w:val="nil"/>
              <w:bottom w:val="single" w:sz="4" w:space="0" w:color="D9D9D9"/>
              <w:right w:val="single" w:sz="4" w:space="0" w:color="000000" w:themeColor="text1"/>
            </w:tcBorders>
            <w:tcMar>
              <w:top w:w="-113" w:type="dxa"/>
              <w:left w:w="-113" w:type="dxa"/>
              <w:bottom w:w="-113" w:type="dxa"/>
              <w:right w:w="-113" w:type="dxa"/>
            </w:tcMar>
          </w:tcPr>
          <w:p w14:paraId="1518C6AC" w14:textId="77777777" w:rsidR="00CB0062" w:rsidRDefault="00CB0062" w:rsidP="00223E56">
            <w:pPr>
              <w:widowControl w:val="0"/>
              <w:pBdr>
                <w:top w:val="nil"/>
                <w:left w:val="nil"/>
                <w:bottom w:val="nil"/>
                <w:right w:val="nil"/>
                <w:between w:val="nil"/>
              </w:pBdr>
              <w:spacing w:line="276" w:lineRule="auto"/>
              <w:rPr>
                <w:sz w:val="16"/>
                <w:szCs w:val="16"/>
              </w:rPr>
            </w:pPr>
          </w:p>
        </w:tc>
      </w:tr>
      <w:tr w:rsidR="00CB0062" w14:paraId="09BB3D0E"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227E106" w14:textId="77777777" w:rsidR="00CB0062" w:rsidRDefault="00CB0062" w:rsidP="00223E56">
            <w:pPr>
              <w:widowControl w:val="0"/>
              <w:pBdr>
                <w:top w:val="nil"/>
                <w:left w:val="nil"/>
                <w:bottom w:val="nil"/>
                <w:right w:val="nil"/>
                <w:between w:val="nil"/>
              </w:pBdr>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EF074EE" w14:textId="77777777" w:rsidR="00CB0062" w:rsidRDefault="00CB0062" w:rsidP="00223E56">
            <w:pPr>
              <w:widowControl w:val="0"/>
              <w:pBdr>
                <w:top w:val="nil"/>
                <w:left w:val="nil"/>
                <w:bottom w:val="nil"/>
                <w:right w:val="nil"/>
                <w:between w:val="nil"/>
              </w:pBdr>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9C28875" w14:textId="77777777" w:rsidR="00CB0062" w:rsidRDefault="00CB0062" w:rsidP="00223E56">
            <w:pPr>
              <w:rPr>
                <w:color w:val="000000"/>
                <w:sz w:val="16"/>
                <w:szCs w:val="16"/>
              </w:rPr>
            </w:pPr>
            <w:r>
              <w:rPr>
                <w:color w:val="000000"/>
                <w:sz w:val="16"/>
                <w:szCs w:val="16"/>
              </w:rPr>
              <w:t>rs769445</w:t>
            </w:r>
          </w:p>
        </w:tc>
        <w:tc>
          <w:tcPr>
            <w:tcW w:w="851" w:type="dxa"/>
            <w:tcBorders>
              <w:top w:val="single" w:sz="4" w:space="0" w:color="D0CECE"/>
              <w:bottom w:val="single" w:sz="4" w:space="0" w:color="D0CECE"/>
            </w:tcBorders>
            <w:tcMar>
              <w:top w:w="-113" w:type="dxa"/>
              <w:left w:w="-113" w:type="dxa"/>
              <w:bottom w:w="-113" w:type="dxa"/>
              <w:right w:w="-113" w:type="dxa"/>
            </w:tcMar>
          </w:tcPr>
          <w:p w14:paraId="76F9BA9B" w14:textId="77777777" w:rsidR="00CB0062" w:rsidRDefault="00CB0062" w:rsidP="00223E56">
            <w:pPr>
              <w:rPr>
                <w:color w:val="000000"/>
                <w:sz w:val="16"/>
                <w:szCs w:val="16"/>
              </w:rPr>
            </w:pPr>
            <w:r>
              <w:rPr>
                <w:color w:val="000000"/>
                <w:sz w:val="16"/>
                <w:szCs w:val="16"/>
              </w:rPr>
              <w:t>C&gt;T</w:t>
            </w:r>
          </w:p>
        </w:tc>
        <w:tc>
          <w:tcPr>
            <w:tcW w:w="1701" w:type="dxa"/>
            <w:tcBorders>
              <w:top w:val="single" w:sz="4" w:space="0" w:color="D0CECE"/>
              <w:bottom w:val="single" w:sz="4" w:space="0" w:color="D0CECE"/>
              <w:right w:val="nil"/>
            </w:tcBorders>
            <w:shd w:val="clear" w:color="auto" w:fill="auto"/>
            <w:tcMar>
              <w:top w:w="-113" w:type="dxa"/>
              <w:left w:w="-113" w:type="dxa"/>
              <w:bottom w:w="-113" w:type="dxa"/>
              <w:right w:w="-113" w:type="dxa"/>
            </w:tcMar>
          </w:tcPr>
          <w:p w14:paraId="6578BECC" w14:textId="77777777" w:rsidR="00CB0062" w:rsidRDefault="00CB0062" w:rsidP="00223E56">
            <w:pPr>
              <w:rPr>
                <w:sz w:val="16"/>
                <w:szCs w:val="16"/>
              </w:rPr>
            </w:pPr>
            <w:r>
              <w:rPr>
                <w:sz w:val="16"/>
                <w:szCs w:val="16"/>
              </w:rPr>
              <w:t>2KB Upstream variant</w:t>
            </w:r>
          </w:p>
        </w:tc>
        <w:tc>
          <w:tcPr>
            <w:tcW w:w="708" w:type="dxa"/>
            <w:vMerge/>
            <w:tcBorders>
              <w:top w:val="single" w:sz="4" w:space="0" w:color="D9D9D9"/>
              <w:left w:val="nil"/>
              <w:bottom w:val="single" w:sz="4" w:space="0" w:color="D9D9D9"/>
              <w:right w:val="nil"/>
            </w:tcBorders>
            <w:tcMar>
              <w:top w:w="-113" w:type="dxa"/>
              <w:left w:w="-113" w:type="dxa"/>
              <w:bottom w:w="-113" w:type="dxa"/>
              <w:right w:w="-113" w:type="dxa"/>
            </w:tcMar>
          </w:tcPr>
          <w:p w14:paraId="643C86ED" w14:textId="77777777" w:rsidR="00CB0062" w:rsidRDefault="00CB0062" w:rsidP="00223E56">
            <w:pPr>
              <w:widowControl w:val="0"/>
              <w:pBdr>
                <w:top w:val="nil"/>
                <w:left w:val="nil"/>
                <w:bottom w:val="nil"/>
                <w:right w:val="nil"/>
                <w:between w:val="nil"/>
              </w:pBdr>
              <w:spacing w:line="276" w:lineRule="auto"/>
              <w:rPr>
                <w:sz w:val="16"/>
                <w:szCs w:val="16"/>
              </w:rPr>
            </w:pPr>
          </w:p>
        </w:tc>
        <w:tc>
          <w:tcPr>
            <w:tcW w:w="1838" w:type="dxa"/>
            <w:vMerge/>
            <w:tcBorders>
              <w:top w:val="single" w:sz="4" w:space="0" w:color="D9D9D9"/>
              <w:left w:val="nil"/>
              <w:bottom w:val="single" w:sz="4" w:space="0" w:color="D9D9D9"/>
              <w:right w:val="single" w:sz="4" w:space="0" w:color="000000" w:themeColor="text1"/>
            </w:tcBorders>
            <w:tcMar>
              <w:top w:w="-113" w:type="dxa"/>
              <w:left w:w="-113" w:type="dxa"/>
              <w:bottom w:w="-113" w:type="dxa"/>
              <w:right w:w="-113" w:type="dxa"/>
            </w:tcMar>
          </w:tcPr>
          <w:p w14:paraId="011124BE" w14:textId="77777777" w:rsidR="00CB0062" w:rsidRDefault="00CB0062" w:rsidP="00223E56">
            <w:pPr>
              <w:widowControl w:val="0"/>
              <w:pBdr>
                <w:top w:val="nil"/>
                <w:left w:val="nil"/>
                <w:bottom w:val="nil"/>
                <w:right w:val="nil"/>
                <w:between w:val="nil"/>
              </w:pBdr>
              <w:spacing w:line="276" w:lineRule="auto"/>
              <w:rPr>
                <w:sz w:val="16"/>
                <w:szCs w:val="16"/>
              </w:rPr>
            </w:pPr>
          </w:p>
        </w:tc>
      </w:tr>
      <w:tr w:rsidR="00CB0062" w14:paraId="3FC7207B"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F22061F" w14:textId="77777777" w:rsidR="00CB0062" w:rsidRDefault="00CB0062" w:rsidP="00223E56">
            <w:pPr>
              <w:widowControl w:val="0"/>
              <w:pBdr>
                <w:top w:val="nil"/>
                <w:left w:val="nil"/>
                <w:bottom w:val="nil"/>
                <w:right w:val="nil"/>
                <w:between w:val="nil"/>
              </w:pBdr>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751B5E9" w14:textId="77777777" w:rsidR="00CB0062" w:rsidRDefault="00CB0062" w:rsidP="00223E56">
            <w:pPr>
              <w:widowControl w:val="0"/>
              <w:pBdr>
                <w:top w:val="nil"/>
                <w:left w:val="nil"/>
                <w:bottom w:val="nil"/>
                <w:right w:val="nil"/>
                <w:between w:val="nil"/>
              </w:pBdr>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64BC50E2" w14:textId="77777777" w:rsidR="00CB0062" w:rsidRDefault="00CB0062" w:rsidP="00223E56">
            <w:pPr>
              <w:rPr>
                <w:color w:val="000000"/>
                <w:sz w:val="16"/>
                <w:szCs w:val="16"/>
              </w:rPr>
            </w:pPr>
            <w:r>
              <w:rPr>
                <w:color w:val="000000"/>
                <w:sz w:val="16"/>
                <w:szCs w:val="16"/>
              </w:rPr>
              <w:t>rs769451</w:t>
            </w:r>
          </w:p>
        </w:tc>
        <w:tc>
          <w:tcPr>
            <w:tcW w:w="851" w:type="dxa"/>
            <w:tcBorders>
              <w:top w:val="single" w:sz="4" w:space="0" w:color="D0CECE"/>
              <w:bottom w:val="single" w:sz="4" w:space="0" w:color="D0CECE"/>
            </w:tcBorders>
            <w:tcMar>
              <w:top w:w="-113" w:type="dxa"/>
              <w:left w:w="-113" w:type="dxa"/>
              <w:bottom w:w="-113" w:type="dxa"/>
              <w:right w:w="-113" w:type="dxa"/>
            </w:tcMar>
          </w:tcPr>
          <w:p w14:paraId="2777D282" w14:textId="77777777" w:rsidR="00CB0062" w:rsidRDefault="00CB0062" w:rsidP="00223E56">
            <w:pPr>
              <w:rPr>
                <w:color w:val="000000"/>
                <w:sz w:val="16"/>
                <w:szCs w:val="16"/>
              </w:rPr>
            </w:pPr>
            <w:r>
              <w:rPr>
                <w:color w:val="000000"/>
                <w:sz w:val="16"/>
                <w:szCs w:val="16"/>
              </w:rPr>
              <w:t>T&gt;G</w:t>
            </w:r>
          </w:p>
        </w:tc>
        <w:tc>
          <w:tcPr>
            <w:tcW w:w="1701" w:type="dxa"/>
            <w:tcBorders>
              <w:top w:val="single" w:sz="4" w:space="0" w:color="D0CECE"/>
              <w:bottom w:val="single" w:sz="4" w:space="0" w:color="D0CECE"/>
              <w:right w:val="nil"/>
            </w:tcBorders>
            <w:shd w:val="clear" w:color="auto" w:fill="auto"/>
            <w:tcMar>
              <w:top w:w="-113" w:type="dxa"/>
              <w:left w:w="-113" w:type="dxa"/>
              <w:bottom w:w="-113" w:type="dxa"/>
              <w:right w:w="-113" w:type="dxa"/>
            </w:tcMar>
          </w:tcPr>
          <w:p w14:paraId="3AD387FD" w14:textId="77777777" w:rsidR="00CB0062" w:rsidRDefault="00CB0062" w:rsidP="00223E56">
            <w:pPr>
              <w:rPr>
                <w:sz w:val="16"/>
                <w:szCs w:val="16"/>
              </w:rPr>
            </w:pPr>
            <w:r>
              <w:rPr>
                <w:sz w:val="16"/>
                <w:szCs w:val="16"/>
              </w:rPr>
              <w:t>Intron variant</w:t>
            </w:r>
          </w:p>
        </w:tc>
        <w:tc>
          <w:tcPr>
            <w:tcW w:w="708" w:type="dxa"/>
            <w:vMerge/>
            <w:tcBorders>
              <w:top w:val="single" w:sz="4" w:space="0" w:color="D9D9D9"/>
              <w:left w:val="nil"/>
              <w:bottom w:val="single" w:sz="4" w:space="0" w:color="D9D9D9"/>
              <w:right w:val="nil"/>
            </w:tcBorders>
            <w:tcMar>
              <w:top w:w="-113" w:type="dxa"/>
              <w:left w:w="-113" w:type="dxa"/>
              <w:bottom w:w="-113" w:type="dxa"/>
              <w:right w:w="-113" w:type="dxa"/>
            </w:tcMar>
          </w:tcPr>
          <w:p w14:paraId="6014C8AE" w14:textId="77777777" w:rsidR="00CB0062" w:rsidRDefault="00CB0062" w:rsidP="00223E56">
            <w:pPr>
              <w:widowControl w:val="0"/>
              <w:pBdr>
                <w:top w:val="nil"/>
                <w:left w:val="nil"/>
                <w:bottom w:val="nil"/>
                <w:right w:val="nil"/>
                <w:between w:val="nil"/>
              </w:pBdr>
              <w:spacing w:line="276" w:lineRule="auto"/>
              <w:rPr>
                <w:sz w:val="16"/>
                <w:szCs w:val="16"/>
              </w:rPr>
            </w:pPr>
          </w:p>
        </w:tc>
        <w:tc>
          <w:tcPr>
            <w:tcW w:w="1838" w:type="dxa"/>
            <w:vMerge/>
            <w:tcBorders>
              <w:top w:val="single" w:sz="4" w:space="0" w:color="D9D9D9"/>
              <w:left w:val="nil"/>
              <w:bottom w:val="single" w:sz="4" w:space="0" w:color="D9D9D9"/>
              <w:right w:val="single" w:sz="4" w:space="0" w:color="000000" w:themeColor="text1"/>
            </w:tcBorders>
            <w:tcMar>
              <w:top w:w="-113" w:type="dxa"/>
              <w:left w:w="-113" w:type="dxa"/>
              <w:bottom w:w="-113" w:type="dxa"/>
              <w:right w:w="-113" w:type="dxa"/>
            </w:tcMar>
          </w:tcPr>
          <w:p w14:paraId="186397E6" w14:textId="77777777" w:rsidR="00CB0062" w:rsidRDefault="00CB0062" w:rsidP="00223E56">
            <w:pPr>
              <w:widowControl w:val="0"/>
              <w:pBdr>
                <w:top w:val="nil"/>
                <w:left w:val="nil"/>
                <w:bottom w:val="nil"/>
                <w:right w:val="nil"/>
                <w:between w:val="nil"/>
              </w:pBdr>
              <w:spacing w:line="276" w:lineRule="auto"/>
              <w:rPr>
                <w:sz w:val="16"/>
                <w:szCs w:val="16"/>
              </w:rPr>
            </w:pPr>
          </w:p>
        </w:tc>
      </w:tr>
      <w:tr w:rsidR="00CB0062" w14:paraId="0E7397FC"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535E4ED" w14:textId="77777777" w:rsidR="00CB0062" w:rsidRDefault="00CB0062" w:rsidP="00223E56">
            <w:pPr>
              <w:widowControl w:val="0"/>
              <w:pBdr>
                <w:top w:val="nil"/>
                <w:left w:val="nil"/>
                <w:bottom w:val="nil"/>
                <w:right w:val="nil"/>
                <w:between w:val="nil"/>
              </w:pBdr>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F9C3490" w14:textId="77777777" w:rsidR="00CB0062" w:rsidRDefault="00CB0062" w:rsidP="00223E56">
            <w:pPr>
              <w:widowControl w:val="0"/>
              <w:pBdr>
                <w:top w:val="nil"/>
                <w:left w:val="nil"/>
                <w:bottom w:val="nil"/>
                <w:right w:val="nil"/>
                <w:between w:val="nil"/>
              </w:pBdr>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76993154" w14:textId="77777777" w:rsidR="00CB0062" w:rsidRDefault="00CB0062" w:rsidP="00223E56">
            <w:pPr>
              <w:rPr>
                <w:color w:val="000000"/>
                <w:sz w:val="16"/>
                <w:szCs w:val="16"/>
              </w:rPr>
            </w:pPr>
            <w:r>
              <w:rPr>
                <w:color w:val="000000"/>
                <w:sz w:val="16"/>
                <w:szCs w:val="16"/>
              </w:rPr>
              <w:t>rs769452</w:t>
            </w:r>
          </w:p>
        </w:tc>
        <w:tc>
          <w:tcPr>
            <w:tcW w:w="851" w:type="dxa"/>
            <w:tcBorders>
              <w:top w:val="single" w:sz="4" w:space="0" w:color="D0CECE"/>
              <w:bottom w:val="single" w:sz="4" w:space="0" w:color="D0CECE"/>
            </w:tcBorders>
            <w:tcMar>
              <w:top w:w="-113" w:type="dxa"/>
              <w:left w:w="-113" w:type="dxa"/>
              <w:bottom w:w="-113" w:type="dxa"/>
              <w:right w:w="-113" w:type="dxa"/>
            </w:tcMar>
          </w:tcPr>
          <w:p w14:paraId="6E066C7B" w14:textId="77777777" w:rsidR="00CB0062" w:rsidRDefault="00CB0062" w:rsidP="00223E56">
            <w:pPr>
              <w:rPr>
                <w:color w:val="000000"/>
                <w:sz w:val="16"/>
                <w:szCs w:val="16"/>
              </w:rPr>
            </w:pPr>
            <w:r>
              <w:rPr>
                <w:color w:val="000000"/>
                <w:sz w:val="16"/>
                <w:szCs w:val="16"/>
              </w:rPr>
              <w:t>T&gt;</w:t>
            </w:r>
            <w:proofErr w:type="gramStart"/>
            <w:r>
              <w:rPr>
                <w:color w:val="000000"/>
                <w:sz w:val="16"/>
                <w:szCs w:val="16"/>
              </w:rPr>
              <w:t>A,C</w:t>
            </w:r>
            <w:proofErr w:type="gramEnd"/>
          </w:p>
        </w:tc>
        <w:tc>
          <w:tcPr>
            <w:tcW w:w="1701" w:type="dxa"/>
            <w:tcBorders>
              <w:top w:val="single" w:sz="4" w:space="0" w:color="D0CECE"/>
              <w:bottom w:val="single" w:sz="4" w:space="0" w:color="D0CECE"/>
              <w:right w:val="nil"/>
            </w:tcBorders>
            <w:shd w:val="clear" w:color="auto" w:fill="auto"/>
            <w:tcMar>
              <w:top w:w="-113" w:type="dxa"/>
              <w:left w:w="-113" w:type="dxa"/>
              <w:bottom w:w="-113" w:type="dxa"/>
              <w:right w:w="-113" w:type="dxa"/>
            </w:tcMar>
          </w:tcPr>
          <w:p w14:paraId="077CAC63" w14:textId="77777777" w:rsidR="00CB0062" w:rsidRDefault="00CB0062" w:rsidP="00223E56">
            <w:pPr>
              <w:rPr>
                <w:sz w:val="16"/>
                <w:szCs w:val="16"/>
              </w:rPr>
            </w:pPr>
            <w:r>
              <w:rPr>
                <w:sz w:val="16"/>
                <w:szCs w:val="16"/>
              </w:rPr>
              <w:t>Missense variant</w:t>
            </w:r>
          </w:p>
        </w:tc>
        <w:tc>
          <w:tcPr>
            <w:tcW w:w="708" w:type="dxa"/>
            <w:vMerge/>
            <w:tcBorders>
              <w:top w:val="single" w:sz="4" w:space="0" w:color="D9D9D9"/>
              <w:left w:val="nil"/>
              <w:bottom w:val="single" w:sz="4" w:space="0" w:color="D9D9D9"/>
              <w:right w:val="nil"/>
            </w:tcBorders>
            <w:tcMar>
              <w:top w:w="-113" w:type="dxa"/>
              <w:left w:w="-113" w:type="dxa"/>
              <w:bottom w:w="-113" w:type="dxa"/>
              <w:right w:w="-113" w:type="dxa"/>
            </w:tcMar>
          </w:tcPr>
          <w:p w14:paraId="54EE15A0" w14:textId="77777777" w:rsidR="00CB0062" w:rsidRDefault="00CB0062" w:rsidP="00223E56">
            <w:pPr>
              <w:widowControl w:val="0"/>
              <w:pBdr>
                <w:top w:val="nil"/>
                <w:left w:val="nil"/>
                <w:bottom w:val="nil"/>
                <w:right w:val="nil"/>
                <w:between w:val="nil"/>
              </w:pBdr>
              <w:spacing w:line="276" w:lineRule="auto"/>
              <w:rPr>
                <w:sz w:val="16"/>
                <w:szCs w:val="16"/>
              </w:rPr>
            </w:pPr>
          </w:p>
        </w:tc>
        <w:tc>
          <w:tcPr>
            <w:tcW w:w="1838" w:type="dxa"/>
            <w:vMerge/>
            <w:tcBorders>
              <w:top w:val="single" w:sz="4" w:space="0" w:color="D9D9D9"/>
              <w:left w:val="nil"/>
              <w:bottom w:val="single" w:sz="4" w:space="0" w:color="D9D9D9"/>
              <w:right w:val="single" w:sz="4" w:space="0" w:color="000000" w:themeColor="text1"/>
            </w:tcBorders>
            <w:tcMar>
              <w:top w:w="-113" w:type="dxa"/>
              <w:left w:w="-113" w:type="dxa"/>
              <w:bottom w:w="-113" w:type="dxa"/>
              <w:right w:w="-113" w:type="dxa"/>
            </w:tcMar>
          </w:tcPr>
          <w:p w14:paraId="4CC075CA" w14:textId="77777777" w:rsidR="00CB0062" w:rsidRDefault="00CB0062" w:rsidP="00223E56">
            <w:pPr>
              <w:widowControl w:val="0"/>
              <w:pBdr>
                <w:top w:val="nil"/>
                <w:left w:val="nil"/>
                <w:bottom w:val="nil"/>
                <w:right w:val="nil"/>
                <w:between w:val="nil"/>
              </w:pBdr>
              <w:spacing w:line="276" w:lineRule="auto"/>
              <w:rPr>
                <w:sz w:val="16"/>
                <w:szCs w:val="16"/>
              </w:rPr>
            </w:pPr>
          </w:p>
        </w:tc>
      </w:tr>
      <w:tr w:rsidR="00CB0062" w14:paraId="36DBC262"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39A4A9C" w14:textId="77777777" w:rsidR="00CB0062" w:rsidRDefault="00CB0062" w:rsidP="00223E56">
            <w:pPr>
              <w:widowControl w:val="0"/>
              <w:pBdr>
                <w:top w:val="nil"/>
                <w:left w:val="nil"/>
                <w:bottom w:val="nil"/>
                <w:right w:val="nil"/>
                <w:between w:val="nil"/>
              </w:pBdr>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12CEEA7" w14:textId="77777777" w:rsidR="00CB0062" w:rsidRDefault="00CB0062" w:rsidP="00223E56">
            <w:pPr>
              <w:widowControl w:val="0"/>
              <w:pBdr>
                <w:top w:val="nil"/>
                <w:left w:val="nil"/>
                <w:bottom w:val="nil"/>
                <w:right w:val="nil"/>
                <w:between w:val="nil"/>
              </w:pBdr>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3CC6E69" w14:textId="77777777" w:rsidR="00CB0062" w:rsidRDefault="00CB0062" w:rsidP="00223E56">
            <w:pPr>
              <w:rPr>
                <w:color w:val="000000"/>
                <w:sz w:val="16"/>
                <w:szCs w:val="16"/>
              </w:rPr>
            </w:pPr>
            <w:r>
              <w:rPr>
                <w:sz w:val="16"/>
                <w:szCs w:val="16"/>
              </w:rPr>
              <w:t>rs877973</w:t>
            </w:r>
          </w:p>
        </w:tc>
        <w:tc>
          <w:tcPr>
            <w:tcW w:w="851" w:type="dxa"/>
            <w:tcBorders>
              <w:top w:val="single" w:sz="4" w:space="0" w:color="D0CECE"/>
              <w:bottom w:val="single" w:sz="4" w:space="0" w:color="D0CECE"/>
            </w:tcBorders>
            <w:tcMar>
              <w:top w:w="-113" w:type="dxa"/>
              <w:left w:w="-113" w:type="dxa"/>
              <w:bottom w:w="-113" w:type="dxa"/>
              <w:right w:w="-113" w:type="dxa"/>
            </w:tcMar>
          </w:tcPr>
          <w:p w14:paraId="14B481A5" w14:textId="77777777" w:rsidR="00CB0062" w:rsidRDefault="00CB0062" w:rsidP="00223E56">
            <w:pPr>
              <w:rPr>
                <w:color w:val="000000"/>
                <w:sz w:val="16"/>
                <w:szCs w:val="16"/>
              </w:rPr>
            </w:pPr>
            <w:r>
              <w:rPr>
                <w:sz w:val="16"/>
                <w:szCs w:val="16"/>
              </w:rPr>
              <w:t>C&gt;</w:t>
            </w:r>
            <w:proofErr w:type="gramStart"/>
            <w:r>
              <w:rPr>
                <w:sz w:val="16"/>
                <w:szCs w:val="16"/>
              </w:rPr>
              <w:t>A,T</w:t>
            </w:r>
            <w:proofErr w:type="gramEnd"/>
          </w:p>
        </w:tc>
        <w:tc>
          <w:tcPr>
            <w:tcW w:w="1701" w:type="dxa"/>
            <w:tcBorders>
              <w:top w:val="single" w:sz="4" w:space="0" w:color="D0CECE"/>
              <w:bottom w:val="single" w:sz="4" w:space="0" w:color="D0CECE"/>
              <w:right w:val="nil"/>
            </w:tcBorders>
            <w:shd w:val="clear" w:color="auto" w:fill="auto"/>
            <w:tcMar>
              <w:top w:w="-113" w:type="dxa"/>
              <w:left w:w="-113" w:type="dxa"/>
              <w:bottom w:w="-113" w:type="dxa"/>
              <w:right w:w="-113" w:type="dxa"/>
            </w:tcMar>
          </w:tcPr>
          <w:p w14:paraId="6BDE6610" w14:textId="77777777" w:rsidR="00CB0062" w:rsidRDefault="00CB0062" w:rsidP="00223E56">
            <w:pPr>
              <w:rPr>
                <w:sz w:val="16"/>
                <w:szCs w:val="16"/>
              </w:rPr>
            </w:pPr>
            <w:r>
              <w:rPr>
                <w:sz w:val="16"/>
                <w:szCs w:val="16"/>
              </w:rPr>
              <w:t>Intron variant</w:t>
            </w:r>
          </w:p>
        </w:tc>
        <w:tc>
          <w:tcPr>
            <w:tcW w:w="708" w:type="dxa"/>
            <w:vMerge/>
            <w:tcBorders>
              <w:top w:val="single" w:sz="4" w:space="0" w:color="D9D9D9"/>
              <w:left w:val="nil"/>
              <w:bottom w:val="single" w:sz="4" w:space="0" w:color="D9D9D9"/>
              <w:right w:val="nil"/>
            </w:tcBorders>
            <w:tcMar>
              <w:top w:w="-113" w:type="dxa"/>
              <w:left w:w="-113" w:type="dxa"/>
              <w:bottom w:w="-113" w:type="dxa"/>
              <w:right w:w="-113" w:type="dxa"/>
            </w:tcMar>
          </w:tcPr>
          <w:p w14:paraId="4DFE6CD2" w14:textId="77777777" w:rsidR="00CB0062" w:rsidRDefault="00CB0062" w:rsidP="00223E56">
            <w:pPr>
              <w:widowControl w:val="0"/>
              <w:pBdr>
                <w:top w:val="nil"/>
                <w:left w:val="nil"/>
                <w:bottom w:val="nil"/>
                <w:right w:val="nil"/>
                <w:between w:val="nil"/>
              </w:pBdr>
              <w:spacing w:line="276" w:lineRule="auto"/>
              <w:rPr>
                <w:sz w:val="16"/>
                <w:szCs w:val="16"/>
              </w:rPr>
            </w:pPr>
          </w:p>
        </w:tc>
        <w:tc>
          <w:tcPr>
            <w:tcW w:w="1838" w:type="dxa"/>
            <w:vMerge/>
            <w:tcBorders>
              <w:top w:val="single" w:sz="4" w:space="0" w:color="D9D9D9"/>
              <w:left w:val="nil"/>
              <w:bottom w:val="single" w:sz="4" w:space="0" w:color="D9D9D9"/>
              <w:right w:val="single" w:sz="4" w:space="0" w:color="000000" w:themeColor="text1"/>
            </w:tcBorders>
            <w:tcMar>
              <w:top w:w="-113" w:type="dxa"/>
              <w:left w:w="-113" w:type="dxa"/>
              <w:bottom w:w="-113" w:type="dxa"/>
              <w:right w:w="-113" w:type="dxa"/>
            </w:tcMar>
          </w:tcPr>
          <w:p w14:paraId="34A19B9E" w14:textId="77777777" w:rsidR="00CB0062" w:rsidRDefault="00CB0062" w:rsidP="00223E56">
            <w:pPr>
              <w:widowControl w:val="0"/>
              <w:pBdr>
                <w:top w:val="nil"/>
                <w:left w:val="nil"/>
                <w:bottom w:val="nil"/>
                <w:right w:val="nil"/>
                <w:between w:val="nil"/>
              </w:pBdr>
              <w:spacing w:line="276" w:lineRule="auto"/>
              <w:rPr>
                <w:sz w:val="16"/>
                <w:szCs w:val="16"/>
              </w:rPr>
            </w:pPr>
          </w:p>
        </w:tc>
      </w:tr>
      <w:tr w:rsidR="00CB0062" w14:paraId="111B185E"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7BCF61B" w14:textId="77777777" w:rsidR="00CB0062" w:rsidRDefault="00CB0062" w:rsidP="00223E56">
            <w:pPr>
              <w:widowControl w:val="0"/>
              <w:pBdr>
                <w:top w:val="nil"/>
                <w:left w:val="nil"/>
                <w:bottom w:val="nil"/>
                <w:right w:val="nil"/>
                <w:between w:val="nil"/>
              </w:pBdr>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73A2EBF" w14:textId="77777777" w:rsidR="00CB0062" w:rsidRDefault="00CB0062" w:rsidP="00223E56">
            <w:pPr>
              <w:widowControl w:val="0"/>
              <w:pBdr>
                <w:top w:val="nil"/>
                <w:left w:val="nil"/>
                <w:bottom w:val="nil"/>
                <w:right w:val="nil"/>
                <w:between w:val="nil"/>
              </w:pBdr>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2E200D0F" w14:textId="77777777" w:rsidR="00CB0062" w:rsidRDefault="00CB0062" w:rsidP="00223E56">
            <w:pPr>
              <w:rPr>
                <w:sz w:val="16"/>
                <w:szCs w:val="16"/>
              </w:rPr>
            </w:pPr>
            <w:r>
              <w:rPr>
                <w:sz w:val="16"/>
                <w:szCs w:val="16"/>
              </w:rPr>
              <w:t>rs429358</w:t>
            </w:r>
          </w:p>
        </w:tc>
        <w:tc>
          <w:tcPr>
            <w:tcW w:w="851" w:type="dxa"/>
            <w:tcBorders>
              <w:top w:val="single" w:sz="4" w:space="0" w:color="D0CECE"/>
              <w:bottom w:val="single" w:sz="4" w:space="0" w:color="D0CECE"/>
            </w:tcBorders>
            <w:tcMar>
              <w:top w:w="-113" w:type="dxa"/>
              <w:left w:w="-113" w:type="dxa"/>
              <w:bottom w:w="-113" w:type="dxa"/>
              <w:right w:w="-113" w:type="dxa"/>
            </w:tcMar>
          </w:tcPr>
          <w:p w14:paraId="1EA1D0B8" w14:textId="77777777" w:rsidR="00CB0062" w:rsidRDefault="00CB0062" w:rsidP="00223E56">
            <w:pPr>
              <w:rPr>
                <w:sz w:val="16"/>
                <w:szCs w:val="16"/>
              </w:rPr>
            </w:pPr>
            <w:r>
              <w:rPr>
                <w:sz w:val="16"/>
                <w:szCs w:val="16"/>
                <w:highlight w:val="white"/>
              </w:rPr>
              <w:t>T&gt;C</w:t>
            </w:r>
          </w:p>
        </w:tc>
        <w:tc>
          <w:tcPr>
            <w:tcW w:w="1701" w:type="dxa"/>
            <w:tcBorders>
              <w:top w:val="single" w:sz="4" w:space="0" w:color="D0CECE"/>
              <w:bottom w:val="single" w:sz="4" w:space="0" w:color="D0CECE"/>
              <w:right w:val="nil"/>
            </w:tcBorders>
            <w:shd w:val="clear" w:color="auto" w:fill="auto"/>
            <w:tcMar>
              <w:top w:w="-113" w:type="dxa"/>
              <w:left w:w="-113" w:type="dxa"/>
              <w:bottom w:w="-113" w:type="dxa"/>
              <w:right w:w="-113" w:type="dxa"/>
            </w:tcMar>
          </w:tcPr>
          <w:p w14:paraId="40D0D545" w14:textId="77777777" w:rsidR="00CB0062" w:rsidRDefault="00CB0062" w:rsidP="00223E56">
            <w:pPr>
              <w:rPr>
                <w:sz w:val="16"/>
                <w:szCs w:val="16"/>
              </w:rPr>
            </w:pPr>
            <w:r>
              <w:rPr>
                <w:sz w:val="16"/>
                <w:szCs w:val="16"/>
              </w:rPr>
              <w:t>Missense variant</w:t>
            </w:r>
          </w:p>
        </w:tc>
        <w:tc>
          <w:tcPr>
            <w:tcW w:w="708" w:type="dxa"/>
            <w:tcBorders>
              <w:top w:val="single" w:sz="4" w:space="0" w:color="D9D9D9"/>
              <w:left w:val="nil"/>
              <w:bottom w:val="single" w:sz="4" w:space="0" w:color="FFFFFF"/>
              <w:right w:val="nil"/>
            </w:tcBorders>
            <w:tcMar>
              <w:top w:w="-113" w:type="dxa"/>
              <w:left w:w="-113" w:type="dxa"/>
              <w:bottom w:w="-113" w:type="dxa"/>
              <w:right w:w="-113" w:type="dxa"/>
            </w:tcMar>
          </w:tcPr>
          <w:p w14:paraId="26929B46" w14:textId="77777777" w:rsidR="00CB0062" w:rsidRDefault="00CB0062" w:rsidP="00223E56">
            <w:pPr>
              <w:widowControl w:val="0"/>
              <w:pBdr>
                <w:top w:val="nil"/>
                <w:left w:val="nil"/>
                <w:bottom w:val="nil"/>
                <w:right w:val="nil"/>
                <w:between w:val="nil"/>
              </w:pBdr>
              <w:spacing w:line="276" w:lineRule="auto"/>
              <w:rPr>
                <w:sz w:val="16"/>
                <w:szCs w:val="16"/>
              </w:rPr>
            </w:pPr>
            <w:r>
              <w:rPr>
                <w:sz w:val="16"/>
                <w:szCs w:val="16"/>
              </w:rPr>
              <w:t>IMT</w:t>
            </w:r>
          </w:p>
        </w:tc>
        <w:tc>
          <w:tcPr>
            <w:tcW w:w="1838" w:type="dxa"/>
            <w:tcBorders>
              <w:top w:val="single" w:sz="4" w:space="0" w:color="D9D9D9"/>
              <w:left w:val="nil"/>
              <w:bottom w:val="single" w:sz="4" w:space="0" w:color="FFFFFF"/>
              <w:right w:val="single" w:sz="4" w:space="0" w:color="000000" w:themeColor="text1"/>
            </w:tcBorders>
            <w:tcMar>
              <w:top w:w="-113" w:type="dxa"/>
              <w:left w:w="-113" w:type="dxa"/>
              <w:bottom w:w="-113" w:type="dxa"/>
              <w:right w:w="-113" w:type="dxa"/>
            </w:tcMar>
          </w:tcPr>
          <w:p w14:paraId="615B92C9" w14:textId="77777777" w:rsidR="00CB0062" w:rsidRDefault="00CB0062" w:rsidP="00223E56">
            <w:pPr>
              <w:rPr>
                <w:sz w:val="16"/>
                <w:szCs w:val="16"/>
              </w:rPr>
            </w:pPr>
            <w:proofErr w:type="spellStart"/>
            <w:r>
              <w:rPr>
                <w:sz w:val="16"/>
                <w:szCs w:val="16"/>
              </w:rPr>
              <w:t>Hiseh</w:t>
            </w:r>
            <w:proofErr w:type="spellEnd"/>
            <w:r>
              <w:rPr>
                <w:sz w:val="16"/>
                <w:szCs w:val="16"/>
              </w:rPr>
              <w:t xml:space="preserve"> et al. 2008</w:t>
            </w:r>
          </w:p>
        </w:tc>
      </w:tr>
      <w:tr w:rsidR="00CB0062" w14:paraId="6D12DC42"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7827E7A" w14:textId="77777777" w:rsidR="00CB0062" w:rsidRDefault="00CB0062" w:rsidP="00223E56">
            <w:pPr>
              <w:widowControl w:val="0"/>
              <w:pBdr>
                <w:top w:val="nil"/>
                <w:left w:val="nil"/>
                <w:bottom w:val="nil"/>
                <w:right w:val="nil"/>
                <w:between w:val="nil"/>
              </w:pBdr>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43AEE3B" w14:textId="77777777" w:rsidR="00CB0062" w:rsidRDefault="00CB0062" w:rsidP="00223E56">
            <w:pPr>
              <w:widowControl w:val="0"/>
              <w:pBdr>
                <w:top w:val="nil"/>
                <w:left w:val="nil"/>
                <w:bottom w:val="nil"/>
                <w:right w:val="nil"/>
                <w:between w:val="nil"/>
              </w:pBdr>
              <w:rPr>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23D21418" w14:textId="77777777" w:rsidR="00CB0062" w:rsidRDefault="00CB0062" w:rsidP="00223E56">
            <w:pPr>
              <w:rPr>
                <w:sz w:val="16"/>
                <w:szCs w:val="16"/>
              </w:rPr>
            </w:pPr>
            <w:r>
              <w:rPr>
                <w:sz w:val="16"/>
                <w:szCs w:val="16"/>
              </w:rPr>
              <w:t>rs7412</w:t>
            </w:r>
          </w:p>
        </w:tc>
        <w:tc>
          <w:tcPr>
            <w:tcW w:w="851" w:type="dxa"/>
            <w:tcBorders>
              <w:top w:val="single" w:sz="4" w:space="0" w:color="D0CECE"/>
              <w:bottom w:val="single" w:sz="4" w:space="0" w:color="000000"/>
            </w:tcBorders>
            <w:tcMar>
              <w:top w:w="-113" w:type="dxa"/>
              <w:left w:w="-113" w:type="dxa"/>
              <w:bottom w:w="-113" w:type="dxa"/>
              <w:right w:w="-113" w:type="dxa"/>
            </w:tcMar>
          </w:tcPr>
          <w:p w14:paraId="4D599B35" w14:textId="77777777" w:rsidR="00CB0062" w:rsidRDefault="00CB0062" w:rsidP="00223E56">
            <w:pPr>
              <w:rPr>
                <w:sz w:val="16"/>
                <w:szCs w:val="16"/>
              </w:rPr>
            </w:pPr>
            <w:r>
              <w:rPr>
                <w:sz w:val="16"/>
                <w:szCs w:val="16"/>
                <w:highlight w:val="white"/>
              </w:rPr>
              <w:t>C&gt;T</w:t>
            </w:r>
          </w:p>
        </w:tc>
        <w:tc>
          <w:tcPr>
            <w:tcW w:w="1701" w:type="dxa"/>
            <w:tcBorders>
              <w:top w:val="single" w:sz="4" w:space="0" w:color="D0CECE"/>
              <w:bottom w:val="single" w:sz="4" w:space="0" w:color="000000"/>
            </w:tcBorders>
            <w:shd w:val="clear" w:color="auto" w:fill="auto"/>
            <w:tcMar>
              <w:top w:w="-113" w:type="dxa"/>
              <w:left w:w="-113" w:type="dxa"/>
              <w:bottom w:w="-113" w:type="dxa"/>
              <w:right w:w="-113" w:type="dxa"/>
            </w:tcMar>
          </w:tcPr>
          <w:p w14:paraId="01A42CD4" w14:textId="77777777" w:rsidR="00CB0062" w:rsidRDefault="00CB0062" w:rsidP="00223E56">
            <w:pPr>
              <w:rPr>
                <w:sz w:val="16"/>
                <w:szCs w:val="16"/>
              </w:rPr>
            </w:pPr>
            <w:r>
              <w:rPr>
                <w:sz w:val="16"/>
                <w:szCs w:val="16"/>
              </w:rPr>
              <w:t>Missense variant</w:t>
            </w:r>
          </w:p>
        </w:tc>
        <w:tc>
          <w:tcPr>
            <w:tcW w:w="708" w:type="dxa"/>
            <w:tcBorders>
              <w:top w:val="single" w:sz="4" w:space="0" w:color="FFFFFF"/>
              <w:bottom w:val="single" w:sz="4" w:space="0" w:color="D0CECE"/>
            </w:tcBorders>
            <w:tcMar>
              <w:top w:w="-113" w:type="dxa"/>
              <w:left w:w="-113" w:type="dxa"/>
              <w:bottom w:w="-113" w:type="dxa"/>
              <w:right w:w="-113" w:type="dxa"/>
            </w:tcMar>
          </w:tcPr>
          <w:p w14:paraId="12587C10" w14:textId="77777777" w:rsidR="00CB0062" w:rsidRDefault="00CB0062" w:rsidP="00223E56">
            <w:pPr>
              <w:widowControl w:val="0"/>
              <w:pBdr>
                <w:top w:val="nil"/>
                <w:left w:val="nil"/>
                <w:bottom w:val="nil"/>
                <w:right w:val="nil"/>
                <w:between w:val="nil"/>
              </w:pBdr>
              <w:spacing w:line="276" w:lineRule="auto"/>
              <w:rPr>
                <w:sz w:val="16"/>
                <w:szCs w:val="16"/>
              </w:rPr>
            </w:pPr>
          </w:p>
        </w:tc>
        <w:tc>
          <w:tcPr>
            <w:tcW w:w="1838" w:type="dxa"/>
            <w:tcBorders>
              <w:top w:val="single" w:sz="4" w:space="0" w:color="FFFFFF"/>
              <w:bottom w:val="single" w:sz="4" w:space="0" w:color="D0CECE"/>
              <w:right w:val="single" w:sz="4" w:space="0" w:color="000000" w:themeColor="text1"/>
            </w:tcBorders>
            <w:tcMar>
              <w:top w:w="-113" w:type="dxa"/>
              <w:left w:w="-113" w:type="dxa"/>
              <w:bottom w:w="-113" w:type="dxa"/>
              <w:right w:w="-113" w:type="dxa"/>
            </w:tcMar>
          </w:tcPr>
          <w:p w14:paraId="679C2A62" w14:textId="77777777" w:rsidR="00CB0062" w:rsidRDefault="00CB0062" w:rsidP="00223E56">
            <w:pPr>
              <w:widowControl w:val="0"/>
              <w:pBdr>
                <w:top w:val="nil"/>
                <w:left w:val="nil"/>
                <w:bottom w:val="nil"/>
                <w:right w:val="nil"/>
                <w:between w:val="nil"/>
              </w:pBdr>
              <w:spacing w:line="276" w:lineRule="auto"/>
              <w:rPr>
                <w:sz w:val="16"/>
                <w:szCs w:val="16"/>
              </w:rPr>
            </w:pPr>
          </w:p>
        </w:tc>
      </w:tr>
      <w:tr w:rsidR="00CB0062" w:rsidRPr="0030321B" w14:paraId="0FAE4337"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798D2BB" w14:textId="77777777" w:rsidR="00CB0062" w:rsidRDefault="00CB0062" w:rsidP="00223E56">
            <w:pPr>
              <w:rPr>
                <w:i/>
                <w:color w:val="000000"/>
                <w:sz w:val="16"/>
                <w:szCs w:val="16"/>
              </w:rPr>
            </w:pPr>
            <w:r>
              <w:rPr>
                <w:i/>
                <w:color w:val="000000"/>
                <w:sz w:val="16"/>
                <w:szCs w:val="16"/>
              </w:rPr>
              <w:t>AS3MT</w:t>
            </w:r>
          </w:p>
          <w:p w14:paraId="0CD90210"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C30E724" w14:textId="77777777" w:rsidR="00CB0062" w:rsidRDefault="00CB0062" w:rsidP="00223E56">
            <w:pPr>
              <w:rPr>
                <w:color w:val="000000"/>
                <w:sz w:val="16"/>
                <w:szCs w:val="16"/>
              </w:rPr>
            </w:pPr>
            <w:proofErr w:type="spellStart"/>
            <w:r>
              <w:rPr>
                <w:color w:val="000000"/>
                <w:sz w:val="16"/>
                <w:szCs w:val="16"/>
              </w:rPr>
              <w:t>Arsenite</w:t>
            </w:r>
            <w:proofErr w:type="spellEnd"/>
            <w:r>
              <w:rPr>
                <w:color w:val="000000"/>
                <w:sz w:val="16"/>
                <w:szCs w:val="16"/>
              </w:rPr>
              <w:t xml:space="preserve"> methyl transferase</w:t>
            </w:r>
          </w:p>
        </w:tc>
        <w:tc>
          <w:tcPr>
            <w:tcW w:w="992" w:type="dxa"/>
            <w:vMerge w:val="restart"/>
            <w:tcBorders>
              <w:top w:val="single" w:sz="4" w:space="0" w:color="000000"/>
              <w:left w:val="nil"/>
              <w:bottom w:val="single" w:sz="4" w:space="0" w:color="D0CECE"/>
            </w:tcBorders>
            <w:shd w:val="clear" w:color="auto" w:fill="auto"/>
            <w:tcMar>
              <w:top w:w="-113" w:type="dxa"/>
              <w:left w:w="-113" w:type="dxa"/>
              <w:bottom w:w="-113" w:type="dxa"/>
              <w:right w:w="-113" w:type="dxa"/>
            </w:tcMar>
          </w:tcPr>
          <w:p w14:paraId="7B204D48" w14:textId="77777777" w:rsidR="00CB0062" w:rsidRDefault="00CB0062" w:rsidP="00223E56">
            <w:pPr>
              <w:rPr>
                <w:color w:val="000000"/>
                <w:sz w:val="16"/>
                <w:szCs w:val="16"/>
              </w:rPr>
            </w:pPr>
            <w:r>
              <w:rPr>
                <w:color w:val="000000"/>
                <w:sz w:val="16"/>
                <w:szCs w:val="16"/>
              </w:rPr>
              <w:t>rs1046778</w:t>
            </w:r>
          </w:p>
        </w:tc>
        <w:tc>
          <w:tcPr>
            <w:tcW w:w="851" w:type="dxa"/>
            <w:vMerge w:val="restart"/>
            <w:tcBorders>
              <w:top w:val="single" w:sz="4" w:space="0" w:color="000000"/>
              <w:bottom w:val="single" w:sz="4" w:space="0" w:color="D0CECE"/>
            </w:tcBorders>
            <w:tcMar>
              <w:top w:w="-113" w:type="dxa"/>
              <w:left w:w="-113" w:type="dxa"/>
              <w:bottom w:w="-113" w:type="dxa"/>
              <w:right w:w="-113" w:type="dxa"/>
            </w:tcMar>
          </w:tcPr>
          <w:p w14:paraId="2141B114" w14:textId="77777777" w:rsidR="00CB0062" w:rsidRDefault="00CB0062" w:rsidP="00223E56">
            <w:pPr>
              <w:rPr>
                <w:color w:val="000000"/>
                <w:sz w:val="16"/>
                <w:szCs w:val="16"/>
              </w:rPr>
            </w:pPr>
            <w:r>
              <w:rPr>
                <w:color w:val="000000"/>
                <w:sz w:val="16"/>
                <w:szCs w:val="16"/>
              </w:rPr>
              <w:t>T&gt;C</w:t>
            </w:r>
          </w:p>
        </w:tc>
        <w:tc>
          <w:tcPr>
            <w:tcW w:w="1701" w:type="dxa"/>
            <w:vMerge w:val="restart"/>
            <w:tcBorders>
              <w:top w:val="single" w:sz="4" w:space="0" w:color="000000"/>
              <w:bottom w:val="single" w:sz="4" w:space="0" w:color="D0CECE"/>
            </w:tcBorders>
            <w:tcMar>
              <w:top w:w="-113" w:type="dxa"/>
              <w:left w:w="-113" w:type="dxa"/>
              <w:bottom w:w="-113" w:type="dxa"/>
              <w:right w:w="-113" w:type="dxa"/>
            </w:tcMar>
          </w:tcPr>
          <w:p w14:paraId="703311B9" w14:textId="77777777" w:rsidR="00CB0062" w:rsidRDefault="00CB0062" w:rsidP="00223E56">
            <w:pPr>
              <w:rPr>
                <w:color w:val="000000"/>
                <w:sz w:val="16"/>
                <w:szCs w:val="16"/>
              </w:rPr>
            </w:pPr>
            <w:r>
              <w:rPr>
                <w:sz w:val="16"/>
                <w:szCs w:val="16"/>
              </w:rPr>
              <w:t>3 Prime UTR variant</w:t>
            </w:r>
          </w:p>
        </w:tc>
        <w:tc>
          <w:tcPr>
            <w:tcW w:w="708" w:type="dxa"/>
            <w:tcBorders>
              <w:top w:val="single" w:sz="4" w:space="0" w:color="000000"/>
              <w:bottom w:val="single" w:sz="4" w:space="0" w:color="D9D9D9"/>
            </w:tcBorders>
            <w:tcMar>
              <w:top w:w="-113" w:type="dxa"/>
              <w:left w:w="-113" w:type="dxa"/>
              <w:bottom w:w="-113" w:type="dxa"/>
              <w:right w:w="-113" w:type="dxa"/>
            </w:tcMar>
          </w:tcPr>
          <w:p w14:paraId="723BCEA8" w14:textId="77777777" w:rsidR="00CB0062" w:rsidRDefault="00CB0062" w:rsidP="00223E56">
            <w:pPr>
              <w:rPr>
                <w:color w:val="000000"/>
                <w:sz w:val="16"/>
                <w:szCs w:val="16"/>
              </w:rPr>
            </w:pPr>
            <w:r>
              <w:rPr>
                <w:color w:val="000000"/>
                <w:sz w:val="16"/>
                <w:szCs w:val="16"/>
              </w:rPr>
              <w:t>CVD</w:t>
            </w:r>
          </w:p>
          <w:p w14:paraId="7B73E4CF" w14:textId="77777777" w:rsidR="00CB0062" w:rsidRDefault="00CB0062" w:rsidP="00223E56">
            <w:pPr>
              <w:rPr>
                <w:sz w:val="16"/>
                <w:szCs w:val="16"/>
              </w:rPr>
            </w:pPr>
            <w:r>
              <w:rPr>
                <w:sz w:val="16"/>
                <w:szCs w:val="16"/>
              </w:rPr>
              <w:t>CIMT</w:t>
            </w:r>
          </w:p>
        </w:tc>
        <w:tc>
          <w:tcPr>
            <w:tcW w:w="1838" w:type="dxa"/>
            <w:tcBorders>
              <w:top w:val="single" w:sz="4" w:space="0" w:color="000000"/>
              <w:bottom w:val="single" w:sz="4" w:space="0" w:color="D9D9D9"/>
              <w:right w:val="single" w:sz="4" w:space="0" w:color="000000" w:themeColor="text1"/>
            </w:tcBorders>
            <w:tcMar>
              <w:top w:w="-113" w:type="dxa"/>
              <w:left w:w="-113" w:type="dxa"/>
              <w:bottom w:w="-113" w:type="dxa"/>
              <w:right w:w="-113" w:type="dxa"/>
            </w:tcMar>
          </w:tcPr>
          <w:p w14:paraId="281DDB0D"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1C695352"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tc>
      </w:tr>
      <w:tr w:rsidR="00CB0062" w14:paraId="5010F9C3"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B5540F7"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0AA0F1D"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171274AC" w14:textId="77777777" w:rsidR="00CB0062" w:rsidRPr="00641BD3" w:rsidRDefault="00CB0062" w:rsidP="00223E56">
            <w:pPr>
              <w:rPr>
                <w:color w:val="000000"/>
                <w:sz w:val="16"/>
                <w:szCs w:val="16"/>
                <w:lang w:val="es-ES"/>
              </w:rPr>
            </w:pPr>
          </w:p>
        </w:tc>
        <w:tc>
          <w:tcPr>
            <w:tcW w:w="851" w:type="dxa"/>
            <w:vMerge/>
            <w:tcBorders>
              <w:top w:val="single" w:sz="4" w:space="0" w:color="D0CECE"/>
              <w:bottom w:val="single" w:sz="4" w:space="0" w:color="D0CECE"/>
            </w:tcBorders>
            <w:tcMar>
              <w:top w:w="-113" w:type="dxa"/>
              <w:left w:w="-113" w:type="dxa"/>
              <w:bottom w:w="-113" w:type="dxa"/>
              <w:right w:w="-113" w:type="dxa"/>
            </w:tcMar>
          </w:tcPr>
          <w:p w14:paraId="3A12B99C" w14:textId="77777777" w:rsidR="00CB0062" w:rsidRPr="00641BD3" w:rsidRDefault="00CB0062" w:rsidP="00223E56">
            <w:pPr>
              <w:rPr>
                <w:color w:val="000000"/>
                <w:sz w:val="16"/>
                <w:szCs w:val="16"/>
                <w:lang w:val="es-ES"/>
              </w:rPr>
            </w:pPr>
          </w:p>
        </w:tc>
        <w:tc>
          <w:tcPr>
            <w:tcW w:w="1701" w:type="dxa"/>
            <w:vMerge/>
            <w:tcBorders>
              <w:top w:val="single" w:sz="4" w:space="0" w:color="D0CECE"/>
              <w:bottom w:val="single" w:sz="4" w:space="0" w:color="D0CECE"/>
              <w:right w:val="nil"/>
            </w:tcBorders>
            <w:tcMar>
              <w:top w:w="-113" w:type="dxa"/>
              <w:left w:w="-113" w:type="dxa"/>
              <w:bottom w:w="-113" w:type="dxa"/>
              <w:right w:w="-113" w:type="dxa"/>
            </w:tcMar>
          </w:tcPr>
          <w:p w14:paraId="7B6773D1" w14:textId="77777777" w:rsidR="00CB0062" w:rsidRPr="00641BD3" w:rsidRDefault="00CB0062" w:rsidP="00223E56">
            <w:pPr>
              <w:rPr>
                <w:sz w:val="16"/>
                <w:szCs w:val="16"/>
                <w:lang w:val="es-ES"/>
              </w:rPr>
            </w:pPr>
          </w:p>
        </w:tc>
        <w:tc>
          <w:tcPr>
            <w:tcW w:w="708" w:type="dxa"/>
            <w:tcBorders>
              <w:top w:val="single" w:sz="4" w:space="0" w:color="D9D9D9"/>
              <w:left w:val="nil"/>
              <w:bottom w:val="single" w:sz="4" w:space="0" w:color="D9D9D9"/>
              <w:right w:val="nil"/>
            </w:tcBorders>
            <w:tcMar>
              <w:top w:w="-113" w:type="dxa"/>
              <w:left w:w="-113" w:type="dxa"/>
              <w:bottom w:w="-113" w:type="dxa"/>
              <w:right w:w="-113" w:type="dxa"/>
            </w:tcMar>
          </w:tcPr>
          <w:p w14:paraId="4AD30EDD" w14:textId="77777777" w:rsidR="00CB0062" w:rsidRDefault="00CB0062" w:rsidP="00223E56">
            <w:pPr>
              <w:rPr>
                <w:sz w:val="16"/>
                <w:szCs w:val="16"/>
              </w:rPr>
            </w:pPr>
            <w:r>
              <w:rPr>
                <w:sz w:val="16"/>
                <w:szCs w:val="16"/>
              </w:rPr>
              <w:t>GDM</w:t>
            </w:r>
          </w:p>
        </w:tc>
        <w:tc>
          <w:tcPr>
            <w:tcW w:w="1838" w:type="dxa"/>
            <w:tcBorders>
              <w:top w:val="single" w:sz="4" w:space="0" w:color="D9D9D9"/>
              <w:left w:val="nil"/>
              <w:bottom w:val="single" w:sz="4" w:space="0" w:color="D9D9D9"/>
              <w:right w:val="single" w:sz="4" w:space="0" w:color="000000" w:themeColor="text1"/>
            </w:tcBorders>
            <w:tcMar>
              <w:top w:w="-113" w:type="dxa"/>
              <w:left w:w="-113" w:type="dxa"/>
              <w:bottom w:w="-113" w:type="dxa"/>
              <w:right w:w="-113" w:type="dxa"/>
            </w:tcMar>
          </w:tcPr>
          <w:p w14:paraId="1DEE0A61" w14:textId="77777777" w:rsidR="00CB0062" w:rsidRDefault="00CB0062" w:rsidP="00223E56">
            <w:pPr>
              <w:rPr>
                <w:sz w:val="16"/>
                <w:szCs w:val="16"/>
              </w:rPr>
            </w:pPr>
            <w:r>
              <w:rPr>
                <w:sz w:val="16"/>
                <w:szCs w:val="16"/>
              </w:rPr>
              <w:t xml:space="preserve">Liang </w:t>
            </w:r>
            <w:r>
              <w:rPr>
                <w:i/>
                <w:sz w:val="16"/>
                <w:szCs w:val="16"/>
              </w:rPr>
              <w:t xml:space="preserve">et al. </w:t>
            </w:r>
            <w:r>
              <w:rPr>
                <w:sz w:val="16"/>
                <w:szCs w:val="16"/>
              </w:rPr>
              <w:t>2023</w:t>
            </w:r>
          </w:p>
        </w:tc>
      </w:tr>
      <w:tr w:rsidR="00CB0062" w:rsidRPr="0030321B" w14:paraId="12A7B37C"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64A957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654D81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5FF2A65F" w14:textId="77777777" w:rsidR="00CB0062" w:rsidRDefault="00CB0062" w:rsidP="00223E56">
            <w:pPr>
              <w:rPr>
                <w:color w:val="000000"/>
                <w:sz w:val="16"/>
                <w:szCs w:val="16"/>
              </w:rPr>
            </w:pPr>
            <w:r>
              <w:rPr>
                <w:color w:val="000000"/>
                <w:sz w:val="16"/>
                <w:szCs w:val="16"/>
              </w:rPr>
              <w:t>rs10509760</w:t>
            </w:r>
          </w:p>
        </w:tc>
        <w:tc>
          <w:tcPr>
            <w:tcW w:w="851" w:type="dxa"/>
            <w:tcBorders>
              <w:top w:val="single" w:sz="4" w:space="0" w:color="D0CECE"/>
              <w:bottom w:val="single" w:sz="4" w:space="0" w:color="D0CECE"/>
            </w:tcBorders>
            <w:tcMar>
              <w:top w:w="-113" w:type="dxa"/>
              <w:left w:w="-113" w:type="dxa"/>
              <w:bottom w:w="-113" w:type="dxa"/>
              <w:right w:w="-113" w:type="dxa"/>
            </w:tcMar>
          </w:tcPr>
          <w:p w14:paraId="7AE5774E" w14:textId="77777777" w:rsidR="00CB0062" w:rsidRDefault="00CB0062" w:rsidP="00223E56">
            <w:pPr>
              <w:rPr>
                <w:color w:val="000000"/>
                <w:sz w:val="16"/>
                <w:szCs w:val="16"/>
              </w:rPr>
            </w:pPr>
            <w:r>
              <w:rPr>
                <w:color w:val="000000"/>
                <w:sz w:val="16"/>
                <w:szCs w:val="16"/>
              </w:rPr>
              <w:t>A&gt;G</w:t>
            </w:r>
          </w:p>
        </w:tc>
        <w:tc>
          <w:tcPr>
            <w:tcW w:w="1701" w:type="dxa"/>
            <w:tcBorders>
              <w:top w:val="single" w:sz="4" w:space="0" w:color="D0CECE"/>
              <w:bottom w:val="single" w:sz="4" w:space="0" w:color="D0CECE"/>
              <w:right w:val="nil"/>
            </w:tcBorders>
            <w:tcMar>
              <w:top w:w="-113" w:type="dxa"/>
              <w:left w:w="-113" w:type="dxa"/>
              <w:bottom w:w="-113" w:type="dxa"/>
              <w:right w:w="-113" w:type="dxa"/>
            </w:tcMar>
          </w:tcPr>
          <w:p w14:paraId="501EE1A6" w14:textId="77777777" w:rsidR="00CB0062" w:rsidRDefault="00CB0062" w:rsidP="00223E56">
            <w:pPr>
              <w:rPr>
                <w:color w:val="000000"/>
                <w:sz w:val="16"/>
                <w:szCs w:val="16"/>
              </w:rPr>
            </w:pPr>
            <w:r>
              <w:rPr>
                <w:sz w:val="16"/>
                <w:szCs w:val="16"/>
              </w:rPr>
              <w:t>Intron variant</w:t>
            </w:r>
          </w:p>
        </w:tc>
        <w:tc>
          <w:tcPr>
            <w:tcW w:w="708" w:type="dxa"/>
            <w:tcBorders>
              <w:top w:val="single" w:sz="4" w:space="0" w:color="D9D9D9"/>
              <w:left w:val="nil"/>
              <w:bottom w:val="single" w:sz="4" w:space="0" w:color="D9D9D9"/>
              <w:right w:val="nil"/>
            </w:tcBorders>
            <w:tcMar>
              <w:top w:w="-113" w:type="dxa"/>
              <w:left w:w="-113" w:type="dxa"/>
              <w:bottom w:w="-113" w:type="dxa"/>
              <w:right w:w="-113" w:type="dxa"/>
            </w:tcMar>
          </w:tcPr>
          <w:p w14:paraId="4BC36FF3" w14:textId="77777777" w:rsidR="00CB0062" w:rsidRDefault="00CB0062" w:rsidP="00223E56">
            <w:pPr>
              <w:rPr>
                <w:sz w:val="16"/>
                <w:szCs w:val="16"/>
              </w:rPr>
            </w:pPr>
            <w:r>
              <w:rPr>
                <w:sz w:val="16"/>
                <w:szCs w:val="16"/>
              </w:rPr>
              <w:t>CVD</w:t>
            </w:r>
          </w:p>
          <w:p w14:paraId="23AAA488" w14:textId="77777777" w:rsidR="00CB0062" w:rsidRDefault="00CB0062" w:rsidP="00223E56">
            <w:pPr>
              <w:rPr>
                <w:sz w:val="16"/>
                <w:szCs w:val="16"/>
              </w:rPr>
            </w:pPr>
            <w:r>
              <w:rPr>
                <w:sz w:val="16"/>
                <w:szCs w:val="16"/>
              </w:rPr>
              <w:t>CIMT</w:t>
            </w:r>
          </w:p>
        </w:tc>
        <w:tc>
          <w:tcPr>
            <w:tcW w:w="1838" w:type="dxa"/>
            <w:tcBorders>
              <w:top w:val="single" w:sz="4" w:space="0" w:color="D9D9D9"/>
              <w:left w:val="nil"/>
              <w:bottom w:val="single" w:sz="4" w:space="0" w:color="D9D9D9"/>
              <w:right w:val="single" w:sz="4" w:space="0" w:color="000000" w:themeColor="text1"/>
            </w:tcBorders>
            <w:tcMar>
              <w:top w:w="-113" w:type="dxa"/>
              <w:left w:w="-113" w:type="dxa"/>
              <w:bottom w:w="-113" w:type="dxa"/>
              <w:right w:w="-113" w:type="dxa"/>
            </w:tcMar>
          </w:tcPr>
          <w:p w14:paraId="6476B46B"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38F463DC"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tc>
      </w:tr>
      <w:tr w:rsidR="00CB0062" w14:paraId="1CB0AEDE"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69D573D"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D28AC09"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3C5C85D3" w14:textId="77777777" w:rsidR="00CB0062" w:rsidRDefault="00CB0062" w:rsidP="00223E56">
            <w:pPr>
              <w:rPr>
                <w:sz w:val="16"/>
                <w:szCs w:val="16"/>
              </w:rPr>
            </w:pPr>
            <w:r>
              <w:rPr>
                <w:color w:val="000000"/>
                <w:sz w:val="16"/>
                <w:szCs w:val="16"/>
              </w:rPr>
              <w:t>rs10509761</w:t>
            </w:r>
          </w:p>
        </w:tc>
        <w:tc>
          <w:tcPr>
            <w:tcW w:w="851" w:type="dxa"/>
            <w:vMerge w:val="restart"/>
            <w:tcBorders>
              <w:top w:val="single" w:sz="4" w:space="0" w:color="D0CECE"/>
              <w:bottom w:val="single" w:sz="4" w:space="0" w:color="D0CECE"/>
            </w:tcBorders>
            <w:tcMar>
              <w:top w:w="-113" w:type="dxa"/>
              <w:left w:w="-113" w:type="dxa"/>
              <w:bottom w:w="-113" w:type="dxa"/>
              <w:right w:w="-113" w:type="dxa"/>
            </w:tcMar>
          </w:tcPr>
          <w:p w14:paraId="4486BE1A" w14:textId="77777777" w:rsidR="00CB0062" w:rsidRDefault="00CB0062" w:rsidP="00223E56">
            <w:pPr>
              <w:rPr>
                <w:color w:val="000000"/>
                <w:sz w:val="16"/>
                <w:szCs w:val="16"/>
              </w:rPr>
            </w:pPr>
            <w:r>
              <w:rPr>
                <w:color w:val="000000"/>
                <w:sz w:val="16"/>
                <w:szCs w:val="16"/>
              </w:rPr>
              <w:t>T&gt;C</w:t>
            </w:r>
          </w:p>
        </w:tc>
        <w:tc>
          <w:tcPr>
            <w:tcW w:w="1701" w:type="dxa"/>
            <w:vMerge w:val="restart"/>
            <w:tcBorders>
              <w:top w:val="single" w:sz="4" w:space="0" w:color="D0CECE"/>
              <w:bottom w:val="single" w:sz="4" w:space="0" w:color="D0CECE"/>
            </w:tcBorders>
            <w:tcMar>
              <w:top w:w="-113" w:type="dxa"/>
              <w:left w:w="-113" w:type="dxa"/>
              <w:bottom w:w="-113" w:type="dxa"/>
              <w:right w:w="-113" w:type="dxa"/>
            </w:tcMar>
          </w:tcPr>
          <w:p w14:paraId="0037CC1B" w14:textId="77777777" w:rsidR="00CB0062" w:rsidRDefault="00CB0062" w:rsidP="00223E56">
            <w:pPr>
              <w:rPr>
                <w:color w:val="000000"/>
                <w:sz w:val="16"/>
                <w:szCs w:val="16"/>
              </w:rPr>
            </w:pPr>
            <w:r>
              <w:rPr>
                <w:sz w:val="16"/>
                <w:szCs w:val="16"/>
              </w:rPr>
              <w:t>Intron variant</w:t>
            </w:r>
          </w:p>
        </w:tc>
        <w:tc>
          <w:tcPr>
            <w:tcW w:w="708" w:type="dxa"/>
            <w:tcBorders>
              <w:top w:val="single" w:sz="4" w:space="0" w:color="D9D9D9"/>
              <w:bottom w:val="single" w:sz="4" w:space="0" w:color="D0CECE"/>
            </w:tcBorders>
            <w:tcMar>
              <w:top w:w="-113" w:type="dxa"/>
              <w:left w:w="-113" w:type="dxa"/>
              <w:bottom w:w="-113" w:type="dxa"/>
              <w:right w:w="-113" w:type="dxa"/>
            </w:tcMar>
          </w:tcPr>
          <w:p w14:paraId="779DE76B" w14:textId="77777777" w:rsidR="00CB0062" w:rsidRDefault="00CB0062" w:rsidP="00223E56">
            <w:pPr>
              <w:rPr>
                <w:color w:val="000000"/>
                <w:sz w:val="16"/>
                <w:szCs w:val="16"/>
              </w:rPr>
            </w:pPr>
            <w:r>
              <w:rPr>
                <w:color w:val="000000"/>
                <w:sz w:val="16"/>
                <w:szCs w:val="16"/>
              </w:rPr>
              <w:t>BP</w:t>
            </w:r>
          </w:p>
        </w:tc>
        <w:tc>
          <w:tcPr>
            <w:tcW w:w="1838" w:type="dxa"/>
            <w:tcBorders>
              <w:top w:val="single" w:sz="4" w:space="0" w:color="D9D9D9"/>
              <w:bottom w:val="single" w:sz="4" w:space="0" w:color="D0CECE"/>
              <w:right w:val="single" w:sz="4" w:space="0" w:color="000000" w:themeColor="text1"/>
            </w:tcBorders>
            <w:tcMar>
              <w:top w:w="-113" w:type="dxa"/>
              <w:left w:w="-113" w:type="dxa"/>
              <w:bottom w:w="-113" w:type="dxa"/>
              <w:right w:w="-113" w:type="dxa"/>
            </w:tcMar>
          </w:tcPr>
          <w:p w14:paraId="7FC3FC3D" w14:textId="77777777" w:rsidR="00CB0062" w:rsidRDefault="00CB0062" w:rsidP="00223E56">
            <w:pPr>
              <w:rPr>
                <w:color w:val="000000"/>
                <w:sz w:val="16"/>
                <w:szCs w:val="16"/>
              </w:rPr>
            </w:pPr>
            <w:r>
              <w:rPr>
                <w:sz w:val="16"/>
                <w:szCs w:val="16"/>
              </w:rPr>
              <w:t xml:space="preserve">Farzan </w:t>
            </w:r>
            <w:r>
              <w:rPr>
                <w:i/>
                <w:sz w:val="16"/>
                <w:szCs w:val="16"/>
              </w:rPr>
              <w:t>et al.</w:t>
            </w:r>
            <w:r>
              <w:rPr>
                <w:sz w:val="16"/>
                <w:szCs w:val="16"/>
              </w:rPr>
              <w:t xml:space="preserve"> 2016</w:t>
            </w:r>
          </w:p>
        </w:tc>
      </w:tr>
      <w:tr w:rsidR="00CB0062" w:rsidRPr="0030321B" w14:paraId="0CDE0A19"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131341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7A948F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54607B4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tcMar>
              <w:top w:w="-113" w:type="dxa"/>
              <w:left w:w="-113" w:type="dxa"/>
              <w:bottom w:w="-113" w:type="dxa"/>
              <w:right w:w="-113" w:type="dxa"/>
            </w:tcMar>
          </w:tcPr>
          <w:p w14:paraId="1465327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tcMar>
              <w:top w:w="-113" w:type="dxa"/>
              <w:left w:w="-113" w:type="dxa"/>
              <w:bottom w:w="-113" w:type="dxa"/>
              <w:right w:w="-113" w:type="dxa"/>
            </w:tcMar>
          </w:tcPr>
          <w:p w14:paraId="094D245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tcBorders>
              <w:top w:val="single" w:sz="4" w:space="0" w:color="D0CECE"/>
              <w:bottom w:val="single" w:sz="4" w:space="0" w:color="D0CECE"/>
            </w:tcBorders>
            <w:tcMar>
              <w:top w:w="-113" w:type="dxa"/>
              <w:left w:w="-113" w:type="dxa"/>
              <w:bottom w:w="-113" w:type="dxa"/>
              <w:right w:w="-113" w:type="dxa"/>
            </w:tcMar>
          </w:tcPr>
          <w:p w14:paraId="6F781124" w14:textId="77777777" w:rsidR="00CB0062" w:rsidRDefault="00CB0062" w:rsidP="00223E56">
            <w:pPr>
              <w:rPr>
                <w:color w:val="000000"/>
                <w:sz w:val="16"/>
                <w:szCs w:val="16"/>
              </w:rPr>
            </w:pPr>
            <w:r>
              <w:rPr>
                <w:color w:val="000000"/>
                <w:sz w:val="16"/>
                <w:szCs w:val="16"/>
              </w:rPr>
              <w:t>CVD</w:t>
            </w:r>
          </w:p>
          <w:p w14:paraId="6C3695BA" w14:textId="77777777" w:rsidR="00CB0062" w:rsidRDefault="00CB0062" w:rsidP="00223E56">
            <w:pPr>
              <w:rPr>
                <w:sz w:val="16"/>
                <w:szCs w:val="16"/>
              </w:rPr>
            </w:pPr>
            <w:r>
              <w:rPr>
                <w:sz w:val="16"/>
                <w:szCs w:val="16"/>
              </w:rPr>
              <w:t>CIMT</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51ADFF5"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730E7652"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tc>
      </w:tr>
      <w:tr w:rsidR="00CB0062" w14:paraId="164A7BBA"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D36208C"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08B6EED"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992" w:type="dxa"/>
            <w:vMerge w:val="restart"/>
            <w:tcBorders>
              <w:top w:val="single" w:sz="4" w:space="0" w:color="D0CECE"/>
              <w:left w:val="nil"/>
              <w:bottom w:val="single" w:sz="4" w:space="0" w:color="D0CECE"/>
            </w:tcBorders>
            <w:tcMar>
              <w:top w:w="-113" w:type="dxa"/>
              <w:left w:w="-113" w:type="dxa"/>
              <w:bottom w:w="-113" w:type="dxa"/>
              <w:right w:w="-113" w:type="dxa"/>
            </w:tcMar>
          </w:tcPr>
          <w:p w14:paraId="602B72A8" w14:textId="77777777" w:rsidR="00CB0062" w:rsidRDefault="00CB0062" w:rsidP="00223E56">
            <w:pPr>
              <w:rPr>
                <w:sz w:val="16"/>
                <w:szCs w:val="16"/>
              </w:rPr>
            </w:pPr>
            <w:r>
              <w:rPr>
                <w:color w:val="000000"/>
                <w:sz w:val="16"/>
                <w:szCs w:val="16"/>
              </w:rPr>
              <w:t xml:space="preserve">rs10748835 </w:t>
            </w:r>
          </w:p>
        </w:tc>
        <w:tc>
          <w:tcPr>
            <w:tcW w:w="851" w:type="dxa"/>
            <w:vMerge w:val="restart"/>
            <w:tcBorders>
              <w:top w:val="single" w:sz="4" w:space="0" w:color="D0CECE"/>
              <w:bottom w:val="single" w:sz="4" w:space="0" w:color="D0CECE"/>
            </w:tcBorders>
            <w:tcMar>
              <w:top w:w="-113" w:type="dxa"/>
              <w:left w:w="-113" w:type="dxa"/>
              <w:bottom w:w="-113" w:type="dxa"/>
              <w:right w:w="-113" w:type="dxa"/>
            </w:tcMar>
          </w:tcPr>
          <w:p w14:paraId="7DDA7AD5" w14:textId="77777777" w:rsidR="00CB0062" w:rsidRDefault="00CB0062" w:rsidP="00223E56">
            <w:pPr>
              <w:rPr>
                <w:color w:val="000000"/>
                <w:sz w:val="16"/>
                <w:szCs w:val="16"/>
              </w:rPr>
            </w:pPr>
            <w:r>
              <w:rPr>
                <w:color w:val="000000"/>
                <w:sz w:val="16"/>
                <w:szCs w:val="16"/>
              </w:rPr>
              <w:t>G&gt;A</w:t>
            </w:r>
          </w:p>
        </w:tc>
        <w:tc>
          <w:tcPr>
            <w:tcW w:w="1701" w:type="dxa"/>
            <w:vMerge w:val="restart"/>
            <w:tcBorders>
              <w:top w:val="single" w:sz="4" w:space="0" w:color="D0CECE"/>
              <w:bottom w:val="single" w:sz="4" w:space="0" w:color="D0CECE"/>
            </w:tcBorders>
            <w:tcMar>
              <w:top w:w="-113" w:type="dxa"/>
              <w:left w:w="-113" w:type="dxa"/>
              <w:bottom w:w="-113" w:type="dxa"/>
              <w:right w:w="-113" w:type="dxa"/>
            </w:tcMar>
          </w:tcPr>
          <w:p w14:paraId="41A73B7C" w14:textId="77777777" w:rsidR="00CB0062" w:rsidRDefault="00CB0062" w:rsidP="00223E56">
            <w:pPr>
              <w:rPr>
                <w:color w:val="000000"/>
                <w:sz w:val="16"/>
                <w:szCs w:val="16"/>
              </w:rPr>
            </w:pPr>
            <w:r>
              <w:rPr>
                <w:sz w:val="16"/>
                <w:szCs w:val="16"/>
              </w:rPr>
              <w:t>Intron variant</w:t>
            </w:r>
          </w:p>
        </w:tc>
        <w:tc>
          <w:tcPr>
            <w:tcW w:w="708" w:type="dxa"/>
            <w:tcBorders>
              <w:top w:val="single" w:sz="4" w:space="0" w:color="D0CECE"/>
              <w:bottom w:val="single" w:sz="4" w:space="0" w:color="EFEFEF"/>
            </w:tcBorders>
            <w:tcMar>
              <w:top w:w="-113" w:type="dxa"/>
              <w:left w:w="-113" w:type="dxa"/>
              <w:bottom w:w="-113" w:type="dxa"/>
              <w:right w:w="-113" w:type="dxa"/>
            </w:tcMar>
          </w:tcPr>
          <w:p w14:paraId="47A1D27F" w14:textId="77777777" w:rsidR="00CB0062" w:rsidRDefault="00CB0062" w:rsidP="00223E56">
            <w:pPr>
              <w:rPr>
                <w:color w:val="000000"/>
                <w:sz w:val="16"/>
                <w:szCs w:val="16"/>
              </w:rPr>
            </w:pPr>
            <w:r>
              <w:rPr>
                <w:color w:val="000000"/>
                <w:sz w:val="16"/>
                <w:szCs w:val="16"/>
              </w:rPr>
              <w:t>DM</w:t>
            </w:r>
          </w:p>
        </w:tc>
        <w:tc>
          <w:tcPr>
            <w:tcW w:w="1838" w:type="dxa"/>
            <w:tcBorders>
              <w:top w:val="single" w:sz="4" w:space="0" w:color="D0CECE"/>
              <w:bottom w:val="single" w:sz="4" w:space="0" w:color="EFEFEF"/>
              <w:right w:val="single" w:sz="4" w:space="0" w:color="000000" w:themeColor="text1"/>
            </w:tcBorders>
            <w:tcMar>
              <w:top w:w="-113" w:type="dxa"/>
              <w:left w:w="-113" w:type="dxa"/>
              <w:bottom w:w="-113" w:type="dxa"/>
              <w:right w:w="-113" w:type="dxa"/>
            </w:tcMar>
          </w:tcPr>
          <w:p w14:paraId="261532CC" w14:textId="77777777" w:rsidR="00CB0062" w:rsidRDefault="00CB0062" w:rsidP="00223E56">
            <w:pPr>
              <w:rPr>
                <w:color w:val="000000"/>
                <w:sz w:val="16"/>
                <w:szCs w:val="16"/>
              </w:rPr>
            </w:pPr>
            <w:proofErr w:type="spellStart"/>
            <w:r>
              <w:rPr>
                <w:sz w:val="16"/>
                <w:szCs w:val="16"/>
              </w:rPr>
              <w:t>Drobná</w:t>
            </w:r>
            <w:proofErr w:type="spellEnd"/>
            <w:r>
              <w:rPr>
                <w:sz w:val="16"/>
                <w:szCs w:val="16"/>
              </w:rPr>
              <w:t xml:space="preserve"> </w:t>
            </w:r>
            <w:r>
              <w:rPr>
                <w:i/>
                <w:sz w:val="16"/>
                <w:szCs w:val="16"/>
              </w:rPr>
              <w:t>et al.</w:t>
            </w:r>
            <w:r>
              <w:rPr>
                <w:sz w:val="16"/>
                <w:szCs w:val="16"/>
              </w:rPr>
              <w:t xml:space="preserve"> 2012</w:t>
            </w:r>
          </w:p>
        </w:tc>
      </w:tr>
      <w:tr w:rsidR="00CB0062" w:rsidRPr="0030321B" w14:paraId="24541552" w14:textId="77777777" w:rsidTr="00923C73">
        <w:trPr>
          <w:trHeight w:val="317"/>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2794A3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220E9E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tcMar>
              <w:top w:w="-113" w:type="dxa"/>
              <w:left w:w="-113" w:type="dxa"/>
              <w:bottom w:w="-113" w:type="dxa"/>
              <w:right w:w="-113" w:type="dxa"/>
            </w:tcMar>
          </w:tcPr>
          <w:p w14:paraId="03BB5A6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tcMar>
              <w:top w:w="-113" w:type="dxa"/>
              <w:left w:w="-113" w:type="dxa"/>
              <w:bottom w:w="-113" w:type="dxa"/>
              <w:right w:w="-113" w:type="dxa"/>
            </w:tcMar>
          </w:tcPr>
          <w:p w14:paraId="45870BF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right w:val="nil"/>
            </w:tcBorders>
            <w:tcMar>
              <w:top w:w="-113" w:type="dxa"/>
              <w:left w:w="-113" w:type="dxa"/>
              <w:bottom w:w="-113" w:type="dxa"/>
              <w:right w:w="-113" w:type="dxa"/>
            </w:tcMar>
          </w:tcPr>
          <w:p w14:paraId="68E1C1B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vMerge w:val="restart"/>
            <w:tcBorders>
              <w:top w:val="single" w:sz="4" w:space="0" w:color="EFEFEF"/>
              <w:left w:val="nil"/>
              <w:bottom w:val="single" w:sz="4" w:space="0" w:color="EFEFEF"/>
              <w:right w:val="nil"/>
            </w:tcBorders>
            <w:tcMar>
              <w:top w:w="-113" w:type="dxa"/>
              <w:left w:w="-113" w:type="dxa"/>
              <w:bottom w:w="-113" w:type="dxa"/>
              <w:right w:w="-113" w:type="dxa"/>
            </w:tcMar>
          </w:tcPr>
          <w:p w14:paraId="37D166EB" w14:textId="77777777" w:rsidR="00CB0062" w:rsidRDefault="00CB0062" w:rsidP="00223E56">
            <w:pPr>
              <w:rPr>
                <w:sz w:val="16"/>
                <w:szCs w:val="16"/>
              </w:rPr>
            </w:pPr>
            <w:r>
              <w:rPr>
                <w:color w:val="000000"/>
                <w:sz w:val="16"/>
                <w:szCs w:val="16"/>
              </w:rPr>
              <w:t>CVD</w:t>
            </w:r>
          </w:p>
          <w:p w14:paraId="77660C40" w14:textId="77777777" w:rsidR="00CB0062" w:rsidRDefault="00CB0062" w:rsidP="00223E56">
            <w:pPr>
              <w:rPr>
                <w:sz w:val="16"/>
                <w:szCs w:val="16"/>
              </w:rPr>
            </w:pPr>
            <w:r>
              <w:rPr>
                <w:sz w:val="16"/>
                <w:szCs w:val="16"/>
              </w:rPr>
              <w:t>CIMT</w:t>
            </w:r>
          </w:p>
        </w:tc>
        <w:tc>
          <w:tcPr>
            <w:tcW w:w="1838" w:type="dxa"/>
            <w:vMerge w:val="restart"/>
            <w:tcBorders>
              <w:top w:val="single" w:sz="4" w:space="0" w:color="EFEFEF"/>
              <w:left w:val="nil"/>
              <w:bottom w:val="single" w:sz="4" w:space="0" w:color="EFEFEF"/>
              <w:right w:val="single" w:sz="4" w:space="0" w:color="000000" w:themeColor="text1"/>
            </w:tcBorders>
            <w:tcMar>
              <w:top w:w="-113" w:type="dxa"/>
              <w:left w:w="-113" w:type="dxa"/>
              <w:bottom w:w="-113" w:type="dxa"/>
              <w:right w:w="-113" w:type="dxa"/>
            </w:tcMar>
          </w:tcPr>
          <w:p w14:paraId="20F0ED03"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55C14602"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p w14:paraId="72A7A439" w14:textId="77777777" w:rsidR="00CB0062" w:rsidRPr="00641BD3" w:rsidRDefault="00CB0062" w:rsidP="00223E56">
            <w:pPr>
              <w:rPr>
                <w:color w:val="000000"/>
                <w:sz w:val="16"/>
                <w:szCs w:val="16"/>
                <w:lang w:val="es-ES"/>
              </w:rPr>
            </w:pPr>
          </w:p>
        </w:tc>
      </w:tr>
      <w:tr w:rsidR="00CB0062" w14:paraId="4BD82539"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8C2B2F2"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057C4AE"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72212E16" w14:textId="77777777" w:rsidR="00CB0062" w:rsidRDefault="00CB0062" w:rsidP="00223E56">
            <w:pPr>
              <w:rPr>
                <w:color w:val="000000"/>
                <w:sz w:val="16"/>
                <w:szCs w:val="16"/>
              </w:rPr>
            </w:pPr>
            <w:r>
              <w:rPr>
                <w:color w:val="000000"/>
                <w:sz w:val="16"/>
                <w:szCs w:val="16"/>
              </w:rPr>
              <w:t>rs10748839</w:t>
            </w:r>
          </w:p>
        </w:tc>
        <w:tc>
          <w:tcPr>
            <w:tcW w:w="851" w:type="dxa"/>
            <w:tcBorders>
              <w:top w:val="single" w:sz="4" w:space="0" w:color="D0CECE"/>
              <w:bottom w:val="single" w:sz="4" w:space="0" w:color="D0CECE"/>
            </w:tcBorders>
            <w:tcMar>
              <w:top w:w="-113" w:type="dxa"/>
              <w:left w:w="-113" w:type="dxa"/>
              <w:bottom w:w="-113" w:type="dxa"/>
              <w:right w:w="-113" w:type="dxa"/>
            </w:tcMar>
          </w:tcPr>
          <w:p w14:paraId="7DF1EAF7" w14:textId="77777777" w:rsidR="00CB0062" w:rsidRDefault="00CB0062" w:rsidP="00223E56">
            <w:pPr>
              <w:rPr>
                <w:color w:val="000000"/>
                <w:sz w:val="16"/>
                <w:szCs w:val="16"/>
              </w:rPr>
            </w:pPr>
            <w:r>
              <w:rPr>
                <w:color w:val="000000"/>
                <w:sz w:val="16"/>
                <w:szCs w:val="16"/>
              </w:rPr>
              <w:t>T&gt;A</w:t>
            </w:r>
          </w:p>
        </w:tc>
        <w:tc>
          <w:tcPr>
            <w:tcW w:w="1701" w:type="dxa"/>
            <w:tcBorders>
              <w:top w:val="single" w:sz="4" w:space="0" w:color="D0CECE"/>
              <w:bottom w:val="single" w:sz="4" w:space="0" w:color="D0CECE"/>
              <w:right w:val="nil"/>
            </w:tcBorders>
            <w:tcMar>
              <w:top w:w="-113" w:type="dxa"/>
              <w:left w:w="-113" w:type="dxa"/>
              <w:bottom w:w="-113" w:type="dxa"/>
              <w:right w:w="-113" w:type="dxa"/>
            </w:tcMar>
          </w:tcPr>
          <w:p w14:paraId="44CFF200" w14:textId="77777777" w:rsidR="00CB0062" w:rsidRDefault="00CB0062" w:rsidP="00223E56">
            <w:pPr>
              <w:rPr>
                <w:color w:val="000000"/>
                <w:sz w:val="16"/>
                <w:szCs w:val="16"/>
              </w:rPr>
            </w:pPr>
            <w:r>
              <w:rPr>
                <w:sz w:val="16"/>
                <w:szCs w:val="16"/>
              </w:rPr>
              <w:t>2KB Upstream variant</w:t>
            </w:r>
          </w:p>
        </w:tc>
        <w:tc>
          <w:tcPr>
            <w:tcW w:w="708" w:type="dxa"/>
            <w:vMerge/>
            <w:tcBorders>
              <w:top w:val="single" w:sz="4" w:space="0" w:color="EFEFEF"/>
              <w:left w:val="nil"/>
              <w:bottom w:val="single" w:sz="4" w:space="0" w:color="EFEFEF"/>
              <w:right w:val="nil"/>
            </w:tcBorders>
            <w:tcMar>
              <w:top w:w="-113" w:type="dxa"/>
              <w:left w:w="-113" w:type="dxa"/>
              <w:bottom w:w="-113" w:type="dxa"/>
              <w:right w:w="-113" w:type="dxa"/>
            </w:tcMar>
          </w:tcPr>
          <w:p w14:paraId="7883D5F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EFEFEF"/>
              <w:left w:val="nil"/>
              <w:bottom w:val="single" w:sz="4" w:space="0" w:color="EFEFEF"/>
              <w:right w:val="single" w:sz="4" w:space="0" w:color="000000" w:themeColor="text1"/>
            </w:tcBorders>
            <w:tcMar>
              <w:top w:w="-113" w:type="dxa"/>
              <w:left w:w="-113" w:type="dxa"/>
              <w:bottom w:w="-113" w:type="dxa"/>
              <w:right w:w="-113" w:type="dxa"/>
            </w:tcMar>
          </w:tcPr>
          <w:p w14:paraId="74B4817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1E1BED53"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E18D7F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A21296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53DD04C" w14:textId="77777777" w:rsidR="00CB0062" w:rsidRDefault="00CB0062" w:rsidP="00223E56">
            <w:pPr>
              <w:rPr>
                <w:color w:val="000000"/>
                <w:sz w:val="16"/>
                <w:szCs w:val="16"/>
              </w:rPr>
            </w:pPr>
            <w:r>
              <w:rPr>
                <w:color w:val="000000"/>
                <w:sz w:val="16"/>
                <w:szCs w:val="16"/>
              </w:rPr>
              <w:t>rs10786719</w:t>
            </w:r>
          </w:p>
        </w:tc>
        <w:tc>
          <w:tcPr>
            <w:tcW w:w="851" w:type="dxa"/>
            <w:tcBorders>
              <w:top w:val="single" w:sz="4" w:space="0" w:color="D0CECE"/>
              <w:bottom w:val="single" w:sz="4" w:space="0" w:color="D0CECE"/>
            </w:tcBorders>
            <w:tcMar>
              <w:top w:w="-113" w:type="dxa"/>
              <w:left w:w="-113" w:type="dxa"/>
              <w:bottom w:w="-113" w:type="dxa"/>
              <w:right w:w="-113" w:type="dxa"/>
            </w:tcMar>
          </w:tcPr>
          <w:p w14:paraId="6F6CCDD2" w14:textId="77777777" w:rsidR="00CB0062" w:rsidRDefault="00CB0062" w:rsidP="00223E56">
            <w:pPr>
              <w:rPr>
                <w:color w:val="000000"/>
                <w:sz w:val="16"/>
                <w:szCs w:val="16"/>
              </w:rPr>
            </w:pPr>
            <w:r>
              <w:rPr>
                <w:color w:val="000000"/>
                <w:sz w:val="16"/>
                <w:szCs w:val="16"/>
              </w:rPr>
              <w:t>A&gt;</w:t>
            </w:r>
            <w:proofErr w:type="gramStart"/>
            <w:r>
              <w:rPr>
                <w:color w:val="000000"/>
                <w:sz w:val="16"/>
                <w:szCs w:val="16"/>
              </w:rPr>
              <w:t>G,T</w:t>
            </w:r>
            <w:proofErr w:type="gramEnd"/>
          </w:p>
        </w:tc>
        <w:tc>
          <w:tcPr>
            <w:tcW w:w="1701" w:type="dxa"/>
            <w:tcBorders>
              <w:top w:val="single" w:sz="4" w:space="0" w:color="D0CECE"/>
              <w:bottom w:val="single" w:sz="4" w:space="0" w:color="D0CECE"/>
              <w:right w:val="nil"/>
            </w:tcBorders>
            <w:tcMar>
              <w:top w:w="-113" w:type="dxa"/>
              <w:left w:w="-113" w:type="dxa"/>
              <w:bottom w:w="-113" w:type="dxa"/>
              <w:right w:w="-113" w:type="dxa"/>
            </w:tcMar>
          </w:tcPr>
          <w:p w14:paraId="3C20E5CE" w14:textId="77777777" w:rsidR="00CB0062" w:rsidRDefault="00CB0062" w:rsidP="00223E56">
            <w:pPr>
              <w:rPr>
                <w:color w:val="000000"/>
                <w:sz w:val="16"/>
                <w:szCs w:val="16"/>
              </w:rPr>
            </w:pPr>
            <w:r>
              <w:rPr>
                <w:sz w:val="16"/>
                <w:szCs w:val="16"/>
              </w:rPr>
              <w:t>Intron variant</w:t>
            </w:r>
          </w:p>
        </w:tc>
        <w:tc>
          <w:tcPr>
            <w:tcW w:w="708" w:type="dxa"/>
            <w:vMerge/>
            <w:tcBorders>
              <w:top w:val="single" w:sz="4" w:space="0" w:color="EFEFEF"/>
              <w:left w:val="nil"/>
              <w:bottom w:val="single" w:sz="4" w:space="0" w:color="EFEFEF"/>
              <w:right w:val="nil"/>
            </w:tcBorders>
            <w:tcMar>
              <w:top w:w="-113" w:type="dxa"/>
              <w:left w:w="-113" w:type="dxa"/>
              <w:bottom w:w="-113" w:type="dxa"/>
              <w:right w:w="-113" w:type="dxa"/>
            </w:tcMar>
          </w:tcPr>
          <w:p w14:paraId="551CD4B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EFEFEF"/>
              <w:left w:val="nil"/>
              <w:bottom w:val="single" w:sz="4" w:space="0" w:color="EFEFEF"/>
              <w:right w:val="single" w:sz="4" w:space="0" w:color="000000" w:themeColor="text1"/>
            </w:tcBorders>
            <w:tcMar>
              <w:top w:w="-113" w:type="dxa"/>
              <w:left w:w="-113" w:type="dxa"/>
              <w:bottom w:w="-113" w:type="dxa"/>
              <w:right w:w="-113" w:type="dxa"/>
            </w:tcMar>
          </w:tcPr>
          <w:p w14:paraId="4E1887B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44295047"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06C3B3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328209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7578285C" w14:textId="77777777" w:rsidR="00CB0062" w:rsidRDefault="00CB0062" w:rsidP="00223E56">
            <w:pPr>
              <w:rPr>
                <w:color w:val="000000"/>
                <w:sz w:val="16"/>
                <w:szCs w:val="16"/>
              </w:rPr>
            </w:pPr>
            <w:r>
              <w:rPr>
                <w:color w:val="000000"/>
                <w:sz w:val="16"/>
                <w:szCs w:val="16"/>
              </w:rPr>
              <w:t>rs10883790</w:t>
            </w:r>
          </w:p>
        </w:tc>
        <w:tc>
          <w:tcPr>
            <w:tcW w:w="851" w:type="dxa"/>
            <w:tcBorders>
              <w:top w:val="single" w:sz="4" w:space="0" w:color="D0CECE"/>
              <w:bottom w:val="single" w:sz="4" w:space="0" w:color="D0CECE"/>
            </w:tcBorders>
            <w:tcMar>
              <w:top w:w="-113" w:type="dxa"/>
              <w:left w:w="-113" w:type="dxa"/>
              <w:bottom w:w="-113" w:type="dxa"/>
              <w:right w:w="-113" w:type="dxa"/>
            </w:tcMar>
          </w:tcPr>
          <w:p w14:paraId="1DB13EE5" w14:textId="77777777" w:rsidR="00CB0062" w:rsidRDefault="00CB0062" w:rsidP="00223E56">
            <w:pPr>
              <w:rPr>
                <w:color w:val="000000"/>
                <w:sz w:val="16"/>
                <w:szCs w:val="16"/>
              </w:rPr>
            </w:pPr>
            <w:r>
              <w:rPr>
                <w:color w:val="000000"/>
                <w:sz w:val="16"/>
                <w:szCs w:val="16"/>
              </w:rPr>
              <w:t>A&gt;C</w:t>
            </w:r>
          </w:p>
        </w:tc>
        <w:tc>
          <w:tcPr>
            <w:tcW w:w="1701" w:type="dxa"/>
            <w:tcBorders>
              <w:top w:val="single" w:sz="4" w:space="0" w:color="D0CECE"/>
              <w:bottom w:val="single" w:sz="4" w:space="0" w:color="D0CECE"/>
              <w:right w:val="nil"/>
            </w:tcBorders>
            <w:tcMar>
              <w:top w:w="-113" w:type="dxa"/>
              <w:left w:w="-113" w:type="dxa"/>
              <w:bottom w:w="-113" w:type="dxa"/>
              <w:right w:w="-113" w:type="dxa"/>
            </w:tcMar>
          </w:tcPr>
          <w:p w14:paraId="33C69934" w14:textId="77777777" w:rsidR="00CB0062" w:rsidRDefault="00CB0062" w:rsidP="00223E56">
            <w:pPr>
              <w:rPr>
                <w:color w:val="000000"/>
                <w:sz w:val="16"/>
                <w:szCs w:val="16"/>
              </w:rPr>
            </w:pPr>
            <w:r>
              <w:rPr>
                <w:sz w:val="16"/>
                <w:szCs w:val="16"/>
              </w:rPr>
              <w:t>Intron variant</w:t>
            </w:r>
          </w:p>
        </w:tc>
        <w:tc>
          <w:tcPr>
            <w:tcW w:w="708" w:type="dxa"/>
            <w:vMerge/>
            <w:tcBorders>
              <w:top w:val="single" w:sz="4" w:space="0" w:color="EFEFEF"/>
              <w:left w:val="nil"/>
              <w:bottom w:val="single" w:sz="4" w:space="0" w:color="EFEFEF"/>
              <w:right w:val="nil"/>
            </w:tcBorders>
            <w:tcMar>
              <w:top w:w="-113" w:type="dxa"/>
              <w:left w:w="-113" w:type="dxa"/>
              <w:bottom w:w="-113" w:type="dxa"/>
              <w:right w:w="-113" w:type="dxa"/>
            </w:tcMar>
          </w:tcPr>
          <w:p w14:paraId="64F03AB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EFEFEF"/>
              <w:left w:val="nil"/>
              <w:bottom w:val="single" w:sz="4" w:space="0" w:color="EFEFEF"/>
              <w:right w:val="single" w:sz="4" w:space="0" w:color="000000" w:themeColor="text1"/>
            </w:tcBorders>
            <w:tcMar>
              <w:top w:w="-113" w:type="dxa"/>
              <w:left w:w="-113" w:type="dxa"/>
              <w:bottom w:w="-113" w:type="dxa"/>
              <w:right w:w="-113" w:type="dxa"/>
            </w:tcMar>
          </w:tcPr>
          <w:p w14:paraId="6F08EAE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29E16882"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FF986E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2B89D2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1F7220E9" w14:textId="77777777" w:rsidR="00CB0062" w:rsidRDefault="00CB0062" w:rsidP="00223E56">
            <w:pPr>
              <w:rPr>
                <w:color w:val="000000"/>
                <w:sz w:val="16"/>
                <w:szCs w:val="16"/>
              </w:rPr>
            </w:pPr>
            <w:r>
              <w:rPr>
                <w:color w:val="000000"/>
                <w:sz w:val="16"/>
                <w:szCs w:val="16"/>
              </w:rPr>
              <w:t>rs10883795</w:t>
            </w:r>
          </w:p>
        </w:tc>
        <w:tc>
          <w:tcPr>
            <w:tcW w:w="851" w:type="dxa"/>
            <w:tcBorders>
              <w:top w:val="single" w:sz="4" w:space="0" w:color="D0CECE"/>
              <w:bottom w:val="single" w:sz="4" w:space="0" w:color="D0CECE"/>
            </w:tcBorders>
            <w:tcMar>
              <w:top w:w="-113" w:type="dxa"/>
              <w:left w:w="-113" w:type="dxa"/>
              <w:bottom w:w="-113" w:type="dxa"/>
              <w:right w:w="-113" w:type="dxa"/>
            </w:tcMar>
          </w:tcPr>
          <w:p w14:paraId="78655D83" w14:textId="77777777" w:rsidR="00CB0062" w:rsidRDefault="00CB0062" w:rsidP="00223E56">
            <w:pPr>
              <w:rPr>
                <w:color w:val="000000"/>
                <w:sz w:val="16"/>
                <w:szCs w:val="16"/>
              </w:rPr>
            </w:pPr>
            <w:r>
              <w:rPr>
                <w:color w:val="000000"/>
                <w:sz w:val="16"/>
                <w:szCs w:val="16"/>
              </w:rPr>
              <w:t>T&gt;</w:t>
            </w:r>
            <w:proofErr w:type="gramStart"/>
            <w:r>
              <w:rPr>
                <w:color w:val="000000"/>
                <w:sz w:val="16"/>
                <w:szCs w:val="16"/>
              </w:rPr>
              <w:t>C,G</w:t>
            </w:r>
            <w:proofErr w:type="gramEnd"/>
          </w:p>
        </w:tc>
        <w:tc>
          <w:tcPr>
            <w:tcW w:w="1701" w:type="dxa"/>
            <w:tcBorders>
              <w:top w:val="single" w:sz="4" w:space="0" w:color="D0CECE"/>
              <w:bottom w:val="single" w:sz="4" w:space="0" w:color="D0CECE"/>
              <w:right w:val="nil"/>
            </w:tcBorders>
            <w:tcMar>
              <w:top w:w="-113" w:type="dxa"/>
              <w:left w:w="-113" w:type="dxa"/>
              <w:bottom w:w="-113" w:type="dxa"/>
              <w:right w:w="-113" w:type="dxa"/>
            </w:tcMar>
          </w:tcPr>
          <w:p w14:paraId="63C166BF" w14:textId="77777777" w:rsidR="00CB0062" w:rsidRDefault="00CB0062" w:rsidP="00223E56">
            <w:pPr>
              <w:rPr>
                <w:color w:val="000000"/>
                <w:sz w:val="16"/>
                <w:szCs w:val="16"/>
              </w:rPr>
            </w:pPr>
            <w:r>
              <w:rPr>
                <w:sz w:val="16"/>
                <w:szCs w:val="16"/>
              </w:rPr>
              <w:t>Intron variant</w:t>
            </w:r>
          </w:p>
        </w:tc>
        <w:tc>
          <w:tcPr>
            <w:tcW w:w="708" w:type="dxa"/>
            <w:vMerge/>
            <w:tcBorders>
              <w:top w:val="single" w:sz="4" w:space="0" w:color="EFEFEF"/>
              <w:left w:val="nil"/>
              <w:bottom w:val="single" w:sz="4" w:space="0" w:color="EFEFEF"/>
              <w:right w:val="nil"/>
            </w:tcBorders>
            <w:tcMar>
              <w:top w:w="-113" w:type="dxa"/>
              <w:left w:w="-113" w:type="dxa"/>
              <w:bottom w:w="-113" w:type="dxa"/>
              <w:right w:w="-113" w:type="dxa"/>
            </w:tcMar>
          </w:tcPr>
          <w:p w14:paraId="0D8F867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EFEFEF"/>
              <w:left w:val="nil"/>
              <w:bottom w:val="single" w:sz="4" w:space="0" w:color="EFEFEF"/>
              <w:right w:val="single" w:sz="4" w:space="0" w:color="000000" w:themeColor="text1"/>
            </w:tcBorders>
            <w:tcMar>
              <w:top w:w="-113" w:type="dxa"/>
              <w:left w:w="-113" w:type="dxa"/>
              <w:bottom w:w="-113" w:type="dxa"/>
              <w:right w:w="-113" w:type="dxa"/>
            </w:tcMar>
          </w:tcPr>
          <w:p w14:paraId="5626CF0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624C5590"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7730DB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3E1A15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21F820A3" w14:textId="77777777" w:rsidR="00CB0062" w:rsidRDefault="00CB0062" w:rsidP="00223E56">
            <w:pPr>
              <w:rPr>
                <w:color w:val="000000"/>
                <w:sz w:val="16"/>
                <w:szCs w:val="16"/>
              </w:rPr>
            </w:pPr>
            <w:r>
              <w:rPr>
                <w:color w:val="000000"/>
                <w:sz w:val="16"/>
                <w:szCs w:val="16"/>
              </w:rPr>
              <w:t>rs11191438</w:t>
            </w:r>
          </w:p>
        </w:tc>
        <w:tc>
          <w:tcPr>
            <w:tcW w:w="851" w:type="dxa"/>
            <w:tcBorders>
              <w:top w:val="single" w:sz="4" w:space="0" w:color="D0CECE"/>
              <w:bottom w:val="single" w:sz="4" w:space="0" w:color="D0CECE"/>
            </w:tcBorders>
            <w:tcMar>
              <w:top w:w="-113" w:type="dxa"/>
              <w:left w:w="-113" w:type="dxa"/>
              <w:bottom w:w="-113" w:type="dxa"/>
              <w:right w:w="-113" w:type="dxa"/>
            </w:tcMar>
          </w:tcPr>
          <w:p w14:paraId="4708DB5D" w14:textId="77777777" w:rsidR="00CB0062" w:rsidRDefault="00CB0062" w:rsidP="00223E56">
            <w:pPr>
              <w:rPr>
                <w:color w:val="000000"/>
                <w:sz w:val="16"/>
                <w:szCs w:val="16"/>
              </w:rPr>
            </w:pPr>
            <w:r>
              <w:rPr>
                <w:color w:val="000000"/>
                <w:sz w:val="16"/>
                <w:szCs w:val="16"/>
              </w:rPr>
              <w:t>G&gt;</w:t>
            </w:r>
            <w:proofErr w:type="gramStart"/>
            <w:r>
              <w:rPr>
                <w:color w:val="000000"/>
                <w:sz w:val="16"/>
                <w:szCs w:val="16"/>
              </w:rPr>
              <w:t>A,C</w:t>
            </w:r>
            <w:proofErr w:type="gramEnd"/>
          </w:p>
        </w:tc>
        <w:tc>
          <w:tcPr>
            <w:tcW w:w="1701" w:type="dxa"/>
            <w:tcBorders>
              <w:top w:val="single" w:sz="4" w:space="0" w:color="D0CECE"/>
              <w:bottom w:val="single" w:sz="4" w:space="0" w:color="D0CECE"/>
              <w:right w:val="nil"/>
            </w:tcBorders>
            <w:tcMar>
              <w:top w:w="-113" w:type="dxa"/>
              <w:left w:w="-113" w:type="dxa"/>
              <w:bottom w:w="-113" w:type="dxa"/>
              <w:right w:w="-113" w:type="dxa"/>
            </w:tcMar>
          </w:tcPr>
          <w:p w14:paraId="39D469EF" w14:textId="77777777" w:rsidR="00CB0062" w:rsidRDefault="00CB0062" w:rsidP="00223E56">
            <w:pPr>
              <w:rPr>
                <w:color w:val="000000"/>
                <w:sz w:val="16"/>
                <w:szCs w:val="16"/>
              </w:rPr>
            </w:pPr>
            <w:r>
              <w:rPr>
                <w:sz w:val="16"/>
                <w:szCs w:val="16"/>
              </w:rPr>
              <w:t>Intron variant</w:t>
            </w:r>
          </w:p>
        </w:tc>
        <w:tc>
          <w:tcPr>
            <w:tcW w:w="708" w:type="dxa"/>
            <w:vMerge/>
            <w:tcBorders>
              <w:top w:val="single" w:sz="4" w:space="0" w:color="EFEFEF"/>
              <w:left w:val="nil"/>
              <w:bottom w:val="single" w:sz="4" w:space="0" w:color="EFEFEF"/>
              <w:right w:val="nil"/>
            </w:tcBorders>
            <w:tcMar>
              <w:top w:w="-113" w:type="dxa"/>
              <w:left w:w="-113" w:type="dxa"/>
              <w:bottom w:w="-113" w:type="dxa"/>
              <w:right w:w="-113" w:type="dxa"/>
            </w:tcMar>
          </w:tcPr>
          <w:p w14:paraId="24F0C5E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EFEFEF"/>
              <w:left w:val="nil"/>
              <w:bottom w:val="single" w:sz="4" w:space="0" w:color="EFEFEF"/>
              <w:right w:val="single" w:sz="4" w:space="0" w:color="000000" w:themeColor="text1"/>
            </w:tcBorders>
            <w:tcMar>
              <w:top w:w="-113" w:type="dxa"/>
              <w:left w:w="-113" w:type="dxa"/>
              <w:bottom w:w="-113" w:type="dxa"/>
              <w:right w:w="-113" w:type="dxa"/>
            </w:tcMar>
          </w:tcPr>
          <w:p w14:paraId="43E5CF3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1AAE51BE"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57B5F9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90DE08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746B138C" w14:textId="77777777" w:rsidR="00CB0062" w:rsidRDefault="00CB0062" w:rsidP="00223E56">
            <w:pPr>
              <w:rPr>
                <w:sz w:val="16"/>
                <w:szCs w:val="16"/>
              </w:rPr>
            </w:pPr>
            <w:r>
              <w:rPr>
                <w:color w:val="000000"/>
                <w:sz w:val="16"/>
                <w:szCs w:val="16"/>
              </w:rPr>
              <w:t>rs11191439</w:t>
            </w:r>
          </w:p>
          <w:p w14:paraId="4AD9DBC4" w14:textId="77777777" w:rsidR="00CB0062" w:rsidRDefault="00CB0062" w:rsidP="00223E56">
            <w:pPr>
              <w:rPr>
                <w:sz w:val="16"/>
                <w:szCs w:val="16"/>
              </w:rPr>
            </w:pPr>
          </w:p>
          <w:p w14:paraId="22D0DC6D" w14:textId="77777777" w:rsidR="00CB0062" w:rsidRDefault="00CB0062" w:rsidP="00223E56">
            <w:pPr>
              <w:rPr>
                <w:sz w:val="16"/>
                <w:szCs w:val="16"/>
              </w:rPr>
            </w:pPr>
          </w:p>
        </w:tc>
        <w:tc>
          <w:tcPr>
            <w:tcW w:w="851" w:type="dxa"/>
            <w:vMerge w:val="restart"/>
            <w:tcBorders>
              <w:top w:val="single" w:sz="4" w:space="0" w:color="D0CECE"/>
              <w:bottom w:val="single" w:sz="4" w:space="0" w:color="D0CECE"/>
            </w:tcBorders>
            <w:tcMar>
              <w:top w:w="-113" w:type="dxa"/>
              <w:left w:w="-113" w:type="dxa"/>
              <w:bottom w:w="-113" w:type="dxa"/>
              <w:right w:w="-113" w:type="dxa"/>
            </w:tcMar>
          </w:tcPr>
          <w:p w14:paraId="41A4FC7E" w14:textId="77777777" w:rsidR="00CB0062" w:rsidRDefault="00CB0062" w:rsidP="00223E56">
            <w:pPr>
              <w:rPr>
                <w:sz w:val="16"/>
                <w:szCs w:val="16"/>
              </w:rPr>
            </w:pPr>
            <w:r>
              <w:rPr>
                <w:sz w:val="16"/>
                <w:szCs w:val="16"/>
              </w:rPr>
              <w:t>T&gt;</w:t>
            </w:r>
            <w:proofErr w:type="gramStart"/>
            <w:r>
              <w:rPr>
                <w:sz w:val="16"/>
                <w:szCs w:val="16"/>
              </w:rPr>
              <w:t>A,C</w:t>
            </w:r>
            <w:proofErr w:type="gramEnd"/>
          </w:p>
        </w:tc>
        <w:tc>
          <w:tcPr>
            <w:tcW w:w="1701" w:type="dxa"/>
            <w:vMerge w:val="restart"/>
            <w:tcBorders>
              <w:top w:val="single" w:sz="4" w:space="0" w:color="D0CECE"/>
              <w:bottom w:val="single" w:sz="4" w:space="0" w:color="D0CECE"/>
            </w:tcBorders>
            <w:tcMar>
              <w:top w:w="-113" w:type="dxa"/>
              <w:left w:w="-113" w:type="dxa"/>
              <w:bottom w:w="-113" w:type="dxa"/>
              <w:right w:w="-113" w:type="dxa"/>
            </w:tcMar>
          </w:tcPr>
          <w:p w14:paraId="71773EC5" w14:textId="77777777" w:rsidR="00CB0062" w:rsidRDefault="00CB0062" w:rsidP="00223E56">
            <w:pPr>
              <w:rPr>
                <w:sz w:val="16"/>
                <w:szCs w:val="16"/>
              </w:rPr>
            </w:pPr>
            <w:r>
              <w:rPr>
                <w:sz w:val="16"/>
                <w:szCs w:val="16"/>
              </w:rPr>
              <w:t>Missense variant</w:t>
            </w:r>
          </w:p>
        </w:tc>
        <w:tc>
          <w:tcPr>
            <w:tcW w:w="708" w:type="dxa"/>
            <w:tcBorders>
              <w:top w:val="single" w:sz="4" w:space="0" w:color="EFEFEF"/>
              <w:bottom w:val="single" w:sz="4" w:space="0" w:color="D0CECE"/>
            </w:tcBorders>
            <w:tcMar>
              <w:top w:w="-113" w:type="dxa"/>
              <w:left w:w="-113" w:type="dxa"/>
              <w:bottom w:w="-113" w:type="dxa"/>
              <w:right w:w="-113" w:type="dxa"/>
            </w:tcMar>
          </w:tcPr>
          <w:p w14:paraId="06AFF2F9" w14:textId="77777777" w:rsidR="00CB0062" w:rsidRDefault="00CB0062" w:rsidP="00223E56">
            <w:pPr>
              <w:rPr>
                <w:color w:val="000000"/>
                <w:sz w:val="16"/>
                <w:szCs w:val="16"/>
              </w:rPr>
            </w:pPr>
            <w:r>
              <w:rPr>
                <w:color w:val="000000"/>
                <w:sz w:val="16"/>
                <w:szCs w:val="16"/>
              </w:rPr>
              <w:t>CA</w:t>
            </w:r>
          </w:p>
        </w:tc>
        <w:tc>
          <w:tcPr>
            <w:tcW w:w="1838" w:type="dxa"/>
            <w:tcBorders>
              <w:top w:val="single" w:sz="4" w:space="0" w:color="EFEFEF"/>
              <w:bottom w:val="single" w:sz="4" w:space="0" w:color="D0CECE"/>
              <w:right w:val="single" w:sz="4" w:space="0" w:color="000000" w:themeColor="text1"/>
            </w:tcBorders>
            <w:tcMar>
              <w:top w:w="-113" w:type="dxa"/>
              <w:left w:w="-113" w:type="dxa"/>
              <w:bottom w:w="-113" w:type="dxa"/>
              <w:right w:w="-113" w:type="dxa"/>
            </w:tcMar>
          </w:tcPr>
          <w:p w14:paraId="2708E10C" w14:textId="77777777" w:rsidR="00CB0062" w:rsidRDefault="00CB0062" w:rsidP="00223E56">
            <w:pPr>
              <w:rPr>
                <w:color w:val="000000"/>
                <w:sz w:val="16"/>
                <w:szCs w:val="16"/>
              </w:rPr>
            </w:pPr>
            <w:r>
              <w:rPr>
                <w:color w:val="000000"/>
                <w:sz w:val="16"/>
                <w:szCs w:val="16"/>
              </w:rPr>
              <w:t xml:space="preserve">Hsieh </w:t>
            </w:r>
            <w:r>
              <w:rPr>
                <w:i/>
                <w:color w:val="000000"/>
                <w:sz w:val="16"/>
                <w:szCs w:val="16"/>
              </w:rPr>
              <w:t xml:space="preserve">et al. </w:t>
            </w:r>
            <w:r>
              <w:rPr>
                <w:color w:val="000000"/>
                <w:sz w:val="16"/>
                <w:szCs w:val="16"/>
              </w:rPr>
              <w:t>2011</w:t>
            </w:r>
          </w:p>
        </w:tc>
      </w:tr>
      <w:tr w:rsidR="00CB0062" w14:paraId="5698089A"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C82AB5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BF3B66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3FA9045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tcMar>
              <w:top w:w="-113" w:type="dxa"/>
              <w:left w:w="-113" w:type="dxa"/>
              <w:bottom w:w="-113" w:type="dxa"/>
              <w:right w:w="-113" w:type="dxa"/>
            </w:tcMar>
          </w:tcPr>
          <w:p w14:paraId="5218CB5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tcMar>
              <w:top w:w="-113" w:type="dxa"/>
              <w:left w:w="-113" w:type="dxa"/>
              <w:bottom w:w="-113" w:type="dxa"/>
              <w:right w:w="-113" w:type="dxa"/>
            </w:tcMar>
          </w:tcPr>
          <w:p w14:paraId="1C3E5A0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tcBorders>
              <w:top w:val="single" w:sz="4" w:space="0" w:color="D0CECE"/>
              <w:bottom w:val="single" w:sz="4" w:space="0" w:color="D0CECE"/>
            </w:tcBorders>
            <w:tcMar>
              <w:top w:w="-113" w:type="dxa"/>
              <w:left w:w="-113" w:type="dxa"/>
              <w:bottom w:w="-113" w:type="dxa"/>
              <w:right w:w="-113" w:type="dxa"/>
            </w:tcMar>
          </w:tcPr>
          <w:p w14:paraId="1F10443D" w14:textId="77777777" w:rsidR="00CB0062" w:rsidRDefault="00CB0062" w:rsidP="00223E56">
            <w:pPr>
              <w:rPr>
                <w:color w:val="000000"/>
                <w:sz w:val="16"/>
                <w:szCs w:val="16"/>
              </w:rPr>
            </w:pPr>
            <w:proofErr w:type="spellStart"/>
            <w:r>
              <w:rPr>
                <w:color w:val="000000"/>
                <w:sz w:val="16"/>
                <w:szCs w:val="16"/>
              </w:rPr>
              <w:t>MetS</w:t>
            </w:r>
            <w:proofErr w:type="spellEnd"/>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4E16AA81" w14:textId="77777777" w:rsidR="00CB0062" w:rsidRDefault="00CB0062" w:rsidP="00223E56">
            <w:pPr>
              <w:rPr>
                <w:color w:val="000000"/>
                <w:sz w:val="16"/>
                <w:szCs w:val="16"/>
              </w:rPr>
            </w:pPr>
            <w:r>
              <w:rPr>
                <w:sz w:val="16"/>
                <w:szCs w:val="16"/>
              </w:rPr>
              <w:t xml:space="preserve">Chen </w:t>
            </w:r>
            <w:r>
              <w:rPr>
                <w:i/>
                <w:sz w:val="16"/>
                <w:szCs w:val="16"/>
              </w:rPr>
              <w:t xml:space="preserve">et al. </w:t>
            </w:r>
            <w:r>
              <w:rPr>
                <w:sz w:val="16"/>
                <w:szCs w:val="16"/>
              </w:rPr>
              <w:t>2012</w:t>
            </w:r>
          </w:p>
        </w:tc>
      </w:tr>
      <w:tr w:rsidR="00CB0062" w14:paraId="6D075F35"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18EF1C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3DF615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2BA57FC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tcMar>
              <w:top w:w="-113" w:type="dxa"/>
              <w:left w:w="-113" w:type="dxa"/>
              <w:bottom w:w="-113" w:type="dxa"/>
              <w:right w:w="-113" w:type="dxa"/>
            </w:tcMar>
          </w:tcPr>
          <w:p w14:paraId="07249C5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tcMar>
              <w:top w:w="-113" w:type="dxa"/>
              <w:left w:w="-113" w:type="dxa"/>
              <w:bottom w:w="-113" w:type="dxa"/>
              <w:right w:w="-113" w:type="dxa"/>
            </w:tcMar>
          </w:tcPr>
          <w:p w14:paraId="228F5AC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tcBorders>
              <w:top w:val="single" w:sz="4" w:space="0" w:color="D0CECE"/>
              <w:bottom w:val="single" w:sz="4" w:space="0" w:color="D0CECE"/>
            </w:tcBorders>
            <w:tcMar>
              <w:top w:w="-113" w:type="dxa"/>
              <w:left w:w="-113" w:type="dxa"/>
              <w:bottom w:w="-113" w:type="dxa"/>
              <w:right w:w="-113" w:type="dxa"/>
            </w:tcMar>
          </w:tcPr>
          <w:p w14:paraId="709B3B18" w14:textId="77777777" w:rsidR="00CB0062" w:rsidRDefault="00CB0062" w:rsidP="00223E56">
            <w:pPr>
              <w:rPr>
                <w:color w:val="000000"/>
                <w:sz w:val="16"/>
                <w:szCs w:val="16"/>
              </w:rPr>
            </w:pPr>
            <w:r>
              <w:rPr>
                <w:color w:val="000000"/>
                <w:sz w:val="16"/>
                <w:szCs w:val="16"/>
              </w:rPr>
              <w:t>DM</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E36F2A5" w14:textId="77777777" w:rsidR="00CB0062" w:rsidRDefault="00CB0062" w:rsidP="00223E56">
            <w:pPr>
              <w:rPr>
                <w:color w:val="000000"/>
                <w:sz w:val="16"/>
                <w:szCs w:val="16"/>
              </w:rPr>
            </w:pPr>
            <w:proofErr w:type="spellStart"/>
            <w:r>
              <w:rPr>
                <w:sz w:val="16"/>
                <w:szCs w:val="16"/>
              </w:rPr>
              <w:t>Drobná</w:t>
            </w:r>
            <w:proofErr w:type="spellEnd"/>
            <w:r>
              <w:rPr>
                <w:sz w:val="16"/>
                <w:szCs w:val="16"/>
              </w:rPr>
              <w:t xml:space="preserve"> </w:t>
            </w:r>
            <w:r>
              <w:rPr>
                <w:i/>
                <w:sz w:val="16"/>
                <w:szCs w:val="16"/>
              </w:rPr>
              <w:t>et al.</w:t>
            </w:r>
            <w:r>
              <w:rPr>
                <w:sz w:val="16"/>
                <w:szCs w:val="16"/>
              </w:rPr>
              <w:t xml:space="preserve"> 2012</w:t>
            </w:r>
          </w:p>
        </w:tc>
      </w:tr>
      <w:tr w:rsidR="00CB0062" w14:paraId="705B61B0"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EDC681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892338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1BCF1DC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tcMar>
              <w:top w:w="-113" w:type="dxa"/>
              <w:left w:w="-113" w:type="dxa"/>
              <w:bottom w:w="-113" w:type="dxa"/>
              <w:right w:w="-113" w:type="dxa"/>
            </w:tcMar>
          </w:tcPr>
          <w:p w14:paraId="73B6386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tcMar>
              <w:top w:w="-113" w:type="dxa"/>
              <w:left w:w="-113" w:type="dxa"/>
              <w:bottom w:w="-113" w:type="dxa"/>
              <w:right w:w="-113" w:type="dxa"/>
            </w:tcMar>
          </w:tcPr>
          <w:p w14:paraId="309FA55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tcBorders>
              <w:top w:val="single" w:sz="4" w:space="0" w:color="D0CECE"/>
              <w:bottom w:val="single" w:sz="4" w:space="0" w:color="D0CECE"/>
            </w:tcBorders>
            <w:tcMar>
              <w:top w:w="-113" w:type="dxa"/>
              <w:left w:w="-113" w:type="dxa"/>
              <w:bottom w:w="-113" w:type="dxa"/>
              <w:right w:w="-113" w:type="dxa"/>
            </w:tcMar>
          </w:tcPr>
          <w:p w14:paraId="779691C1" w14:textId="77777777" w:rsidR="00CB0062" w:rsidRDefault="00CB0062" w:rsidP="00223E56">
            <w:pPr>
              <w:rPr>
                <w:color w:val="000000"/>
                <w:sz w:val="16"/>
                <w:szCs w:val="16"/>
              </w:rPr>
            </w:pPr>
            <w:r>
              <w:rPr>
                <w:color w:val="000000"/>
                <w:sz w:val="16"/>
                <w:szCs w:val="16"/>
              </w:rPr>
              <w:t xml:space="preserve">ECG </w:t>
            </w:r>
            <w:proofErr w:type="spellStart"/>
            <w:r>
              <w:rPr>
                <w:color w:val="000000"/>
                <w:sz w:val="16"/>
                <w:szCs w:val="16"/>
              </w:rPr>
              <w:t>abnor</w:t>
            </w:r>
            <w:proofErr w:type="spellEnd"/>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66629E2F" w14:textId="77777777" w:rsidR="00CB0062" w:rsidRDefault="00CB0062" w:rsidP="00223E56">
            <w:pPr>
              <w:rPr>
                <w:color w:val="000000"/>
                <w:sz w:val="16"/>
                <w:szCs w:val="16"/>
              </w:rPr>
            </w:pPr>
            <w:r>
              <w:rPr>
                <w:color w:val="000000"/>
                <w:sz w:val="16"/>
                <w:szCs w:val="16"/>
              </w:rPr>
              <w:t xml:space="preserve">Liao </w:t>
            </w:r>
            <w:r>
              <w:rPr>
                <w:i/>
                <w:color w:val="000000"/>
                <w:sz w:val="16"/>
                <w:szCs w:val="16"/>
              </w:rPr>
              <w:t>et al.</w:t>
            </w:r>
            <w:r>
              <w:rPr>
                <w:color w:val="000000"/>
                <w:sz w:val="16"/>
                <w:szCs w:val="16"/>
              </w:rPr>
              <w:t xml:space="preserve"> 2009</w:t>
            </w:r>
          </w:p>
        </w:tc>
      </w:tr>
      <w:tr w:rsidR="00CB0062" w:rsidRPr="0030321B" w14:paraId="332A819B" w14:textId="77777777" w:rsidTr="00923C73">
        <w:trPr>
          <w:trHeight w:val="18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CBF9D5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E04DF5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7BF9BFE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tcMar>
              <w:top w:w="-113" w:type="dxa"/>
              <w:left w:w="-113" w:type="dxa"/>
              <w:bottom w:w="-113" w:type="dxa"/>
              <w:right w:w="-113" w:type="dxa"/>
            </w:tcMar>
          </w:tcPr>
          <w:p w14:paraId="37433DC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tcMar>
              <w:top w:w="-113" w:type="dxa"/>
              <w:left w:w="-113" w:type="dxa"/>
              <w:bottom w:w="-113" w:type="dxa"/>
              <w:right w:w="-113" w:type="dxa"/>
            </w:tcMar>
          </w:tcPr>
          <w:p w14:paraId="29A6051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tcBorders>
              <w:top w:val="single" w:sz="4" w:space="0" w:color="D0CECE"/>
              <w:bottom w:val="single" w:sz="4" w:space="0" w:color="D0CECE"/>
            </w:tcBorders>
            <w:tcMar>
              <w:top w:w="-113" w:type="dxa"/>
              <w:left w:w="-113" w:type="dxa"/>
              <w:bottom w:w="-113" w:type="dxa"/>
              <w:right w:w="-113" w:type="dxa"/>
            </w:tcMar>
          </w:tcPr>
          <w:p w14:paraId="611DF841" w14:textId="77777777" w:rsidR="00CB0062" w:rsidRDefault="00CB0062" w:rsidP="00223E56">
            <w:pPr>
              <w:rPr>
                <w:color w:val="000000"/>
                <w:sz w:val="16"/>
                <w:szCs w:val="16"/>
              </w:rPr>
            </w:pPr>
            <w:r>
              <w:rPr>
                <w:color w:val="000000"/>
                <w:sz w:val="16"/>
                <w:szCs w:val="16"/>
              </w:rPr>
              <w:t>CVD</w:t>
            </w:r>
          </w:p>
          <w:p w14:paraId="55C9B898" w14:textId="77777777" w:rsidR="00CB0062" w:rsidRDefault="00CB0062" w:rsidP="00223E56">
            <w:pPr>
              <w:rPr>
                <w:sz w:val="16"/>
                <w:szCs w:val="16"/>
              </w:rPr>
            </w:pPr>
            <w:r>
              <w:rPr>
                <w:sz w:val="16"/>
                <w:szCs w:val="16"/>
              </w:rPr>
              <w:t>CIMT</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36BB7709"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50D2699D"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tc>
      </w:tr>
      <w:tr w:rsidR="00CB0062" w:rsidRPr="0030321B" w14:paraId="1599ABF0"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0BADB6C"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B8075FC"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2A3AFD6C" w14:textId="77777777" w:rsidR="00CB0062" w:rsidRDefault="00CB0062" w:rsidP="00223E56">
            <w:pPr>
              <w:rPr>
                <w:color w:val="000000"/>
                <w:sz w:val="16"/>
                <w:szCs w:val="16"/>
              </w:rPr>
            </w:pPr>
            <w:r>
              <w:rPr>
                <w:color w:val="000000"/>
                <w:sz w:val="16"/>
                <w:szCs w:val="16"/>
              </w:rPr>
              <w:t>rs11191442</w:t>
            </w:r>
          </w:p>
        </w:tc>
        <w:tc>
          <w:tcPr>
            <w:tcW w:w="851" w:type="dxa"/>
            <w:tcBorders>
              <w:top w:val="single" w:sz="4" w:space="0" w:color="D0CECE"/>
              <w:bottom w:val="single" w:sz="4" w:space="0" w:color="D0CECE"/>
            </w:tcBorders>
            <w:tcMar>
              <w:top w:w="-113" w:type="dxa"/>
              <w:left w:w="-113" w:type="dxa"/>
              <w:bottom w:w="-113" w:type="dxa"/>
              <w:right w:w="-113" w:type="dxa"/>
            </w:tcMar>
          </w:tcPr>
          <w:p w14:paraId="3418D20B" w14:textId="77777777" w:rsidR="00CB0062" w:rsidRDefault="00CB0062" w:rsidP="00223E56">
            <w:pPr>
              <w:rPr>
                <w:color w:val="000000"/>
                <w:sz w:val="16"/>
                <w:szCs w:val="16"/>
              </w:rPr>
            </w:pPr>
            <w:r>
              <w:rPr>
                <w:color w:val="000000"/>
                <w:sz w:val="16"/>
                <w:szCs w:val="16"/>
              </w:rPr>
              <w:t>T&gt;A</w:t>
            </w:r>
          </w:p>
        </w:tc>
        <w:tc>
          <w:tcPr>
            <w:tcW w:w="1701" w:type="dxa"/>
            <w:tcBorders>
              <w:top w:val="single" w:sz="4" w:space="0" w:color="D0CECE"/>
              <w:bottom w:val="single" w:sz="4" w:space="0" w:color="D0CECE"/>
            </w:tcBorders>
            <w:tcMar>
              <w:top w:w="-113" w:type="dxa"/>
              <w:left w:w="-113" w:type="dxa"/>
              <w:bottom w:w="-113" w:type="dxa"/>
              <w:right w:w="-113" w:type="dxa"/>
            </w:tcMar>
          </w:tcPr>
          <w:p w14:paraId="373EBBDD" w14:textId="77777777" w:rsidR="00CB0062" w:rsidRDefault="00CB0062" w:rsidP="00223E56">
            <w:pPr>
              <w:rPr>
                <w:color w:val="000000"/>
                <w:sz w:val="16"/>
                <w:szCs w:val="16"/>
              </w:rPr>
            </w:pPr>
            <w:r>
              <w:rPr>
                <w:sz w:val="16"/>
                <w:szCs w:val="16"/>
              </w:rPr>
              <w:t>Intron variant</w:t>
            </w:r>
          </w:p>
        </w:tc>
        <w:tc>
          <w:tcPr>
            <w:tcW w:w="708" w:type="dxa"/>
            <w:tcBorders>
              <w:top w:val="single" w:sz="4" w:space="0" w:color="D0CECE"/>
              <w:bottom w:val="single" w:sz="4" w:space="0" w:color="D0CECE"/>
            </w:tcBorders>
            <w:tcMar>
              <w:top w:w="-113" w:type="dxa"/>
              <w:left w:w="-113" w:type="dxa"/>
              <w:bottom w:w="-113" w:type="dxa"/>
              <w:right w:w="-113" w:type="dxa"/>
            </w:tcMar>
          </w:tcPr>
          <w:p w14:paraId="7CB9D088" w14:textId="77777777" w:rsidR="00CB0062" w:rsidRDefault="00CB0062" w:rsidP="00223E56">
            <w:pPr>
              <w:rPr>
                <w:sz w:val="16"/>
                <w:szCs w:val="16"/>
              </w:rPr>
            </w:pPr>
            <w:r>
              <w:rPr>
                <w:sz w:val="16"/>
                <w:szCs w:val="16"/>
              </w:rPr>
              <w:t>CVD</w:t>
            </w:r>
          </w:p>
          <w:p w14:paraId="7F81DF53" w14:textId="77777777" w:rsidR="00CB0062" w:rsidRDefault="00CB0062" w:rsidP="00223E56">
            <w:pPr>
              <w:rPr>
                <w:sz w:val="16"/>
                <w:szCs w:val="16"/>
              </w:rPr>
            </w:pPr>
            <w:r>
              <w:rPr>
                <w:sz w:val="16"/>
                <w:szCs w:val="16"/>
              </w:rPr>
              <w:t>CIMT</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34615EFA"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16855EFC"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tc>
      </w:tr>
      <w:tr w:rsidR="00CB0062" w14:paraId="4FB6A0DB"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365C71E"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29494D4"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91E5512" w14:textId="77777777" w:rsidR="00CB0062" w:rsidRDefault="00CB0062" w:rsidP="00223E56">
            <w:pPr>
              <w:rPr>
                <w:color w:val="000000"/>
                <w:sz w:val="16"/>
                <w:szCs w:val="16"/>
              </w:rPr>
            </w:pPr>
            <w:r>
              <w:rPr>
                <w:sz w:val="16"/>
                <w:szCs w:val="16"/>
              </w:rPr>
              <w:t>rs11191453</w:t>
            </w:r>
          </w:p>
        </w:tc>
        <w:tc>
          <w:tcPr>
            <w:tcW w:w="851" w:type="dxa"/>
            <w:tcBorders>
              <w:top w:val="single" w:sz="4" w:space="0" w:color="D0CECE"/>
              <w:bottom w:val="single" w:sz="4" w:space="0" w:color="D0CECE"/>
            </w:tcBorders>
            <w:tcMar>
              <w:top w:w="-113" w:type="dxa"/>
              <w:left w:w="-113" w:type="dxa"/>
              <w:bottom w:w="-113" w:type="dxa"/>
              <w:right w:w="-113" w:type="dxa"/>
            </w:tcMar>
          </w:tcPr>
          <w:p w14:paraId="6BB25506" w14:textId="77777777" w:rsidR="00CB0062" w:rsidRDefault="00CB0062" w:rsidP="00223E56">
            <w:pPr>
              <w:rPr>
                <w:color w:val="000000"/>
                <w:sz w:val="16"/>
                <w:szCs w:val="16"/>
              </w:rPr>
            </w:pPr>
            <w:r>
              <w:rPr>
                <w:sz w:val="16"/>
                <w:szCs w:val="16"/>
              </w:rPr>
              <w:t>T&gt;C</w:t>
            </w:r>
          </w:p>
        </w:tc>
        <w:tc>
          <w:tcPr>
            <w:tcW w:w="1701" w:type="dxa"/>
            <w:tcBorders>
              <w:top w:val="single" w:sz="4" w:space="0" w:color="D0CECE"/>
              <w:bottom w:val="single" w:sz="4" w:space="0" w:color="D0CECE"/>
            </w:tcBorders>
            <w:tcMar>
              <w:top w:w="-113" w:type="dxa"/>
              <w:left w:w="-113" w:type="dxa"/>
              <w:bottom w:w="-113" w:type="dxa"/>
              <w:right w:w="-113" w:type="dxa"/>
            </w:tcMar>
          </w:tcPr>
          <w:p w14:paraId="3374BDF1" w14:textId="77777777" w:rsidR="00CB0062" w:rsidRDefault="00CB0062" w:rsidP="00223E56">
            <w:pPr>
              <w:rPr>
                <w:sz w:val="16"/>
                <w:szCs w:val="16"/>
              </w:rPr>
            </w:pPr>
            <w:r>
              <w:rPr>
                <w:sz w:val="16"/>
                <w:szCs w:val="16"/>
              </w:rPr>
              <w:t xml:space="preserve">Intron variant </w:t>
            </w:r>
          </w:p>
        </w:tc>
        <w:tc>
          <w:tcPr>
            <w:tcW w:w="708" w:type="dxa"/>
            <w:tcBorders>
              <w:top w:val="single" w:sz="4" w:space="0" w:color="D0CECE"/>
              <w:bottom w:val="single" w:sz="4" w:space="0" w:color="D0CECE"/>
            </w:tcBorders>
            <w:tcMar>
              <w:top w:w="-113" w:type="dxa"/>
              <w:left w:w="-113" w:type="dxa"/>
              <w:bottom w:w="-113" w:type="dxa"/>
              <w:right w:w="-113" w:type="dxa"/>
            </w:tcMar>
          </w:tcPr>
          <w:p w14:paraId="20A79CA5" w14:textId="77777777" w:rsidR="00CB0062" w:rsidRDefault="00CB0062" w:rsidP="00223E56">
            <w:pPr>
              <w:widowControl w:val="0"/>
              <w:pBdr>
                <w:top w:val="nil"/>
                <w:left w:val="nil"/>
                <w:bottom w:val="nil"/>
                <w:right w:val="nil"/>
                <w:between w:val="nil"/>
              </w:pBdr>
              <w:spacing w:line="276" w:lineRule="auto"/>
              <w:rPr>
                <w:color w:val="000000"/>
                <w:sz w:val="16"/>
                <w:szCs w:val="16"/>
              </w:rPr>
            </w:pPr>
            <w:r>
              <w:rPr>
                <w:sz w:val="16"/>
                <w:szCs w:val="16"/>
              </w:rPr>
              <w:t>GDM</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59313477" w14:textId="77777777" w:rsidR="00CB0062" w:rsidRDefault="00CB0062" w:rsidP="00223E56">
            <w:pPr>
              <w:rPr>
                <w:color w:val="000000"/>
                <w:sz w:val="16"/>
                <w:szCs w:val="16"/>
              </w:rPr>
            </w:pPr>
            <w:r>
              <w:rPr>
                <w:sz w:val="16"/>
                <w:szCs w:val="16"/>
              </w:rPr>
              <w:t xml:space="preserve">Liang </w:t>
            </w:r>
            <w:r>
              <w:rPr>
                <w:i/>
                <w:sz w:val="16"/>
                <w:szCs w:val="16"/>
              </w:rPr>
              <w:t xml:space="preserve">et al. </w:t>
            </w:r>
            <w:r>
              <w:rPr>
                <w:sz w:val="16"/>
                <w:szCs w:val="16"/>
              </w:rPr>
              <w:t>2023</w:t>
            </w:r>
          </w:p>
        </w:tc>
      </w:tr>
      <w:tr w:rsidR="00CB0062" w:rsidRPr="0030321B" w14:paraId="021DEF56"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C45D36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DCC6BE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7653D042" w14:textId="77777777" w:rsidR="00CB0062" w:rsidRDefault="00CB0062" w:rsidP="00223E56">
            <w:pPr>
              <w:rPr>
                <w:color w:val="000000"/>
                <w:sz w:val="16"/>
                <w:szCs w:val="16"/>
              </w:rPr>
            </w:pPr>
            <w:r>
              <w:rPr>
                <w:color w:val="000000"/>
                <w:sz w:val="16"/>
                <w:szCs w:val="16"/>
              </w:rPr>
              <w:t>rs11191454</w:t>
            </w:r>
          </w:p>
        </w:tc>
        <w:tc>
          <w:tcPr>
            <w:tcW w:w="851" w:type="dxa"/>
            <w:tcBorders>
              <w:top w:val="single" w:sz="4" w:space="0" w:color="D0CECE"/>
              <w:bottom w:val="single" w:sz="4" w:space="0" w:color="D0CECE"/>
            </w:tcBorders>
            <w:tcMar>
              <w:top w:w="-113" w:type="dxa"/>
              <w:left w:w="-113" w:type="dxa"/>
              <w:bottom w:w="-113" w:type="dxa"/>
              <w:right w:w="-113" w:type="dxa"/>
            </w:tcMar>
          </w:tcPr>
          <w:p w14:paraId="08696A4B" w14:textId="77777777" w:rsidR="00CB0062" w:rsidRDefault="00CB0062" w:rsidP="00223E56">
            <w:pPr>
              <w:rPr>
                <w:color w:val="000000"/>
                <w:sz w:val="16"/>
                <w:szCs w:val="16"/>
              </w:rPr>
            </w:pPr>
            <w:r>
              <w:rPr>
                <w:color w:val="000000"/>
                <w:sz w:val="16"/>
                <w:szCs w:val="16"/>
              </w:rPr>
              <w:t>A&gt;G</w:t>
            </w:r>
          </w:p>
        </w:tc>
        <w:tc>
          <w:tcPr>
            <w:tcW w:w="1701" w:type="dxa"/>
            <w:tcBorders>
              <w:top w:val="single" w:sz="4" w:space="0" w:color="D0CECE"/>
              <w:bottom w:val="single" w:sz="4" w:space="0" w:color="D0CECE"/>
            </w:tcBorders>
            <w:tcMar>
              <w:top w:w="-113" w:type="dxa"/>
              <w:left w:w="-113" w:type="dxa"/>
              <w:bottom w:w="-113" w:type="dxa"/>
              <w:right w:w="-113" w:type="dxa"/>
            </w:tcMar>
          </w:tcPr>
          <w:p w14:paraId="4F1F6B87" w14:textId="77777777" w:rsidR="00CB0062" w:rsidRDefault="00CB0062" w:rsidP="00223E56">
            <w:pPr>
              <w:rPr>
                <w:color w:val="000000"/>
                <w:sz w:val="16"/>
                <w:szCs w:val="16"/>
              </w:rPr>
            </w:pPr>
            <w:r>
              <w:rPr>
                <w:sz w:val="16"/>
                <w:szCs w:val="16"/>
              </w:rPr>
              <w:t>Intron variant</w:t>
            </w:r>
          </w:p>
        </w:tc>
        <w:tc>
          <w:tcPr>
            <w:tcW w:w="708" w:type="dxa"/>
            <w:vMerge w:val="restart"/>
            <w:tcBorders>
              <w:top w:val="single" w:sz="4" w:space="0" w:color="D0CECE"/>
              <w:bottom w:val="single" w:sz="4" w:space="0" w:color="D0CECE"/>
            </w:tcBorders>
            <w:tcMar>
              <w:top w:w="-113" w:type="dxa"/>
              <w:left w:w="-113" w:type="dxa"/>
              <w:bottom w:w="-113" w:type="dxa"/>
              <w:right w:w="-113" w:type="dxa"/>
            </w:tcMar>
          </w:tcPr>
          <w:p w14:paraId="036D014C" w14:textId="77777777" w:rsidR="00CB0062" w:rsidRDefault="00CB0062" w:rsidP="00223E56">
            <w:pPr>
              <w:rPr>
                <w:sz w:val="16"/>
                <w:szCs w:val="16"/>
              </w:rPr>
            </w:pPr>
            <w:r>
              <w:rPr>
                <w:sz w:val="16"/>
                <w:szCs w:val="16"/>
              </w:rPr>
              <w:t>CVD</w:t>
            </w:r>
          </w:p>
          <w:p w14:paraId="07D77FA1" w14:textId="77777777" w:rsidR="00CB0062" w:rsidRDefault="00CB0062" w:rsidP="00223E56">
            <w:pPr>
              <w:rPr>
                <w:sz w:val="16"/>
                <w:szCs w:val="16"/>
              </w:rPr>
            </w:pPr>
            <w:r>
              <w:rPr>
                <w:sz w:val="16"/>
                <w:szCs w:val="16"/>
              </w:rPr>
              <w:t>CIMT</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7147EDBF"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6F78A34F"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tc>
      </w:tr>
      <w:tr w:rsidR="00CB0062" w14:paraId="369F1664"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1735D6E"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1D41EBA"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51ABA747" w14:textId="77777777" w:rsidR="00CB0062" w:rsidRDefault="00CB0062" w:rsidP="00223E56">
            <w:pPr>
              <w:rPr>
                <w:color w:val="000000"/>
                <w:sz w:val="16"/>
                <w:szCs w:val="16"/>
              </w:rPr>
            </w:pPr>
            <w:r>
              <w:rPr>
                <w:color w:val="000000"/>
                <w:sz w:val="16"/>
                <w:szCs w:val="16"/>
              </w:rPr>
              <w:t>rs11191527</w:t>
            </w:r>
          </w:p>
        </w:tc>
        <w:tc>
          <w:tcPr>
            <w:tcW w:w="851" w:type="dxa"/>
            <w:tcBorders>
              <w:top w:val="single" w:sz="4" w:space="0" w:color="D0CECE"/>
              <w:bottom w:val="single" w:sz="4" w:space="0" w:color="D0CECE"/>
            </w:tcBorders>
            <w:tcMar>
              <w:top w:w="-113" w:type="dxa"/>
              <w:left w:w="-113" w:type="dxa"/>
              <w:bottom w:w="-113" w:type="dxa"/>
              <w:right w:w="-113" w:type="dxa"/>
            </w:tcMar>
          </w:tcPr>
          <w:p w14:paraId="413D233D" w14:textId="77777777" w:rsidR="00CB0062" w:rsidRDefault="00CB0062" w:rsidP="00223E56">
            <w:pPr>
              <w:rPr>
                <w:color w:val="000000"/>
                <w:sz w:val="16"/>
                <w:szCs w:val="16"/>
              </w:rPr>
            </w:pPr>
            <w:r>
              <w:rPr>
                <w:color w:val="000000"/>
                <w:sz w:val="16"/>
                <w:szCs w:val="16"/>
              </w:rPr>
              <w:t>C&gt;</w:t>
            </w:r>
            <w:proofErr w:type="gramStart"/>
            <w:r>
              <w:rPr>
                <w:color w:val="000000"/>
                <w:sz w:val="16"/>
                <w:szCs w:val="16"/>
              </w:rPr>
              <w:t>G,T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617DA9D5"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2CE945F1" w14:textId="77777777" w:rsidR="00CB0062" w:rsidRDefault="00CB0062" w:rsidP="00223E56">
            <w:pPr>
              <w:widowControl w:val="0"/>
              <w:pBdr>
                <w:top w:val="nil"/>
                <w:left w:val="nil"/>
                <w:bottom w:val="nil"/>
                <w:right w:val="nil"/>
                <w:between w:val="nil"/>
              </w:pBdr>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C2D082B" w14:textId="77777777" w:rsidR="00CB0062" w:rsidRDefault="00CB0062" w:rsidP="00223E56">
            <w:pPr>
              <w:widowControl w:val="0"/>
              <w:pBdr>
                <w:top w:val="nil"/>
                <w:left w:val="nil"/>
                <w:bottom w:val="nil"/>
                <w:right w:val="nil"/>
                <w:between w:val="nil"/>
              </w:pBdr>
              <w:rPr>
                <w:color w:val="000000"/>
                <w:sz w:val="16"/>
                <w:szCs w:val="16"/>
              </w:rPr>
            </w:pPr>
          </w:p>
        </w:tc>
      </w:tr>
      <w:tr w:rsidR="00CB0062" w14:paraId="5CCF6814"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02AB9B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22394F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A15DE3B" w14:textId="77777777" w:rsidR="00CB0062" w:rsidRDefault="00CB0062" w:rsidP="00223E56">
            <w:pPr>
              <w:rPr>
                <w:color w:val="000000"/>
                <w:sz w:val="16"/>
                <w:szCs w:val="16"/>
              </w:rPr>
            </w:pPr>
            <w:r>
              <w:rPr>
                <w:color w:val="000000"/>
                <w:sz w:val="16"/>
                <w:szCs w:val="16"/>
              </w:rPr>
              <w:t>rs11191659</w:t>
            </w:r>
          </w:p>
        </w:tc>
        <w:tc>
          <w:tcPr>
            <w:tcW w:w="851" w:type="dxa"/>
            <w:tcBorders>
              <w:top w:val="single" w:sz="4" w:space="0" w:color="D0CECE"/>
              <w:bottom w:val="single" w:sz="4" w:space="0" w:color="D0CECE"/>
            </w:tcBorders>
            <w:tcMar>
              <w:top w:w="-113" w:type="dxa"/>
              <w:left w:w="-113" w:type="dxa"/>
              <w:bottom w:w="-113" w:type="dxa"/>
              <w:right w:w="-113" w:type="dxa"/>
            </w:tcMar>
          </w:tcPr>
          <w:p w14:paraId="73FB60DC" w14:textId="77777777" w:rsidR="00CB0062" w:rsidRDefault="00CB0062" w:rsidP="00223E56">
            <w:pPr>
              <w:rPr>
                <w:color w:val="000000"/>
                <w:sz w:val="16"/>
                <w:szCs w:val="16"/>
              </w:rPr>
            </w:pPr>
            <w:r>
              <w:rPr>
                <w:color w:val="000000"/>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0DBFD98D" w14:textId="77777777" w:rsidR="00CB0062" w:rsidRDefault="00CB0062" w:rsidP="00223E56">
            <w:pPr>
              <w:rPr>
                <w:color w:val="000000"/>
                <w:sz w:val="16"/>
                <w:szCs w:val="16"/>
              </w:rPr>
            </w:pPr>
            <w:r>
              <w:rPr>
                <w:color w:val="000000"/>
                <w:sz w:val="16"/>
                <w:szCs w:val="16"/>
              </w:rPr>
              <w:t xml:space="preserve">Intron variant </w:t>
            </w:r>
          </w:p>
        </w:tc>
        <w:tc>
          <w:tcPr>
            <w:tcW w:w="708" w:type="dxa"/>
            <w:vMerge/>
            <w:tcBorders>
              <w:top w:val="single" w:sz="4" w:space="0" w:color="D0CECE"/>
              <w:bottom w:val="single" w:sz="4" w:space="0" w:color="D0CECE"/>
            </w:tcBorders>
            <w:tcMar>
              <w:top w:w="-113" w:type="dxa"/>
              <w:left w:w="-113" w:type="dxa"/>
              <w:bottom w:w="-113" w:type="dxa"/>
              <w:right w:w="-113" w:type="dxa"/>
            </w:tcMar>
          </w:tcPr>
          <w:p w14:paraId="1409B2D8" w14:textId="77777777" w:rsidR="00CB0062" w:rsidRDefault="00CB0062" w:rsidP="00223E56">
            <w:pPr>
              <w:widowControl w:val="0"/>
              <w:pBdr>
                <w:top w:val="nil"/>
                <w:left w:val="nil"/>
                <w:bottom w:val="nil"/>
                <w:right w:val="nil"/>
                <w:between w:val="nil"/>
              </w:pBdr>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531EB9EC" w14:textId="77777777" w:rsidR="00CB0062" w:rsidRDefault="00CB0062" w:rsidP="00223E56">
            <w:pPr>
              <w:widowControl w:val="0"/>
              <w:pBdr>
                <w:top w:val="nil"/>
                <w:left w:val="nil"/>
                <w:bottom w:val="nil"/>
                <w:right w:val="nil"/>
                <w:between w:val="nil"/>
              </w:pBdr>
              <w:rPr>
                <w:color w:val="000000"/>
                <w:sz w:val="16"/>
                <w:szCs w:val="16"/>
              </w:rPr>
            </w:pPr>
          </w:p>
        </w:tc>
      </w:tr>
      <w:tr w:rsidR="00CB0062" w14:paraId="266F3901"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BD89CD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00581D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E53664E" w14:textId="77777777" w:rsidR="00CB0062" w:rsidRDefault="00CB0062" w:rsidP="00223E56">
            <w:pPr>
              <w:rPr>
                <w:color w:val="000000"/>
                <w:sz w:val="16"/>
                <w:szCs w:val="16"/>
              </w:rPr>
            </w:pPr>
            <w:r>
              <w:rPr>
                <w:color w:val="000000"/>
                <w:sz w:val="16"/>
                <w:szCs w:val="16"/>
              </w:rPr>
              <w:t>rs12573221</w:t>
            </w:r>
          </w:p>
        </w:tc>
        <w:tc>
          <w:tcPr>
            <w:tcW w:w="851" w:type="dxa"/>
            <w:tcBorders>
              <w:top w:val="single" w:sz="4" w:space="0" w:color="D0CECE"/>
              <w:bottom w:val="single" w:sz="4" w:space="0" w:color="D0CECE"/>
            </w:tcBorders>
            <w:tcMar>
              <w:top w:w="-113" w:type="dxa"/>
              <w:left w:w="-113" w:type="dxa"/>
              <w:bottom w:w="-113" w:type="dxa"/>
              <w:right w:w="-113" w:type="dxa"/>
            </w:tcMar>
          </w:tcPr>
          <w:p w14:paraId="70889D91" w14:textId="77777777" w:rsidR="00CB0062" w:rsidRDefault="00CB0062" w:rsidP="00223E56">
            <w:pPr>
              <w:rPr>
                <w:color w:val="000000"/>
                <w:sz w:val="16"/>
                <w:szCs w:val="16"/>
              </w:rPr>
            </w:pPr>
            <w:r>
              <w:rPr>
                <w:color w:val="000000"/>
                <w:sz w:val="16"/>
                <w:szCs w:val="16"/>
              </w:rPr>
              <w:t>A&gt;C</w:t>
            </w:r>
          </w:p>
        </w:tc>
        <w:tc>
          <w:tcPr>
            <w:tcW w:w="1701" w:type="dxa"/>
            <w:tcBorders>
              <w:top w:val="single" w:sz="4" w:space="0" w:color="D0CECE"/>
              <w:bottom w:val="single" w:sz="4" w:space="0" w:color="D0CECE"/>
            </w:tcBorders>
            <w:tcMar>
              <w:top w:w="-113" w:type="dxa"/>
              <w:left w:w="-113" w:type="dxa"/>
              <w:bottom w:w="-113" w:type="dxa"/>
              <w:right w:w="-113" w:type="dxa"/>
            </w:tcMar>
          </w:tcPr>
          <w:p w14:paraId="4411BEB5" w14:textId="77777777" w:rsidR="00CB0062" w:rsidRDefault="00CB0062" w:rsidP="00223E56">
            <w:pPr>
              <w:rPr>
                <w:color w:val="000000"/>
                <w:sz w:val="16"/>
                <w:szCs w:val="16"/>
              </w:rPr>
            </w:pPr>
            <w:r>
              <w:rPr>
                <w:sz w:val="16"/>
                <w:szCs w:val="16"/>
              </w:rPr>
              <w:t>3 Prime UTR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77CE0955" w14:textId="77777777" w:rsidR="00CB0062" w:rsidRDefault="00CB0062" w:rsidP="00223E56">
            <w:pPr>
              <w:widowControl w:val="0"/>
              <w:pBdr>
                <w:top w:val="nil"/>
                <w:left w:val="nil"/>
                <w:bottom w:val="nil"/>
                <w:right w:val="nil"/>
                <w:between w:val="nil"/>
              </w:pBdr>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3648EB14" w14:textId="77777777" w:rsidR="00CB0062" w:rsidRDefault="00CB0062" w:rsidP="00223E56">
            <w:pPr>
              <w:widowControl w:val="0"/>
              <w:pBdr>
                <w:top w:val="nil"/>
                <w:left w:val="nil"/>
                <w:bottom w:val="nil"/>
                <w:right w:val="nil"/>
                <w:between w:val="nil"/>
              </w:pBdr>
              <w:rPr>
                <w:color w:val="000000"/>
                <w:sz w:val="16"/>
                <w:szCs w:val="16"/>
              </w:rPr>
            </w:pPr>
          </w:p>
        </w:tc>
      </w:tr>
      <w:tr w:rsidR="00CB0062" w14:paraId="5C11B1FB" w14:textId="77777777" w:rsidTr="00923C73">
        <w:trPr>
          <w:trHeight w:val="61"/>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3EAB3E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E057FC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24032E90" w14:textId="77777777" w:rsidR="00CB0062" w:rsidRDefault="00CB0062" w:rsidP="00223E56">
            <w:pPr>
              <w:rPr>
                <w:color w:val="000000"/>
                <w:sz w:val="16"/>
                <w:szCs w:val="16"/>
              </w:rPr>
            </w:pPr>
            <w:r>
              <w:rPr>
                <w:color w:val="000000"/>
                <w:sz w:val="16"/>
                <w:szCs w:val="16"/>
              </w:rPr>
              <w:t>rs12768205</w:t>
            </w:r>
          </w:p>
        </w:tc>
        <w:tc>
          <w:tcPr>
            <w:tcW w:w="851" w:type="dxa"/>
            <w:tcBorders>
              <w:top w:val="single" w:sz="4" w:space="0" w:color="D0CECE"/>
              <w:bottom w:val="single" w:sz="4" w:space="0" w:color="D0CECE"/>
            </w:tcBorders>
            <w:tcMar>
              <w:top w:w="-113" w:type="dxa"/>
              <w:left w:w="-113" w:type="dxa"/>
              <w:bottom w:w="-113" w:type="dxa"/>
              <w:right w:w="-113" w:type="dxa"/>
            </w:tcMar>
          </w:tcPr>
          <w:p w14:paraId="291E122C" w14:textId="77777777" w:rsidR="00CB0062" w:rsidRDefault="00CB0062" w:rsidP="00223E56">
            <w:pPr>
              <w:rPr>
                <w:color w:val="000000"/>
                <w:sz w:val="16"/>
                <w:szCs w:val="16"/>
              </w:rPr>
            </w:pPr>
            <w:r>
              <w:rPr>
                <w:color w:val="000000"/>
                <w:sz w:val="16"/>
                <w:szCs w:val="16"/>
              </w:rPr>
              <w:t>C&gt;</w:t>
            </w:r>
            <w:proofErr w:type="gramStart"/>
            <w:r>
              <w:rPr>
                <w:color w:val="000000"/>
                <w:sz w:val="16"/>
                <w:szCs w:val="16"/>
              </w:rPr>
              <w:t>G,T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01ABDCE2" w14:textId="77777777" w:rsidR="00CB0062" w:rsidRDefault="00CB0062" w:rsidP="00223E56">
            <w:pPr>
              <w:rPr>
                <w:color w:val="000000"/>
                <w:sz w:val="16"/>
                <w:szCs w:val="16"/>
              </w:rPr>
            </w:pPr>
            <w:r>
              <w:rPr>
                <w:color w:val="000000"/>
                <w:sz w:val="16"/>
                <w:szCs w:val="16"/>
              </w:rPr>
              <w:t>Intron variant</w:t>
            </w:r>
          </w:p>
        </w:tc>
        <w:tc>
          <w:tcPr>
            <w:tcW w:w="708" w:type="dxa"/>
            <w:tcBorders>
              <w:top w:val="single" w:sz="4" w:space="0" w:color="D0CECE"/>
              <w:bottom w:val="single" w:sz="4" w:space="0" w:color="D0CECE"/>
            </w:tcBorders>
            <w:tcMar>
              <w:top w:w="-113" w:type="dxa"/>
              <w:left w:w="-113" w:type="dxa"/>
              <w:bottom w:w="-113" w:type="dxa"/>
              <w:right w:w="-113" w:type="dxa"/>
            </w:tcMar>
          </w:tcPr>
          <w:p w14:paraId="394574BD" w14:textId="77777777" w:rsidR="00CB0062" w:rsidRDefault="00CB0062" w:rsidP="00223E56">
            <w:pPr>
              <w:rPr>
                <w:color w:val="000000"/>
                <w:sz w:val="16"/>
                <w:szCs w:val="16"/>
              </w:rPr>
            </w:pPr>
            <w:r>
              <w:rPr>
                <w:color w:val="000000"/>
                <w:sz w:val="16"/>
                <w:szCs w:val="16"/>
              </w:rPr>
              <w:t>T2DM</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389C37B3" w14:textId="77777777" w:rsidR="00CB0062" w:rsidRDefault="00CB0062" w:rsidP="00223E56">
            <w:pPr>
              <w:rPr>
                <w:color w:val="000000"/>
                <w:sz w:val="16"/>
                <w:szCs w:val="16"/>
              </w:rPr>
            </w:pPr>
            <w:r>
              <w:rPr>
                <w:color w:val="000000"/>
                <w:sz w:val="16"/>
                <w:szCs w:val="16"/>
              </w:rPr>
              <w:t xml:space="preserve">Grau-Perez </w:t>
            </w:r>
            <w:r>
              <w:rPr>
                <w:i/>
                <w:color w:val="000000"/>
                <w:sz w:val="16"/>
                <w:szCs w:val="16"/>
              </w:rPr>
              <w:t xml:space="preserve">et al. </w:t>
            </w:r>
            <w:r>
              <w:rPr>
                <w:color w:val="000000"/>
                <w:sz w:val="16"/>
                <w:szCs w:val="16"/>
              </w:rPr>
              <w:t>2017</w:t>
            </w:r>
          </w:p>
        </w:tc>
      </w:tr>
      <w:tr w:rsidR="00CB0062" w:rsidRPr="0030321B" w14:paraId="6C1CCEB8"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DE5CFD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464176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6EE33E4F" w14:textId="77777777" w:rsidR="00CB0062" w:rsidRDefault="00CB0062" w:rsidP="00223E56">
            <w:pPr>
              <w:rPr>
                <w:color w:val="000000"/>
                <w:sz w:val="16"/>
                <w:szCs w:val="16"/>
              </w:rPr>
            </w:pPr>
            <w:r>
              <w:rPr>
                <w:color w:val="000000"/>
                <w:sz w:val="16"/>
                <w:szCs w:val="16"/>
              </w:rPr>
              <w:t>rs12774047</w:t>
            </w:r>
          </w:p>
        </w:tc>
        <w:tc>
          <w:tcPr>
            <w:tcW w:w="851" w:type="dxa"/>
            <w:tcBorders>
              <w:top w:val="single" w:sz="4" w:space="0" w:color="D0CECE"/>
              <w:bottom w:val="single" w:sz="4" w:space="0" w:color="D0CECE"/>
            </w:tcBorders>
            <w:tcMar>
              <w:top w:w="-113" w:type="dxa"/>
              <w:left w:w="-113" w:type="dxa"/>
              <w:bottom w:w="-113" w:type="dxa"/>
              <w:right w:w="-113" w:type="dxa"/>
            </w:tcMar>
          </w:tcPr>
          <w:p w14:paraId="1EDA3FC2" w14:textId="77777777" w:rsidR="00CB0062" w:rsidRDefault="00CB0062" w:rsidP="00223E56">
            <w:pPr>
              <w:rPr>
                <w:color w:val="000000"/>
                <w:sz w:val="16"/>
                <w:szCs w:val="16"/>
              </w:rPr>
            </w:pPr>
            <w:r>
              <w:rPr>
                <w:color w:val="000000"/>
                <w:sz w:val="16"/>
                <w:szCs w:val="16"/>
              </w:rPr>
              <w:t xml:space="preserve">G&gt;A </w:t>
            </w:r>
          </w:p>
        </w:tc>
        <w:tc>
          <w:tcPr>
            <w:tcW w:w="1701" w:type="dxa"/>
            <w:tcBorders>
              <w:top w:val="single" w:sz="4" w:space="0" w:color="D0CECE"/>
              <w:bottom w:val="single" w:sz="4" w:space="0" w:color="D0CECE"/>
            </w:tcBorders>
            <w:tcMar>
              <w:top w:w="-113" w:type="dxa"/>
              <w:left w:w="-113" w:type="dxa"/>
              <w:bottom w:w="-113" w:type="dxa"/>
              <w:right w:w="-113" w:type="dxa"/>
            </w:tcMar>
          </w:tcPr>
          <w:p w14:paraId="35CCADE6" w14:textId="77777777" w:rsidR="00CB0062" w:rsidRDefault="00CB0062" w:rsidP="00223E56">
            <w:pPr>
              <w:rPr>
                <w:color w:val="000000"/>
                <w:sz w:val="16"/>
                <w:szCs w:val="16"/>
              </w:rPr>
            </w:pPr>
            <w:r>
              <w:rPr>
                <w:color w:val="000000"/>
                <w:sz w:val="16"/>
                <w:szCs w:val="16"/>
              </w:rPr>
              <w:t>Intron variant</w:t>
            </w:r>
          </w:p>
        </w:tc>
        <w:tc>
          <w:tcPr>
            <w:tcW w:w="708" w:type="dxa"/>
            <w:vMerge w:val="restart"/>
            <w:tcBorders>
              <w:top w:val="single" w:sz="4" w:space="0" w:color="D0CECE"/>
              <w:bottom w:val="single" w:sz="4" w:space="0" w:color="D0CECE"/>
            </w:tcBorders>
            <w:tcMar>
              <w:top w:w="-113" w:type="dxa"/>
              <w:left w:w="-113" w:type="dxa"/>
              <w:bottom w:w="-113" w:type="dxa"/>
              <w:right w:w="-113" w:type="dxa"/>
            </w:tcMar>
          </w:tcPr>
          <w:p w14:paraId="083821C8" w14:textId="77777777" w:rsidR="00CB0062" w:rsidRDefault="00CB0062" w:rsidP="00223E56">
            <w:pPr>
              <w:rPr>
                <w:color w:val="000000"/>
                <w:sz w:val="16"/>
                <w:szCs w:val="16"/>
              </w:rPr>
            </w:pPr>
            <w:r>
              <w:rPr>
                <w:color w:val="000000"/>
                <w:sz w:val="16"/>
                <w:szCs w:val="16"/>
              </w:rPr>
              <w:t>CVD</w:t>
            </w:r>
          </w:p>
          <w:p w14:paraId="6C74A53C" w14:textId="77777777" w:rsidR="00CB0062" w:rsidRDefault="00CB0062" w:rsidP="00223E56">
            <w:pPr>
              <w:rPr>
                <w:sz w:val="16"/>
                <w:szCs w:val="16"/>
              </w:rPr>
            </w:pPr>
            <w:r>
              <w:rPr>
                <w:sz w:val="16"/>
                <w:szCs w:val="16"/>
              </w:rPr>
              <w:t>CIMT</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51F3D5BF"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125BF042" w14:textId="77777777" w:rsidR="00CB0062" w:rsidRPr="00641BD3" w:rsidRDefault="00CB0062" w:rsidP="00223E56">
            <w:pPr>
              <w:rPr>
                <w:color w:val="000000"/>
                <w:sz w:val="16"/>
                <w:szCs w:val="16"/>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tc>
      </w:tr>
      <w:tr w:rsidR="00CB0062" w14:paraId="1E347977"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8335245"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3E7EA6C"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3190469" w14:textId="77777777" w:rsidR="00CB0062" w:rsidRDefault="00CB0062" w:rsidP="00223E56">
            <w:pPr>
              <w:rPr>
                <w:color w:val="000000"/>
                <w:sz w:val="16"/>
                <w:szCs w:val="16"/>
              </w:rPr>
            </w:pPr>
            <w:r>
              <w:rPr>
                <w:color w:val="000000"/>
                <w:sz w:val="16"/>
                <w:szCs w:val="16"/>
              </w:rPr>
              <w:t>rs17115203</w:t>
            </w:r>
          </w:p>
        </w:tc>
        <w:tc>
          <w:tcPr>
            <w:tcW w:w="851" w:type="dxa"/>
            <w:tcBorders>
              <w:top w:val="single" w:sz="4" w:space="0" w:color="D0CECE"/>
              <w:bottom w:val="single" w:sz="4" w:space="0" w:color="D0CECE"/>
            </w:tcBorders>
            <w:tcMar>
              <w:top w:w="-113" w:type="dxa"/>
              <w:left w:w="-113" w:type="dxa"/>
              <w:bottom w:w="-113" w:type="dxa"/>
              <w:right w:w="-113" w:type="dxa"/>
            </w:tcMar>
          </w:tcPr>
          <w:p w14:paraId="71CAD515" w14:textId="77777777" w:rsidR="00CB0062" w:rsidRDefault="00CB0062" w:rsidP="00223E56">
            <w:pPr>
              <w:rPr>
                <w:color w:val="000000"/>
                <w:sz w:val="16"/>
                <w:szCs w:val="16"/>
              </w:rPr>
            </w:pPr>
            <w:r>
              <w:rPr>
                <w:color w:val="000000"/>
                <w:sz w:val="16"/>
                <w:szCs w:val="16"/>
              </w:rPr>
              <w:t>T&gt;C</w:t>
            </w:r>
          </w:p>
        </w:tc>
        <w:tc>
          <w:tcPr>
            <w:tcW w:w="1701" w:type="dxa"/>
            <w:tcBorders>
              <w:top w:val="single" w:sz="4" w:space="0" w:color="D0CECE"/>
              <w:bottom w:val="single" w:sz="4" w:space="0" w:color="D0CECE"/>
            </w:tcBorders>
            <w:tcMar>
              <w:top w:w="-113" w:type="dxa"/>
              <w:left w:w="-113" w:type="dxa"/>
              <w:bottom w:w="-113" w:type="dxa"/>
              <w:right w:w="-113" w:type="dxa"/>
            </w:tcMar>
          </w:tcPr>
          <w:p w14:paraId="0D5D7587"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55727FD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249FB6C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4D7B3FD0"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E249D6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DB743B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tcMar>
              <w:top w:w="-113" w:type="dxa"/>
              <w:left w:w="-113" w:type="dxa"/>
              <w:bottom w:w="-113" w:type="dxa"/>
              <w:right w:w="-113" w:type="dxa"/>
            </w:tcMar>
          </w:tcPr>
          <w:p w14:paraId="3AADD8BD" w14:textId="77777777" w:rsidR="00CB0062" w:rsidRDefault="00CB0062" w:rsidP="00223E56">
            <w:pPr>
              <w:rPr>
                <w:color w:val="000000"/>
                <w:sz w:val="16"/>
                <w:szCs w:val="16"/>
              </w:rPr>
            </w:pPr>
            <w:r>
              <w:rPr>
                <w:color w:val="000000"/>
                <w:sz w:val="16"/>
                <w:szCs w:val="16"/>
              </w:rPr>
              <w:t xml:space="preserve">rs17881215 </w:t>
            </w:r>
          </w:p>
        </w:tc>
        <w:tc>
          <w:tcPr>
            <w:tcW w:w="851" w:type="dxa"/>
            <w:tcBorders>
              <w:top w:val="single" w:sz="4" w:space="0" w:color="D0CECE"/>
              <w:bottom w:val="single" w:sz="4" w:space="0" w:color="D0CECE"/>
            </w:tcBorders>
            <w:tcMar>
              <w:top w:w="-113" w:type="dxa"/>
              <w:left w:w="-113" w:type="dxa"/>
              <w:bottom w:w="-113" w:type="dxa"/>
              <w:right w:w="-113" w:type="dxa"/>
            </w:tcMar>
          </w:tcPr>
          <w:p w14:paraId="3A609DE8" w14:textId="77777777" w:rsidR="00CB0062" w:rsidRDefault="00CB0062" w:rsidP="00223E56">
            <w:pPr>
              <w:rPr>
                <w:color w:val="000000"/>
                <w:sz w:val="16"/>
                <w:szCs w:val="16"/>
              </w:rPr>
            </w:pPr>
            <w:r>
              <w:rPr>
                <w:color w:val="000000"/>
                <w:sz w:val="16"/>
                <w:szCs w:val="16"/>
              </w:rPr>
              <w:t>G&gt;C</w:t>
            </w:r>
          </w:p>
        </w:tc>
        <w:tc>
          <w:tcPr>
            <w:tcW w:w="1701" w:type="dxa"/>
            <w:tcBorders>
              <w:top w:val="single" w:sz="4" w:space="0" w:color="D0CECE"/>
              <w:bottom w:val="single" w:sz="4" w:space="0" w:color="D0CECE"/>
            </w:tcBorders>
            <w:tcMar>
              <w:top w:w="-113" w:type="dxa"/>
              <w:left w:w="-113" w:type="dxa"/>
              <w:bottom w:w="-113" w:type="dxa"/>
              <w:right w:w="-113" w:type="dxa"/>
            </w:tcMar>
          </w:tcPr>
          <w:p w14:paraId="27969F8E" w14:textId="77777777" w:rsidR="00CB0062" w:rsidRDefault="00CB0062" w:rsidP="00223E56">
            <w:pPr>
              <w:rPr>
                <w:color w:val="000000"/>
                <w:sz w:val="16"/>
                <w:szCs w:val="16"/>
              </w:rPr>
            </w:pPr>
            <w:r>
              <w:rPr>
                <w:color w:val="000000"/>
                <w:sz w:val="16"/>
                <w:szCs w:val="16"/>
              </w:rPr>
              <w:t>Intron variant</w:t>
            </w:r>
          </w:p>
        </w:tc>
        <w:tc>
          <w:tcPr>
            <w:tcW w:w="708" w:type="dxa"/>
            <w:vMerge w:val="restart"/>
            <w:tcBorders>
              <w:top w:val="single" w:sz="4" w:space="0" w:color="D0CECE"/>
              <w:bottom w:val="single" w:sz="4" w:space="0" w:color="D0CECE"/>
            </w:tcBorders>
            <w:tcMar>
              <w:top w:w="-113" w:type="dxa"/>
              <w:left w:w="-113" w:type="dxa"/>
              <w:bottom w:w="-113" w:type="dxa"/>
              <w:right w:w="-113" w:type="dxa"/>
            </w:tcMar>
          </w:tcPr>
          <w:p w14:paraId="5873CEFF" w14:textId="77777777" w:rsidR="00CB0062" w:rsidRDefault="00CB0062" w:rsidP="00223E56">
            <w:pPr>
              <w:rPr>
                <w:sz w:val="16"/>
                <w:szCs w:val="16"/>
              </w:rPr>
            </w:pPr>
            <w:r>
              <w:rPr>
                <w:sz w:val="16"/>
                <w:szCs w:val="16"/>
              </w:rPr>
              <w:t>DM</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6DD8E041" w14:textId="77777777" w:rsidR="00CB0062" w:rsidRDefault="00CB0062" w:rsidP="00223E56">
            <w:pPr>
              <w:rPr>
                <w:color w:val="000000"/>
                <w:sz w:val="16"/>
                <w:szCs w:val="16"/>
              </w:rPr>
            </w:pPr>
            <w:proofErr w:type="spellStart"/>
            <w:r>
              <w:rPr>
                <w:sz w:val="16"/>
                <w:szCs w:val="16"/>
              </w:rPr>
              <w:t>Drobná</w:t>
            </w:r>
            <w:proofErr w:type="spellEnd"/>
            <w:r>
              <w:rPr>
                <w:sz w:val="16"/>
                <w:szCs w:val="16"/>
              </w:rPr>
              <w:t xml:space="preserve"> </w:t>
            </w:r>
            <w:r>
              <w:rPr>
                <w:i/>
                <w:sz w:val="16"/>
                <w:szCs w:val="16"/>
              </w:rPr>
              <w:t>et al.</w:t>
            </w:r>
            <w:r>
              <w:rPr>
                <w:sz w:val="16"/>
                <w:szCs w:val="16"/>
              </w:rPr>
              <w:t xml:space="preserve"> 2012</w:t>
            </w:r>
          </w:p>
          <w:p w14:paraId="342012BA" w14:textId="77777777" w:rsidR="00CB0062" w:rsidRDefault="00CB0062" w:rsidP="00223E56">
            <w:pPr>
              <w:rPr>
                <w:color w:val="000000"/>
                <w:sz w:val="16"/>
                <w:szCs w:val="16"/>
              </w:rPr>
            </w:pPr>
          </w:p>
        </w:tc>
      </w:tr>
      <w:tr w:rsidR="00CB0062" w14:paraId="3E86AB2A"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C4BEB0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784249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tcMar>
              <w:top w:w="-113" w:type="dxa"/>
              <w:left w:w="-113" w:type="dxa"/>
              <w:bottom w:w="-113" w:type="dxa"/>
              <w:right w:w="-113" w:type="dxa"/>
            </w:tcMar>
          </w:tcPr>
          <w:p w14:paraId="037B8AEC" w14:textId="77777777" w:rsidR="00CB0062" w:rsidRDefault="00CB0062" w:rsidP="00223E56">
            <w:pPr>
              <w:rPr>
                <w:color w:val="000000"/>
                <w:sz w:val="16"/>
                <w:szCs w:val="16"/>
              </w:rPr>
            </w:pPr>
            <w:r>
              <w:rPr>
                <w:color w:val="000000"/>
                <w:sz w:val="16"/>
                <w:szCs w:val="16"/>
              </w:rPr>
              <w:t xml:space="preserve">rs3740390 </w:t>
            </w:r>
          </w:p>
        </w:tc>
        <w:tc>
          <w:tcPr>
            <w:tcW w:w="851" w:type="dxa"/>
            <w:tcBorders>
              <w:top w:val="single" w:sz="4" w:space="0" w:color="D0CECE"/>
              <w:bottom w:val="single" w:sz="4" w:space="0" w:color="D0CECE"/>
            </w:tcBorders>
            <w:tcMar>
              <w:top w:w="-113" w:type="dxa"/>
              <w:left w:w="-113" w:type="dxa"/>
              <w:bottom w:w="-113" w:type="dxa"/>
              <w:right w:w="-113" w:type="dxa"/>
            </w:tcMar>
          </w:tcPr>
          <w:p w14:paraId="358D34B6" w14:textId="77777777" w:rsidR="00CB0062" w:rsidRDefault="00CB0062" w:rsidP="00223E56">
            <w:pPr>
              <w:rPr>
                <w:color w:val="000000"/>
                <w:sz w:val="16"/>
                <w:szCs w:val="16"/>
              </w:rPr>
            </w:pPr>
            <w:r>
              <w:rPr>
                <w:color w:val="000000"/>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052BEDB5"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014AE61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3169AFB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rsidRPr="0030321B" w14:paraId="21D6A590"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F614BA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29F27C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EC67B74" w14:textId="77777777" w:rsidR="00CB0062" w:rsidRDefault="00CB0062" w:rsidP="00223E56">
            <w:pPr>
              <w:rPr>
                <w:color w:val="000000"/>
                <w:sz w:val="16"/>
                <w:szCs w:val="16"/>
              </w:rPr>
            </w:pPr>
            <w:r>
              <w:rPr>
                <w:color w:val="000000"/>
                <w:sz w:val="16"/>
                <w:szCs w:val="16"/>
              </w:rPr>
              <w:t>rs3740390</w:t>
            </w:r>
          </w:p>
        </w:tc>
        <w:tc>
          <w:tcPr>
            <w:tcW w:w="851" w:type="dxa"/>
            <w:tcBorders>
              <w:top w:val="single" w:sz="4" w:space="0" w:color="D0CECE"/>
              <w:bottom w:val="single" w:sz="4" w:space="0" w:color="D0CECE"/>
            </w:tcBorders>
            <w:tcMar>
              <w:top w:w="-113" w:type="dxa"/>
              <w:left w:w="-113" w:type="dxa"/>
              <w:bottom w:w="-113" w:type="dxa"/>
              <w:right w:w="-113" w:type="dxa"/>
            </w:tcMar>
          </w:tcPr>
          <w:p w14:paraId="6F7AC969" w14:textId="77777777" w:rsidR="00CB0062" w:rsidRDefault="00CB0062" w:rsidP="00223E56">
            <w:pPr>
              <w:rPr>
                <w:color w:val="000000"/>
                <w:sz w:val="16"/>
                <w:szCs w:val="16"/>
              </w:rPr>
            </w:pPr>
            <w:r>
              <w:rPr>
                <w:color w:val="000000"/>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548DAACB" w14:textId="77777777" w:rsidR="00CB0062" w:rsidRDefault="00CB0062" w:rsidP="00223E56">
            <w:pPr>
              <w:rPr>
                <w:color w:val="000000"/>
                <w:sz w:val="16"/>
                <w:szCs w:val="16"/>
              </w:rPr>
            </w:pPr>
            <w:r>
              <w:rPr>
                <w:color w:val="000000"/>
                <w:sz w:val="16"/>
                <w:szCs w:val="16"/>
              </w:rPr>
              <w:t>Intron variant</w:t>
            </w:r>
          </w:p>
        </w:tc>
        <w:tc>
          <w:tcPr>
            <w:tcW w:w="708" w:type="dxa"/>
            <w:vMerge w:val="restart"/>
            <w:tcBorders>
              <w:top w:val="single" w:sz="4" w:space="0" w:color="D0CECE"/>
              <w:bottom w:val="single" w:sz="4" w:space="0" w:color="D0CECE"/>
            </w:tcBorders>
            <w:tcMar>
              <w:top w:w="-113" w:type="dxa"/>
              <w:left w:w="-113" w:type="dxa"/>
              <w:bottom w:w="-113" w:type="dxa"/>
              <w:right w:w="-113" w:type="dxa"/>
            </w:tcMar>
          </w:tcPr>
          <w:p w14:paraId="59DE0BEE" w14:textId="77777777" w:rsidR="00CB0062" w:rsidRDefault="00CB0062" w:rsidP="00223E56">
            <w:pPr>
              <w:rPr>
                <w:sz w:val="16"/>
                <w:szCs w:val="16"/>
              </w:rPr>
            </w:pPr>
            <w:r>
              <w:rPr>
                <w:color w:val="000000"/>
                <w:sz w:val="16"/>
                <w:szCs w:val="16"/>
              </w:rPr>
              <w:t>CVD</w:t>
            </w:r>
          </w:p>
          <w:p w14:paraId="367C8FAA" w14:textId="77777777" w:rsidR="00CB0062" w:rsidRDefault="00CB0062" w:rsidP="00223E56">
            <w:pPr>
              <w:rPr>
                <w:sz w:val="16"/>
                <w:szCs w:val="16"/>
              </w:rPr>
            </w:pPr>
            <w:r>
              <w:rPr>
                <w:sz w:val="16"/>
                <w:szCs w:val="16"/>
              </w:rPr>
              <w:t>CIMT</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63A03D4E" w14:textId="77777777" w:rsidR="00CB0062" w:rsidRPr="00641BD3" w:rsidRDefault="00CB0062" w:rsidP="00223E56">
            <w:pPr>
              <w:rPr>
                <w:color w:val="000000"/>
                <w:sz w:val="16"/>
                <w:szCs w:val="16"/>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155CBD4B" w14:textId="77777777" w:rsidR="00CB0062" w:rsidRPr="00641BD3" w:rsidRDefault="00CB0062" w:rsidP="00223E56">
            <w:pPr>
              <w:rPr>
                <w:color w:val="000000"/>
                <w:sz w:val="16"/>
                <w:szCs w:val="16"/>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tc>
      </w:tr>
      <w:tr w:rsidR="00CB0062" w14:paraId="295F3DB4"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29A4B72"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44D2EDB"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100B4441" w14:textId="77777777" w:rsidR="00CB0062" w:rsidRDefault="00CB0062" w:rsidP="00223E56">
            <w:pPr>
              <w:rPr>
                <w:color w:val="000000"/>
                <w:sz w:val="16"/>
                <w:szCs w:val="16"/>
              </w:rPr>
            </w:pPr>
            <w:r>
              <w:rPr>
                <w:color w:val="000000"/>
                <w:sz w:val="16"/>
                <w:szCs w:val="16"/>
              </w:rPr>
              <w:t>rs3740392</w:t>
            </w:r>
          </w:p>
        </w:tc>
        <w:tc>
          <w:tcPr>
            <w:tcW w:w="851" w:type="dxa"/>
            <w:tcBorders>
              <w:top w:val="single" w:sz="4" w:space="0" w:color="D0CECE"/>
              <w:bottom w:val="single" w:sz="4" w:space="0" w:color="D0CECE"/>
            </w:tcBorders>
            <w:tcMar>
              <w:top w:w="-113" w:type="dxa"/>
              <w:left w:w="-113" w:type="dxa"/>
              <w:bottom w:w="-113" w:type="dxa"/>
              <w:right w:w="-113" w:type="dxa"/>
            </w:tcMar>
          </w:tcPr>
          <w:p w14:paraId="1B462A09" w14:textId="77777777" w:rsidR="00CB0062" w:rsidRDefault="00CB0062" w:rsidP="00223E56">
            <w:pPr>
              <w:rPr>
                <w:color w:val="000000"/>
                <w:sz w:val="16"/>
                <w:szCs w:val="16"/>
              </w:rPr>
            </w:pPr>
            <w:r>
              <w:rPr>
                <w:color w:val="000000"/>
                <w:sz w:val="16"/>
                <w:szCs w:val="16"/>
              </w:rPr>
              <w:t>T&gt;C</w:t>
            </w:r>
          </w:p>
        </w:tc>
        <w:tc>
          <w:tcPr>
            <w:tcW w:w="1701" w:type="dxa"/>
            <w:tcBorders>
              <w:top w:val="single" w:sz="4" w:space="0" w:color="D0CECE"/>
              <w:bottom w:val="single" w:sz="4" w:space="0" w:color="D0CECE"/>
            </w:tcBorders>
            <w:tcMar>
              <w:top w:w="-113" w:type="dxa"/>
              <w:left w:w="-113" w:type="dxa"/>
              <w:bottom w:w="-113" w:type="dxa"/>
              <w:right w:w="-113" w:type="dxa"/>
            </w:tcMar>
          </w:tcPr>
          <w:p w14:paraId="6DC76C7D"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1699F3B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2B279A8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536F44FC"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5CED90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B6831E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val="restart"/>
            <w:tcBorders>
              <w:top w:val="single" w:sz="4" w:space="0" w:color="D0CECE"/>
              <w:left w:val="nil"/>
              <w:bottom w:val="single" w:sz="4" w:space="0" w:color="D0CECE"/>
            </w:tcBorders>
            <w:tcMar>
              <w:top w:w="-113" w:type="dxa"/>
              <w:left w:w="-113" w:type="dxa"/>
              <w:bottom w:w="-113" w:type="dxa"/>
              <w:right w:w="-113" w:type="dxa"/>
            </w:tcMar>
          </w:tcPr>
          <w:p w14:paraId="574EBD96" w14:textId="77777777" w:rsidR="00CB0062" w:rsidRDefault="00CB0062" w:rsidP="00223E56">
            <w:pPr>
              <w:rPr>
                <w:sz w:val="16"/>
                <w:szCs w:val="16"/>
              </w:rPr>
            </w:pPr>
            <w:r>
              <w:rPr>
                <w:color w:val="000000"/>
                <w:sz w:val="16"/>
                <w:szCs w:val="16"/>
              </w:rPr>
              <w:t xml:space="preserve">rs3740393 </w:t>
            </w:r>
          </w:p>
          <w:p w14:paraId="02CC0175" w14:textId="77777777" w:rsidR="00CB0062" w:rsidRDefault="00CB0062" w:rsidP="00223E56">
            <w:pPr>
              <w:rPr>
                <w:sz w:val="16"/>
                <w:szCs w:val="16"/>
              </w:rPr>
            </w:pPr>
          </w:p>
        </w:tc>
        <w:tc>
          <w:tcPr>
            <w:tcW w:w="851" w:type="dxa"/>
            <w:vMerge w:val="restart"/>
            <w:tcBorders>
              <w:top w:val="single" w:sz="4" w:space="0" w:color="D0CECE"/>
              <w:bottom w:val="single" w:sz="4" w:space="0" w:color="D0CECE"/>
            </w:tcBorders>
            <w:tcMar>
              <w:top w:w="-113" w:type="dxa"/>
              <w:left w:w="-113" w:type="dxa"/>
              <w:bottom w:w="-113" w:type="dxa"/>
              <w:right w:w="-113" w:type="dxa"/>
            </w:tcMar>
          </w:tcPr>
          <w:p w14:paraId="67609070" w14:textId="77777777" w:rsidR="00CB0062" w:rsidRDefault="00CB0062" w:rsidP="00223E56">
            <w:pPr>
              <w:rPr>
                <w:color w:val="000000"/>
                <w:sz w:val="16"/>
                <w:szCs w:val="16"/>
              </w:rPr>
            </w:pPr>
            <w:r>
              <w:rPr>
                <w:color w:val="000000"/>
                <w:sz w:val="16"/>
                <w:szCs w:val="16"/>
              </w:rPr>
              <w:t>G&gt;</w:t>
            </w:r>
            <w:proofErr w:type="gramStart"/>
            <w:r>
              <w:rPr>
                <w:color w:val="000000"/>
                <w:sz w:val="16"/>
                <w:szCs w:val="16"/>
              </w:rPr>
              <w:t>C,T</w:t>
            </w:r>
            <w:proofErr w:type="gramEnd"/>
          </w:p>
        </w:tc>
        <w:tc>
          <w:tcPr>
            <w:tcW w:w="1701" w:type="dxa"/>
            <w:vMerge w:val="restart"/>
            <w:tcBorders>
              <w:top w:val="single" w:sz="4" w:space="0" w:color="D0CECE"/>
              <w:bottom w:val="single" w:sz="4" w:space="0" w:color="D0CECE"/>
            </w:tcBorders>
            <w:tcMar>
              <w:top w:w="-113" w:type="dxa"/>
              <w:left w:w="-113" w:type="dxa"/>
              <w:bottom w:w="-113" w:type="dxa"/>
              <w:right w:w="-113" w:type="dxa"/>
            </w:tcMar>
          </w:tcPr>
          <w:p w14:paraId="7E91F599" w14:textId="030926F3" w:rsidR="00CB0062" w:rsidRDefault="00CB0062" w:rsidP="00223E56">
            <w:pPr>
              <w:rPr>
                <w:color w:val="000000"/>
                <w:sz w:val="16"/>
                <w:szCs w:val="16"/>
              </w:rPr>
            </w:pPr>
            <w:r>
              <w:rPr>
                <w:color w:val="000000"/>
                <w:sz w:val="16"/>
                <w:szCs w:val="16"/>
              </w:rPr>
              <w:t>Intr</w:t>
            </w:r>
            <w:r w:rsidR="00923C73">
              <w:rPr>
                <w:color w:val="000000"/>
                <w:sz w:val="16"/>
                <w:szCs w:val="16"/>
              </w:rPr>
              <w:t>0</w:t>
            </w:r>
            <w:r>
              <w:rPr>
                <w:color w:val="000000"/>
                <w:sz w:val="16"/>
                <w:szCs w:val="16"/>
              </w:rPr>
              <w:t>n variant</w:t>
            </w:r>
          </w:p>
        </w:tc>
        <w:tc>
          <w:tcPr>
            <w:tcW w:w="708" w:type="dxa"/>
            <w:tcBorders>
              <w:top w:val="single" w:sz="4" w:space="0" w:color="D0CECE"/>
              <w:bottom w:val="single" w:sz="4" w:space="0" w:color="D0CECE"/>
            </w:tcBorders>
            <w:tcMar>
              <w:top w:w="-113" w:type="dxa"/>
              <w:left w:w="-113" w:type="dxa"/>
              <w:bottom w:w="-113" w:type="dxa"/>
              <w:right w:w="-113" w:type="dxa"/>
            </w:tcMar>
          </w:tcPr>
          <w:p w14:paraId="4087E86A" w14:textId="77777777" w:rsidR="00CB0062" w:rsidRDefault="00CB0062" w:rsidP="00223E56">
            <w:pPr>
              <w:rPr>
                <w:color w:val="000000"/>
                <w:sz w:val="16"/>
                <w:szCs w:val="16"/>
              </w:rPr>
            </w:pPr>
            <w:r>
              <w:rPr>
                <w:color w:val="000000"/>
                <w:sz w:val="16"/>
                <w:szCs w:val="16"/>
              </w:rPr>
              <w:t>DM</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38EC11AF" w14:textId="77777777" w:rsidR="00CB0062" w:rsidRDefault="00CB0062" w:rsidP="00223E56">
            <w:pPr>
              <w:rPr>
                <w:color w:val="000000"/>
                <w:sz w:val="16"/>
                <w:szCs w:val="16"/>
              </w:rPr>
            </w:pPr>
            <w:proofErr w:type="spellStart"/>
            <w:r>
              <w:rPr>
                <w:sz w:val="16"/>
                <w:szCs w:val="16"/>
              </w:rPr>
              <w:t>Drobná</w:t>
            </w:r>
            <w:proofErr w:type="spellEnd"/>
            <w:r>
              <w:rPr>
                <w:sz w:val="16"/>
                <w:szCs w:val="16"/>
              </w:rPr>
              <w:t xml:space="preserve"> </w:t>
            </w:r>
            <w:r>
              <w:rPr>
                <w:i/>
                <w:sz w:val="16"/>
                <w:szCs w:val="16"/>
              </w:rPr>
              <w:t>et al.</w:t>
            </w:r>
            <w:r>
              <w:rPr>
                <w:sz w:val="16"/>
                <w:szCs w:val="16"/>
              </w:rPr>
              <w:t xml:space="preserve"> 2012</w:t>
            </w:r>
          </w:p>
        </w:tc>
      </w:tr>
      <w:tr w:rsidR="00CB0062" w:rsidRPr="0030321B" w14:paraId="79DBF393" w14:textId="77777777" w:rsidTr="00923C73">
        <w:trPr>
          <w:trHeight w:val="317"/>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EB64C4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2999D6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tcMar>
              <w:top w:w="-113" w:type="dxa"/>
              <w:left w:w="-113" w:type="dxa"/>
              <w:bottom w:w="-113" w:type="dxa"/>
              <w:right w:w="-113" w:type="dxa"/>
            </w:tcMar>
          </w:tcPr>
          <w:p w14:paraId="3A396A0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tcMar>
              <w:top w:w="-113" w:type="dxa"/>
              <w:left w:w="-113" w:type="dxa"/>
              <w:bottom w:w="-113" w:type="dxa"/>
              <w:right w:w="-113" w:type="dxa"/>
            </w:tcMar>
          </w:tcPr>
          <w:p w14:paraId="47A5DCB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tcMar>
              <w:top w:w="-113" w:type="dxa"/>
              <w:left w:w="-113" w:type="dxa"/>
              <w:bottom w:w="-113" w:type="dxa"/>
              <w:right w:w="-113" w:type="dxa"/>
            </w:tcMar>
          </w:tcPr>
          <w:p w14:paraId="4112606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vMerge w:val="restart"/>
            <w:tcBorders>
              <w:top w:val="single" w:sz="4" w:space="0" w:color="D0CECE"/>
              <w:bottom w:val="single" w:sz="4" w:space="0" w:color="D0CECE"/>
            </w:tcBorders>
            <w:tcMar>
              <w:top w:w="-113" w:type="dxa"/>
              <w:left w:w="-113" w:type="dxa"/>
              <w:bottom w:w="-113" w:type="dxa"/>
              <w:right w:w="-113" w:type="dxa"/>
            </w:tcMar>
          </w:tcPr>
          <w:p w14:paraId="790A3C04" w14:textId="77777777" w:rsidR="00CB0062" w:rsidRDefault="00CB0062" w:rsidP="00223E56">
            <w:pPr>
              <w:rPr>
                <w:sz w:val="16"/>
                <w:szCs w:val="16"/>
              </w:rPr>
            </w:pPr>
            <w:r>
              <w:rPr>
                <w:color w:val="000000"/>
                <w:sz w:val="16"/>
                <w:szCs w:val="16"/>
              </w:rPr>
              <w:t>CVD</w:t>
            </w:r>
          </w:p>
          <w:p w14:paraId="18AD606A" w14:textId="77777777" w:rsidR="00CB0062" w:rsidRDefault="00CB0062" w:rsidP="00223E56">
            <w:pPr>
              <w:rPr>
                <w:sz w:val="16"/>
                <w:szCs w:val="16"/>
              </w:rPr>
            </w:pPr>
            <w:r>
              <w:rPr>
                <w:sz w:val="16"/>
                <w:szCs w:val="16"/>
              </w:rPr>
              <w:t>CIMT</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4E5878D5" w14:textId="77777777" w:rsidR="00CB0062" w:rsidRPr="00641BD3" w:rsidRDefault="00CB0062" w:rsidP="00223E56">
            <w:pPr>
              <w:rPr>
                <w:color w:val="000000"/>
                <w:sz w:val="16"/>
                <w:szCs w:val="16"/>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3320514E" w14:textId="77777777" w:rsidR="00CB0062" w:rsidRPr="00641BD3" w:rsidRDefault="00CB0062" w:rsidP="00223E56">
            <w:pPr>
              <w:rPr>
                <w:color w:val="000000"/>
                <w:sz w:val="16"/>
                <w:szCs w:val="16"/>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tc>
      </w:tr>
      <w:tr w:rsidR="00CB0062" w14:paraId="7A29196D"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61C513B"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764FD75"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85C2DBF" w14:textId="77777777" w:rsidR="00CB0062" w:rsidRDefault="00CB0062" w:rsidP="00223E56">
            <w:pPr>
              <w:rPr>
                <w:color w:val="000000"/>
                <w:sz w:val="16"/>
                <w:szCs w:val="16"/>
              </w:rPr>
            </w:pPr>
            <w:r>
              <w:rPr>
                <w:color w:val="000000"/>
                <w:sz w:val="16"/>
                <w:szCs w:val="16"/>
              </w:rPr>
              <w:t>rs3740394</w:t>
            </w:r>
          </w:p>
        </w:tc>
        <w:tc>
          <w:tcPr>
            <w:tcW w:w="851" w:type="dxa"/>
            <w:tcBorders>
              <w:top w:val="single" w:sz="4" w:space="0" w:color="D0CECE"/>
              <w:bottom w:val="single" w:sz="4" w:space="0" w:color="D0CECE"/>
            </w:tcBorders>
            <w:tcMar>
              <w:top w:w="-113" w:type="dxa"/>
              <w:left w:w="-113" w:type="dxa"/>
              <w:bottom w:w="-113" w:type="dxa"/>
              <w:right w:w="-113" w:type="dxa"/>
            </w:tcMar>
          </w:tcPr>
          <w:p w14:paraId="1353D3BA" w14:textId="77777777" w:rsidR="00CB0062" w:rsidRDefault="00CB0062" w:rsidP="00223E56">
            <w:pPr>
              <w:rPr>
                <w:color w:val="000000"/>
                <w:sz w:val="16"/>
                <w:szCs w:val="16"/>
              </w:rPr>
            </w:pPr>
            <w:r>
              <w:rPr>
                <w:color w:val="000000"/>
                <w:sz w:val="16"/>
                <w:szCs w:val="16"/>
              </w:rPr>
              <w:t>A&gt;G</w:t>
            </w:r>
          </w:p>
        </w:tc>
        <w:tc>
          <w:tcPr>
            <w:tcW w:w="1701" w:type="dxa"/>
            <w:tcBorders>
              <w:top w:val="single" w:sz="4" w:space="0" w:color="D0CECE"/>
              <w:bottom w:val="single" w:sz="4" w:space="0" w:color="D0CECE"/>
            </w:tcBorders>
            <w:tcMar>
              <w:top w:w="-113" w:type="dxa"/>
              <w:left w:w="-113" w:type="dxa"/>
              <w:bottom w:w="-113" w:type="dxa"/>
              <w:right w:w="-113" w:type="dxa"/>
            </w:tcMar>
          </w:tcPr>
          <w:p w14:paraId="11EE4A29"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7D9FB43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72D1EAC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46538F12"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5C166E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79592F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00331E64" w14:textId="77777777" w:rsidR="00CB0062" w:rsidRDefault="00CB0062" w:rsidP="00223E56">
            <w:pPr>
              <w:rPr>
                <w:sz w:val="16"/>
                <w:szCs w:val="16"/>
              </w:rPr>
            </w:pPr>
            <w:r>
              <w:rPr>
                <w:color w:val="000000"/>
                <w:sz w:val="16"/>
                <w:szCs w:val="16"/>
              </w:rPr>
              <w:t>rs4290163</w:t>
            </w:r>
          </w:p>
          <w:p w14:paraId="442198F3" w14:textId="77777777" w:rsidR="00CB0062" w:rsidRDefault="00CB0062" w:rsidP="00223E56">
            <w:pPr>
              <w:rPr>
                <w:sz w:val="16"/>
                <w:szCs w:val="16"/>
              </w:rPr>
            </w:pPr>
          </w:p>
        </w:tc>
        <w:tc>
          <w:tcPr>
            <w:tcW w:w="85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57F58C14" w14:textId="77777777" w:rsidR="00CB0062" w:rsidRDefault="00CB0062" w:rsidP="00223E56">
            <w:pPr>
              <w:rPr>
                <w:color w:val="000000"/>
                <w:sz w:val="16"/>
                <w:szCs w:val="16"/>
              </w:rPr>
            </w:pPr>
            <w:r>
              <w:rPr>
                <w:color w:val="000000"/>
                <w:sz w:val="16"/>
                <w:szCs w:val="16"/>
              </w:rPr>
              <w:t>G&gt;</w:t>
            </w:r>
            <w:proofErr w:type="gramStart"/>
            <w:r>
              <w:rPr>
                <w:color w:val="000000"/>
                <w:sz w:val="16"/>
                <w:szCs w:val="16"/>
              </w:rPr>
              <w:t>C,T</w:t>
            </w:r>
            <w:proofErr w:type="gramEnd"/>
          </w:p>
        </w:tc>
        <w:tc>
          <w:tcPr>
            <w:tcW w:w="170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020BAF6A" w14:textId="77777777" w:rsidR="00CB0062" w:rsidRDefault="00CB0062" w:rsidP="00223E56">
            <w:pPr>
              <w:rPr>
                <w:color w:val="000000"/>
                <w:sz w:val="16"/>
                <w:szCs w:val="16"/>
              </w:rPr>
            </w:pPr>
            <w:r>
              <w:rPr>
                <w:color w:val="000000"/>
                <w:sz w:val="16"/>
                <w:szCs w:val="16"/>
              </w:rPr>
              <w:t>None</w:t>
            </w:r>
          </w:p>
        </w:tc>
        <w:tc>
          <w:tcPr>
            <w:tcW w:w="708" w:type="dxa"/>
            <w:tcBorders>
              <w:top w:val="single" w:sz="4" w:space="0" w:color="D0CECE"/>
              <w:bottom w:val="single" w:sz="4" w:space="0" w:color="D0CECE"/>
            </w:tcBorders>
            <w:shd w:val="clear" w:color="auto" w:fill="auto"/>
            <w:tcMar>
              <w:top w:w="-113" w:type="dxa"/>
              <w:left w:w="-113" w:type="dxa"/>
              <w:bottom w:w="-113" w:type="dxa"/>
              <w:right w:w="-113" w:type="dxa"/>
            </w:tcMar>
          </w:tcPr>
          <w:p w14:paraId="15552850" w14:textId="77777777" w:rsidR="00CB0062" w:rsidRDefault="00CB0062" w:rsidP="00223E56">
            <w:pPr>
              <w:rPr>
                <w:color w:val="000000"/>
                <w:sz w:val="16"/>
                <w:szCs w:val="16"/>
              </w:rPr>
            </w:pPr>
            <w:r>
              <w:rPr>
                <w:color w:val="000000"/>
                <w:sz w:val="16"/>
                <w:szCs w:val="16"/>
              </w:rPr>
              <w:t>SBP</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7EF83E62" w14:textId="77777777" w:rsidR="00CB0062" w:rsidRDefault="00CB0062" w:rsidP="00223E56">
            <w:pPr>
              <w:rPr>
                <w:color w:val="000000"/>
                <w:sz w:val="16"/>
                <w:szCs w:val="16"/>
              </w:rPr>
            </w:pPr>
            <w:r>
              <w:rPr>
                <w:sz w:val="16"/>
                <w:szCs w:val="16"/>
              </w:rPr>
              <w:t xml:space="preserve">Farzan </w:t>
            </w:r>
            <w:r>
              <w:rPr>
                <w:i/>
                <w:sz w:val="16"/>
                <w:szCs w:val="16"/>
              </w:rPr>
              <w:t>et al.</w:t>
            </w:r>
            <w:r>
              <w:rPr>
                <w:sz w:val="16"/>
                <w:szCs w:val="16"/>
              </w:rPr>
              <w:t xml:space="preserve"> 2016</w:t>
            </w:r>
          </w:p>
          <w:p w14:paraId="147E24B9" w14:textId="77777777" w:rsidR="00CB0062" w:rsidRDefault="00CB0062" w:rsidP="00223E56">
            <w:pPr>
              <w:rPr>
                <w:color w:val="000000"/>
                <w:sz w:val="16"/>
                <w:szCs w:val="16"/>
              </w:rPr>
            </w:pPr>
          </w:p>
        </w:tc>
      </w:tr>
      <w:tr w:rsidR="00CB0062" w14:paraId="50A8938A"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EA4726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5C6344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2FD09DF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71484D6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7DCEC90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tcBorders>
              <w:top w:val="single" w:sz="4" w:space="0" w:color="D0CECE"/>
              <w:bottom w:val="single" w:sz="4" w:space="0" w:color="D0CECE"/>
            </w:tcBorders>
            <w:tcMar>
              <w:top w:w="-113" w:type="dxa"/>
              <w:left w:w="-113" w:type="dxa"/>
              <w:bottom w:w="-113" w:type="dxa"/>
              <w:right w:w="-113" w:type="dxa"/>
            </w:tcMar>
          </w:tcPr>
          <w:p w14:paraId="0103E6FF" w14:textId="77777777" w:rsidR="00CB0062" w:rsidRDefault="00CB0062" w:rsidP="00223E56">
            <w:pPr>
              <w:rPr>
                <w:color w:val="000000"/>
                <w:sz w:val="16"/>
                <w:szCs w:val="16"/>
              </w:rPr>
            </w:pPr>
            <w:r>
              <w:rPr>
                <w:color w:val="000000"/>
                <w:sz w:val="16"/>
                <w:szCs w:val="16"/>
              </w:rPr>
              <w:t>BP</w:t>
            </w: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DC16E1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rsidRPr="0030321B" w14:paraId="038303E8" w14:textId="77777777" w:rsidTr="00923C73">
        <w:trPr>
          <w:trHeight w:val="317"/>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E30E2C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4797D2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23C43C1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3A41BA7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069B09A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vMerge w:val="restart"/>
            <w:tcBorders>
              <w:top w:val="single" w:sz="4" w:space="0" w:color="D0CECE"/>
              <w:bottom w:val="single" w:sz="4" w:space="0" w:color="D0CECE"/>
            </w:tcBorders>
            <w:tcMar>
              <w:top w:w="-113" w:type="dxa"/>
              <w:left w:w="-113" w:type="dxa"/>
              <w:bottom w:w="-113" w:type="dxa"/>
              <w:right w:w="-113" w:type="dxa"/>
            </w:tcMar>
          </w:tcPr>
          <w:p w14:paraId="04CD00EA" w14:textId="77777777" w:rsidR="00CB0062" w:rsidRDefault="00CB0062" w:rsidP="00223E56">
            <w:pPr>
              <w:rPr>
                <w:sz w:val="16"/>
                <w:szCs w:val="16"/>
              </w:rPr>
            </w:pPr>
            <w:r>
              <w:rPr>
                <w:color w:val="000000"/>
                <w:sz w:val="16"/>
                <w:szCs w:val="16"/>
              </w:rPr>
              <w:t>CVD</w:t>
            </w:r>
          </w:p>
          <w:p w14:paraId="47A8D6EA" w14:textId="77777777" w:rsidR="00CB0062" w:rsidRDefault="00CB0062" w:rsidP="00223E56">
            <w:pPr>
              <w:rPr>
                <w:sz w:val="16"/>
                <w:szCs w:val="16"/>
              </w:rPr>
            </w:pPr>
            <w:r>
              <w:rPr>
                <w:sz w:val="16"/>
                <w:szCs w:val="16"/>
              </w:rPr>
              <w:t>CIMT</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3349BAE8" w14:textId="77777777" w:rsidR="00CB0062" w:rsidRPr="00641BD3" w:rsidRDefault="00CB0062" w:rsidP="00223E56">
            <w:pPr>
              <w:rPr>
                <w:color w:val="000000"/>
                <w:sz w:val="16"/>
                <w:szCs w:val="16"/>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2E941F56" w14:textId="77777777" w:rsidR="00CB0062" w:rsidRPr="00641BD3" w:rsidRDefault="00CB0062" w:rsidP="00223E56">
            <w:pPr>
              <w:rPr>
                <w:color w:val="000000"/>
                <w:sz w:val="16"/>
                <w:szCs w:val="16"/>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tc>
      </w:tr>
      <w:tr w:rsidR="00CB0062" w14:paraId="184E5153"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43990B4"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F7136C9"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754F9E59" w14:textId="77777777" w:rsidR="00CB0062" w:rsidRDefault="00CB0062" w:rsidP="00223E56">
            <w:pPr>
              <w:rPr>
                <w:color w:val="000000"/>
                <w:sz w:val="16"/>
                <w:szCs w:val="16"/>
              </w:rPr>
            </w:pPr>
            <w:r>
              <w:rPr>
                <w:color w:val="000000"/>
                <w:sz w:val="16"/>
                <w:szCs w:val="16"/>
              </w:rPr>
              <w:t>rs4917996</w:t>
            </w:r>
          </w:p>
        </w:tc>
        <w:tc>
          <w:tcPr>
            <w:tcW w:w="851" w:type="dxa"/>
            <w:tcBorders>
              <w:top w:val="single" w:sz="4" w:space="0" w:color="D0CECE"/>
              <w:bottom w:val="single" w:sz="4" w:space="0" w:color="D0CECE"/>
            </w:tcBorders>
            <w:tcMar>
              <w:top w:w="-113" w:type="dxa"/>
              <w:left w:w="-113" w:type="dxa"/>
              <w:bottom w:w="-113" w:type="dxa"/>
              <w:right w:w="-113" w:type="dxa"/>
            </w:tcMar>
          </w:tcPr>
          <w:p w14:paraId="0A7ABAAA" w14:textId="77777777" w:rsidR="00CB0062" w:rsidRDefault="00CB0062" w:rsidP="00223E56">
            <w:pPr>
              <w:rPr>
                <w:color w:val="000000"/>
                <w:sz w:val="16"/>
                <w:szCs w:val="16"/>
              </w:rPr>
            </w:pPr>
            <w:r>
              <w:rPr>
                <w:color w:val="000000"/>
                <w:sz w:val="16"/>
                <w:szCs w:val="16"/>
              </w:rPr>
              <w:t>A&gt;C</w:t>
            </w:r>
          </w:p>
        </w:tc>
        <w:tc>
          <w:tcPr>
            <w:tcW w:w="1701" w:type="dxa"/>
            <w:tcBorders>
              <w:top w:val="single" w:sz="4" w:space="0" w:color="D0CECE"/>
              <w:bottom w:val="single" w:sz="4" w:space="0" w:color="D0CECE"/>
            </w:tcBorders>
            <w:tcMar>
              <w:top w:w="-113" w:type="dxa"/>
              <w:left w:w="-113" w:type="dxa"/>
              <w:bottom w:w="-113" w:type="dxa"/>
              <w:right w:w="-113" w:type="dxa"/>
            </w:tcMar>
          </w:tcPr>
          <w:p w14:paraId="2157C8AD"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3FBA622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6C551D3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6D2CB0FF"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F92932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524FDC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77280890" w14:textId="77777777" w:rsidR="00CB0062" w:rsidRDefault="00CB0062" w:rsidP="00223E56">
            <w:pPr>
              <w:rPr>
                <w:color w:val="000000"/>
                <w:sz w:val="16"/>
                <w:szCs w:val="16"/>
              </w:rPr>
            </w:pPr>
            <w:r>
              <w:rPr>
                <w:color w:val="000000"/>
                <w:sz w:val="16"/>
                <w:szCs w:val="16"/>
              </w:rPr>
              <w:t>rs4919690</w:t>
            </w:r>
          </w:p>
        </w:tc>
        <w:tc>
          <w:tcPr>
            <w:tcW w:w="851" w:type="dxa"/>
            <w:tcBorders>
              <w:top w:val="single" w:sz="4" w:space="0" w:color="D0CECE"/>
              <w:bottom w:val="single" w:sz="4" w:space="0" w:color="D0CECE"/>
            </w:tcBorders>
            <w:tcMar>
              <w:top w:w="-113" w:type="dxa"/>
              <w:left w:w="-113" w:type="dxa"/>
              <w:bottom w:w="-113" w:type="dxa"/>
              <w:right w:w="-113" w:type="dxa"/>
            </w:tcMar>
          </w:tcPr>
          <w:p w14:paraId="55DD7DA3" w14:textId="77777777" w:rsidR="00CB0062" w:rsidRDefault="00CB0062" w:rsidP="00223E56">
            <w:pPr>
              <w:rPr>
                <w:color w:val="000000"/>
                <w:sz w:val="16"/>
                <w:szCs w:val="16"/>
              </w:rPr>
            </w:pPr>
            <w:r>
              <w:rPr>
                <w:color w:val="000000"/>
                <w:sz w:val="16"/>
                <w:szCs w:val="16"/>
              </w:rPr>
              <w:t>T&gt;C</w:t>
            </w:r>
          </w:p>
        </w:tc>
        <w:tc>
          <w:tcPr>
            <w:tcW w:w="1701" w:type="dxa"/>
            <w:tcBorders>
              <w:top w:val="single" w:sz="4" w:space="0" w:color="D0CECE"/>
              <w:bottom w:val="single" w:sz="4" w:space="0" w:color="D0CECE"/>
            </w:tcBorders>
            <w:tcMar>
              <w:top w:w="-113" w:type="dxa"/>
              <w:left w:w="-113" w:type="dxa"/>
              <w:bottom w:w="-113" w:type="dxa"/>
              <w:right w:w="-113" w:type="dxa"/>
            </w:tcMar>
          </w:tcPr>
          <w:p w14:paraId="2D29C3B0"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3644F8E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F0C7D3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0724E8A8"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68F16C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A6AB38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A7621F4" w14:textId="77777777" w:rsidR="00CB0062" w:rsidRDefault="00CB0062" w:rsidP="00223E56">
            <w:pPr>
              <w:rPr>
                <w:color w:val="000000"/>
                <w:sz w:val="16"/>
                <w:szCs w:val="16"/>
              </w:rPr>
            </w:pPr>
            <w:r>
              <w:rPr>
                <w:color w:val="000000"/>
                <w:sz w:val="16"/>
                <w:szCs w:val="16"/>
              </w:rPr>
              <w:t>rs4919694</w:t>
            </w:r>
          </w:p>
        </w:tc>
        <w:tc>
          <w:tcPr>
            <w:tcW w:w="851" w:type="dxa"/>
            <w:tcBorders>
              <w:top w:val="single" w:sz="4" w:space="0" w:color="D0CECE"/>
              <w:bottom w:val="single" w:sz="4" w:space="0" w:color="D0CECE"/>
            </w:tcBorders>
            <w:tcMar>
              <w:top w:w="-113" w:type="dxa"/>
              <w:left w:w="-113" w:type="dxa"/>
              <w:bottom w:w="-113" w:type="dxa"/>
              <w:right w:w="-113" w:type="dxa"/>
            </w:tcMar>
          </w:tcPr>
          <w:p w14:paraId="7101544C" w14:textId="77777777" w:rsidR="00CB0062" w:rsidRDefault="00CB0062" w:rsidP="00223E56">
            <w:pPr>
              <w:rPr>
                <w:color w:val="000000"/>
                <w:sz w:val="16"/>
                <w:szCs w:val="16"/>
              </w:rPr>
            </w:pPr>
            <w:r>
              <w:rPr>
                <w:color w:val="000000"/>
                <w:sz w:val="16"/>
                <w:szCs w:val="16"/>
              </w:rPr>
              <w:t>T&gt;</w:t>
            </w:r>
            <w:proofErr w:type="gramStart"/>
            <w:r>
              <w:rPr>
                <w:color w:val="000000"/>
                <w:sz w:val="16"/>
                <w:szCs w:val="16"/>
              </w:rPr>
              <w:t>A,C</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5B0BCC76"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6EAFB77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661D251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75EEE3CF"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DFE2DD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B30EBB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6ECFB32E" w14:textId="77777777" w:rsidR="00CB0062" w:rsidRDefault="00CB0062" w:rsidP="00223E56">
            <w:pPr>
              <w:rPr>
                <w:color w:val="000000"/>
                <w:sz w:val="16"/>
                <w:szCs w:val="16"/>
              </w:rPr>
            </w:pPr>
            <w:r>
              <w:rPr>
                <w:color w:val="000000"/>
                <w:sz w:val="16"/>
                <w:szCs w:val="16"/>
              </w:rPr>
              <w:t>rs7085854</w:t>
            </w:r>
          </w:p>
        </w:tc>
        <w:tc>
          <w:tcPr>
            <w:tcW w:w="851" w:type="dxa"/>
            <w:tcBorders>
              <w:top w:val="single" w:sz="4" w:space="0" w:color="D0CECE"/>
              <w:bottom w:val="single" w:sz="4" w:space="0" w:color="D0CECE"/>
            </w:tcBorders>
            <w:tcMar>
              <w:top w:w="-113" w:type="dxa"/>
              <w:left w:w="-113" w:type="dxa"/>
              <w:bottom w:w="-113" w:type="dxa"/>
              <w:right w:w="-113" w:type="dxa"/>
            </w:tcMar>
          </w:tcPr>
          <w:p w14:paraId="3119D489" w14:textId="77777777" w:rsidR="00CB0062" w:rsidRDefault="00CB0062" w:rsidP="00223E56">
            <w:pPr>
              <w:rPr>
                <w:color w:val="000000"/>
                <w:sz w:val="16"/>
                <w:szCs w:val="16"/>
              </w:rPr>
            </w:pPr>
            <w:r>
              <w:rPr>
                <w:color w:val="000000"/>
                <w:sz w:val="16"/>
                <w:szCs w:val="16"/>
              </w:rPr>
              <w:t>T&gt;C</w:t>
            </w:r>
          </w:p>
        </w:tc>
        <w:tc>
          <w:tcPr>
            <w:tcW w:w="1701" w:type="dxa"/>
            <w:tcBorders>
              <w:top w:val="single" w:sz="4" w:space="0" w:color="D0CECE"/>
              <w:bottom w:val="single" w:sz="4" w:space="0" w:color="D0CECE"/>
            </w:tcBorders>
            <w:tcMar>
              <w:top w:w="-113" w:type="dxa"/>
              <w:left w:w="-113" w:type="dxa"/>
              <w:bottom w:w="-113" w:type="dxa"/>
              <w:right w:w="-113" w:type="dxa"/>
            </w:tcMar>
          </w:tcPr>
          <w:p w14:paraId="46FB6A1B"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36225B9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5F2051C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417C2617"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8A6813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6B744E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FDA9D9E" w14:textId="77777777" w:rsidR="00CB0062" w:rsidRDefault="00CB0062" w:rsidP="00223E56">
            <w:pPr>
              <w:rPr>
                <w:color w:val="000000"/>
                <w:sz w:val="16"/>
                <w:szCs w:val="16"/>
              </w:rPr>
            </w:pPr>
            <w:r>
              <w:rPr>
                <w:color w:val="000000"/>
                <w:sz w:val="16"/>
                <w:szCs w:val="16"/>
              </w:rPr>
              <w:t>rs7096169</w:t>
            </w:r>
          </w:p>
        </w:tc>
        <w:tc>
          <w:tcPr>
            <w:tcW w:w="851" w:type="dxa"/>
            <w:tcBorders>
              <w:top w:val="single" w:sz="4" w:space="0" w:color="D0CECE"/>
              <w:bottom w:val="single" w:sz="4" w:space="0" w:color="D0CECE"/>
            </w:tcBorders>
            <w:tcMar>
              <w:top w:w="-113" w:type="dxa"/>
              <w:left w:w="-113" w:type="dxa"/>
              <w:bottom w:w="-113" w:type="dxa"/>
              <w:right w:w="-113" w:type="dxa"/>
            </w:tcMar>
          </w:tcPr>
          <w:p w14:paraId="10DD987C" w14:textId="77777777" w:rsidR="00CB0062" w:rsidRDefault="00CB0062" w:rsidP="00223E56">
            <w:pPr>
              <w:rPr>
                <w:color w:val="000000"/>
                <w:sz w:val="16"/>
                <w:szCs w:val="16"/>
              </w:rPr>
            </w:pPr>
            <w:r>
              <w:rPr>
                <w:color w:val="000000"/>
                <w:sz w:val="16"/>
                <w:szCs w:val="16"/>
              </w:rPr>
              <w:t>A&gt;</w:t>
            </w:r>
            <w:proofErr w:type="gramStart"/>
            <w:r>
              <w:rPr>
                <w:color w:val="000000"/>
                <w:sz w:val="16"/>
                <w:szCs w:val="16"/>
              </w:rPr>
              <w:t>C,G</w:t>
            </w:r>
            <w:proofErr w:type="gramEnd"/>
            <w:r>
              <w:rPr>
                <w:color w:val="000000"/>
                <w:sz w:val="16"/>
                <w:szCs w:val="16"/>
              </w:rPr>
              <w:t>,T</w:t>
            </w:r>
          </w:p>
        </w:tc>
        <w:tc>
          <w:tcPr>
            <w:tcW w:w="1701" w:type="dxa"/>
            <w:tcBorders>
              <w:top w:val="single" w:sz="4" w:space="0" w:color="D0CECE"/>
              <w:bottom w:val="single" w:sz="4" w:space="0" w:color="D0CECE"/>
            </w:tcBorders>
            <w:tcMar>
              <w:top w:w="-113" w:type="dxa"/>
              <w:left w:w="-113" w:type="dxa"/>
              <w:bottom w:w="-113" w:type="dxa"/>
              <w:right w:w="-113" w:type="dxa"/>
            </w:tcMar>
          </w:tcPr>
          <w:p w14:paraId="202F779C"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580C55B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6C422B1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045D82C8"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2CE094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5461F1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2E228CD8" w14:textId="77777777" w:rsidR="00CB0062" w:rsidRDefault="00CB0062" w:rsidP="00223E56">
            <w:pPr>
              <w:rPr>
                <w:color w:val="000000"/>
                <w:sz w:val="16"/>
                <w:szCs w:val="16"/>
              </w:rPr>
            </w:pPr>
            <w:r>
              <w:rPr>
                <w:color w:val="000000"/>
                <w:sz w:val="16"/>
                <w:szCs w:val="16"/>
              </w:rPr>
              <w:t>rs7100709</w:t>
            </w:r>
          </w:p>
        </w:tc>
        <w:tc>
          <w:tcPr>
            <w:tcW w:w="851" w:type="dxa"/>
            <w:tcBorders>
              <w:top w:val="single" w:sz="4" w:space="0" w:color="D0CECE"/>
              <w:bottom w:val="single" w:sz="4" w:space="0" w:color="D0CECE"/>
            </w:tcBorders>
            <w:tcMar>
              <w:top w:w="-113" w:type="dxa"/>
              <w:left w:w="-113" w:type="dxa"/>
              <w:bottom w:w="-113" w:type="dxa"/>
              <w:right w:w="-113" w:type="dxa"/>
            </w:tcMar>
          </w:tcPr>
          <w:p w14:paraId="7E8200BF" w14:textId="77777777" w:rsidR="00CB0062" w:rsidRDefault="00CB0062" w:rsidP="00223E56">
            <w:pPr>
              <w:rPr>
                <w:color w:val="000000"/>
                <w:sz w:val="16"/>
                <w:szCs w:val="16"/>
              </w:rPr>
            </w:pPr>
            <w:r>
              <w:rPr>
                <w:color w:val="000000"/>
                <w:sz w:val="16"/>
                <w:szCs w:val="16"/>
              </w:rPr>
              <w:t>A/C</w:t>
            </w:r>
          </w:p>
        </w:tc>
        <w:tc>
          <w:tcPr>
            <w:tcW w:w="1701" w:type="dxa"/>
            <w:tcBorders>
              <w:top w:val="single" w:sz="4" w:space="0" w:color="D0CECE"/>
              <w:bottom w:val="single" w:sz="4" w:space="0" w:color="D0CECE"/>
            </w:tcBorders>
            <w:tcMar>
              <w:top w:w="-113" w:type="dxa"/>
              <w:left w:w="-113" w:type="dxa"/>
              <w:bottom w:w="-113" w:type="dxa"/>
              <w:right w:w="-113" w:type="dxa"/>
            </w:tcMar>
          </w:tcPr>
          <w:p w14:paraId="5C63AE20" w14:textId="77777777" w:rsidR="00CB0062" w:rsidRDefault="00CB0062" w:rsidP="00223E56">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771BDC8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2E7741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3534C3C2"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26EDFC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28B3A0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723D792B" w14:textId="77777777" w:rsidR="00CB0062" w:rsidRDefault="00CB0062" w:rsidP="00223E56">
            <w:pPr>
              <w:rPr>
                <w:color w:val="000000"/>
                <w:sz w:val="16"/>
                <w:szCs w:val="16"/>
              </w:rPr>
            </w:pPr>
            <w:r>
              <w:rPr>
                <w:color w:val="000000"/>
                <w:sz w:val="16"/>
                <w:szCs w:val="16"/>
              </w:rPr>
              <w:t>rs7907785</w:t>
            </w:r>
          </w:p>
        </w:tc>
        <w:tc>
          <w:tcPr>
            <w:tcW w:w="851" w:type="dxa"/>
            <w:tcBorders>
              <w:top w:val="single" w:sz="4" w:space="0" w:color="D0CECE"/>
              <w:bottom w:val="single" w:sz="4" w:space="0" w:color="D0CECE"/>
            </w:tcBorders>
            <w:tcMar>
              <w:top w:w="-113" w:type="dxa"/>
              <w:left w:w="-113" w:type="dxa"/>
              <w:bottom w:w="-113" w:type="dxa"/>
              <w:right w:w="-113" w:type="dxa"/>
            </w:tcMar>
          </w:tcPr>
          <w:p w14:paraId="3B5E6CD1" w14:textId="77777777" w:rsidR="00CB0062" w:rsidRDefault="00CB0062" w:rsidP="00223E56">
            <w:pPr>
              <w:rPr>
                <w:color w:val="000000"/>
                <w:sz w:val="16"/>
                <w:szCs w:val="16"/>
              </w:rPr>
            </w:pPr>
            <w:r>
              <w:rPr>
                <w:color w:val="000000"/>
                <w:sz w:val="16"/>
                <w:szCs w:val="16"/>
              </w:rPr>
              <w:t>A/G</w:t>
            </w:r>
          </w:p>
        </w:tc>
        <w:tc>
          <w:tcPr>
            <w:tcW w:w="1701" w:type="dxa"/>
            <w:tcBorders>
              <w:top w:val="single" w:sz="4" w:space="0" w:color="D0CECE"/>
              <w:bottom w:val="single" w:sz="4" w:space="0" w:color="D0CECE"/>
            </w:tcBorders>
            <w:tcMar>
              <w:top w:w="-113" w:type="dxa"/>
              <w:left w:w="-113" w:type="dxa"/>
              <w:bottom w:w="-113" w:type="dxa"/>
              <w:right w:w="-113" w:type="dxa"/>
            </w:tcMar>
          </w:tcPr>
          <w:p w14:paraId="3081740E" w14:textId="77777777" w:rsidR="00CB0062" w:rsidRDefault="00CB0062" w:rsidP="00223E56">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714E06A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59628FD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0962B77C"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446BA1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85E3C0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0230D3ED" w14:textId="77777777" w:rsidR="00CB0062" w:rsidRDefault="00CB0062" w:rsidP="00223E56">
            <w:pPr>
              <w:rPr>
                <w:sz w:val="16"/>
                <w:szCs w:val="16"/>
              </w:rPr>
            </w:pPr>
            <w:r>
              <w:rPr>
                <w:color w:val="000000"/>
                <w:sz w:val="16"/>
                <w:szCs w:val="16"/>
              </w:rPr>
              <w:t>rs9527</w:t>
            </w:r>
          </w:p>
          <w:p w14:paraId="263ECB3E" w14:textId="77777777" w:rsidR="00CB0062" w:rsidRDefault="00CB0062" w:rsidP="00223E56">
            <w:pPr>
              <w:rPr>
                <w:sz w:val="16"/>
                <w:szCs w:val="16"/>
              </w:rPr>
            </w:pPr>
          </w:p>
        </w:tc>
        <w:tc>
          <w:tcPr>
            <w:tcW w:w="85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5207E071" w14:textId="77777777" w:rsidR="00CB0062" w:rsidRDefault="00CB0062" w:rsidP="00223E56">
            <w:pPr>
              <w:rPr>
                <w:color w:val="000000"/>
                <w:sz w:val="16"/>
                <w:szCs w:val="16"/>
              </w:rPr>
            </w:pPr>
            <w:r>
              <w:rPr>
                <w:color w:val="000000"/>
                <w:sz w:val="16"/>
                <w:szCs w:val="16"/>
              </w:rPr>
              <w:t>C/T</w:t>
            </w:r>
          </w:p>
        </w:tc>
        <w:tc>
          <w:tcPr>
            <w:tcW w:w="170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133A3482" w14:textId="77777777" w:rsidR="00CB0062" w:rsidRDefault="00CB0062" w:rsidP="00223E56">
            <w:pPr>
              <w:rPr>
                <w:color w:val="000000"/>
                <w:sz w:val="16"/>
                <w:szCs w:val="16"/>
              </w:rPr>
            </w:pPr>
            <w:r>
              <w:rPr>
                <w:sz w:val="16"/>
                <w:szCs w:val="16"/>
              </w:rPr>
              <w:t>Intron variant</w:t>
            </w:r>
          </w:p>
        </w:tc>
        <w:tc>
          <w:tcPr>
            <w:tcW w:w="708" w:type="dxa"/>
            <w:tcBorders>
              <w:top w:val="single" w:sz="4" w:space="0" w:color="D0CECE"/>
              <w:bottom w:val="single" w:sz="4" w:space="0" w:color="D0CECE"/>
            </w:tcBorders>
            <w:shd w:val="clear" w:color="auto" w:fill="auto"/>
            <w:tcMar>
              <w:top w:w="-113" w:type="dxa"/>
              <w:left w:w="-113" w:type="dxa"/>
              <w:bottom w:w="-113" w:type="dxa"/>
              <w:right w:w="-113" w:type="dxa"/>
            </w:tcMar>
          </w:tcPr>
          <w:p w14:paraId="3AFD1075" w14:textId="77777777" w:rsidR="00CB0062" w:rsidRDefault="00CB0062" w:rsidP="00223E56">
            <w:pPr>
              <w:rPr>
                <w:color w:val="000000"/>
                <w:sz w:val="16"/>
                <w:szCs w:val="16"/>
              </w:rPr>
            </w:pPr>
            <w:r>
              <w:rPr>
                <w:color w:val="000000"/>
                <w:sz w:val="16"/>
                <w:szCs w:val="16"/>
              </w:rPr>
              <w:t>SBP</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196D18F2" w14:textId="77777777" w:rsidR="00CB0062" w:rsidRDefault="00CB0062" w:rsidP="00223E56">
            <w:pPr>
              <w:rPr>
                <w:color w:val="000000"/>
                <w:sz w:val="16"/>
                <w:szCs w:val="16"/>
              </w:rPr>
            </w:pPr>
            <w:r>
              <w:rPr>
                <w:sz w:val="16"/>
                <w:szCs w:val="16"/>
              </w:rPr>
              <w:t xml:space="preserve">Farzan </w:t>
            </w:r>
            <w:r>
              <w:rPr>
                <w:i/>
                <w:sz w:val="16"/>
                <w:szCs w:val="16"/>
              </w:rPr>
              <w:t>et al.</w:t>
            </w:r>
            <w:r>
              <w:rPr>
                <w:sz w:val="16"/>
                <w:szCs w:val="16"/>
              </w:rPr>
              <w:t xml:space="preserve"> 2016</w:t>
            </w:r>
          </w:p>
        </w:tc>
      </w:tr>
      <w:tr w:rsidR="00CB0062" w:rsidRPr="0030321B" w14:paraId="0D5A7FCF"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B25D30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51DC29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41BE9E7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48D1973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2BA1FE7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tcBorders>
              <w:top w:val="single" w:sz="4" w:space="0" w:color="D0CECE"/>
              <w:bottom w:val="single" w:sz="4" w:space="0" w:color="000000"/>
            </w:tcBorders>
            <w:tcMar>
              <w:top w:w="-113" w:type="dxa"/>
              <w:left w:w="-113" w:type="dxa"/>
              <w:bottom w:w="-113" w:type="dxa"/>
              <w:right w:w="-113" w:type="dxa"/>
            </w:tcMar>
          </w:tcPr>
          <w:p w14:paraId="00AC79B2" w14:textId="77777777" w:rsidR="00CB0062" w:rsidRDefault="00CB0062" w:rsidP="00223E56">
            <w:pPr>
              <w:rPr>
                <w:color w:val="000000"/>
                <w:sz w:val="16"/>
                <w:szCs w:val="16"/>
              </w:rPr>
            </w:pPr>
            <w:r>
              <w:rPr>
                <w:color w:val="000000"/>
                <w:sz w:val="16"/>
                <w:szCs w:val="16"/>
              </w:rPr>
              <w:t>CVD</w:t>
            </w:r>
          </w:p>
          <w:p w14:paraId="73C5604D" w14:textId="77777777" w:rsidR="00CB0062" w:rsidRDefault="00CB0062" w:rsidP="00223E56">
            <w:pPr>
              <w:rPr>
                <w:sz w:val="16"/>
                <w:szCs w:val="16"/>
              </w:rPr>
            </w:pPr>
            <w:r>
              <w:rPr>
                <w:sz w:val="16"/>
                <w:szCs w:val="16"/>
              </w:rPr>
              <w:t>CIMT</w:t>
            </w:r>
          </w:p>
        </w:tc>
        <w:tc>
          <w:tcPr>
            <w:tcW w:w="1838" w:type="dxa"/>
            <w:tcBorders>
              <w:top w:val="single" w:sz="4" w:space="0" w:color="D0CECE"/>
              <w:bottom w:val="single" w:sz="4" w:space="0" w:color="000000"/>
              <w:right w:val="single" w:sz="4" w:space="0" w:color="000000" w:themeColor="text1"/>
            </w:tcBorders>
            <w:tcMar>
              <w:top w:w="-113" w:type="dxa"/>
              <w:left w:w="-113" w:type="dxa"/>
              <w:bottom w:w="-113" w:type="dxa"/>
              <w:right w:w="-113" w:type="dxa"/>
            </w:tcMar>
          </w:tcPr>
          <w:p w14:paraId="760C647B"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5477A750"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tc>
      </w:tr>
      <w:tr w:rsidR="00CB0062" w14:paraId="1E3B6A9D"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63E5D036" w14:textId="77777777" w:rsidR="00CB0062" w:rsidRDefault="00CB0062" w:rsidP="00223E56">
            <w:pPr>
              <w:rPr>
                <w:i/>
                <w:color w:val="000000"/>
                <w:sz w:val="16"/>
                <w:szCs w:val="16"/>
              </w:rPr>
            </w:pPr>
            <w:r>
              <w:rPr>
                <w:i/>
                <w:color w:val="000000"/>
                <w:sz w:val="16"/>
                <w:szCs w:val="16"/>
              </w:rPr>
              <w:t>ATXN2L</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0271814F" w14:textId="77777777" w:rsidR="00CB0062" w:rsidRDefault="00CB0062" w:rsidP="00223E56">
            <w:pPr>
              <w:rPr>
                <w:color w:val="000000"/>
                <w:sz w:val="16"/>
                <w:szCs w:val="16"/>
              </w:rPr>
            </w:pPr>
            <w:proofErr w:type="spellStart"/>
            <w:r>
              <w:rPr>
                <w:color w:val="000000"/>
                <w:sz w:val="16"/>
                <w:szCs w:val="16"/>
                <w:highlight w:val="white"/>
              </w:rPr>
              <w:t>Ataxin</w:t>
            </w:r>
            <w:proofErr w:type="spellEnd"/>
            <w:r>
              <w:rPr>
                <w:color w:val="000000"/>
                <w:sz w:val="16"/>
                <w:szCs w:val="16"/>
                <w:highlight w:val="white"/>
              </w:rPr>
              <w:t xml:space="preserve"> 2 Like</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577A776F" w14:textId="77777777" w:rsidR="00CB0062" w:rsidRDefault="00CB0062" w:rsidP="00223E56">
            <w:pPr>
              <w:rPr>
                <w:color w:val="000000"/>
                <w:sz w:val="16"/>
                <w:szCs w:val="16"/>
              </w:rPr>
            </w:pPr>
            <w:r>
              <w:rPr>
                <w:color w:val="000000"/>
                <w:sz w:val="16"/>
                <w:szCs w:val="16"/>
              </w:rPr>
              <w:t>rs8049439</w:t>
            </w:r>
          </w:p>
        </w:tc>
        <w:tc>
          <w:tcPr>
            <w:tcW w:w="851" w:type="dxa"/>
            <w:tcBorders>
              <w:top w:val="single" w:sz="4" w:space="0" w:color="000000"/>
              <w:bottom w:val="single" w:sz="4" w:space="0" w:color="000000"/>
            </w:tcBorders>
            <w:tcMar>
              <w:top w:w="-113" w:type="dxa"/>
              <w:left w:w="-113" w:type="dxa"/>
              <w:bottom w:w="-113" w:type="dxa"/>
              <w:right w:w="-113" w:type="dxa"/>
            </w:tcMar>
          </w:tcPr>
          <w:p w14:paraId="1044BEF6" w14:textId="77777777" w:rsidR="00CB0062" w:rsidRDefault="00CB0062" w:rsidP="00223E56">
            <w:pPr>
              <w:rPr>
                <w:color w:val="000000"/>
                <w:sz w:val="16"/>
                <w:szCs w:val="16"/>
              </w:rPr>
            </w:pPr>
            <w:r>
              <w:rPr>
                <w:color w:val="000000"/>
                <w:sz w:val="16"/>
                <w:szCs w:val="16"/>
              </w:rPr>
              <w:t>T&gt;</w:t>
            </w:r>
            <w:proofErr w:type="gramStart"/>
            <w:r>
              <w:rPr>
                <w:color w:val="000000"/>
                <w:sz w:val="16"/>
                <w:szCs w:val="16"/>
              </w:rPr>
              <w:t>A,C</w:t>
            </w:r>
            <w:proofErr w:type="gramEnd"/>
            <w:r>
              <w:rPr>
                <w:color w:val="000000"/>
                <w:sz w:val="16"/>
                <w:szCs w:val="16"/>
              </w:rPr>
              <w:t>,G</w:t>
            </w:r>
          </w:p>
        </w:tc>
        <w:tc>
          <w:tcPr>
            <w:tcW w:w="1701" w:type="dxa"/>
            <w:tcBorders>
              <w:top w:val="single" w:sz="4" w:space="0" w:color="000000"/>
              <w:bottom w:val="single" w:sz="4" w:space="0" w:color="000000"/>
            </w:tcBorders>
            <w:tcMar>
              <w:top w:w="-113" w:type="dxa"/>
              <w:left w:w="-113" w:type="dxa"/>
              <w:bottom w:w="-113" w:type="dxa"/>
              <w:right w:w="-113" w:type="dxa"/>
            </w:tcMar>
          </w:tcPr>
          <w:p w14:paraId="385EA17C" w14:textId="77777777" w:rsidR="00CB0062" w:rsidRDefault="00CB0062" w:rsidP="00223E56">
            <w:pPr>
              <w:rPr>
                <w:color w:val="000000"/>
                <w:sz w:val="16"/>
                <w:szCs w:val="16"/>
              </w:rPr>
            </w:pPr>
            <w:r>
              <w:rPr>
                <w:color w:val="000000"/>
                <w:sz w:val="16"/>
                <w:szCs w:val="16"/>
              </w:rPr>
              <w:t>Intron variant</w:t>
            </w:r>
          </w:p>
        </w:tc>
        <w:tc>
          <w:tcPr>
            <w:tcW w:w="708" w:type="dxa"/>
            <w:tcBorders>
              <w:top w:val="single" w:sz="4" w:space="0" w:color="000000"/>
              <w:bottom w:val="single" w:sz="4" w:space="0" w:color="000000"/>
            </w:tcBorders>
            <w:tcMar>
              <w:top w:w="-113" w:type="dxa"/>
              <w:left w:w="-113" w:type="dxa"/>
              <w:bottom w:w="-113" w:type="dxa"/>
              <w:right w:w="-113" w:type="dxa"/>
            </w:tcMar>
          </w:tcPr>
          <w:p w14:paraId="2165DBC7" w14:textId="77777777" w:rsidR="00CB0062" w:rsidRDefault="00CB0062" w:rsidP="00223E56">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5BAD30F1" w14:textId="77777777" w:rsidR="00CB0062" w:rsidRDefault="00CB0062" w:rsidP="00223E56">
            <w:pPr>
              <w:rPr>
                <w:color w:val="000000"/>
                <w:sz w:val="16"/>
                <w:szCs w:val="16"/>
              </w:rPr>
            </w:pPr>
            <w:r>
              <w:rPr>
                <w:sz w:val="16"/>
                <w:szCs w:val="16"/>
              </w:rPr>
              <w:t>Grau-Perez et al. 2018</w:t>
            </w:r>
          </w:p>
        </w:tc>
      </w:tr>
      <w:tr w:rsidR="00CB0062" w14:paraId="3601C3B3"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6875D370" w14:textId="77777777" w:rsidR="00CB0062" w:rsidRDefault="00CB0062" w:rsidP="00223E56">
            <w:pPr>
              <w:rPr>
                <w:i/>
                <w:color w:val="000000"/>
                <w:sz w:val="16"/>
                <w:szCs w:val="16"/>
              </w:rPr>
            </w:pPr>
            <w:r>
              <w:rPr>
                <w:i/>
                <w:color w:val="000000"/>
                <w:sz w:val="16"/>
                <w:szCs w:val="16"/>
              </w:rPr>
              <w:t>BCL11A</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0B3D57B1" w14:textId="77777777" w:rsidR="00CB0062" w:rsidRDefault="00CB0062" w:rsidP="00223E56">
            <w:pPr>
              <w:rPr>
                <w:color w:val="000000"/>
                <w:sz w:val="16"/>
                <w:szCs w:val="16"/>
              </w:rPr>
            </w:pPr>
            <w:r>
              <w:rPr>
                <w:color w:val="000000"/>
                <w:sz w:val="16"/>
                <w:szCs w:val="16"/>
                <w:highlight w:val="white"/>
              </w:rPr>
              <w:t xml:space="preserve">BAF Chromatin </w:t>
            </w:r>
            <w:proofErr w:type="spellStart"/>
            <w:r>
              <w:rPr>
                <w:color w:val="000000"/>
                <w:sz w:val="16"/>
                <w:szCs w:val="16"/>
                <w:highlight w:val="white"/>
              </w:rPr>
              <w:t>Remodeling</w:t>
            </w:r>
            <w:proofErr w:type="spellEnd"/>
            <w:r>
              <w:rPr>
                <w:color w:val="000000"/>
                <w:sz w:val="16"/>
                <w:szCs w:val="16"/>
                <w:highlight w:val="white"/>
              </w:rPr>
              <w:t xml:space="preserve"> Complex Subunit BCL11A</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4B59D946" w14:textId="77777777" w:rsidR="00CB0062" w:rsidRDefault="00CB0062" w:rsidP="00223E56">
            <w:pPr>
              <w:rPr>
                <w:color w:val="000000"/>
                <w:sz w:val="16"/>
                <w:szCs w:val="16"/>
              </w:rPr>
            </w:pPr>
            <w:r>
              <w:rPr>
                <w:color w:val="000000"/>
                <w:sz w:val="16"/>
                <w:szCs w:val="16"/>
              </w:rPr>
              <w:t>rs2058703</w:t>
            </w:r>
          </w:p>
        </w:tc>
        <w:tc>
          <w:tcPr>
            <w:tcW w:w="851" w:type="dxa"/>
            <w:tcBorders>
              <w:top w:val="single" w:sz="4" w:space="0" w:color="000000"/>
              <w:bottom w:val="single" w:sz="4" w:space="0" w:color="000000"/>
            </w:tcBorders>
            <w:tcMar>
              <w:top w:w="-113" w:type="dxa"/>
              <w:left w:w="-113" w:type="dxa"/>
              <w:bottom w:w="-113" w:type="dxa"/>
              <w:right w:w="-113" w:type="dxa"/>
            </w:tcMar>
          </w:tcPr>
          <w:p w14:paraId="50F12034" w14:textId="77777777" w:rsidR="00CB0062" w:rsidRDefault="00CB0062" w:rsidP="00223E56">
            <w:pPr>
              <w:rPr>
                <w:color w:val="000000"/>
                <w:sz w:val="16"/>
                <w:szCs w:val="16"/>
              </w:rPr>
            </w:pPr>
            <w:r>
              <w:rPr>
                <w:color w:val="000000"/>
                <w:sz w:val="16"/>
                <w:szCs w:val="16"/>
              </w:rPr>
              <w:t>G&gt;</w:t>
            </w:r>
            <w:proofErr w:type="gramStart"/>
            <w:r>
              <w:rPr>
                <w:color w:val="000000"/>
                <w:sz w:val="16"/>
                <w:szCs w:val="16"/>
              </w:rPr>
              <w:t>A,C</w:t>
            </w:r>
            <w:proofErr w:type="gramEnd"/>
          </w:p>
        </w:tc>
        <w:tc>
          <w:tcPr>
            <w:tcW w:w="1701" w:type="dxa"/>
            <w:tcBorders>
              <w:top w:val="single" w:sz="4" w:space="0" w:color="000000"/>
              <w:bottom w:val="single" w:sz="4" w:space="0" w:color="000000"/>
            </w:tcBorders>
            <w:tcMar>
              <w:top w:w="-113" w:type="dxa"/>
              <w:left w:w="-113" w:type="dxa"/>
              <w:bottom w:w="-113" w:type="dxa"/>
              <w:right w:w="-113" w:type="dxa"/>
            </w:tcMar>
          </w:tcPr>
          <w:p w14:paraId="4D6D598F" w14:textId="77777777" w:rsidR="00CB0062" w:rsidRDefault="00CB0062" w:rsidP="00223E56">
            <w:pPr>
              <w:rPr>
                <w:color w:val="000000"/>
                <w:sz w:val="16"/>
                <w:szCs w:val="16"/>
              </w:rPr>
            </w:pPr>
            <w:r>
              <w:rPr>
                <w:sz w:val="16"/>
                <w:szCs w:val="16"/>
              </w:rPr>
              <w:t>3 Prime UTR variant</w:t>
            </w:r>
          </w:p>
        </w:tc>
        <w:tc>
          <w:tcPr>
            <w:tcW w:w="708" w:type="dxa"/>
            <w:tcBorders>
              <w:top w:val="single" w:sz="4" w:space="0" w:color="000000"/>
              <w:bottom w:val="single" w:sz="4" w:space="0" w:color="000000"/>
            </w:tcBorders>
            <w:tcMar>
              <w:top w:w="-113" w:type="dxa"/>
              <w:left w:w="-113" w:type="dxa"/>
              <w:bottom w:w="-113" w:type="dxa"/>
              <w:right w:w="-113" w:type="dxa"/>
            </w:tcMar>
          </w:tcPr>
          <w:p w14:paraId="7711A7A6" w14:textId="77777777" w:rsidR="00CB0062" w:rsidRDefault="00CB0062" w:rsidP="00223E56">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7B59904D" w14:textId="77777777" w:rsidR="00CB0062" w:rsidRDefault="00CB0062" w:rsidP="00223E56">
            <w:pPr>
              <w:rPr>
                <w:color w:val="000000"/>
                <w:sz w:val="16"/>
                <w:szCs w:val="16"/>
              </w:rPr>
            </w:pPr>
            <w:r>
              <w:rPr>
                <w:sz w:val="16"/>
                <w:szCs w:val="16"/>
              </w:rPr>
              <w:t xml:space="preserve">Pan </w:t>
            </w:r>
            <w:r>
              <w:rPr>
                <w:i/>
                <w:sz w:val="16"/>
                <w:szCs w:val="16"/>
              </w:rPr>
              <w:t>et al.</w:t>
            </w:r>
            <w:r>
              <w:rPr>
                <w:sz w:val="16"/>
                <w:szCs w:val="16"/>
              </w:rPr>
              <w:t xml:space="preserve"> 2013</w:t>
            </w:r>
          </w:p>
        </w:tc>
      </w:tr>
      <w:tr w:rsidR="00CB0062" w14:paraId="0022544E"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7CBD68E4" w14:textId="77777777" w:rsidR="00CB0062" w:rsidRDefault="00CB0062" w:rsidP="00223E56">
            <w:pPr>
              <w:rPr>
                <w:i/>
                <w:color w:val="000000"/>
                <w:sz w:val="16"/>
                <w:szCs w:val="16"/>
              </w:rPr>
            </w:pPr>
            <w:r>
              <w:rPr>
                <w:i/>
                <w:color w:val="000000"/>
                <w:sz w:val="16"/>
                <w:szCs w:val="16"/>
              </w:rPr>
              <w:t>BCS1L</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096DDBE2" w14:textId="77777777" w:rsidR="00CB0062" w:rsidRDefault="00CB0062" w:rsidP="00223E56">
            <w:pPr>
              <w:rPr>
                <w:color w:val="000000"/>
                <w:sz w:val="16"/>
                <w:szCs w:val="16"/>
              </w:rPr>
            </w:pPr>
            <w:r>
              <w:rPr>
                <w:color w:val="000000"/>
                <w:sz w:val="16"/>
                <w:szCs w:val="16"/>
                <w:highlight w:val="white"/>
              </w:rPr>
              <w:t>Ubiquinol-Cytochrome C Reductase Complex Chaperone</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5699138A" w14:textId="77777777" w:rsidR="00CB0062" w:rsidRDefault="00CB0062" w:rsidP="00223E56">
            <w:pPr>
              <w:rPr>
                <w:color w:val="000000"/>
                <w:sz w:val="16"/>
                <w:szCs w:val="16"/>
              </w:rPr>
            </w:pPr>
            <w:r>
              <w:rPr>
                <w:color w:val="000000"/>
                <w:sz w:val="16"/>
                <w:szCs w:val="16"/>
              </w:rPr>
              <w:t>rs2243911</w:t>
            </w:r>
          </w:p>
        </w:tc>
        <w:tc>
          <w:tcPr>
            <w:tcW w:w="851" w:type="dxa"/>
            <w:tcBorders>
              <w:top w:val="single" w:sz="4" w:space="0" w:color="000000"/>
              <w:bottom w:val="single" w:sz="4" w:space="0" w:color="000000"/>
            </w:tcBorders>
            <w:tcMar>
              <w:top w:w="-113" w:type="dxa"/>
              <w:left w:w="-113" w:type="dxa"/>
              <w:bottom w:w="-113" w:type="dxa"/>
              <w:right w:w="-113" w:type="dxa"/>
            </w:tcMar>
          </w:tcPr>
          <w:p w14:paraId="498F75F1" w14:textId="77777777" w:rsidR="00CB0062" w:rsidRDefault="00CB0062" w:rsidP="00223E56">
            <w:pPr>
              <w:rPr>
                <w:color w:val="000000"/>
                <w:sz w:val="16"/>
                <w:szCs w:val="16"/>
              </w:rPr>
            </w:pPr>
            <w:r>
              <w:rPr>
                <w:color w:val="000000"/>
                <w:sz w:val="16"/>
                <w:szCs w:val="16"/>
              </w:rPr>
              <w:t>C&gt;</w:t>
            </w:r>
            <w:proofErr w:type="gramStart"/>
            <w:r>
              <w:rPr>
                <w:color w:val="000000"/>
                <w:sz w:val="16"/>
                <w:szCs w:val="16"/>
              </w:rPr>
              <w:t>G,T</w:t>
            </w:r>
            <w:proofErr w:type="gramEnd"/>
          </w:p>
        </w:tc>
        <w:tc>
          <w:tcPr>
            <w:tcW w:w="1701" w:type="dxa"/>
            <w:tcBorders>
              <w:top w:val="single" w:sz="4" w:space="0" w:color="000000"/>
              <w:bottom w:val="single" w:sz="4" w:space="0" w:color="000000"/>
            </w:tcBorders>
            <w:tcMar>
              <w:top w:w="-113" w:type="dxa"/>
              <w:left w:w="-113" w:type="dxa"/>
              <w:bottom w:w="-113" w:type="dxa"/>
              <w:right w:w="-113" w:type="dxa"/>
            </w:tcMar>
          </w:tcPr>
          <w:p w14:paraId="1FAC6C1B" w14:textId="77777777" w:rsidR="00CB0062" w:rsidRDefault="00CB0062" w:rsidP="00223E56">
            <w:pPr>
              <w:rPr>
                <w:color w:val="000000"/>
                <w:sz w:val="16"/>
                <w:szCs w:val="16"/>
              </w:rPr>
            </w:pPr>
            <w:r>
              <w:rPr>
                <w:color w:val="000000"/>
                <w:sz w:val="16"/>
                <w:szCs w:val="16"/>
              </w:rPr>
              <w:t>Intron variant</w:t>
            </w:r>
          </w:p>
        </w:tc>
        <w:tc>
          <w:tcPr>
            <w:tcW w:w="708" w:type="dxa"/>
            <w:tcBorders>
              <w:top w:val="single" w:sz="4" w:space="0" w:color="000000"/>
              <w:bottom w:val="single" w:sz="4" w:space="0" w:color="000000"/>
            </w:tcBorders>
            <w:tcMar>
              <w:top w:w="-113" w:type="dxa"/>
              <w:left w:w="-113" w:type="dxa"/>
              <w:bottom w:w="-113" w:type="dxa"/>
              <w:right w:w="-113" w:type="dxa"/>
            </w:tcMar>
          </w:tcPr>
          <w:p w14:paraId="34BBFB36" w14:textId="77777777" w:rsidR="00CB0062" w:rsidRDefault="00CB0062" w:rsidP="00223E56">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2AA11153" w14:textId="77777777" w:rsidR="00CB0062" w:rsidRDefault="00CB0062" w:rsidP="00223E56">
            <w:pPr>
              <w:rPr>
                <w:color w:val="000000"/>
                <w:sz w:val="16"/>
                <w:szCs w:val="16"/>
              </w:rPr>
            </w:pPr>
            <w:r>
              <w:rPr>
                <w:sz w:val="16"/>
                <w:szCs w:val="16"/>
              </w:rPr>
              <w:t>Grau-Perez et al. 2018</w:t>
            </w:r>
          </w:p>
        </w:tc>
      </w:tr>
      <w:tr w:rsidR="00CB0062" w14:paraId="406CEA7C" w14:textId="77777777" w:rsidTr="00923C73">
        <w:trPr>
          <w:trHeight w:val="179"/>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008DBD3" w14:textId="77777777" w:rsidR="00CB0062" w:rsidRDefault="00CB0062" w:rsidP="00223E56">
            <w:pPr>
              <w:rPr>
                <w:i/>
                <w:color w:val="000000"/>
                <w:sz w:val="16"/>
                <w:szCs w:val="16"/>
              </w:rPr>
            </w:pPr>
            <w:r>
              <w:rPr>
                <w:i/>
                <w:color w:val="000000"/>
                <w:sz w:val="16"/>
                <w:szCs w:val="16"/>
              </w:rPr>
              <w:t>CAT</w:t>
            </w:r>
          </w:p>
          <w:p w14:paraId="2EE5FCEE"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824FF11" w14:textId="77777777" w:rsidR="00CB0062" w:rsidRDefault="00CB0062" w:rsidP="00223E56">
            <w:pPr>
              <w:rPr>
                <w:color w:val="000000"/>
                <w:sz w:val="16"/>
                <w:szCs w:val="16"/>
              </w:rPr>
            </w:pPr>
            <w:r>
              <w:rPr>
                <w:color w:val="000000"/>
                <w:sz w:val="16"/>
                <w:szCs w:val="16"/>
                <w:highlight w:val="white"/>
              </w:rPr>
              <w:t>Catalase</w:t>
            </w:r>
          </w:p>
          <w:p w14:paraId="4E5A0964" w14:textId="77777777" w:rsidR="00CB0062" w:rsidRDefault="00CB0062" w:rsidP="00223E56">
            <w:pPr>
              <w:rPr>
                <w:color w:val="000000"/>
                <w:sz w:val="16"/>
                <w:szCs w:val="16"/>
              </w:rPr>
            </w:pP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6F270F7A" w14:textId="77777777" w:rsidR="00CB0062" w:rsidRDefault="00CB0062" w:rsidP="00223E56">
            <w:pPr>
              <w:rPr>
                <w:color w:val="000000"/>
                <w:sz w:val="16"/>
                <w:szCs w:val="16"/>
              </w:rPr>
            </w:pPr>
            <w:r>
              <w:rPr>
                <w:color w:val="000000"/>
                <w:sz w:val="16"/>
                <w:szCs w:val="16"/>
                <w:highlight w:val="white"/>
              </w:rPr>
              <w:t>rs1001179</w:t>
            </w:r>
          </w:p>
        </w:tc>
        <w:tc>
          <w:tcPr>
            <w:tcW w:w="851" w:type="dxa"/>
            <w:tcBorders>
              <w:top w:val="single" w:sz="4" w:space="0" w:color="000000"/>
              <w:bottom w:val="single" w:sz="4" w:space="0" w:color="D0CECE"/>
            </w:tcBorders>
            <w:tcMar>
              <w:top w:w="-113" w:type="dxa"/>
              <w:left w:w="-113" w:type="dxa"/>
              <w:bottom w:w="-113" w:type="dxa"/>
              <w:right w:w="-113" w:type="dxa"/>
            </w:tcMar>
          </w:tcPr>
          <w:p w14:paraId="4889A678" w14:textId="77777777" w:rsidR="00CB0062" w:rsidRDefault="00CB0062" w:rsidP="00223E56">
            <w:pPr>
              <w:rPr>
                <w:color w:val="000000"/>
                <w:sz w:val="16"/>
                <w:szCs w:val="16"/>
              </w:rPr>
            </w:pPr>
            <w:r>
              <w:rPr>
                <w:color w:val="000000"/>
                <w:sz w:val="16"/>
                <w:szCs w:val="16"/>
              </w:rPr>
              <w:t>C&gt;</w:t>
            </w:r>
            <w:proofErr w:type="gramStart"/>
            <w:r>
              <w:rPr>
                <w:color w:val="000000"/>
                <w:sz w:val="16"/>
                <w:szCs w:val="16"/>
              </w:rPr>
              <w:t>G,T</w:t>
            </w:r>
            <w:proofErr w:type="gramEnd"/>
          </w:p>
        </w:tc>
        <w:tc>
          <w:tcPr>
            <w:tcW w:w="1701" w:type="dxa"/>
            <w:tcBorders>
              <w:top w:val="single" w:sz="4" w:space="0" w:color="000000"/>
              <w:bottom w:val="single" w:sz="4" w:space="0" w:color="D0CECE"/>
            </w:tcBorders>
            <w:tcMar>
              <w:top w:w="-113" w:type="dxa"/>
              <w:left w:w="-113" w:type="dxa"/>
              <w:bottom w:w="-113" w:type="dxa"/>
              <w:right w:w="-113" w:type="dxa"/>
            </w:tcMar>
          </w:tcPr>
          <w:p w14:paraId="63C419B1" w14:textId="77777777" w:rsidR="00CB0062" w:rsidRDefault="00CB0062" w:rsidP="00223E56">
            <w:pPr>
              <w:rPr>
                <w:color w:val="000000"/>
                <w:sz w:val="16"/>
                <w:szCs w:val="16"/>
              </w:rPr>
            </w:pPr>
            <w:r>
              <w:rPr>
                <w:sz w:val="16"/>
                <w:szCs w:val="16"/>
              </w:rPr>
              <w:t>2KB Upstream variant</w:t>
            </w:r>
          </w:p>
        </w:tc>
        <w:tc>
          <w:tcPr>
            <w:tcW w:w="708" w:type="dxa"/>
            <w:tcBorders>
              <w:top w:val="single" w:sz="4" w:space="0" w:color="000000"/>
              <w:bottom w:val="single" w:sz="4" w:space="0" w:color="D0CECE"/>
            </w:tcBorders>
            <w:tcMar>
              <w:top w:w="-113" w:type="dxa"/>
              <w:left w:w="-113" w:type="dxa"/>
              <w:bottom w:w="-113" w:type="dxa"/>
              <w:right w:w="-113" w:type="dxa"/>
            </w:tcMar>
          </w:tcPr>
          <w:p w14:paraId="751A7BCE" w14:textId="77777777" w:rsidR="00CB0062" w:rsidRDefault="00CB0062" w:rsidP="00223E56">
            <w:pPr>
              <w:rPr>
                <w:color w:val="000000"/>
                <w:sz w:val="16"/>
                <w:szCs w:val="16"/>
              </w:rPr>
            </w:pPr>
            <w:r>
              <w:rPr>
                <w:color w:val="000000"/>
                <w:sz w:val="16"/>
                <w:szCs w:val="16"/>
              </w:rPr>
              <w:t>HTN</w:t>
            </w:r>
          </w:p>
        </w:tc>
        <w:tc>
          <w:tcPr>
            <w:tcW w:w="1838" w:type="dxa"/>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140C8C3E" w14:textId="77777777" w:rsidR="00CB0062" w:rsidRDefault="00CB0062" w:rsidP="00223E56">
            <w:pPr>
              <w:rPr>
                <w:color w:val="000000"/>
                <w:sz w:val="16"/>
                <w:szCs w:val="16"/>
              </w:rPr>
            </w:pPr>
            <w:r>
              <w:rPr>
                <w:sz w:val="16"/>
                <w:szCs w:val="16"/>
              </w:rPr>
              <w:t xml:space="preserve">Hsueh </w:t>
            </w:r>
            <w:r>
              <w:rPr>
                <w:i/>
                <w:sz w:val="16"/>
                <w:szCs w:val="16"/>
              </w:rPr>
              <w:t>et al.</w:t>
            </w:r>
            <w:r>
              <w:rPr>
                <w:sz w:val="16"/>
                <w:szCs w:val="16"/>
              </w:rPr>
              <w:t xml:space="preserve"> 2005</w:t>
            </w:r>
          </w:p>
        </w:tc>
      </w:tr>
      <w:tr w:rsidR="00CB0062" w14:paraId="782D3739"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D6C673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2C0B6D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26326A36" w14:textId="77777777" w:rsidR="00CB0062" w:rsidRDefault="00CB0062" w:rsidP="00223E56">
            <w:pPr>
              <w:rPr>
                <w:color w:val="000000"/>
                <w:sz w:val="16"/>
                <w:szCs w:val="16"/>
              </w:rPr>
            </w:pPr>
            <w:r>
              <w:rPr>
                <w:color w:val="000000"/>
                <w:sz w:val="16"/>
                <w:szCs w:val="16"/>
              </w:rPr>
              <w:t>rs1049982</w:t>
            </w:r>
          </w:p>
        </w:tc>
        <w:tc>
          <w:tcPr>
            <w:tcW w:w="851" w:type="dxa"/>
            <w:tcBorders>
              <w:top w:val="single" w:sz="4" w:space="0" w:color="D0CECE"/>
              <w:bottom w:val="single" w:sz="4" w:space="0" w:color="D0CECE"/>
            </w:tcBorders>
            <w:tcMar>
              <w:top w:w="-113" w:type="dxa"/>
              <w:left w:w="-113" w:type="dxa"/>
              <w:bottom w:w="-113" w:type="dxa"/>
              <w:right w:w="-113" w:type="dxa"/>
            </w:tcMar>
          </w:tcPr>
          <w:p w14:paraId="77215DE0" w14:textId="77777777" w:rsidR="00CB0062" w:rsidRDefault="00CB0062" w:rsidP="00223E56">
            <w:pPr>
              <w:rPr>
                <w:color w:val="000000"/>
                <w:sz w:val="16"/>
                <w:szCs w:val="16"/>
              </w:rPr>
            </w:pPr>
            <w:r>
              <w:rPr>
                <w:color w:val="000000"/>
                <w:sz w:val="16"/>
                <w:szCs w:val="16"/>
              </w:rPr>
              <w:t>T&gt;</w:t>
            </w:r>
            <w:proofErr w:type="gramStart"/>
            <w:r>
              <w:rPr>
                <w:color w:val="000000"/>
                <w:sz w:val="16"/>
                <w:szCs w:val="16"/>
              </w:rPr>
              <w:t>A,C</w:t>
            </w:r>
            <w:proofErr w:type="gramEnd"/>
            <w:r>
              <w:rPr>
                <w:color w:val="000000"/>
                <w:sz w:val="16"/>
                <w:szCs w:val="16"/>
              </w:rPr>
              <w:t>,G</w:t>
            </w:r>
          </w:p>
        </w:tc>
        <w:tc>
          <w:tcPr>
            <w:tcW w:w="1701" w:type="dxa"/>
            <w:tcBorders>
              <w:top w:val="single" w:sz="4" w:space="0" w:color="D0CECE"/>
              <w:bottom w:val="single" w:sz="4" w:space="0" w:color="D0CECE"/>
            </w:tcBorders>
            <w:tcMar>
              <w:top w:w="-113" w:type="dxa"/>
              <w:left w:w="-113" w:type="dxa"/>
              <w:bottom w:w="-113" w:type="dxa"/>
              <w:right w:w="-113" w:type="dxa"/>
            </w:tcMar>
          </w:tcPr>
          <w:p w14:paraId="561B466C" w14:textId="77777777" w:rsidR="00CB0062" w:rsidRDefault="00CB0062" w:rsidP="00223E56">
            <w:pPr>
              <w:rPr>
                <w:color w:val="000000"/>
                <w:sz w:val="16"/>
                <w:szCs w:val="16"/>
              </w:rPr>
            </w:pPr>
            <w:r>
              <w:rPr>
                <w:sz w:val="16"/>
                <w:szCs w:val="16"/>
              </w:rPr>
              <w:t>5 Prime UTR variant</w:t>
            </w:r>
          </w:p>
        </w:tc>
        <w:tc>
          <w:tcPr>
            <w:tcW w:w="708" w:type="dxa"/>
            <w:vMerge w:val="restart"/>
            <w:tcBorders>
              <w:top w:val="single" w:sz="4" w:space="0" w:color="D0CECE"/>
              <w:bottom w:val="single" w:sz="4" w:space="0" w:color="D0CECE"/>
            </w:tcBorders>
            <w:tcMar>
              <w:top w:w="-113" w:type="dxa"/>
              <w:left w:w="-113" w:type="dxa"/>
              <w:bottom w:w="-113" w:type="dxa"/>
              <w:right w:w="-113" w:type="dxa"/>
            </w:tcMar>
          </w:tcPr>
          <w:p w14:paraId="6F697439" w14:textId="77777777" w:rsidR="00CB0062" w:rsidRDefault="00CB0062" w:rsidP="00223E56">
            <w:pPr>
              <w:rPr>
                <w:sz w:val="16"/>
                <w:szCs w:val="16"/>
              </w:rPr>
            </w:pPr>
            <w:r>
              <w:rPr>
                <w:color w:val="000000"/>
                <w:sz w:val="16"/>
                <w:szCs w:val="16"/>
              </w:rPr>
              <w:t>T2DM</w:t>
            </w:r>
          </w:p>
          <w:p w14:paraId="3B9CAA7D" w14:textId="77777777" w:rsidR="00CB0062" w:rsidRDefault="00CB0062" w:rsidP="00223E56">
            <w:pPr>
              <w:rPr>
                <w:sz w:val="16"/>
                <w:szCs w:val="16"/>
              </w:rPr>
            </w:pP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44559F3" w14:textId="77777777" w:rsidR="00CB0062" w:rsidRDefault="00CB0062" w:rsidP="00223E56">
            <w:pPr>
              <w:rPr>
                <w:color w:val="000000"/>
                <w:sz w:val="16"/>
                <w:szCs w:val="16"/>
              </w:rPr>
            </w:pPr>
            <w:r>
              <w:rPr>
                <w:sz w:val="16"/>
                <w:szCs w:val="16"/>
              </w:rPr>
              <w:t>Grau-Perez et al. 2018</w:t>
            </w:r>
          </w:p>
          <w:p w14:paraId="73987F43" w14:textId="77777777" w:rsidR="00CB0062" w:rsidRDefault="00CB0062" w:rsidP="00223E56">
            <w:pPr>
              <w:rPr>
                <w:color w:val="000000"/>
                <w:sz w:val="16"/>
                <w:szCs w:val="16"/>
              </w:rPr>
            </w:pPr>
          </w:p>
          <w:p w14:paraId="3C573230" w14:textId="77777777" w:rsidR="00CB0062" w:rsidRDefault="00CB0062" w:rsidP="00223E56">
            <w:pPr>
              <w:rPr>
                <w:color w:val="000000"/>
                <w:sz w:val="16"/>
                <w:szCs w:val="16"/>
              </w:rPr>
            </w:pPr>
          </w:p>
        </w:tc>
      </w:tr>
      <w:tr w:rsidR="00CB0062" w14:paraId="07F1C7BB"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9AC731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7C88DC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13F3E356" w14:textId="77777777" w:rsidR="00CB0062" w:rsidRDefault="00CB0062" w:rsidP="00223E56">
            <w:pPr>
              <w:rPr>
                <w:color w:val="000000"/>
                <w:sz w:val="16"/>
                <w:szCs w:val="16"/>
              </w:rPr>
            </w:pPr>
            <w:r>
              <w:rPr>
                <w:color w:val="000000"/>
                <w:sz w:val="16"/>
                <w:szCs w:val="16"/>
              </w:rPr>
              <w:t>rs511895</w:t>
            </w:r>
          </w:p>
        </w:tc>
        <w:tc>
          <w:tcPr>
            <w:tcW w:w="851" w:type="dxa"/>
            <w:tcBorders>
              <w:top w:val="single" w:sz="4" w:space="0" w:color="D0CECE"/>
              <w:bottom w:val="single" w:sz="4" w:space="0" w:color="D0CECE"/>
            </w:tcBorders>
            <w:tcMar>
              <w:top w:w="-113" w:type="dxa"/>
              <w:left w:w="-113" w:type="dxa"/>
              <w:bottom w:w="-113" w:type="dxa"/>
              <w:right w:w="-113" w:type="dxa"/>
            </w:tcMar>
          </w:tcPr>
          <w:p w14:paraId="0E651E21" w14:textId="77777777" w:rsidR="00CB0062" w:rsidRDefault="00CB0062" w:rsidP="00223E56">
            <w:pPr>
              <w:rPr>
                <w:color w:val="000000"/>
                <w:sz w:val="16"/>
                <w:szCs w:val="16"/>
              </w:rPr>
            </w:pPr>
            <w:r>
              <w:rPr>
                <w:color w:val="000000"/>
                <w:sz w:val="16"/>
                <w:szCs w:val="16"/>
              </w:rPr>
              <w:t>T&gt;C</w:t>
            </w:r>
          </w:p>
        </w:tc>
        <w:tc>
          <w:tcPr>
            <w:tcW w:w="1701" w:type="dxa"/>
            <w:tcBorders>
              <w:top w:val="single" w:sz="4" w:space="0" w:color="D0CECE"/>
              <w:bottom w:val="single" w:sz="4" w:space="0" w:color="D0CECE"/>
            </w:tcBorders>
            <w:tcMar>
              <w:top w:w="-113" w:type="dxa"/>
              <w:left w:w="-113" w:type="dxa"/>
              <w:bottom w:w="-113" w:type="dxa"/>
              <w:right w:w="-113" w:type="dxa"/>
            </w:tcMar>
          </w:tcPr>
          <w:p w14:paraId="5841A131"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68D1C06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51CEDC9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1B52FE8F"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18804D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A2F410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1DF03A9" w14:textId="77777777" w:rsidR="00CB0062" w:rsidRDefault="00CB0062" w:rsidP="00223E56">
            <w:pPr>
              <w:rPr>
                <w:color w:val="000000"/>
                <w:sz w:val="16"/>
                <w:szCs w:val="16"/>
              </w:rPr>
            </w:pPr>
            <w:r>
              <w:rPr>
                <w:color w:val="000000"/>
                <w:sz w:val="16"/>
                <w:szCs w:val="16"/>
              </w:rPr>
              <w:t>rs7104301</w:t>
            </w:r>
          </w:p>
        </w:tc>
        <w:tc>
          <w:tcPr>
            <w:tcW w:w="851" w:type="dxa"/>
            <w:tcBorders>
              <w:top w:val="single" w:sz="4" w:space="0" w:color="D0CECE"/>
              <w:bottom w:val="single" w:sz="4" w:space="0" w:color="D0CECE"/>
            </w:tcBorders>
            <w:tcMar>
              <w:top w:w="-113" w:type="dxa"/>
              <w:left w:w="-113" w:type="dxa"/>
              <w:bottom w:w="-113" w:type="dxa"/>
              <w:right w:w="-113" w:type="dxa"/>
            </w:tcMar>
          </w:tcPr>
          <w:p w14:paraId="239C3ADF" w14:textId="77777777" w:rsidR="00CB0062" w:rsidRDefault="00CB0062" w:rsidP="00223E56">
            <w:pPr>
              <w:rPr>
                <w:color w:val="000000"/>
                <w:sz w:val="16"/>
                <w:szCs w:val="16"/>
              </w:rPr>
            </w:pPr>
            <w:r>
              <w:rPr>
                <w:color w:val="000000"/>
                <w:sz w:val="16"/>
                <w:szCs w:val="16"/>
              </w:rPr>
              <w:t>A&gt;G</w:t>
            </w:r>
          </w:p>
        </w:tc>
        <w:tc>
          <w:tcPr>
            <w:tcW w:w="1701" w:type="dxa"/>
            <w:tcBorders>
              <w:top w:val="single" w:sz="4" w:space="0" w:color="D0CECE"/>
              <w:bottom w:val="single" w:sz="4" w:space="0" w:color="D0CECE"/>
            </w:tcBorders>
            <w:tcMar>
              <w:top w:w="-113" w:type="dxa"/>
              <w:left w:w="-113" w:type="dxa"/>
              <w:bottom w:w="-113" w:type="dxa"/>
              <w:right w:w="-113" w:type="dxa"/>
            </w:tcMar>
          </w:tcPr>
          <w:p w14:paraId="3B8B33A3" w14:textId="77777777" w:rsidR="00CB0062" w:rsidRDefault="00CB0062" w:rsidP="00223E56">
            <w:pPr>
              <w:rPr>
                <w:color w:val="000000"/>
                <w:sz w:val="16"/>
                <w:szCs w:val="16"/>
              </w:rPr>
            </w:pPr>
            <w:r>
              <w:rPr>
                <w:sz w:val="16"/>
                <w:szCs w:val="16"/>
              </w:rPr>
              <w:t>500B Downstream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6648B7A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EBA476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7D6E23BD"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9FC853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7909EC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1228DAF1" w14:textId="77777777" w:rsidR="00CB0062" w:rsidRDefault="00CB0062" w:rsidP="00223E56">
            <w:pPr>
              <w:rPr>
                <w:color w:val="000000"/>
                <w:sz w:val="16"/>
                <w:szCs w:val="16"/>
              </w:rPr>
            </w:pPr>
            <w:r>
              <w:rPr>
                <w:color w:val="000000"/>
                <w:sz w:val="16"/>
                <w:szCs w:val="16"/>
              </w:rPr>
              <w:t>rs769217</w:t>
            </w:r>
          </w:p>
        </w:tc>
        <w:tc>
          <w:tcPr>
            <w:tcW w:w="851" w:type="dxa"/>
            <w:tcBorders>
              <w:top w:val="single" w:sz="4" w:space="0" w:color="D0CECE"/>
              <w:bottom w:val="single" w:sz="4" w:space="0" w:color="D0CECE"/>
            </w:tcBorders>
            <w:tcMar>
              <w:top w:w="-113" w:type="dxa"/>
              <w:left w:w="-113" w:type="dxa"/>
              <w:bottom w:w="-113" w:type="dxa"/>
              <w:right w:w="-113" w:type="dxa"/>
            </w:tcMar>
          </w:tcPr>
          <w:p w14:paraId="4464196E" w14:textId="77777777" w:rsidR="00CB0062" w:rsidRDefault="00CB0062" w:rsidP="00223E56">
            <w:pPr>
              <w:rPr>
                <w:color w:val="000000"/>
                <w:sz w:val="16"/>
                <w:szCs w:val="16"/>
              </w:rPr>
            </w:pPr>
            <w:r>
              <w:rPr>
                <w:color w:val="000000"/>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4F306E8C" w14:textId="77777777" w:rsidR="00CB0062" w:rsidRDefault="00CB0062" w:rsidP="00223E56">
            <w:pPr>
              <w:rPr>
                <w:color w:val="000000"/>
                <w:sz w:val="16"/>
                <w:szCs w:val="16"/>
              </w:rPr>
            </w:pPr>
            <w:r>
              <w:rPr>
                <w:color w:val="000000"/>
                <w:sz w:val="16"/>
                <w:szCs w:val="16"/>
              </w:rPr>
              <w:t>Synonymous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100DC5A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7B656F5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119FCC00"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55E0B8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3EC723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20E56DDC" w14:textId="77777777" w:rsidR="00CB0062" w:rsidRDefault="00CB0062" w:rsidP="00223E56">
            <w:pPr>
              <w:rPr>
                <w:color w:val="000000"/>
                <w:sz w:val="16"/>
                <w:szCs w:val="16"/>
              </w:rPr>
            </w:pPr>
            <w:r>
              <w:rPr>
                <w:color w:val="000000"/>
                <w:sz w:val="16"/>
                <w:szCs w:val="16"/>
              </w:rPr>
              <w:t>rs769218</w:t>
            </w:r>
          </w:p>
        </w:tc>
        <w:tc>
          <w:tcPr>
            <w:tcW w:w="851" w:type="dxa"/>
            <w:tcBorders>
              <w:top w:val="single" w:sz="4" w:space="0" w:color="D0CECE"/>
              <w:bottom w:val="single" w:sz="4" w:space="0" w:color="000000"/>
            </w:tcBorders>
            <w:tcMar>
              <w:top w:w="-113" w:type="dxa"/>
              <w:left w:w="-113" w:type="dxa"/>
              <w:bottom w:w="-113" w:type="dxa"/>
              <w:right w:w="-113" w:type="dxa"/>
            </w:tcMar>
          </w:tcPr>
          <w:p w14:paraId="1CB46345" w14:textId="77777777" w:rsidR="00CB0062" w:rsidRDefault="00CB0062" w:rsidP="00223E56">
            <w:pPr>
              <w:rPr>
                <w:color w:val="000000"/>
                <w:sz w:val="16"/>
                <w:szCs w:val="16"/>
              </w:rPr>
            </w:pPr>
            <w:r>
              <w:rPr>
                <w:color w:val="000000"/>
                <w:sz w:val="16"/>
                <w:szCs w:val="16"/>
              </w:rPr>
              <w:t>G&gt;</w:t>
            </w:r>
            <w:proofErr w:type="gramStart"/>
            <w:r>
              <w:rPr>
                <w:color w:val="000000"/>
                <w:sz w:val="16"/>
                <w:szCs w:val="16"/>
              </w:rPr>
              <w:t>A,C</w:t>
            </w:r>
            <w:proofErr w:type="gramEnd"/>
          </w:p>
        </w:tc>
        <w:tc>
          <w:tcPr>
            <w:tcW w:w="1701" w:type="dxa"/>
            <w:tcBorders>
              <w:top w:val="single" w:sz="4" w:space="0" w:color="D0CECE"/>
              <w:bottom w:val="single" w:sz="4" w:space="0" w:color="000000"/>
            </w:tcBorders>
            <w:tcMar>
              <w:top w:w="-113" w:type="dxa"/>
              <w:left w:w="-113" w:type="dxa"/>
              <w:bottom w:w="-113" w:type="dxa"/>
              <w:right w:w="-113" w:type="dxa"/>
            </w:tcMar>
          </w:tcPr>
          <w:p w14:paraId="4F511972"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7549F9E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3205552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rsidRPr="0030321B" w14:paraId="62CCD9C6"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A61DCE3" w14:textId="77777777" w:rsidR="00CB0062" w:rsidRDefault="00CB0062" w:rsidP="00223E56">
            <w:pPr>
              <w:rPr>
                <w:i/>
                <w:color w:val="000000"/>
                <w:sz w:val="16"/>
                <w:szCs w:val="16"/>
              </w:rPr>
            </w:pPr>
            <w:r>
              <w:rPr>
                <w:i/>
                <w:color w:val="000000"/>
                <w:sz w:val="16"/>
                <w:szCs w:val="16"/>
              </w:rPr>
              <w:t>CBS</w:t>
            </w:r>
          </w:p>
          <w:p w14:paraId="5763D5D7"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C0F9018" w14:textId="77777777" w:rsidR="00CB0062" w:rsidRDefault="00CB0062" w:rsidP="00223E56">
            <w:pPr>
              <w:rPr>
                <w:color w:val="000000"/>
                <w:sz w:val="16"/>
                <w:szCs w:val="16"/>
              </w:rPr>
            </w:pPr>
            <w:r>
              <w:rPr>
                <w:color w:val="000000"/>
                <w:sz w:val="16"/>
                <w:szCs w:val="16"/>
                <w:highlight w:val="white"/>
              </w:rPr>
              <w:t>Cystathionine beta synthase</w:t>
            </w:r>
          </w:p>
          <w:p w14:paraId="6C17AD47" w14:textId="77777777" w:rsidR="00CB0062" w:rsidRDefault="00CB0062" w:rsidP="00223E56">
            <w:pPr>
              <w:rPr>
                <w:color w:val="000000"/>
                <w:sz w:val="16"/>
                <w:szCs w:val="16"/>
              </w:rPr>
            </w:pP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635F5E59" w14:textId="77777777" w:rsidR="00CB0062" w:rsidRDefault="00CB0062" w:rsidP="00223E56">
            <w:pPr>
              <w:rPr>
                <w:color w:val="000000"/>
                <w:sz w:val="16"/>
                <w:szCs w:val="16"/>
              </w:rPr>
            </w:pPr>
            <w:r>
              <w:rPr>
                <w:color w:val="000000"/>
                <w:sz w:val="16"/>
                <w:szCs w:val="16"/>
              </w:rPr>
              <w:t>rs1005585</w:t>
            </w:r>
          </w:p>
        </w:tc>
        <w:tc>
          <w:tcPr>
            <w:tcW w:w="851" w:type="dxa"/>
            <w:tcBorders>
              <w:top w:val="single" w:sz="4" w:space="0" w:color="000000"/>
              <w:bottom w:val="single" w:sz="4" w:space="0" w:color="D0CECE"/>
            </w:tcBorders>
            <w:tcMar>
              <w:top w:w="-113" w:type="dxa"/>
              <w:left w:w="-113" w:type="dxa"/>
              <w:bottom w:w="-113" w:type="dxa"/>
              <w:right w:w="-113" w:type="dxa"/>
            </w:tcMar>
          </w:tcPr>
          <w:p w14:paraId="5CB36934" w14:textId="77777777" w:rsidR="00CB0062" w:rsidRDefault="00CB0062" w:rsidP="00223E56">
            <w:pPr>
              <w:rPr>
                <w:color w:val="000000"/>
                <w:sz w:val="16"/>
                <w:szCs w:val="16"/>
              </w:rPr>
            </w:pPr>
            <w:r>
              <w:rPr>
                <w:color w:val="000000"/>
                <w:sz w:val="16"/>
                <w:szCs w:val="16"/>
              </w:rPr>
              <w:t>T&gt;C</w:t>
            </w:r>
          </w:p>
        </w:tc>
        <w:tc>
          <w:tcPr>
            <w:tcW w:w="1701" w:type="dxa"/>
            <w:tcBorders>
              <w:top w:val="single" w:sz="4" w:space="0" w:color="000000"/>
              <w:bottom w:val="single" w:sz="4" w:space="0" w:color="D0CECE"/>
            </w:tcBorders>
            <w:tcMar>
              <w:top w:w="-113" w:type="dxa"/>
              <w:left w:w="-113" w:type="dxa"/>
              <w:bottom w:w="-113" w:type="dxa"/>
              <w:right w:w="-113" w:type="dxa"/>
            </w:tcMar>
          </w:tcPr>
          <w:p w14:paraId="69D7C6CE" w14:textId="77777777" w:rsidR="00CB0062" w:rsidRDefault="00CB0062" w:rsidP="00223E56">
            <w:pPr>
              <w:rPr>
                <w:color w:val="000000"/>
                <w:sz w:val="16"/>
                <w:szCs w:val="16"/>
              </w:rPr>
            </w:pPr>
            <w:r>
              <w:rPr>
                <w:color w:val="000000"/>
                <w:sz w:val="16"/>
                <w:szCs w:val="16"/>
              </w:rPr>
              <w:t>Intron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15F2C1A7" w14:textId="77777777" w:rsidR="00CB0062" w:rsidRDefault="00CB0062" w:rsidP="00223E56">
            <w:pPr>
              <w:rPr>
                <w:sz w:val="16"/>
                <w:szCs w:val="16"/>
              </w:rPr>
            </w:pPr>
            <w:r>
              <w:rPr>
                <w:color w:val="000000"/>
                <w:sz w:val="16"/>
                <w:szCs w:val="16"/>
              </w:rPr>
              <w:t>CVD</w:t>
            </w:r>
          </w:p>
          <w:p w14:paraId="1CFBDDF7" w14:textId="77777777" w:rsidR="00CB0062" w:rsidRDefault="00CB0062" w:rsidP="00223E56">
            <w:pPr>
              <w:rPr>
                <w:sz w:val="16"/>
                <w:szCs w:val="16"/>
              </w:rPr>
            </w:pPr>
            <w:r>
              <w:rPr>
                <w:sz w:val="16"/>
                <w:szCs w:val="16"/>
              </w:rPr>
              <w:t>CIMT</w:t>
            </w: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057F0C59" w14:textId="77777777" w:rsidR="00CB0062" w:rsidRPr="00641BD3" w:rsidRDefault="00CB0062" w:rsidP="00223E56">
            <w:pPr>
              <w:rPr>
                <w:color w:val="000000"/>
                <w:sz w:val="16"/>
                <w:szCs w:val="16"/>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76096DF9" w14:textId="77777777" w:rsidR="00CB0062" w:rsidRPr="00641BD3" w:rsidRDefault="00CB0062" w:rsidP="00223E56">
            <w:pPr>
              <w:rPr>
                <w:color w:val="000000"/>
                <w:sz w:val="16"/>
                <w:szCs w:val="16"/>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tc>
      </w:tr>
      <w:tr w:rsidR="00CB0062" w14:paraId="0134C6A9"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7CB658E"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103F69F"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1018D2CF" w14:textId="77777777" w:rsidR="00CB0062" w:rsidRDefault="00CB0062" w:rsidP="00223E56">
            <w:pPr>
              <w:rPr>
                <w:color w:val="000000"/>
                <w:sz w:val="16"/>
                <w:szCs w:val="16"/>
              </w:rPr>
            </w:pPr>
            <w:r>
              <w:rPr>
                <w:color w:val="000000"/>
                <w:sz w:val="16"/>
                <w:szCs w:val="16"/>
              </w:rPr>
              <w:t>rs1051319</w:t>
            </w:r>
          </w:p>
        </w:tc>
        <w:tc>
          <w:tcPr>
            <w:tcW w:w="851" w:type="dxa"/>
            <w:tcBorders>
              <w:top w:val="single" w:sz="4" w:space="0" w:color="D0CECE"/>
              <w:bottom w:val="single" w:sz="4" w:space="0" w:color="D0CECE"/>
            </w:tcBorders>
            <w:tcMar>
              <w:top w:w="-113" w:type="dxa"/>
              <w:left w:w="-113" w:type="dxa"/>
              <w:bottom w:w="-113" w:type="dxa"/>
              <w:right w:w="-113" w:type="dxa"/>
            </w:tcMar>
          </w:tcPr>
          <w:p w14:paraId="235C06A6" w14:textId="77777777" w:rsidR="00CB0062" w:rsidRDefault="00CB0062" w:rsidP="00223E56">
            <w:pPr>
              <w:rPr>
                <w:color w:val="000000"/>
                <w:sz w:val="16"/>
                <w:szCs w:val="16"/>
              </w:rPr>
            </w:pPr>
            <w:r>
              <w:rPr>
                <w:color w:val="000000"/>
                <w:sz w:val="16"/>
                <w:szCs w:val="16"/>
              </w:rPr>
              <w:t>G&gt;C</w:t>
            </w:r>
          </w:p>
        </w:tc>
        <w:tc>
          <w:tcPr>
            <w:tcW w:w="1701" w:type="dxa"/>
            <w:tcBorders>
              <w:top w:val="single" w:sz="4" w:space="0" w:color="D0CECE"/>
              <w:bottom w:val="single" w:sz="4" w:space="0" w:color="D0CECE"/>
            </w:tcBorders>
            <w:tcMar>
              <w:top w:w="-113" w:type="dxa"/>
              <w:left w:w="-113" w:type="dxa"/>
              <w:bottom w:w="-113" w:type="dxa"/>
              <w:right w:w="-113" w:type="dxa"/>
            </w:tcMar>
          </w:tcPr>
          <w:p w14:paraId="1C77DD2B" w14:textId="77777777" w:rsidR="00CB0062" w:rsidRDefault="00CB0062" w:rsidP="00223E56">
            <w:pPr>
              <w:rPr>
                <w:color w:val="000000"/>
                <w:sz w:val="16"/>
                <w:szCs w:val="16"/>
              </w:rPr>
            </w:pPr>
            <w:r>
              <w:rPr>
                <w:color w:val="000000"/>
                <w:sz w:val="16"/>
                <w:szCs w:val="16"/>
              </w:rPr>
              <w:t>Noncoding transcript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3D6C880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07AC89F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1A7A6285"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0B5E84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D9CF66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9A600CC" w14:textId="77777777" w:rsidR="00CB0062" w:rsidRDefault="00CB0062" w:rsidP="00223E56">
            <w:pPr>
              <w:rPr>
                <w:color w:val="000000"/>
                <w:sz w:val="16"/>
                <w:szCs w:val="16"/>
              </w:rPr>
            </w:pPr>
            <w:r>
              <w:rPr>
                <w:color w:val="000000"/>
                <w:sz w:val="16"/>
                <w:szCs w:val="16"/>
              </w:rPr>
              <w:t>rs11203172</w:t>
            </w:r>
          </w:p>
        </w:tc>
        <w:tc>
          <w:tcPr>
            <w:tcW w:w="851" w:type="dxa"/>
            <w:tcBorders>
              <w:top w:val="single" w:sz="4" w:space="0" w:color="D0CECE"/>
              <w:bottom w:val="single" w:sz="4" w:space="0" w:color="D0CECE"/>
            </w:tcBorders>
            <w:tcMar>
              <w:top w:w="-113" w:type="dxa"/>
              <w:left w:w="-113" w:type="dxa"/>
              <w:bottom w:w="-113" w:type="dxa"/>
              <w:right w:w="-113" w:type="dxa"/>
            </w:tcMar>
          </w:tcPr>
          <w:p w14:paraId="0079661C" w14:textId="77777777" w:rsidR="00CB0062" w:rsidRDefault="00CB0062" w:rsidP="00223E56">
            <w:pPr>
              <w:rPr>
                <w:color w:val="000000"/>
                <w:sz w:val="16"/>
                <w:szCs w:val="16"/>
              </w:rPr>
            </w:pPr>
            <w:r>
              <w:rPr>
                <w:color w:val="000000"/>
                <w:sz w:val="16"/>
                <w:szCs w:val="16"/>
              </w:rPr>
              <w:t>G&gt;T</w:t>
            </w:r>
          </w:p>
        </w:tc>
        <w:tc>
          <w:tcPr>
            <w:tcW w:w="1701" w:type="dxa"/>
            <w:tcBorders>
              <w:top w:val="single" w:sz="4" w:space="0" w:color="D0CECE"/>
              <w:bottom w:val="single" w:sz="4" w:space="0" w:color="D0CECE"/>
            </w:tcBorders>
            <w:tcMar>
              <w:top w:w="-113" w:type="dxa"/>
              <w:left w:w="-113" w:type="dxa"/>
              <w:bottom w:w="-113" w:type="dxa"/>
              <w:right w:w="-113" w:type="dxa"/>
            </w:tcMar>
          </w:tcPr>
          <w:p w14:paraId="4C4EE509"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09B5723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10EACAF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2108EA1B"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4223F8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0EC65F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58100CCB" w14:textId="77777777" w:rsidR="00CB0062" w:rsidRDefault="00CB0062" w:rsidP="00223E56">
            <w:pPr>
              <w:rPr>
                <w:color w:val="000000"/>
                <w:sz w:val="16"/>
                <w:szCs w:val="16"/>
              </w:rPr>
            </w:pPr>
            <w:r>
              <w:rPr>
                <w:color w:val="000000"/>
                <w:sz w:val="16"/>
                <w:szCs w:val="16"/>
              </w:rPr>
              <w:t>rs11700748</w:t>
            </w:r>
          </w:p>
        </w:tc>
        <w:tc>
          <w:tcPr>
            <w:tcW w:w="851" w:type="dxa"/>
            <w:tcBorders>
              <w:top w:val="single" w:sz="4" w:space="0" w:color="D0CECE"/>
              <w:bottom w:val="single" w:sz="4" w:space="0" w:color="D0CECE"/>
            </w:tcBorders>
            <w:tcMar>
              <w:top w:w="-113" w:type="dxa"/>
              <w:left w:w="-113" w:type="dxa"/>
              <w:bottom w:w="-113" w:type="dxa"/>
              <w:right w:w="-113" w:type="dxa"/>
            </w:tcMar>
          </w:tcPr>
          <w:p w14:paraId="7AC7A8B3" w14:textId="77777777" w:rsidR="00CB0062" w:rsidRDefault="00CB0062" w:rsidP="00223E56">
            <w:pPr>
              <w:rPr>
                <w:color w:val="000000"/>
                <w:sz w:val="16"/>
                <w:szCs w:val="16"/>
              </w:rPr>
            </w:pPr>
            <w:r>
              <w:rPr>
                <w:color w:val="000000"/>
                <w:sz w:val="16"/>
                <w:szCs w:val="16"/>
              </w:rPr>
              <w:t>C&gt;</w:t>
            </w:r>
            <w:proofErr w:type="gramStart"/>
            <w:r>
              <w:rPr>
                <w:color w:val="000000"/>
                <w:sz w:val="16"/>
                <w:szCs w:val="16"/>
              </w:rPr>
              <w:t>A,G</w:t>
            </w:r>
            <w:proofErr w:type="gramEnd"/>
            <w:r>
              <w:rPr>
                <w:color w:val="000000"/>
                <w:sz w:val="16"/>
                <w:szCs w:val="16"/>
              </w:rPr>
              <w:t>,T</w:t>
            </w:r>
          </w:p>
        </w:tc>
        <w:tc>
          <w:tcPr>
            <w:tcW w:w="1701" w:type="dxa"/>
            <w:tcBorders>
              <w:top w:val="single" w:sz="4" w:space="0" w:color="D0CECE"/>
              <w:bottom w:val="single" w:sz="4" w:space="0" w:color="D0CECE"/>
            </w:tcBorders>
            <w:tcMar>
              <w:top w:w="-113" w:type="dxa"/>
              <w:left w:w="-113" w:type="dxa"/>
              <w:bottom w:w="-113" w:type="dxa"/>
              <w:right w:w="-113" w:type="dxa"/>
            </w:tcMar>
          </w:tcPr>
          <w:p w14:paraId="589FDCE0" w14:textId="77777777" w:rsidR="00CB0062" w:rsidRDefault="00CB0062" w:rsidP="00223E56">
            <w:pPr>
              <w:rPr>
                <w:color w:val="000000"/>
                <w:sz w:val="16"/>
                <w:szCs w:val="16"/>
              </w:rPr>
            </w:pPr>
            <w:r>
              <w:rPr>
                <w:sz w:val="16"/>
                <w:szCs w:val="16"/>
              </w:rPr>
              <w:t>500B Downstream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07E9755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224736A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7817B6A8"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E09D92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ADDD5F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7B652762" w14:textId="77777777" w:rsidR="00CB0062" w:rsidRDefault="00CB0062" w:rsidP="00223E56">
            <w:pPr>
              <w:rPr>
                <w:color w:val="000000"/>
                <w:sz w:val="16"/>
                <w:szCs w:val="16"/>
              </w:rPr>
            </w:pPr>
            <w:r>
              <w:rPr>
                <w:color w:val="000000"/>
                <w:sz w:val="16"/>
                <w:szCs w:val="16"/>
              </w:rPr>
              <w:t>rs11701048</w:t>
            </w:r>
          </w:p>
        </w:tc>
        <w:tc>
          <w:tcPr>
            <w:tcW w:w="851" w:type="dxa"/>
            <w:tcBorders>
              <w:top w:val="single" w:sz="4" w:space="0" w:color="D0CECE"/>
              <w:bottom w:val="single" w:sz="4" w:space="0" w:color="D0CECE"/>
            </w:tcBorders>
            <w:tcMar>
              <w:top w:w="-113" w:type="dxa"/>
              <w:left w:w="-113" w:type="dxa"/>
              <w:bottom w:w="-113" w:type="dxa"/>
              <w:right w:w="-113" w:type="dxa"/>
            </w:tcMar>
          </w:tcPr>
          <w:p w14:paraId="72A4DA94" w14:textId="77777777" w:rsidR="00CB0062" w:rsidRDefault="00CB0062" w:rsidP="00223E56">
            <w:pPr>
              <w:rPr>
                <w:color w:val="000000"/>
                <w:sz w:val="16"/>
                <w:szCs w:val="16"/>
              </w:rPr>
            </w:pPr>
            <w:r>
              <w:rPr>
                <w:color w:val="000000"/>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396242E6"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09AD310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43E60E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66F2044D"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0C7553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A1C5D4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6D32EE70" w14:textId="77777777" w:rsidR="00CB0062" w:rsidRDefault="00CB0062" w:rsidP="00223E56">
            <w:pPr>
              <w:rPr>
                <w:color w:val="000000"/>
                <w:sz w:val="16"/>
                <w:szCs w:val="16"/>
              </w:rPr>
            </w:pPr>
            <w:r>
              <w:rPr>
                <w:color w:val="000000"/>
                <w:sz w:val="16"/>
                <w:szCs w:val="16"/>
              </w:rPr>
              <w:t>rs11910385</w:t>
            </w:r>
          </w:p>
        </w:tc>
        <w:tc>
          <w:tcPr>
            <w:tcW w:w="851" w:type="dxa"/>
            <w:tcBorders>
              <w:top w:val="single" w:sz="4" w:space="0" w:color="D0CECE"/>
              <w:bottom w:val="single" w:sz="4" w:space="0" w:color="D0CECE"/>
            </w:tcBorders>
            <w:tcMar>
              <w:top w:w="-113" w:type="dxa"/>
              <w:left w:w="-113" w:type="dxa"/>
              <w:bottom w:w="-113" w:type="dxa"/>
              <w:right w:w="-113" w:type="dxa"/>
            </w:tcMar>
          </w:tcPr>
          <w:p w14:paraId="55F23EBD" w14:textId="77777777" w:rsidR="00CB0062" w:rsidRDefault="00CB0062" w:rsidP="00223E56">
            <w:pPr>
              <w:rPr>
                <w:color w:val="000000"/>
                <w:sz w:val="16"/>
                <w:szCs w:val="16"/>
              </w:rPr>
            </w:pPr>
            <w:r>
              <w:rPr>
                <w:color w:val="000000"/>
                <w:sz w:val="16"/>
                <w:szCs w:val="16"/>
              </w:rPr>
              <w:t>T&gt;GG</w:t>
            </w:r>
          </w:p>
        </w:tc>
        <w:tc>
          <w:tcPr>
            <w:tcW w:w="1701" w:type="dxa"/>
            <w:tcBorders>
              <w:top w:val="single" w:sz="4" w:space="0" w:color="D0CECE"/>
              <w:bottom w:val="single" w:sz="4" w:space="0" w:color="D0CECE"/>
            </w:tcBorders>
            <w:tcMar>
              <w:top w:w="-113" w:type="dxa"/>
              <w:left w:w="-113" w:type="dxa"/>
              <w:bottom w:w="-113" w:type="dxa"/>
              <w:right w:w="-113" w:type="dxa"/>
            </w:tcMar>
          </w:tcPr>
          <w:p w14:paraId="495DC2D5"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2D084DF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32A45F8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233EBB52"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D9BEFA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2452F1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32D186C" w14:textId="77777777" w:rsidR="00CB0062" w:rsidRDefault="00CB0062" w:rsidP="00223E56">
            <w:pPr>
              <w:rPr>
                <w:color w:val="000000"/>
                <w:sz w:val="16"/>
                <w:szCs w:val="16"/>
              </w:rPr>
            </w:pPr>
            <w:r>
              <w:rPr>
                <w:color w:val="000000"/>
                <w:sz w:val="16"/>
                <w:szCs w:val="16"/>
              </w:rPr>
              <w:t>rs12613</w:t>
            </w:r>
          </w:p>
        </w:tc>
        <w:tc>
          <w:tcPr>
            <w:tcW w:w="851" w:type="dxa"/>
            <w:tcBorders>
              <w:top w:val="single" w:sz="4" w:space="0" w:color="D0CECE"/>
              <w:bottom w:val="single" w:sz="4" w:space="0" w:color="D0CECE"/>
            </w:tcBorders>
            <w:tcMar>
              <w:top w:w="-113" w:type="dxa"/>
              <w:left w:w="-113" w:type="dxa"/>
              <w:bottom w:w="-113" w:type="dxa"/>
              <w:right w:w="-113" w:type="dxa"/>
            </w:tcMar>
          </w:tcPr>
          <w:p w14:paraId="740E9324" w14:textId="77777777" w:rsidR="00CB0062" w:rsidRDefault="00CB0062" w:rsidP="00223E56">
            <w:pPr>
              <w:rPr>
                <w:color w:val="000000"/>
                <w:sz w:val="16"/>
                <w:szCs w:val="16"/>
              </w:rPr>
            </w:pPr>
            <w:r>
              <w:rPr>
                <w:color w:val="000000"/>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6E2FB6DA" w14:textId="77777777" w:rsidR="00CB0062" w:rsidRDefault="00CB0062" w:rsidP="00223E56">
            <w:pPr>
              <w:rPr>
                <w:color w:val="000000"/>
                <w:sz w:val="16"/>
                <w:szCs w:val="16"/>
              </w:rPr>
            </w:pPr>
            <w:r>
              <w:rPr>
                <w:color w:val="000000"/>
                <w:sz w:val="16"/>
                <w:szCs w:val="16"/>
              </w:rPr>
              <w:t>Noncoding transcript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3786B3D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45AD450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1CBF6262"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8A50A1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E80CAE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1DF4E2C0" w14:textId="77777777" w:rsidR="00CB0062" w:rsidRDefault="00CB0062" w:rsidP="00223E56">
            <w:pPr>
              <w:rPr>
                <w:color w:val="000000"/>
                <w:sz w:val="16"/>
                <w:szCs w:val="16"/>
              </w:rPr>
            </w:pPr>
            <w:r>
              <w:rPr>
                <w:color w:val="000000"/>
                <w:sz w:val="16"/>
                <w:szCs w:val="16"/>
              </w:rPr>
              <w:t>rs13046443</w:t>
            </w:r>
          </w:p>
        </w:tc>
        <w:tc>
          <w:tcPr>
            <w:tcW w:w="851" w:type="dxa"/>
            <w:tcBorders>
              <w:top w:val="single" w:sz="4" w:space="0" w:color="D0CECE"/>
              <w:bottom w:val="single" w:sz="4" w:space="0" w:color="D0CECE"/>
            </w:tcBorders>
            <w:tcMar>
              <w:top w:w="-113" w:type="dxa"/>
              <w:left w:w="-113" w:type="dxa"/>
              <w:bottom w:w="-113" w:type="dxa"/>
              <w:right w:w="-113" w:type="dxa"/>
            </w:tcMar>
          </w:tcPr>
          <w:p w14:paraId="56ABA9A1" w14:textId="77777777" w:rsidR="00CB0062" w:rsidRDefault="00CB0062" w:rsidP="00223E56">
            <w:pPr>
              <w:rPr>
                <w:color w:val="000000"/>
                <w:sz w:val="16"/>
                <w:szCs w:val="16"/>
              </w:rPr>
            </w:pPr>
            <w:r>
              <w:rPr>
                <w:color w:val="000000"/>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12976314"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54C0A4B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7D7C185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551037A8"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52DFEB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091F71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7AC11F2B" w14:textId="77777777" w:rsidR="00CB0062" w:rsidRDefault="00CB0062" w:rsidP="00223E56">
            <w:pPr>
              <w:rPr>
                <w:color w:val="000000"/>
                <w:sz w:val="16"/>
                <w:szCs w:val="16"/>
              </w:rPr>
            </w:pPr>
            <w:r>
              <w:rPr>
                <w:color w:val="000000"/>
                <w:sz w:val="16"/>
                <w:szCs w:val="16"/>
              </w:rPr>
              <w:t>rs1789953</w:t>
            </w:r>
          </w:p>
        </w:tc>
        <w:tc>
          <w:tcPr>
            <w:tcW w:w="851" w:type="dxa"/>
            <w:tcBorders>
              <w:top w:val="single" w:sz="4" w:space="0" w:color="D0CECE"/>
              <w:bottom w:val="single" w:sz="4" w:space="0" w:color="D0CECE"/>
            </w:tcBorders>
            <w:tcMar>
              <w:top w:w="-113" w:type="dxa"/>
              <w:left w:w="-113" w:type="dxa"/>
              <w:bottom w:w="-113" w:type="dxa"/>
              <w:right w:w="-113" w:type="dxa"/>
            </w:tcMar>
          </w:tcPr>
          <w:p w14:paraId="5DD5B174" w14:textId="77777777" w:rsidR="00CB0062" w:rsidRDefault="00CB0062" w:rsidP="00223E56">
            <w:pPr>
              <w:rPr>
                <w:color w:val="000000"/>
                <w:sz w:val="16"/>
                <w:szCs w:val="16"/>
              </w:rPr>
            </w:pPr>
            <w:r>
              <w:rPr>
                <w:color w:val="000000"/>
                <w:sz w:val="16"/>
                <w:szCs w:val="16"/>
              </w:rPr>
              <w:t>C&gt;</w:t>
            </w:r>
            <w:proofErr w:type="gramStart"/>
            <w:r>
              <w:rPr>
                <w:color w:val="000000"/>
                <w:sz w:val="16"/>
                <w:szCs w:val="16"/>
              </w:rPr>
              <w:t>A,T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6A0585AE"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70E65C8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07935C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1EA3C6D6"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A33FC4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761036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0FCBA22B" w14:textId="77777777" w:rsidR="00CB0062" w:rsidRDefault="00CB0062" w:rsidP="00223E56">
            <w:pPr>
              <w:rPr>
                <w:sz w:val="16"/>
                <w:szCs w:val="16"/>
              </w:rPr>
            </w:pPr>
            <w:r>
              <w:rPr>
                <w:color w:val="000000"/>
                <w:sz w:val="16"/>
                <w:szCs w:val="16"/>
              </w:rPr>
              <w:t>rs2014564</w:t>
            </w:r>
          </w:p>
          <w:p w14:paraId="1218FDC0" w14:textId="77777777" w:rsidR="00CB0062" w:rsidRDefault="00CB0062" w:rsidP="00223E56">
            <w:pPr>
              <w:rPr>
                <w:sz w:val="16"/>
                <w:szCs w:val="16"/>
              </w:rPr>
            </w:pPr>
          </w:p>
        </w:tc>
        <w:tc>
          <w:tcPr>
            <w:tcW w:w="85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63CB7614" w14:textId="77777777" w:rsidR="00CB0062" w:rsidRDefault="00CB0062" w:rsidP="00223E56">
            <w:pPr>
              <w:rPr>
                <w:color w:val="000000"/>
                <w:sz w:val="16"/>
                <w:szCs w:val="16"/>
              </w:rPr>
            </w:pPr>
            <w:proofErr w:type="gramStart"/>
            <w:r>
              <w:rPr>
                <w:color w:val="000000"/>
                <w:sz w:val="16"/>
                <w:szCs w:val="16"/>
              </w:rPr>
              <w:t>T,C</w:t>
            </w:r>
            <w:proofErr w:type="gramEnd"/>
          </w:p>
        </w:tc>
        <w:tc>
          <w:tcPr>
            <w:tcW w:w="170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0F7DDA79" w14:textId="77777777" w:rsidR="00CB0062" w:rsidRDefault="00CB0062" w:rsidP="00223E56">
            <w:pPr>
              <w:rPr>
                <w:color w:val="000000"/>
                <w:sz w:val="16"/>
                <w:szCs w:val="16"/>
              </w:rPr>
            </w:pPr>
            <w:r>
              <w:rPr>
                <w:color w:val="000000"/>
                <w:sz w:val="16"/>
                <w:szCs w:val="16"/>
              </w:rPr>
              <w:t xml:space="preserve">Intron variant </w:t>
            </w:r>
          </w:p>
        </w:tc>
        <w:tc>
          <w:tcPr>
            <w:tcW w:w="708" w:type="dxa"/>
            <w:tcBorders>
              <w:top w:val="single" w:sz="4" w:space="0" w:color="D0CECE"/>
              <w:bottom w:val="single" w:sz="4" w:space="0" w:color="D0CECE"/>
            </w:tcBorders>
            <w:shd w:val="clear" w:color="auto" w:fill="auto"/>
            <w:tcMar>
              <w:top w:w="-113" w:type="dxa"/>
              <w:left w:w="-113" w:type="dxa"/>
              <w:bottom w:w="-113" w:type="dxa"/>
              <w:right w:w="-113" w:type="dxa"/>
            </w:tcMar>
          </w:tcPr>
          <w:p w14:paraId="6A331B70" w14:textId="77777777" w:rsidR="00CB0062" w:rsidRDefault="00CB0062" w:rsidP="00223E56">
            <w:pPr>
              <w:rPr>
                <w:color w:val="000000"/>
                <w:sz w:val="16"/>
                <w:szCs w:val="16"/>
              </w:rPr>
            </w:pPr>
            <w:r>
              <w:rPr>
                <w:color w:val="000000"/>
                <w:sz w:val="16"/>
                <w:szCs w:val="16"/>
              </w:rPr>
              <w:t>DBP</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45B07C77" w14:textId="77777777" w:rsidR="00CB0062" w:rsidRDefault="00CB0062" w:rsidP="00223E56">
            <w:pPr>
              <w:rPr>
                <w:color w:val="000000"/>
                <w:sz w:val="16"/>
                <w:szCs w:val="16"/>
              </w:rPr>
            </w:pPr>
            <w:r>
              <w:rPr>
                <w:sz w:val="16"/>
                <w:szCs w:val="16"/>
              </w:rPr>
              <w:t xml:space="preserve">Farzan </w:t>
            </w:r>
            <w:r>
              <w:rPr>
                <w:i/>
                <w:sz w:val="16"/>
                <w:szCs w:val="16"/>
              </w:rPr>
              <w:t>et al.</w:t>
            </w:r>
            <w:r>
              <w:rPr>
                <w:sz w:val="16"/>
                <w:szCs w:val="16"/>
              </w:rPr>
              <w:t xml:space="preserve"> 2016</w:t>
            </w:r>
          </w:p>
        </w:tc>
      </w:tr>
      <w:tr w:rsidR="00CB0062" w:rsidRPr="0030321B" w14:paraId="538AB12F"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C0FBEE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31BA8D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672922C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30285B5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174464F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tcBorders>
              <w:top w:val="single" w:sz="4" w:space="0" w:color="D0CECE"/>
              <w:bottom w:val="single" w:sz="4" w:space="0" w:color="D0CECE"/>
            </w:tcBorders>
            <w:tcMar>
              <w:top w:w="-113" w:type="dxa"/>
              <w:left w:w="-113" w:type="dxa"/>
              <w:bottom w:w="-113" w:type="dxa"/>
              <w:right w:w="-113" w:type="dxa"/>
            </w:tcMar>
          </w:tcPr>
          <w:p w14:paraId="35E2C541" w14:textId="77777777" w:rsidR="00CB0062" w:rsidRDefault="00CB0062" w:rsidP="00223E56">
            <w:pPr>
              <w:rPr>
                <w:color w:val="000000"/>
                <w:sz w:val="16"/>
                <w:szCs w:val="16"/>
              </w:rPr>
            </w:pPr>
            <w:r>
              <w:rPr>
                <w:color w:val="000000"/>
                <w:sz w:val="16"/>
                <w:szCs w:val="16"/>
              </w:rPr>
              <w:t>CVD</w:t>
            </w:r>
          </w:p>
          <w:p w14:paraId="57B620CF" w14:textId="77777777" w:rsidR="00CB0062" w:rsidRDefault="00CB0062" w:rsidP="00223E56">
            <w:pPr>
              <w:rPr>
                <w:sz w:val="16"/>
                <w:szCs w:val="16"/>
              </w:rPr>
            </w:pPr>
            <w:r>
              <w:rPr>
                <w:sz w:val="16"/>
                <w:szCs w:val="16"/>
              </w:rPr>
              <w:t>CIMT</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1158902"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3235C31B"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tc>
      </w:tr>
      <w:tr w:rsidR="00CB0062" w14:paraId="5B56A937"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ABC3D45"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2872C1F"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46B499F9" w14:textId="77777777" w:rsidR="00CB0062" w:rsidRDefault="00CB0062" w:rsidP="00223E56">
            <w:pPr>
              <w:rPr>
                <w:sz w:val="16"/>
                <w:szCs w:val="16"/>
              </w:rPr>
            </w:pPr>
            <w:r>
              <w:rPr>
                <w:color w:val="000000"/>
                <w:sz w:val="16"/>
                <w:szCs w:val="16"/>
              </w:rPr>
              <w:t>rs2124459</w:t>
            </w:r>
          </w:p>
          <w:p w14:paraId="1983B0EA" w14:textId="77777777" w:rsidR="00CB0062" w:rsidRDefault="00CB0062" w:rsidP="00223E56">
            <w:pPr>
              <w:rPr>
                <w:sz w:val="16"/>
                <w:szCs w:val="16"/>
              </w:rPr>
            </w:pPr>
          </w:p>
        </w:tc>
        <w:tc>
          <w:tcPr>
            <w:tcW w:w="85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6C26B11C" w14:textId="77777777" w:rsidR="00CB0062" w:rsidRDefault="00CB0062" w:rsidP="00223E56">
            <w:pPr>
              <w:rPr>
                <w:color w:val="000000"/>
                <w:sz w:val="16"/>
                <w:szCs w:val="16"/>
              </w:rPr>
            </w:pPr>
            <w:r>
              <w:rPr>
                <w:color w:val="000000"/>
                <w:sz w:val="16"/>
                <w:szCs w:val="16"/>
              </w:rPr>
              <w:t>T&gt;</w:t>
            </w:r>
            <w:proofErr w:type="gramStart"/>
            <w:r>
              <w:rPr>
                <w:color w:val="000000"/>
                <w:sz w:val="16"/>
                <w:szCs w:val="16"/>
              </w:rPr>
              <w:t>C,G</w:t>
            </w:r>
            <w:proofErr w:type="gramEnd"/>
          </w:p>
        </w:tc>
        <w:tc>
          <w:tcPr>
            <w:tcW w:w="170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2365708A" w14:textId="77777777" w:rsidR="00CB0062" w:rsidRDefault="00CB0062" w:rsidP="00223E56">
            <w:pPr>
              <w:rPr>
                <w:color w:val="000000"/>
                <w:sz w:val="16"/>
                <w:szCs w:val="16"/>
              </w:rPr>
            </w:pPr>
            <w:r>
              <w:rPr>
                <w:sz w:val="16"/>
                <w:szCs w:val="16"/>
              </w:rPr>
              <w:t>Intron variant</w:t>
            </w:r>
          </w:p>
        </w:tc>
        <w:tc>
          <w:tcPr>
            <w:tcW w:w="708" w:type="dxa"/>
            <w:tcBorders>
              <w:top w:val="single" w:sz="4" w:space="0" w:color="D0CECE"/>
              <w:bottom w:val="single" w:sz="4" w:space="0" w:color="D0CECE"/>
            </w:tcBorders>
            <w:shd w:val="clear" w:color="auto" w:fill="auto"/>
            <w:tcMar>
              <w:top w:w="-113" w:type="dxa"/>
              <w:left w:w="-113" w:type="dxa"/>
              <w:bottom w:w="-113" w:type="dxa"/>
              <w:right w:w="-113" w:type="dxa"/>
            </w:tcMar>
          </w:tcPr>
          <w:p w14:paraId="059B313B" w14:textId="77777777" w:rsidR="00CB0062" w:rsidRDefault="00CB0062" w:rsidP="00223E56">
            <w:pPr>
              <w:rPr>
                <w:color w:val="000000"/>
                <w:sz w:val="16"/>
                <w:szCs w:val="16"/>
              </w:rPr>
            </w:pPr>
            <w:r>
              <w:rPr>
                <w:color w:val="000000"/>
                <w:sz w:val="16"/>
                <w:szCs w:val="16"/>
              </w:rPr>
              <w:t>DBP</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2DBC68C5" w14:textId="77777777" w:rsidR="00CB0062" w:rsidRDefault="00CB0062" w:rsidP="00223E56">
            <w:pPr>
              <w:rPr>
                <w:color w:val="000000"/>
                <w:sz w:val="16"/>
                <w:szCs w:val="16"/>
              </w:rPr>
            </w:pPr>
            <w:r>
              <w:rPr>
                <w:sz w:val="16"/>
                <w:szCs w:val="16"/>
              </w:rPr>
              <w:t xml:space="preserve">Farzan </w:t>
            </w:r>
            <w:r>
              <w:rPr>
                <w:i/>
                <w:sz w:val="16"/>
                <w:szCs w:val="16"/>
              </w:rPr>
              <w:t>et al.</w:t>
            </w:r>
            <w:r>
              <w:rPr>
                <w:sz w:val="16"/>
                <w:szCs w:val="16"/>
              </w:rPr>
              <w:t xml:space="preserve"> 2016</w:t>
            </w:r>
          </w:p>
          <w:p w14:paraId="300C1A38" w14:textId="77777777" w:rsidR="00CB0062" w:rsidRDefault="00CB0062" w:rsidP="00223E56">
            <w:pPr>
              <w:rPr>
                <w:color w:val="000000"/>
                <w:sz w:val="16"/>
                <w:szCs w:val="16"/>
              </w:rPr>
            </w:pPr>
          </w:p>
        </w:tc>
      </w:tr>
      <w:tr w:rsidR="00CB0062" w14:paraId="1BCEBECA"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6A678C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B741CF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108741A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2FEED0C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77CB463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tcBorders>
              <w:top w:val="single" w:sz="4" w:space="0" w:color="D0CECE"/>
              <w:bottom w:val="single" w:sz="4" w:space="0" w:color="D0CECE"/>
            </w:tcBorders>
            <w:tcMar>
              <w:top w:w="-113" w:type="dxa"/>
              <w:left w:w="-113" w:type="dxa"/>
              <w:bottom w:w="-113" w:type="dxa"/>
              <w:right w:w="-113" w:type="dxa"/>
            </w:tcMar>
          </w:tcPr>
          <w:p w14:paraId="4C519E78" w14:textId="77777777" w:rsidR="00CB0062" w:rsidRDefault="00CB0062" w:rsidP="00223E56">
            <w:pPr>
              <w:rPr>
                <w:color w:val="000000"/>
                <w:sz w:val="16"/>
                <w:szCs w:val="16"/>
              </w:rPr>
            </w:pPr>
            <w:r>
              <w:rPr>
                <w:color w:val="000000"/>
                <w:sz w:val="16"/>
                <w:szCs w:val="16"/>
              </w:rPr>
              <w:t>BP</w:t>
            </w: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7239506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rsidRPr="0030321B" w14:paraId="5749F8FD" w14:textId="77777777" w:rsidTr="00923C73">
        <w:trPr>
          <w:trHeight w:val="317"/>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579FB6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3AED58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35430CA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6848AC9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4711315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vMerge w:val="restart"/>
            <w:tcBorders>
              <w:top w:val="single" w:sz="4" w:space="0" w:color="D0CECE"/>
              <w:bottom w:val="single" w:sz="4" w:space="0" w:color="D0CECE"/>
            </w:tcBorders>
            <w:tcMar>
              <w:top w:w="-113" w:type="dxa"/>
              <w:left w:w="-113" w:type="dxa"/>
              <w:bottom w:w="-113" w:type="dxa"/>
              <w:right w:w="-113" w:type="dxa"/>
            </w:tcMar>
          </w:tcPr>
          <w:p w14:paraId="799E70FA" w14:textId="77777777" w:rsidR="00CB0062" w:rsidRDefault="00CB0062" w:rsidP="00223E56">
            <w:pPr>
              <w:rPr>
                <w:sz w:val="16"/>
                <w:szCs w:val="16"/>
              </w:rPr>
            </w:pPr>
            <w:r>
              <w:rPr>
                <w:color w:val="000000"/>
                <w:sz w:val="16"/>
                <w:szCs w:val="16"/>
              </w:rPr>
              <w:t>CVD</w:t>
            </w:r>
          </w:p>
          <w:p w14:paraId="4E6124A0" w14:textId="77777777" w:rsidR="00CB0062" w:rsidRDefault="00CB0062" w:rsidP="00223E56">
            <w:pPr>
              <w:rPr>
                <w:sz w:val="16"/>
                <w:szCs w:val="16"/>
              </w:rPr>
            </w:pPr>
            <w:r>
              <w:rPr>
                <w:sz w:val="16"/>
                <w:szCs w:val="16"/>
              </w:rPr>
              <w:t>CIMT</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7FC6E710"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0C9B41F5"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p w14:paraId="3B3E121F" w14:textId="77777777" w:rsidR="00CB0062" w:rsidRPr="00641BD3" w:rsidRDefault="00CB0062" w:rsidP="00223E56">
            <w:pPr>
              <w:rPr>
                <w:color w:val="000000"/>
                <w:sz w:val="16"/>
                <w:szCs w:val="16"/>
                <w:lang w:val="es-ES"/>
              </w:rPr>
            </w:pPr>
          </w:p>
        </w:tc>
      </w:tr>
      <w:tr w:rsidR="00CB0062" w14:paraId="254D6F52"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BE1F7EC"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6F0F5CC"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55125D83" w14:textId="77777777" w:rsidR="00CB0062" w:rsidRDefault="00CB0062" w:rsidP="00223E56">
            <w:pPr>
              <w:rPr>
                <w:color w:val="000000"/>
                <w:sz w:val="16"/>
                <w:szCs w:val="16"/>
              </w:rPr>
            </w:pPr>
            <w:r>
              <w:rPr>
                <w:color w:val="000000"/>
                <w:sz w:val="16"/>
                <w:szCs w:val="16"/>
              </w:rPr>
              <w:t>rs2124461</w:t>
            </w:r>
          </w:p>
        </w:tc>
        <w:tc>
          <w:tcPr>
            <w:tcW w:w="851" w:type="dxa"/>
            <w:tcBorders>
              <w:top w:val="single" w:sz="4" w:space="0" w:color="D0CECE"/>
              <w:bottom w:val="single" w:sz="4" w:space="0" w:color="D0CECE"/>
            </w:tcBorders>
            <w:tcMar>
              <w:top w:w="-113" w:type="dxa"/>
              <w:left w:w="-113" w:type="dxa"/>
              <w:bottom w:w="-113" w:type="dxa"/>
              <w:right w:w="-113" w:type="dxa"/>
            </w:tcMar>
          </w:tcPr>
          <w:p w14:paraId="3C9A5297" w14:textId="77777777" w:rsidR="00CB0062" w:rsidRDefault="00CB0062" w:rsidP="00223E56">
            <w:pPr>
              <w:rPr>
                <w:color w:val="000000"/>
                <w:sz w:val="16"/>
                <w:szCs w:val="16"/>
              </w:rPr>
            </w:pPr>
            <w:r>
              <w:rPr>
                <w:color w:val="000000"/>
                <w:sz w:val="16"/>
                <w:szCs w:val="16"/>
              </w:rPr>
              <w:t>T&gt;</w:t>
            </w:r>
            <w:proofErr w:type="gramStart"/>
            <w:r>
              <w:rPr>
                <w:color w:val="000000"/>
                <w:sz w:val="16"/>
                <w:szCs w:val="16"/>
              </w:rPr>
              <w:t>A,C</w:t>
            </w:r>
            <w:proofErr w:type="gramEnd"/>
            <w:r>
              <w:rPr>
                <w:color w:val="000000"/>
                <w:sz w:val="16"/>
                <w:szCs w:val="16"/>
              </w:rPr>
              <w:t>,G</w:t>
            </w:r>
          </w:p>
        </w:tc>
        <w:tc>
          <w:tcPr>
            <w:tcW w:w="1701" w:type="dxa"/>
            <w:tcBorders>
              <w:top w:val="single" w:sz="4" w:space="0" w:color="D0CECE"/>
              <w:bottom w:val="single" w:sz="4" w:space="0" w:color="D0CECE"/>
            </w:tcBorders>
            <w:tcMar>
              <w:top w:w="-113" w:type="dxa"/>
              <w:left w:w="-113" w:type="dxa"/>
              <w:bottom w:w="-113" w:type="dxa"/>
              <w:right w:w="-113" w:type="dxa"/>
            </w:tcMar>
          </w:tcPr>
          <w:p w14:paraId="075F4932" w14:textId="77777777" w:rsidR="00CB0062" w:rsidRDefault="00CB0062" w:rsidP="00223E56">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6D87AA9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8A7B81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3A1CCBE9"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6B45C0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03B5E1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094B71A" w14:textId="77777777" w:rsidR="00CB0062" w:rsidRDefault="00CB0062" w:rsidP="00223E56">
            <w:pPr>
              <w:rPr>
                <w:color w:val="000000"/>
                <w:sz w:val="16"/>
                <w:szCs w:val="16"/>
              </w:rPr>
            </w:pPr>
            <w:r>
              <w:rPr>
                <w:color w:val="000000"/>
                <w:sz w:val="16"/>
                <w:szCs w:val="16"/>
              </w:rPr>
              <w:t>rs2298760</w:t>
            </w:r>
          </w:p>
        </w:tc>
        <w:tc>
          <w:tcPr>
            <w:tcW w:w="851" w:type="dxa"/>
            <w:tcBorders>
              <w:top w:val="single" w:sz="4" w:space="0" w:color="D0CECE"/>
              <w:bottom w:val="single" w:sz="4" w:space="0" w:color="D0CECE"/>
            </w:tcBorders>
            <w:tcMar>
              <w:top w:w="-113" w:type="dxa"/>
              <w:left w:w="-113" w:type="dxa"/>
              <w:bottom w:w="-113" w:type="dxa"/>
              <w:right w:w="-113" w:type="dxa"/>
            </w:tcMar>
          </w:tcPr>
          <w:p w14:paraId="54411CC3" w14:textId="77777777" w:rsidR="00CB0062" w:rsidRDefault="00CB0062" w:rsidP="00223E56">
            <w:pPr>
              <w:rPr>
                <w:color w:val="000000"/>
                <w:sz w:val="16"/>
                <w:szCs w:val="16"/>
              </w:rPr>
            </w:pPr>
            <w:r>
              <w:rPr>
                <w:color w:val="000000"/>
                <w:sz w:val="16"/>
                <w:szCs w:val="16"/>
              </w:rPr>
              <w:t>C&gt;</w:t>
            </w:r>
            <w:proofErr w:type="gramStart"/>
            <w:r>
              <w:rPr>
                <w:color w:val="000000"/>
                <w:sz w:val="16"/>
                <w:szCs w:val="16"/>
              </w:rPr>
              <w:t>A,T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60F94725" w14:textId="77777777" w:rsidR="00CB0062" w:rsidRDefault="00CB0062" w:rsidP="00223E56">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562B3C4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53B3F72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5544D087"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DC78D7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B8A4C8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33A658C4" w14:textId="77777777" w:rsidR="00CB0062" w:rsidRDefault="00CB0062" w:rsidP="00223E56">
            <w:pPr>
              <w:rPr>
                <w:sz w:val="16"/>
                <w:szCs w:val="16"/>
              </w:rPr>
            </w:pPr>
            <w:r>
              <w:rPr>
                <w:color w:val="000000"/>
                <w:sz w:val="16"/>
                <w:szCs w:val="16"/>
              </w:rPr>
              <w:t>rs234701</w:t>
            </w:r>
          </w:p>
          <w:p w14:paraId="0FA837F0" w14:textId="77777777" w:rsidR="00CB0062" w:rsidRDefault="00CB0062" w:rsidP="00223E56">
            <w:pPr>
              <w:rPr>
                <w:sz w:val="16"/>
                <w:szCs w:val="16"/>
              </w:rPr>
            </w:pPr>
          </w:p>
        </w:tc>
        <w:tc>
          <w:tcPr>
            <w:tcW w:w="85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4376B8C5" w14:textId="77777777" w:rsidR="00CB0062" w:rsidRDefault="00CB0062" w:rsidP="00223E56">
            <w:pPr>
              <w:rPr>
                <w:color w:val="000000"/>
                <w:sz w:val="16"/>
                <w:szCs w:val="16"/>
              </w:rPr>
            </w:pPr>
            <w:r>
              <w:rPr>
                <w:color w:val="000000"/>
                <w:sz w:val="16"/>
                <w:szCs w:val="16"/>
              </w:rPr>
              <w:t>A&gt;</w:t>
            </w:r>
            <w:proofErr w:type="gramStart"/>
            <w:r>
              <w:rPr>
                <w:color w:val="000000"/>
                <w:sz w:val="16"/>
                <w:szCs w:val="16"/>
              </w:rPr>
              <w:t>C,G</w:t>
            </w:r>
            <w:proofErr w:type="gramEnd"/>
            <w:r>
              <w:rPr>
                <w:color w:val="000000"/>
                <w:sz w:val="16"/>
                <w:szCs w:val="16"/>
              </w:rPr>
              <w:t>,T</w:t>
            </w:r>
          </w:p>
        </w:tc>
        <w:tc>
          <w:tcPr>
            <w:tcW w:w="170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3C9B3B74" w14:textId="77777777" w:rsidR="00CB0062" w:rsidRDefault="00CB0062" w:rsidP="00223E56">
            <w:pPr>
              <w:rPr>
                <w:color w:val="000000"/>
                <w:sz w:val="16"/>
                <w:szCs w:val="16"/>
              </w:rPr>
            </w:pPr>
            <w:r>
              <w:rPr>
                <w:sz w:val="16"/>
                <w:szCs w:val="16"/>
              </w:rPr>
              <w:t>Intron variant</w:t>
            </w:r>
          </w:p>
        </w:tc>
        <w:tc>
          <w:tcPr>
            <w:tcW w:w="708" w:type="dxa"/>
            <w:tcBorders>
              <w:top w:val="single" w:sz="4" w:space="0" w:color="D0CECE"/>
              <w:bottom w:val="single" w:sz="4" w:space="0" w:color="D0CECE"/>
            </w:tcBorders>
            <w:shd w:val="clear" w:color="auto" w:fill="auto"/>
            <w:tcMar>
              <w:top w:w="-113" w:type="dxa"/>
              <w:left w:w="-113" w:type="dxa"/>
              <w:bottom w:w="-113" w:type="dxa"/>
              <w:right w:w="-113" w:type="dxa"/>
            </w:tcMar>
          </w:tcPr>
          <w:p w14:paraId="2A449B79" w14:textId="77777777" w:rsidR="00CB0062" w:rsidRDefault="00CB0062" w:rsidP="00223E56">
            <w:pPr>
              <w:rPr>
                <w:color w:val="000000"/>
                <w:sz w:val="16"/>
                <w:szCs w:val="16"/>
              </w:rPr>
            </w:pPr>
            <w:r>
              <w:rPr>
                <w:color w:val="000000"/>
                <w:sz w:val="16"/>
                <w:szCs w:val="16"/>
              </w:rPr>
              <w:t>DBP</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250D2BA1" w14:textId="77777777" w:rsidR="00CB0062" w:rsidRDefault="00CB0062" w:rsidP="00223E56">
            <w:pPr>
              <w:rPr>
                <w:color w:val="000000"/>
                <w:sz w:val="16"/>
                <w:szCs w:val="16"/>
              </w:rPr>
            </w:pPr>
            <w:r>
              <w:rPr>
                <w:sz w:val="16"/>
                <w:szCs w:val="16"/>
              </w:rPr>
              <w:t xml:space="preserve">Farzan </w:t>
            </w:r>
            <w:r>
              <w:rPr>
                <w:i/>
                <w:sz w:val="16"/>
                <w:szCs w:val="16"/>
              </w:rPr>
              <w:t>et al.</w:t>
            </w:r>
            <w:r>
              <w:rPr>
                <w:sz w:val="16"/>
                <w:szCs w:val="16"/>
              </w:rPr>
              <w:t xml:space="preserve"> 2016</w:t>
            </w:r>
          </w:p>
          <w:p w14:paraId="054F7B96" w14:textId="77777777" w:rsidR="00CB0062" w:rsidRDefault="00CB0062" w:rsidP="00223E56">
            <w:pPr>
              <w:rPr>
                <w:color w:val="000000"/>
                <w:sz w:val="16"/>
                <w:szCs w:val="16"/>
              </w:rPr>
            </w:pPr>
          </w:p>
        </w:tc>
      </w:tr>
      <w:tr w:rsidR="00CB0062" w14:paraId="387F361A"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C00BD3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36879B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6A134AC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0128D5E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16A3442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tcBorders>
              <w:top w:val="single" w:sz="4" w:space="0" w:color="D0CECE"/>
              <w:bottom w:val="single" w:sz="4" w:space="0" w:color="D0CECE"/>
            </w:tcBorders>
            <w:tcMar>
              <w:top w:w="-113" w:type="dxa"/>
              <w:left w:w="-113" w:type="dxa"/>
              <w:bottom w:w="-113" w:type="dxa"/>
              <w:right w:w="-113" w:type="dxa"/>
            </w:tcMar>
          </w:tcPr>
          <w:p w14:paraId="107982D4" w14:textId="77777777" w:rsidR="00CB0062" w:rsidRDefault="00CB0062" w:rsidP="00223E56">
            <w:pPr>
              <w:rPr>
                <w:color w:val="000000"/>
                <w:sz w:val="16"/>
                <w:szCs w:val="16"/>
              </w:rPr>
            </w:pPr>
            <w:r>
              <w:rPr>
                <w:color w:val="000000"/>
                <w:sz w:val="16"/>
                <w:szCs w:val="16"/>
              </w:rPr>
              <w:t>BP</w:t>
            </w: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209CC00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rsidRPr="0030321B" w14:paraId="18BC804C" w14:textId="77777777" w:rsidTr="00923C73">
        <w:trPr>
          <w:trHeight w:val="317"/>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34B611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DD7B4B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573C039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3463342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5CD412F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vMerge w:val="restart"/>
            <w:tcBorders>
              <w:top w:val="single" w:sz="4" w:space="0" w:color="D0CECE"/>
              <w:bottom w:val="single" w:sz="4" w:space="0" w:color="D0CECE"/>
            </w:tcBorders>
            <w:tcMar>
              <w:top w:w="-113" w:type="dxa"/>
              <w:left w:w="-113" w:type="dxa"/>
              <w:bottom w:w="-113" w:type="dxa"/>
              <w:right w:w="-113" w:type="dxa"/>
            </w:tcMar>
          </w:tcPr>
          <w:p w14:paraId="4EE81E97" w14:textId="77777777" w:rsidR="00CB0062" w:rsidRDefault="00CB0062" w:rsidP="00223E56">
            <w:pPr>
              <w:rPr>
                <w:sz w:val="16"/>
                <w:szCs w:val="16"/>
              </w:rPr>
            </w:pPr>
            <w:r>
              <w:rPr>
                <w:color w:val="000000"/>
                <w:sz w:val="16"/>
                <w:szCs w:val="16"/>
              </w:rPr>
              <w:t>CVD</w:t>
            </w:r>
          </w:p>
          <w:p w14:paraId="39EA5BAD" w14:textId="77777777" w:rsidR="00CB0062" w:rsidRDefault="00CB0062" w:rsidP="00223E56">
            <w:pPr>
              <w:rPr>
                <w:sz w:val="16"/>
                <w:szCs w:val="16"/>
              </w:rPr>
            </w:pPr>
            <w:r>
              <w:rPr>
                <w:sz w:val="16"/>
                <w:szCs w:val="16"/>
              </w:rPr>
              <w:t>CIMT</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6ECBC700"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1A9E2BF6"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p w14:paraId="4109317E" w14:textId="77777777" w:rsidR="00CB0062" w:rsidRPr="00641BD3" w:rsidRDefault="00CB0062" w:rsidP="00223E56">
            <w:pPr>
              <w:rPr>
                <w:color w:val="000000"/>
                <w:sz w:val="16"/>
                <w:szCs w:val="16"/>
                <w:lang w:val="es-ES"/>
              </w:rPr>
            </w:pPr>
          </w:p>
        </w:tc>
      </w:tr>
      <w:tr w:rsidR="00CB0062" w14:paraId="012E83AF"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292AF11"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052CF48"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23E6C829" w14:textId="77777777" w:rsidR="00CB0062" w:rsidRDefault="00CB0062" w:rsidP="00223E56">
            <w:pPr>
              <w:rPr>
                <w:color w:val="000000"/>
                <w:sz w:val="16"/>
                <w:szCs w:val="16"/>
              </w:rPr>
            </w:pPr>
            <w:r>
              <w:rPr>
                <w:color w:val="000000"/>
                <w:sz w:val="16"/>
                <w:szCs w:val="16"/>
              </w:rPr>
              <w:t>rs234704</w:t>
            </w:r>
          </w:p>
        </w:tc>
        <w:tc>
          <w:tcPr>
            <w:tcW w:w="851" w:type="dxa"/>
            <w:tcBorders>
              <w:top w:val="single" w:sz="4" w:space="0" w:color="D0CECE"/>
              <w:bottom w:val="single" w:sz="4" w:space="0" w:color="D0CECE"/>
            </w:tcBorders>
            <w:tcMar>
              <w:top w:w="-113" w:type="dxa"/>
              <w:left w:w="-113" w:type="dxa"/>
              <w:bottom w:w="-113" w:type="dxa"/>
              <w:right w:w="-113" w:type="dxa"/>
            </w:tcMar>
          </w:tcPr>
          <w:p w14:paraId="67999FEA" w14:textId="77777777" w:rsidR="00CB0062" w:rsidRDefault="00CB0062" w:rsidP="00223E56">
            <w:pPr>
              <w:rPr>
                <w:color w:val="000000"/>
                <w:sz w:val="16"/>
                <w:szCs w:val="16"/>
              </w:rPr>
            </w:pPr>
            <w:r>
              <w:rPr>
                <w:color w:val="000000"/>
                <w:sz w:val="16"/>
                <w:szCs w:val="16"/>
              </w:rPr>
              <w:t>G&gt;A</w:t>
            </w:r>
          </w:p>
        </w:tc>
        <w:tc>
          <w:tcPr>
            <w:tcW w:w="1701" w:type="dxa"/>
            <w:tcBorders>
              <w:top w:val="single" w:sz="4" w:space="0" w:color="D0CECE"/>
              <w:bottom w:val="single" w:sz="4" w:space="0" w:color="D0CECE"/>
            </w:tcBorders>
            <w:tcMar>
              <w:top w:w="-113" w:type="dxa"/>
              <w:left w:w="-113" w:type="dxa"/>
              <w:bottom w:w="-113" w:type="dxa"/>
              <w:right w:w="-113" w:type="dxa"/>
            </w:tcMar>
          </w:tcPr>
          <w:p w14:paraId="0B98B7BE" w14:textId="77777777" w:rsidR="00CB0062" w:rsidRDefault="00CB0062" w:rsidP="00223E56">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7CCD9E6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7743DAD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08BF680D"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07E788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EE20C5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0FF2C76" w14:textId="77777777" w:rsidR="00CB0062" w:rsidRDefault="00CB0062" w:rsidP="00223E56">
            <w:pPr>
              <w:rPr>
                <w:color w:val="000000"/>
                <w:sz w:val="16"/>
                <w:szCs w:val="16"/>
              </w:rPr>
            </w:pPr>
            <w:r>
              <w:rPr>
                <w:color w:val="000000"/>
                <w:sz w:val="16"/>
                <w:szCs w:val="16"/>
              </w:rPr>
              <w:t>rs234705</w:t>
            </w:r>
          </w:p>
        </w:tc>
        <w:tc>
          <w:tcPr>
            <w:tcW w:w="851" w:type="dxa"/>
            <w:tcBorders>
              <w:top w:val="single" w:sz="4" w:space="0" w:color="D0CECE"/>
              <w:bottom w:val="single" w:sz="4" w:space="0" w:color="D0CECE"/>
            </w:tcBorders>
            <w:tcMar>
              <w:top w:w="-113" w:type="dxa"/>
              <w:left w:w="-113" w:type="dxa"/>
              <w:bottom w:w="-113" w:type="dxa"/>
              <w:right w:w="-113" w:type="dxa"/>
            </w:tcMar>
          </w:tcPr>
          <w:p w14:paraId="585964B6" w14:textId="77777777" w:rsidR="00CB0062" w:rsidRDefault="00CB0062" w:rsidP="00223E56">
            <w:pPr>
              <w:rPr>
                <w:color w:val="000000"/>
                <w:sz w:val="16"/>
                <w:szCs w:val="16"/>
              </w:rPr>
            </w:pPr>
            <w:r>
              <w:rPr>
                <w:color w:val="000000"/>
                <w:sz w:val="16"/>
                <w:szCs w:val="16"/>
              </w:rPr>
              <w:t>C&gt;</w:t>
            </w:r>
            <w:proofErr w:type="gramStart"/>
            <w:r>
              <w:rPr>
                <w:color w:val="000000"/>
                <w:sz w:val="16"/>
                <w:szCs w:val="16"/>
              </w:rPr>
              <w:t>G,T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78797CA5" w14:textId="77777777" w:rsidR="00CB0062" w:rsidRDefault="00CB0062" w:rsidP="00223E56">
            <w:pPr>
              <w:rPr>
                <w:color w:val="000000"/>
                <w:sz w:val="16"/>
                <w:szCs w:val="16"/>
              </w:rPr>
            </w:pPr>
            <w:r>
              <w:rPr>
                <w:color w:val="000000"/>
                <w:sz w:val="16"/>
                <w:szCs w:val="16"/>
              </w:rPr>
              <w:t>Noncoding transcript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67AFCC2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5E3740D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39B04BFB"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2077C7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43D93A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29555125" w14:textId="77777777" w:rsidR="00CB0062" w:rsidRDefault="00CB0062" w:rsidP="00223E56">
            <w:pPr>
              <w:rPr>
                <w:color w:val="000000"/>
                <w:sz w:val="16"/>
                <w:szCs w:val="16"/>
              </w:rPr>
            </w:pPr>
            <w:r>
              <w:rPr>
                <w:color w:val="000000"/>
                <w:sz w:val="16"/>
                <w:szCs w:val="16"/>
              </w:rPr>
              <w:t>rs234706</w:t>
            </w:r>
          </w:p>
        </w:tc>
        <w:tc>
          <w:tcPr>
            <w:tcW w:w="851" w:type="dxa"/>
            <w:tcBorders>
              <w:top w:val="single" w:sz="4" w:space="0" w:color="D0CECE"/>
              <w:bottom w:val="single" w:sz="4" w:space="0" w:color="D0CECE"/>
            </w:tcBorders>
            <w:tcMar>
              <w:top w:w="-113" w:type="dxa"/>
              <w:left w:w="-113" w:type="dxa"/>
              <w:bottom w:w="-113" w:type="dxa"/>
              <w:right w:w="-113" w:type="dxa"/>
            </w:tcMar>
          </w:tcPr>
          <w:p w14:paraId="4916C11F" w14:textId="77777777" w:rsidR="00CB0062" w:rsidRDefault="00CB0062" w:rsidP="00223E56">
            <w:pPr>
              <w:rPr>
                <w:color w:val="000000"/>
                <w:sz w:val="16"/>
                <w:szCs w:val="16"/>
              </w:rPr>
            </w:pPr>
            <w:r>
              <w:rPr>
                <w:color w:val="000000"/>
                <w:sz w:val="16"/>
                <w:szCs w:val="16"/>
              </w:rPr>
              <w:t>G&gt;A</w:t>
            </w:r>
          </w:p>
        </w:tc>
        <w:tc>
          <w:tcPr>
            <w:tcW w:w="1701" w:type="dxa"/>
            <w:tcBorders>
              <w:top w:val="single" w:sz="4" w:space="0" w:color="D0CECE"/>
              <w:bottom w:val="single" w:sz="4" w:space="0" w:color="D0CECE"/>
            </w:tcBorders>
            <w:tcMar>
              <w:top w:w="-113" w:type="dxa"/>
              <w:left w:w="-113" w:type="dxa"/>
              <w:bottom w:w="-113" w:type="dxa"/>
              <w:right w:w="-113" w:type="dxa"/>
            </w:tcMar>
          </w:tcPr>
          <w:p w14:paraId="08FBA373" w14:textId="77777777" w:rsidR="00CB0062" w:rsidRDefault="00CB0062" w:rsidP="00223E56">
            <w:pPr>
              <w:rPr>
                <w:color w:val="000000"/>
                <w:sz w:val="16"/>
                <w:szCs w:val="16"/>
              </w:rPr>
            </w:pPr>
            <w:r>
              <w:rPr>
                <w:color w:val="000000"/>
                <w:sz w:val="16"/>
                <w:szCs w:val="16"/>
              </w:rPr>
              <w:t>Synonymous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38BA167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55FBD89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1EFD352E"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B5FA81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FC02DE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6AADF5EB" w14:textId="77777777" w:rsidR="00CB0062" w:rsidRDefault="00CB0062" w:rsidP="00223E56">
            <w:pPr>
              <w:rPr>
                <w:sz w:val="16"/>
                <w:szCs w:val="16"/>
              </w:rPr>
            </w:pPr>
            <w:r>
              <w:rPr>
                <w:color w:val="000000"/>
                <w:sz w:val="16"/>
                <w:szCs w:val="16"/>
              </w:rPr>
              <w:t>rs234709</w:t>
            </w:r>
          </w:p>
          <w:p w14:paraId="2EC03401" w14:textId="77777777" w:rsidR="00CB0062" w:rsidRDefault="00CB0062" w:rsidP="00223E56">
            <w:pPr>
              <w:rPr>
                <w:sz w:val="16"/>
                <w:szCs w:val="16"/>
              </w:rPr>
            </w:pPr>
          </w:p>
        </w:tc>
        <w:tc>
          <w:tcPr>
            <w:tcW w:w="85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1E97D8F7" w14:textId="77777777" w:rsidR="00CB0062" w:rsidRDefault="00CB0062" w:rsidP="00223E56">
            <w:pPr>
              <w:rPr>
                <w:color w:val="000000"/>
                <w:sz w:val="16"/>
                <w:szCs w:val="16"/>
              </w:rPr>
            </w:pPr>
            <w:r>
              <w:rPr>
                <w:color w:val="000000"/>
                <w:sz w:val="16"/>
                <w:szCs w:val="16"/>
              </w:rPr>
              <w:t>C&gt;T</w:t>
            </w:r>
          </w:p>
        </w:tc>
        <w:tc>
          <w:tcPr>
            <w:tcW w:w="170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426B43F6" w14:textId="77777777" w:rsidR="00CB0062" w:rsidRDefault="00CB0062" w:rsidP="00223E56">
            <w:pPr>
              <w:rPr>
                <w:color w:val="000000"/>
                <w:sz w:val="16"/>
                <w:szCs w:val="16"/>
              </w:rPr>
            </w:pPr>
            <w:r>
              <w:rPr>
                <w:sz w:val="16"/>
                <w:szCs w:val="16"/>
              </w:rPr>
              <w:t>Intron variant</w:t>
            </w:r>
          </w:p>
        </w:tc>
        <w:tc>
          <w:tcPr>
            <w:tcW w:w="708" w:type="dxa"/>
            <w:tcBorders>
              <w:top w:val="single" w:sz="4" w:space="0" w:color="D0CECE"/>
              <w:bottom w:val="single" w:sz="4" w:space="0" w:color="D0CECE"/>
            </w:tcBorders>
            <w:shd w:val="clear" w:color="auto" w:fill="auto"/>
            <w:tcMar>
              <w:top w:w="-113" w:type="dxa"/>
              <w:left w:w="-113" w:type="dxa"/>
              <w:bottom w:w="-113" w:type="dxa"/>
              <w:right w:w="-113" w:type="dxa"/>
            </w:tcMar>
          </w:tcPr>
          <w:p w14:paraId="281B121B" w14:textId="77777777" w:rsidR="00CB0062" w:rsidRDefault="00CB0062" w:rsidP="00223E56">
            <w:pPr>
              <w:rPr>
                <w:color w:val="000000"/>
                <w:sz w:val="16"/>
                <w:szCs w:val="16"/>
              </w:rPr>
            </w:pPr>
            <w:r>
              <w:rPr>
                <w:color w:val="000000"/>
                <w:sz w:val="16"/>
                <w:szCs w:val="16"/>
              </w:rPr>
              <w:t>DBP</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31925234" w14:textId="77777777" w:rsidR="00CB0062" w:rsidRDefault="00CB0062" w:rsidP="00223E56">
            <w:pPr>
              <w:rPr>
                <w:color w:val="000000"/>
                <w:sz w:val="16"/>
                <w:szCs w:val="16"/>
              </w:rPr>
            </w:pPr>
            <w:r>
              <w:rPr>
                <w:sz w:val="16"/>
                <w:szCs w:val="16"/>
              </w:rPr>
              <w:t xml:space="preserve">Farzan </w:t>
            </w:r>
            <w:r>
              <w:rPr>
                <w:i/>
                <w:sz w:val="16"/>
                <w:szCs w:val="16"/>
              </w:rPr>
              <w:t>et al.</w:t>
            </w:r>
            <w:r>
              <w:rPr>
                <w:sz w:val="16"/>
                <w:szCs w:val="16"/>
              </w:rPr>
              <w:t xml:space="preserve"> 2016</w:t>
            </w:r>
          </w:p>
          <w:p w14:paraId="556857CD" w14:textId="77777777" w:rsidR="00CB0062" w:rsidRDefault="00CB0062" w:rsidP="00223E56">
            <w:pPr>
              <w:rPr>
                <w:color w:val="000000"/>
                <w:sz w:val="16"/>
                <w:szCs w:val="16"/>
              </w:rPr>
            </w:pPr>
          </w:p>
        </w:tc>
      </w:tr>
      <w:tr w:rsidR="00CB0062" w14:paraId="786A0481"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2EDFA2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EA29F3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2FC2837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5439D2C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4957193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tcBorders>
              <w:top w:val="single" w:sz="4" w:space="0" w:color="D0CECE"/>
              <w:bottom w:val="single" w:sz="4" w:space="0" w:color="D0CECE"/>
            </w:tcBorders>
            <w:tcMar>
              <w:top w:w="-113" w:type="dxa"/>
              <w:left w:w="-113" w:type="dxa"/>
              <w:bottom w:w="-113" w:type="dxa"/>
              <w:right w:w="-113" w:type="dxa"/>
            </w:tcMar>
          </w:tcPr>
          <w:p w14:paraId="2D704547" w14:textId="77777777" w:rsidR="00CB0062" w:rsidRDefault="00CB0062" w:rsidP="00223E56">
            <w:pPr>
              <w:rPr>
                <w:color w:val="000000"/>
                <w:sz w:val="16"/>
                <w:szCs w:val="16"/>
              </w:rPr>
            </w:pPr>
            <w:r>
              <w:rPr>
                <w:color w:val="000000"/>
                <w:sz w:val="16"/>
                <w:szCs w:val="16"/>
              </w:rPr>
              <w:t>BP</w:t>
            </w: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471E81E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rsidRPr="0030321B" w14:paraId="08450A72" w14:textId="77777777" w:rsidTr="00923C73">
        <w:trPr>
          <w:trHeight w:val="317"/>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63BD2A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00D525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6A1DCA1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13DEF4C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6B614C0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vMerge w:val="restart"/>
            <w:tcBorders>
              <w:top w:val="single" w:sz="4" w:space="0" w:color="D0CECE"/>
              <w:bottom w:val="single" w:sz="4" w:space="0" w:color="D0CECE"/>
            </w:tcBorders>
            <w:tcMar>
              <w:top w:w="-113" w:type="dxa"/>
              <w:left w:w="-113" w:type="dxa"/>
              <w:bottom w:w="-113" w:type="dxa"/>
              <w:right w:w="-113" w:type="dxa"/>
            </w:tcMar>
          </w:tcPr>
          <w:p w14:paraId="0EADE124" w14:textId="77777777" w:rsidR="00CB0062" w:rsidRDefault="00CB0062" w:rsidP="00223E56">
            <w:pPr>
              <w:rPr>
                <w:sz w:val="16"/>
                <w:szCs w:val="16"/>
              </w:rPr>
            </w:pPr>
            <w:r>
              <w:rPr>
                <w:color w:val="000000"/>
                <w:sz w:val="16"/>
                <w:szCs w:val="16"/>
              </w:rPr>
              <w:t>CVD</w:t>
            </w:r>
          </w:p>
          <w:p w14:paraId="3FA2D1A8" w14:textId="77777777" w:rsidR="00CB0062" w:rsidRDefault="00CB0062" w:rsidP="00223E56">
            <w:pPr>
              <w:rPr>
                <w:sz w:val="16"/>
                <w:szCs w:val="16"/>
              </w:rPr>
            </w:pPr>
            <w:r>
              <w:rPr>
                <w:sz w:val="16"/>
                <w:szCs w:val="16"/>
              </w:rPr>
              <w:lastRenderedPageBreak/>
              <w:t>CIMT</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645200FB" w14:textId="77777777" w:rsidR="00CB0062" w:rsidRPr="00641BD3" w:rsidRDefault="00CB0062" w:rsidP="00223E56">
            <w:pPr>
              <w:rPr>
                <w:sz w:val="16"/>
                <w:szCs w:val="16"/>
                <w:vertAlign w:val="superscript"/>
                <w:lang w:val="es-ES"/>
              </w:rPr>
            </w:pPr>
            <w:r w:rsidRPr="00641BD3">
              <w:rPr>
                <w:sz w:val="16"/>
                <w:szCs w:val="16"/>
                <w:lang w:val="es-ES"/>
              </w:rPr>
              <w:lastRenderedPageBreak/>
              <w:t xml:space="preserve">Wu </w:t>
            </w:r>
            <w:r w:rsidRPr="00641BD3">
              <w:rPr>
                <w:i/>
                <w:sz w:val="16"/>
                <w:szCs w:val="16"/>
                <w:lang w:val="es-ES"/>
              </w:rPr>
              <w:t>et al.</w:t>
            </w:r>
            <w:r w:rsidRPr="00641BD3">
              <w:rPr>
                <w:sz w:val="16"/>
                <w:szCs w:val="16"/>
                <w:lang w:val="es-ES"/>
              </w:rPr>
              <w:t xml:space="preserve"> 2015</w:t>
            </w:r>
          </w:p>
          <w:p w14:paraId="38FC8D0D" w14:textId="77777777" w:rsidR="00CB0062" w:rsidRPr="00641BD3" w:rsidRDefault="00CB0062" w:rsidP="00223E56">
            <w:pPr>
              <w:rPr>
                <w:sz w:val="16"/>
                <w:szCs w:val="16"/>
                <w:vertAlign w:val="superscript"/>
                <w:lang w:val="es-ES"/>
              </w:rPr>
            </w:pPr>
            <w:r w:rsidRPr="00641BD3">
              <w:rPr>
                <w:sz w:val="16"/>
                <w:szCs w:val="16"/>
                <w:lang w:val="es-ES"/>
              </w:rPr>
              <w:lastRenderedPageBreak/>
              <w:t xml:space="preserve">Wu </w:t>
            </w:r>
            <w:r w:rsidRPr="00641BD3">
              <w:rPr>
                <w:i/>
                <w:sz w:val="16"/>
                <w:szCs w:val="16"/>
                <w:lang w:val="es-ES"/>
              </w:rPr>
              <w:t>et al.</w:t>
            </w:r>
            <w:r w:rsidRPr="00641BD3">
              <w:rPr>
                <w:sz w:val="16"/>
                <w:szCs w:val="16"/>
                <w:lang w:val="es-ES"/>
              </w:rPr>
              <w:t xml:space="preserve"> 2014</w:t>
            </w:r>
          </w:p>
          <w:p w14:paraId="4BBC0CD4" w14:textId="77777777" w:rsidR="00CB0062" w:rsidRPr="00641BD3" w:rsidRDefault="00CB0062" w:rsidP="00223E56">
            <w:pPr>
              <w:rPr>
                <w:color w:val="000000"/>
                <w:sz w:val="16"/>
                <w:szCs w:val="16"/>
                <w:lang w:val="es-ES"/>
              </w:rPr>
            </w:pPr>
          </w:p>
        </w:tc>
      </w:tr>
      <w:tr w:rsidR="00CB0062" w14:paraId="5BB3061A"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BAE5A54"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ACC3B15"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1803640E" w14:textId="77777777" w:rsidR="00CB0062" w:rsidRDefault="00CB0062" w:rsidP="00223E56">
            <w:pPr>
              <w:rPr>
                <w:color w:val="000000"/>
                <w:sz w:val="16"/>
                <w:szCs w:val="16"/>
              </w:rPr>
            </w:pPr>
            <w:r>
              <w:rPr>
                <w:color w:val="000000"/>
                <w:sz w:val="16"/>
                <w:szCs w:val="16"/>
              </w:rPr>
              <w:t>rs234713</w:t>
            </w:r>
          </w:p>
        </w:tc>
        <w:tc>
          <w:tcPr>
            <w:tcW w:w="851" w:type="dxa"/>
            <w:tcBorders>
              <w:top w:val="single" w:sz="4" w:space="0" w:color="D0CECE"/>
              <w:bottom w:val="single" w:sz="4" w:space="0" w:color="D0CECE"/>
            </w:tcBorders>
            <w:tcMar>
              <w:top w:w="-113" w:type="dxa"/>
              <w:left w:w="-113" w:type="dxa"/>
              <w:bottom w:w="-113" w:type="dxa"/>
              <w:right w:w="-113" w:type="dxa"/>
            </w:tcMar>
          </w:tcPr>
          <w:p w14:paraId="5522353E" w14:textId="77777777" w:rsidR="00CB0062" w:rsidRDefault="00CB0062" w:rsidP="00223E56">
            <w:pPr>
              <w:rPr>
                <w:color w:val="000000"/>
                <w:sz w:val="16"/>
                <w:szCs w:val="16"/>
              </w:rPr>
            </w:pPr>
            <w:r>
              <w:rPr>
                <w:color w:val="000000"/>
                <w:sz w:val="16"/>
                <w:szCs w:val="16"/>
              </w:rPr>
              <w:t>G&gt;A</w:t>
            </w:r>
          </w:p>
        </w:tc>
        <w:tc>
          <w:tcPr>
            <w:tcW w:w="1701" w:type="dxa"/>
            <w:tcBorders>
              <w:top w:val="single" w:sz="4" w:space="0" w:color="D0CECE"/>
              <w:bottom w:val="single" w:sz="4" w:space="0" w:color="D0CECE"/>
            </w:tcBorders>
            <w:tcMar>
              <w:top w:w="-113" w:type="dxa"/>
              <w:left w:w="-113" w:type="dxa"/>
              <w:bottom w:w="-113" w:type="dxa"/>
              <w:right w:w="-113" w:type="dxa"/>
            </w:tcMar>
          </w:tcPr>
          <w:p w14:paraId="1C61624B" w14:textId="77777777" w:rsidR="00CB0062" w:rsidRDefault="00CB0062" w:rsidP="00223E56">
            <w:pPr>
              <w:rPr>
                <w:color w:val="000000"/>
                <w:sz w:val="16"/>
                <w:szCs w:val="16"/>
              </w:rPr>
            </w:pPr>
            <w:r>
              <w:rPr>
                <w:color w:val="000000"/>
                <w:sz w:val="16"/>
                <w:szCs w:val="16"/>
              </w:rPr>
              <w:t>Synonymous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5F0497C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4E3ED66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2F528DB1"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DFDFC7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3CC60F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22AFB812" w14:textId="77777777" w:rsidR="00CB0062" w:rsidRDefault="00CB0062" w:rsidP="00223E56">
            <w:pPr>
              <w:rPr>
                <w:color w:val="000000"/>
                <w:sz w:val="16"/>
                <w:szCs w:val="16"/>
              </w:rPr>
            </w:pPr>
            <w:r>
              <w:rPr>
                <w:color w:val="000000"/>
                <w:sz w:val="16"/>
                <w:szCs w:val="16"/>
              </w:rPr>
              <w:t>rs234715</w:t>
            </w:r>
          </w:p>
        </w:tc>
        <w:tc>
          <w:tcPr>
            <w:tcW w:w="851" w:type="dxa"/>
            <w:tcBorders>
              <w:top w:val="single" w:sz="4" w:space="0" w:color="D0CECE"/>
              <w:bottom w:val="single" w:sz="4" w:space="0" w:color="D0CECE"/>
            </w:tcBorders>
            <w:tcMar>
              <w:top w:w="-113" w:type="dxa"/>
              <w:left w:w="-113" w:type="dxa"/>
              <w:bottom w:w="-113" w:type="dxa"/>
              <w:right w:w="-113" w:type="dxa"/>
            </w:tcMar>
          </w:tcPr>
          <w:p w14:paraId="4A355F0F" w14:textId="77777777" w:rsidR="00CB0062" w:rsidRDefault="00CB0062" w:rsidP="00223E56">
            <w:pPr>
              <w:rPr>
                <w:color w:val="000000"/>
                <w:sz w:val="16"/>
                <w:szCs w:val="16"/>
              </w:rPr>
            </w:pPr>
            <w:r>
              <w:rPr>
                <w:color w:val="000000"/>
                <w:sz w:val="16"/>
                <w:szCs w:val="16"/>
              </w:rPr>
              <w:t>G&gt;T</w:t>
            </w:r>
          </w:p>
        </w:tc>
        <w:tc>
          <w:tcPr>
            <w:tcW w:w="1701" w:type="dxa"/>
            <w:tcBorders>
              <w:top w:val="single" w:sz="4" w:space="0" w:color="D0CECE"/>
              <w:bottom w:val="single" w:sz="4" w:space="0" w:color="D0CECE"/>
            </w:tcBorders>
            <w:tcMar>
              <w:top w:w="-113" w:type="dxa"/>
              <w:left w:w="-113" w:type="dxa"/>
              <w:bottom w:w="-113" w:type="dxa"/>
              <w:right w:w="-113" w:type="dxa"/>
            </w:tcMar>
          </w:tcPr>
          <w:p w14:paraId="7C8C9817" w14:textId="77777777" w:rsidR="00CB0062" w:rsidRDefault="00CB0062" w:rsidP="00223E56">
            <w:pPr>
              <w:rPr>
                <w:color w:val="000000"/>
                <w:sz w:val="16"/>
                <w:szCs w:val="16"/>
              </w:rPr>
            </w:pPr>
            <w:r>
              <w:rPr>
                <w:color w:val="000000"/>
                <w:sz w:val="16"/>
                <w:szCs w:val="16"/>
              </w:rPr>
              <w:t>Noncoding transcript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38B39BC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5D6CBB1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675F5384"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D12907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C3C5AC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527262D2" w14:textId="77777777" w:rsidR="00CB0062" w:rsidRDefault="00CB0062" w:rsidP="00223E56">
            <w:pPr>
              <w:rPr>
                <w:sz w:val="16"/>
                <w:szCs w:val="16"/>
              </w:rPr>
            </w:pPr>
            <w:r>
              <w:rPr>
                <w:color w:val="000000"/>
                <w:sz w:val="16"/>
                <w:szCs w:val="16"/>
              </w:rPr>
              <w:t>rs2849727</w:t>
            </w:r>
          </w:p>
          <w:p w14:paraId="094601C9" w14:textId="77777777" w:rsidR="00CB0062" w:rsidRDefault="00CB0062" w:rsidP="00223E56">
            <w:pPr>
              <w:rPr>
                <w:sz w:val="16"/>
                <w:szCs w:val="16"/>
              </w:rPr>
            </w:pPr>
          </w:p>
        </w:tc>
        <w:tc>
          <w:tcPr>
            <w:tcW w:w="851" w:type="dxa"/>
            <w:vMerge w:val="restart"/>
            <w:tcBorders>
              <w:top w:val="single" w:sz="4" w:space="0" w:color="D0CECE"/>
              <w:bottom w:val="single" w:sz="4" w:space="0" w:color="D0CECE"/>
            </w:tcBorders>
            <w:tcMar>
              <w:top w:w="-113" w:type="dxa"/>
              <w:left w:w="-113" w:type="dxa"/>
              <w:bottom w:w="-113" w:type="dxa"/>
              <w:right w:w="-113" w:type="dxa"/>
            </w:tcMar>
          </w:tcPr>
          <w:p w14:paraId="5DBF3A49" w14:textId="77777777" w:rsidR="00CB0062" w:rsidRDefault="00CB0062" w:rsidP="00223E56">
            <w:pPr>
              <w:rPr>
                <w:color w:val="000000"/>
                <w:sz w:val="16"/>
                <w:szCs w:val="16"/>
              </w:rPr>
            </w:pPr>
            <w:r>
              <w:rPr>
                <w:color w:val="000000"/>
                <w:sz w:val="16"/>
                <w:szCs w:val="16"/>
              </w:rPr>
              <w:t>C&gt;</w:t>
            </w:r>
            <w:proofErr w:type="gramStart"/>
            <w:r>
              <w:rPr>
                <w:color w:val="000000"/>
                <w:sz w:val="16"/>
                <w:szCs w:val="16"/>
              </w:rPr>
              <w:t>A,G</w:t>
            </w:r>
            <w:proofErr w:type="gramEnd"/>
            <w:r>
              <w:rPr>
                <w:color w:val="000000"/>
                <w:sz w:val="16"/>
                <w:szCs w:val="16"/>
              </w:rPr>
              <w:t>,T</w:t>
            </w:r>
          </w:p>
        </w:tc>
        <w:tc>
          <w:tcPr>
            <w:tcW w:w="1701" w:type="dxa"/>
            <w:vMerge w:val="restart"/>
            <w:tcBorders>
              <w:top w:val="single" w:sz="4" w:space="0" w:color="D0CECE"/>
              <w:bottom w:val="single" w:sz="4" w:space="0" w:color="D0CECE"/>
            </w:tcBorders>
            <w:tcMar>
              <w:top w:w="-113" w:type="dxa"/>
              <w:left w:w="-113" w:type="dxa"/>
              <w:bottom w:w="-113" w:type="dxa"/>
              <w:right w:w="-113" w:type="dxa"/>
            </w:tcMar>
          </w:tcPr>
          <w:p w14:paraId="0C2BDA30" w14:textId="77777777" w:rsidR="00CB0062" w:rsidRDefault="00CB0062" w:rsidP="00223E56">
            <w:pPr>
              <w:rPr>
                <w:color w:val="000000"/>
                <w:sz w:val="16"/>
                <w:szCs w:val="16"/>
              </w:rPr>
            </w:pPr>
            <w:r>
              <w:rPr>
                <w:color w:val="000000"/>
                <w:sz w:val="16"/>
                <w:szCs w:val="16"/>
              </w:rPr>
              <w:t>Noncoding transcript variant</w:t>
            </w:r>
          </w:p>
        </w:tc>
        <w:tc>
          <w:tcPr>
            <w:tcW w:w="708" w:type="dxa"/>
            <w:tcBorders>
              <w:top w:val="single" w:sz="4" w:space="0" w:color="D0CECE"/>
              <w:bottom w:val="single" w:sz="4" w:space="0" w:color="D0CECE"/>
            </w:tcBorders>
            <w:tcMar>
              <w:top w:w="-113" w:type="dxa"/>
              <w:left w:w="-113" w:type="dxa"/>
              <w:bottom w:w="-113" w:type="dxa"/>
              <w:right w:w="-113" w:type="dxa"/>
            </w:tcMar>
          </w:tcPr>
          <w:p w14:paraId="095E2AD9" w14:textId="77777777" w:rsidR="00CB0062" w:rsidRDefault="00CB0062" w:rsidP="00223E56">
            <w:pPr>
              <w:rPr>
                <w:color w:val="000000"/>
                <w:sz w:val="16"/>
                <w:szCs w:val="16"/>
              </w:rPr>
            </w:pPr>
            <w:r>
              <w:rPr>
                <w:color w:val="000000"/>
                <w:sz w:val="16"/>
                <w:szCs w:val="16"/>
              </w:rPr>
              <w:t>BP</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7C9E7E47" w14:textId="77777777" w:rsidR="00CB0062" w:rsidRDefault="00CB0062" w:rsidP="00223E56">
            <w:pPr>
              <w:rPr>
                <w:color w:val="000000"/>
                <w:sz w:val="16"/>
                <w:szCs w:val="16"/>
              </w:rPr>
            </w:pPr>
            <w:r>
              <w:rPr>
                <w:sz w:val="16"/>
                <w:szCs w:val="16"/>
              </w:rPr>
              <w:t xml:space="preserve">Farzan </w:t>
            </w:r>
            <w:r>
              <w:rPr>
                <w:i/>
                <w:sz w:val="16"/>
                <w:szCs w:val="16"/>
              </w:rPr>
              <w:t>et al.</w:t>
            </w:r>
            <w:r>
              <w:rPr>
                <w:sz w:val="16"/>
                <w:szCs w:val="16"/>
              </w:rPr>
              <w:t xml:space="preserve"> 2016</w:t>
            </w:r>
          </w:p>
        </w:tc>
      </w:tr>
      <w:tr w:rsidR="00CB0062" w:rsidRPr="0030321B" w14:paraId="407A5022" w14:textId="77777777" w:rsidTr="00923C73">
        <w:trPr>
          <w:trHeight w:val="317"/>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F13D42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6BFD1C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47DEF2A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tcMar>
              <w:top w:w="-113" w:type="dxa"/>
              <w:left w:w="-113" w:type="dxa"/>
              <w:bottom w:w="-113" w:type="dxa"/>
              <w:right w:w="-113" w:type="dxa"/>
            </w:tcMar>
          </w:tcPr>
          <w:p w14:paraId="4F0F5E6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tcMar>
              <w:top w:w="-113" w:type="dxa"/>
              <w:left w:w="-113" w:type="dxa"/>
              <w:bottom w:w="-113" w:type="dxa"/>
              <w:right w:w="-113" w:type="dxa"/>
            </w:tcMar>
          </w:tcPr>
          <w:p w14:paraId="1BA4C98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vMerge w:val="restart"/>
            <w:tcBorders>
              <w:top w:val="single" w:sz="4" w:space="0" w:color="D0CECE"/>
              <w:bottom w:val="single" w:sz="4" w:space="0" w:color="D0CECE"/>
            </w:tcBorders>
            <w:tcMar>
              <w:top w:w="-113" w:type="dxa"/>
              <w:left w:w="-113" w:type="dxa"/>
              <w:bottom w:w="-113" w:type="dxa"/>
              <w:right w:w="-113" w:type="dxa"/>
            </w:tcMar>
          </w:tcPr>
          <w:p w14:paraId="1BD3A6B8" w14:textId="77777777" w:rsidR="00CB0062" w:rsidRDefault="00CB0062" w:rsidP="00223E56">
            <w:pPr>
              <w:rPr>
                <w:sz w:val="16"/>
                <w:szCs w:val="16"/>
              </w:rPr>
            </w:pPr>
            <w:r>
              <w:rPr>
                <w:color w:val="000000"/>
                <w:sz w:val="16"/>
                <w:szCs w:val="16"/>
              </w:rPr>
              <w:t>CVD</w:t>
            </w:r>
          </w:p>
          <w:p w14:paraId="21AFAB8D" w14:textId="77777777" w:rsidR="00CB0062" w:rsidRDefault="00CB0062" w:rsidP="00223E56">
            <w:pPr>
              <w:rPr>
                <w:sz w:val="16"/>
                <w:szCs w:val="16"/>
              </w:rPr>
            </w:pPr>
            <w:r>
              <w:rPr>
                <w:sz w:val="16"/>
                <w:szCs w:val="16"/>
              </w:rPr>
              <w:t>CIMT</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6B54F75E"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35A2C55D"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tc>
      </w:tr>
      <w:tr w:rsidR="00CB0062" w14:paraId="49B933AD"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F610FE7"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9ABEBCF"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13822457" w14:textId="77777777" w:rsidR="00CB0062" w:rsidRDefault="00CB0062" w:rsidP="00223E56">
            <w:pPr>
              <w:rPr>
                <w:color w:val="000000"/>
                <w:sz w:val="16"/>
                <w:szCs w:val="16"/>
              </w:rPr>
            </w:pPr>
            <w:r>
              <w:rPr>
                <w:color w:val="000000"/>
                <w:sz w:val="16"/>
                <w:szCs w:val="16"/>
              </w:rPr>
              <w:t>rs2851391</w:t>
            </w:r>
          </w:p>
        </w:tc>
        <w:tc>
          <w:tcPr>
            <w:tcW w:w="851" w:type="dxa"/>
            <w:tcBorders>
              <w:top w:val="single" w:sz="4" w:space="0" w:color="D0CECE"/>
              <w:bottom w:val="single" w:sz="4" w:space="0" w:color="D0CECE"/>
            </w:tcBorders>
            <w:tcMar>
              <w:top w:w="-113" w:type="dxa"/>
              <w:left w:w="-113" w:type="dxa"/>
              <w:bottom w:w="-113" w:type="dxa"/>
              <w:right w:w="-113" w:type="dxa"/>
            </w:tcMar>
          </w:tcPr>
          <w:p w14:paraId="02B8E3AB" w14:textId="77777777" w:rsidR="00CB0062" w:rsidRDefault="00CB0062" w:rsidP="00223E56">
            <w:pPr>
              <w:rPr>
                <w:color w:val="000000"/>
                <w:sz w:val="16"/>
                <w:szCs w:val="16"/>
              </w:rPr>
            </w:pPr>
            <w:r>
              <w:rPr>
                <w:color w:val="000000"/>
                <w:sz w:val="16"/>
                <w:szCs w:val="16"/>
              </w:rPr>
              <w:t>T&gt;C</w:t>
            </w:r>
          </w:p>
        </w:tc>
        <w:tc>
          <w:tcPr>
            <w:tcW w:w="1701" w:type="dxa"/>
            <w:tcBorders>
              <w:top w:val="single" w:sz="4" w:space="0" w:color="D0CECE"/>
              <w:bottom w:val="single" w:sz="4" w:space="0" w:color="D0CECE"/>
            </w:tcBorders>
            <w:tcMar>
              <w:top w:w="-113" w:type="dxa"/>
              <w:left w:w="-113" w:type="dxa"/>
              <w:bottom w:w="-113" w:type="dxa"/>
              <w:right w:w="-113" w:type="dxa"/>
            </w:tcMar>
          </w:tcPr>
          <w:p w14:paraId="0A02C43B" w14:textId="77777777" w:rsidR="00CB0062" w:rsidRDefault="00CB0062" w:rsidP="00223E56">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272ECC4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495E824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0DC3B5F3"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1004D7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3A88AF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53E93E63" w14:textId="77777777" w:rsidR="00CB0062" w:rsidRDefault="00CB0062" w:rsidP="00223E56">
            <w:pPr>
              <w:rPr>
                <w:color w:val="000000"/>
                <w:sz w:val="16"/>
                <w:szCs w:val="16"/>
              </w:rPr>
            </w:pPr>
            <w:r>
              <w:rPr>
                <w:color w:val="000000"/>
                <w:sz w:val="16"/>
                <w:szCs w:val="16"/>
              </w:rPr>
              <w:t>rs2851392</w:t>
            </w:r>
          </w:p>
        </w:tc>
        <w:tc>
          <w:tcPr>
            <w:tcW w:w="851" w:type="dxa"/>
            <w:tcBorders>
              <w:top w:val="single" w:sz="4" w:space="0" w:color="D0CECE"/>
              <w:bottom w:val="single" w:sz="4" w:space="0" w:color="D0CECE"/>
            </w:tcBorders>
            <w:tcMar>
              <w:top w:w="-113" w:type="dxa"/>
              <w:left w:w="-113" w:type="dxa"/>
              <w:bottom w:w="-113" w:type="dxa"/>
              <w:right w:w="-113" w:type="dxa"/>
            </w:tcMar>
          </w:tcPr>
          <w:p w14:paraId="360B4F6E" w14:textId="77777777" w:rsidR="00CB0062" w:rsidRDefault="00CB0062" w:rsidP="00223E56">
            <w:pPr>
              <w:rPr>
                <w:color w:val="000000"/>
                <w:sz w:val="16"/>
                <w:szCs w:val="16"/>
              </w:rPr>
            </w:pPr>
            <w:r>
              <w:rPr>
                <w:color w:val="000000"/>
                <w:sz w:val="16"/>
                <w:szCs w:val="16"/>
              </w:rPr>
              <w:t>G&gt;</w:t>
            </w:r>
            <w:proofErr w:type="gramStart"/>
            <w:r>
              <w:rPr>
                <w:color w:val="000000"/>
                <w:sz w:val="16"/>
                <w:szCs w:val="16"/>
              </w:rPr>
              <w:t>A,C</w:t>
            </w:r>
            <w:proofErr w:type="gramEnd"/>
            <w:r>
              <w:rPr>
                <w:color w:val="000000"/>
                <w:sz w:val="16"/>
                <w:szCs w:val="16"/>
              </w:rPr>
              <w:t>,T</w:t>
            </w:r>
          </w:p>
        </w:tc>
        <w:tc>
          <w:tcPr>
            <w:tcW w:w="1701" w:type="dxa"/>
            <w:tcBorders>
              <w:top w:val="single" w:sz="4" w:space="0" w:color="D0CECE"/>
              <w:bottom w:val="single" w:sz="4" w:space="0" w:color="D0CECE"/>
            </w:tcBorders>
            <w:tcMar>
              <w:top w:w="-113" w:type="dxa"/>
              <w:left w:w="-113" w:type="dxa"/>
              <w:bottom w:w="-113" w:type="dxa"/>
              <w:right w:w="-113" w:type="dxa"/>
            </w:tcMar>
          </w:tcPr>
          <w:p w14:paraId="6AF30547" w14:textId="77777777" w:rsidR="00CB0062" w:rsidRDefault="00CB0062" w:rsidP="00223E56">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081E583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F2B5E0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316D9E8B"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827D89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BADAE6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7108045F" w14:textId="77777777" w:rsidR="00CB0062" w:rsidRDefault="00CB0062" w:rsidP="00223E56">
            <w:pPr>
              <w:rPr>
                <w:color w:val="000000"/>
                <w:sz w:val="16"/>
                <w:szCs w:val="16"/>
              </w:rPr>
            </w:pPr>
            <w:r>
              <w:rPr>
                <w:color w:val="000000"/>
                <w:sz w:val="16"/>
                <w:szCs w:val="16"/>
              </w:rPr>
              <w:t>rs34040148</w:t>
            </w:r>
          </w:p>
        </w:tc>
        <w:tc>
          <w:tcPr>
            <w:tcW w:w="851" w:type="dxa"/>
            <w:tcBorders>
              <w:top w:val="single" w:sz="4" w:space="0" w:color="D0CECE"/>
              <w:bottom w:val="single" w:sz="4" w:space="0" w:color="D0CECE"/>
            </w:tcBorders>
            <w:tcMar>
              <w:top w:w="-113" w:type="dxa"/>
              <w:left w:w="-113" w:type="dxa"/>
              <w:bottom w:w="-113" w:type="dxa"/>
              <w:right w:w="-113" w:type="dxa"/>
            </w:tcMar>
          </w:tcPr>
          <w:p w14:paraId="5B9CACBE" w14:textId="77777777" w:rsidR="00CB0062" w:rsidRDefault="00CB0062" w:rsidP="00223E56">
            <w:pPr>
              <w:rPr>
                <w:color w:val="000000"/>
                <w:sz w:val="16"/>
                <w:szCs w:val="16"/>
              </w:rPr>
            </w:pPr>
            <w:r>
              <w:rPr>
                <w:color w:val="000000"/>
                <w:sz w:val="16"/>
                <w:szCs w:val="16"/>
              </w:rPr>
              <w:t>T&gt;G</w:t>
            </w:r>
          </w:p>
        </w:tc>
        <w:tc>
          <w:tcPr>
            <w:tcW w:w="1701" w:type="dxa"/>
            <w:tcBorders>
              <w:top w:val="single" w:sz="4" w:space="0" w:color="D0CECE"/>
              <w:bottom w:val="single" w:sz="4" w:space="0" w:color="D0CECE"/>
            </w:tcBorders>
            <w:tcMar>
              <w:top w:w="-113" w:type="dxa"/>
              <w:left w:w="-113" w:type="dxa"/>
              <w:bottom w:w="-113" w:type="dxa"/>
              <w:right w:w="-113" w:type="dxa"/>
            </w:tcMar>
          </w:tcPr>
          <w:p w14:paraId="249BD502" w14:textId="77777777" w:rsidR="00CB0062" w:rsidRDefault="00CB0062" w:rsidP="00223E56">
            <w:pPr>
              <w:rPr>
                <w:color w:val="000000"/>
                <w:sz w:val="16"/>
                <w:szCs w:val="16"/>
              </w:rPr>
            </w:pPr>
            <w:r>
              <w:rPr>
                <w:color w:val="000000"/>
                <w:sz w:val="16"/>
                <w:szCs w:val="16"/>
              </w:rPr>
              <w:t>Missense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09477B5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16540C6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15269799"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568186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57C31E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5894587E" w14:textId="77777777" w:rsidR="00CB0062" w:rsidRDefault="00CB0062" w:rsidP="00223E56">
            <w:pPr>
              <w:rPr>
                <w:sz w:val="16"/>
                <w:szCs w:val="16"/>
              </w:rPr>
            </w:pPr>
            <w:r>
              <w:rPr>
                <w:color w:val="000000"/>
                <w:sz w:val="16"/>
                <w:szCs w:val="16"/>
              </w:rPr>
              <w:t>rs3788050</w:t>
            </w:r>
          </w:p>
          <w:p w14:paraId="4E13BC3B" w14:textId="77777777" w:rsidR="00CB0062" w:rsidRDefault="00CB0062" w:rsidP="00223E56">
            <w:pPr>
              <w:rPr>
                <w:sz w:val="16"/>
                <w:szCs w:val="16"/>
              </w:rPr>
            </w:pPr>
          </w:p>
        </w:tc>
        <w:tc>
          <w:tcPr>
            <w:tcW w:w="851" w:type="dxa"/>
            <w:vMerge w:val="restart"/>
            <w:tcBorders>
              <w:top w:val="single" w:sz="4" w:space="0" w:color="D0CECE"/>
              <w:bottom w:val="single" w:sz="4" w:space="0" w:color="D0CECE"/>
            </w:tcBorders>
            <w:tcMar>
              <w:top w:w="-113" w:type="dxa"/>
              <w:left w:w="-113" w:type="dxa"/>
              <w:bottom w:w="-113" w:type="dxa"/>
              <w:right w:w="-113" w:type="dxa"/>
            </w:tcMar>
          </w:tcPr>
          <w:p w14:paraId="6628F0D5" w14:textId="77777777" w:rsidR="00CB0062" w:rsidRDefault="00CB0062" w:rsidP="00223E56">
            <w:pPr>
              <w:rPr>
                <w:color w:val="000000"/>
                <w:sz w:val="16"/>
                <w:szCs w:val="16"/>
              </w:rPr>
            </w:pPr>
            <w:r>
              <w:rPr>
                <w:color w:val="000000"/>
                <w:sz w:val="16"/>
                <w:szCs w:val="16"/>
              </w:rPr>
              <w:t>G&gt;T</w:t>
            </w:r>
          </w:p>
        </w:tc>
        <w:tc>
          <w:tcPr>
            <w:tcW w:w="1701" w:type="dxa"/>
            <w:vMerge w:val="restart"/>
            <w:tcBorders>
              <w:top w:val="single" w:sz="4" w:space="0" w:color="D0CECE"/>
              <w:bottom w:val="single" w:sz="4" w:space="0" w:color="D0CECE"/>
            </w:tcBorders>
            <w:tcMar>
              <w:top w:w="-113" w:type="dxa"/>
              <w:left w:w="-113" w:type="dxa"/>
              <w:bottom w:w="-113" w:type="dxa"/>
              <w:right w:w="-113" w:type="dxa"/>
            </w:tcMar>
          </w:tcPr>
          <w:p w14:paraId="4BAC0D92" w14:textId="77777777" w:rsidR="00CB0062" w:rsidRDefault="00CB0062" w:rsidP="00223E56">
            <w:pPr>
              <w:rPr>
                <w:color w:val="000000"/>
                <w:sz w:val="16"/>
                <w:szCs w:val="16"/>
              </w:rPr>
            </w:pPr>
            <w:r>
              <w:rPr>
                <w:color w:val="000000"/>
                <w:sz w:val="16"/>
                <w:szCs w:val="16"/>
              </w:rPr>
              <w:t>Intron variant</w:t>
            </w:r>
          </w:p>
        </w:tc>
        <w:tc>
          <w:tcPr>
            <w:tcW w:w="708" w:type="dxa"/>
            <w:tcBorders>
              <w:top w:val="single" w:sz="4" w:space="0" w:color="D0CECE"/>
              <w:bottom w:val="single" w:sz="4" w:space="0" w:color="D0CECE"/>
            </w:tcBorders>
            <w:tcMar>
              <w:top w:w="-113" w:type="dxa"/>
              <w:left w:w="-113" w:type="dxa"/>
              <w:bottom w:w="-113" w:type="dxa"/>
              <w:right w:w="-113" w:type="dxa"/>
            </w:tcMar>
          </w:tcPr>
          <w:p w14:paraId="22916CFD" w14:textId="77777777" w:rsidR="00CB0062" w:rsidRDefault="00CB0062" w:rsidP="00223E56">
            <w:pPr>
              <w:rPr>
                <w:color w:val="000000"/>
                <w:sz w:val="16"/>
                <w:szCs w:val="16"/>
              </w:rPr>
            </w:pPr>
            <w:r>
              <w:rPr>
                <w:color w:val="000000"/>
                <w:sz w:val="16"/>
                <w:szCs w:val="16"/>
              </w:rPr>
              <w:t>BP</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400EDC4F" w14:textId="77777777" w:rsidR="00CB0062" w:rsidRDefault="00CB0062" w:rsidP="00223E56">
            <w:pPr>
              <w:rPr>
                <w:color w:val="000000"/>
                <w:sz w:val="16"/>
                <w:szCs w:val="16"/>
              </w:rPr>
            </w:pPr>
            <w:r>
              <w:rPr>
                <w:sz w:val="16"/>
                <w:szCs w:val="16"/>
              </w:rPr>
              <w:t xml:space="preserve">Farzan </w:t>
            </w:r>
            <w:r>
              <w:rPr>
                <w:i/>
                <w:sz w:val="16"/>
                <w:szCs w:val="16"/>
              </w:rPr>
              <w:t>et al.</w:t>
            </w:r>
            <w:r>
              <w:rPr>
                <w:sz w:val="16"/>
                <w:szCs w:val="16"/>
              </w:rPr>
              <w:t xml:space="preserve"> 2016</w:t>
            </w:r>
          </w:p>
        </w:tc>
      </w:tr>
      <w:tr w:rsidR="00CB0062" w:rsidRPr="0030321B" w14:paraId="55DDF385" w14:textId="77777777" w:rsidTr="00923C73">
        <w:trPr>
          <w:trHeight w:val="317"/>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492745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1860A7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0E4B6CE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tcMar>
              <w:top w:w="-113" w:type="dxa"/>
              <w:left w:w="-113" w:type="dxa"/>
              <w:bottom w:w="-113" w:type="dxa"/>
              <w:right w:w="-113" w:type="dxa"/>
            </w:tcMar>
          </w:tcPr>
          <w:p w14:paraId="7E9E1B0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tcMar>
              <w:top w:w="-113" w:type="dxa"/>
              <w:left w:w="-113" w:type="dxa"/>
              <w:bottom w:w="-113" w:type="dxa"/>
              <w:right w:w="-113" w:type="dxa"/>
            </w:tcMar>
          </w:tcPr>
          <w:p w14:paraId="127F047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vMerge w:val="restart"/>
            <w:tcBorders>
              <w:top w:val="single" w:sz="4" w:space="0" w:color="D0CECE"/>
              <w:bottom w:val="single" w:sz="4" w:space="0" w:color="D0CECE"/>
            </w:tcBorders>
            <w:tcMar>
              <w:top w:w="-113" w:type="dxa"/>
              <w:left w:w="-113" w:type="dxa"/>
              <w:bottom w:w="-113" w:type="dxa"/>
              <w:right w:w="-113" w:type="dxa"/>
            </w:tcMar>
          </w:tcPr>
          <w:p w14:paraId="2DDA23B7" w14:textId="77777777" w:rsidR="00CB0062" w:rsidRDefault="00CB0062" w:rsidP="00223E56">
            <w:pPr>
              <w:rPr>
                <w:sz w:val="16"/>
                <w:szCs w:val="16"/>
              </w:rPr>
            </w:pPr>
            <w:r>
              <w:rPr>
                <w:color w:val="000000"/>
                <w:sz w:val="16"/>
                <w:szCs w:val="16"/>
              </w:rPr>
              <w:t>CVD</w:t>
            </w:r>
          </w:p>
          <w:p w14:paraId="2498F3F5" w14:textId="77777777" w:rsidR="00CB0062" w:rsidRDefault="00CB0062" w:rsidP="00223E56">
            <w:pPr>
              <w:rPr>
                <w:sz w:val="16"/>
                <w:szCs w:val="16"/>
              </w:rPr>
            </w:pPr>
            <w:r>
              <w:rPr>
                <w:sz w:val="16"/>
                <w:szCs w:val="16"/>
              </w:rPr>
              <w:t>CIMT</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1AD3B4A1"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46C547EC"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p w14:paraId="196514DC" w14:textId="77777777" w:rsidR="00CB0062" w:rsidRPr="00641BD3" w:rsidRDefault="00CB0062" w:rsidP="00223E56">
            <w:pPr>
              <w:rPr>
                <w:color w:val="000000"/>
                <w:sz w:val="16"/>
                <w:szCs w:val="16"/>
                <w:lang w:val="es-ES"/>
              </w:rPr>
            </w:pPr>
          </w:p>
        </w:tc>
      </w:tr>
      <w:tr w:rsidR="00CB0062" w14:paraId="0107D976"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ED4069D"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70E91F2"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501D3BF" w14:textId="77777777" w:rsidR="00CB0062" w:rsidRDefault="00CB0062" w:rsidP="00223E56">
            <w:pPr>
              <w:rPr>
                <w:color w:val="000000"/>
                <w:sz w:val="16"/>
                <w:szCs w:val="16"/>
              </w:rPr>
            </w:pPr>
            <w:r>
              <w:rPr>
                <w:color w:val="000000"/>
                <w:sz w:val="16"/>
                <w:szCs w:val="16"/>
              </w:rPr>
              <w:t>rs3788053</w:t>
            </w:r>
          </w:p>
        </w:tc>
        <w:tc>
          <w:tcPr>
            <w:tcW w:w="851" w:type="dxa"/>
            <w:tcBorders>
              <w:top w:val="single" w:sz="4" w:space="0" w:color="D0CECE"/>
              <w:bottom w:val="single" w:sz="4" w:space="0" w:color="D0CECE"/>
            </w:tcBorders>
            <w:tcMar>
              <w:top w:w="-113" w:type="dxa"/>
              <w:left w:w="-113" w:type="dxa"/>
              <w:bottom w:w="-113" w:type="dxa"/>
              <w:right w:w="-113" w:type="dxa"/>
            </w:tcMar>
          </w:tcPr>
          <w:p w14:paraId="22251045" w14:textId="77777777" w:rsidR="00CB0062" w:rsidRDefault="00CB0062" w:rsidP="00223E56">
            <w:pPr>
              <w:rPr>
                <w:color w:val="000000"/>
                <w:sz w:val="16"/>
                <w:szCs w:val="16"/>
              </w:rPr>
            </w:pPr>
            <w:r>
              <w:rPr>
                <w:color w:val="000000"/>
                <w:sz w:val="16"/>
                <w:szCs w:val="16"/>
              </w:rPr>
              <w:t>G&gt;A</w:t>
            </w:r>
          </w:p>
        </w:tc>
        <w:tc>
          <w:tcPr>
            <w:tcW w:w="1701" w:type="dxa"/>
            <w:tcBorders>
              <w:top w:val="single" w:sz="4" w:space="0" w:color="D0CECE"/>
              <w:bottom w:val="single" w:sz="4" w:space="0" w:color="D0CECE"/>
            </w:tcBorders>
            <w:tcMar>
              <w:top w:w="-113" w:type="dxa"/>
              <w:left w:w="-113" w:type="dxa"/>
              <w:bottom w:w="-113" w:type="dxa"/>
              <w:right w:w="-113" w:type="dxa"/>
            </w:tcMar>
          </w:tcPr>
          <w:p w14:paraId="02EDDE4B"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7A7591B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B63718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536369EE"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52E2FE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7F1697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367114C" w14:textId="77777777" w:rsidR="00CB0062" w:rsidRDefault="00CB0062" w:rsidP="00223E56">
            <w:pPr>
              <w:rPr>
                <w:color w:val="000000"/>
                <w:sz w:val="16"/>
                <w:szCs w:val="16"/>
              </w:rPr>
            </w:pPr>
            <w:r>
              <w:rPr>
                <w:color w:val="000000"/>
                <w:sz w:val="16"/>
                <w:szCs w:val="16"/>
              </w:rPr>
              <w:t>rs397589</w:t>
            </w:r>
          </w:p>
        </w:tc>
        <w:tc>
          <w:tcPr>
            <w:tcW w:w="851" w:type="dxa"/>
            <w:tcBorders>
              <w:top w:val="single" w:sz="4" w:space="0" w:color="D0CECE"/>
              <w:bottom w:val="single" w:sz="4" w:space="0" w:color="D0CECE"/>
            </w:tcBorders>
            <w:tcMar>
              <w:top w:w="-113" w:type="dxa"/>
              <w:left w:w="-113" w:type="dxa"/>
              <w:bottom w:w="-113" w:type="dxa"/>
              <w:right w:w="-113" w:type="dxa"/>
            </w:tcMar>
          </w:tcPr>
          <w:p w14:paraId="240F486F" w14:textId="77777777" w:rsidR="00CB0062" w:rsidRDefault="00CB0062" w:rsidP="00223E56">
            <w:pPr>
              <w:rPr>
                <w:color w:val="000000"/>
                <w:sz w:val="16"/>
                <w:szCs w:val="16"/>
              </w:rPr>
            </w:pPr>
            <w:r>
              <w:rPr>
                <w:color w:val="000000"/>
                <w:sz w:val="16"/>
                <w:szCs w:val="16"/>
              </w:rPr>
              <w:t>G&gt;T</w:t>
            </w:r>
          </w:p>
        </w:tc>
        <w:tc>
          <w:tcPr>
            <w:tcW w:w="1701" w:type="dxa"/>
            <w:tcBorders>
              <w:top w:val="single" w:sz="4" w:space="0" w:color="D0CECE"/>
              <w:bottom w:val="single" w:sz="4" w:space="0" w:color="D0CECE"/>
            </w:tcBorders>
            <w:tcMar>
              <w:top w:w="-113" w:type="dxa"/>
              <w:left w:w="-113" w:type="dxa"/>
              <w:bottom w:w="-113" w:type="dxa"/>
              <w:right w:w="-113" w:type="dxa"/>
            </w:tcMar>
          </w:tcPr>
          <w:p w14:paraId="795A8A29" w14:textId="77777777" w:rsidR="00CB0062" w:rsidRDefault="00CB0062" w:rsidP="00223E56">
            <w:pPr>
              <w:rPr>
                <w:color w:val="000000"/>
                <w:sz w:val="16"/>
                <w:szCs w:val="16"/>
              </w:rPr>
            </w:pPr>
            <w:r>
              <w:rPr>
                <w:color w:val="000000"/>
                <w:sz w:val="16"/>
                <w:szCs w:val="16"/>
              </w:rPr>
              <w:t xml:space="preserve">Intron variant </w:t>
            </w:r>
          </w:p>
        </w:tc>
        <w:tc>
          <w:tcPr>
            <w:tcW w:w="708" w:type="dxa"/>
            <w:vMerge/>
            <w:tcBorders>
              <w:top w:val="single" w:sz="4" w:space="0" w:color="D0CECE"/>
              <w:bottom w:val="single" w:sz="4" w:space="0" w:color="D0CECE"/>
            </w:tcBorders>
            <w:tcMar>
              <w:top w:w="-113" w:type="dxa"/>
              <w:left w:w="-113" w:type="dxa"/>
              <w:bottom w:w="-113" w:type="dxa"/>
              <w:right w:w="-113" w:type="dxa"/>
            </w:tcMar>
          </w:tcPr>
          <w:p w14:paraId="21733DC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5D16EBD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3E3CDEE1"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7E3B7D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610678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1E61921F" w14:textId="77777777" w:rsidR="00CB0062" w:rsidRDefault="00CB0062" w:rsidP="00223E56">
            <w:pPr>
              <w:rPr>
                <w:color w:val="000000"/>
                <w:sz w:val="16"/>
                <w:szCs w:val="16"/>
              </w:rPr>
            </w:pPr>
            <w:r>
              <w:rPr>
                <w:color w:val="000000"/>
                <w:sz w:val="16"/>
                <w:szCs w:val="16"/>
              </w:rPr>
              <w:t>rs4920037</w:t>
            </w:r>
          </w:p>
        </w:tc>
        <w:tc>
          <w:tcPr>
            <w:tcW w:w="851" w:type="dxa"/>
            <w:tcBorders>
              <w:top w:val="single" w:sz="4" w:space="0" w:color="D0CECE"/>
              <w:bottom w:val="single" w:sz="4" w:space="0" w:color="D0CECE"/>
            </w:tcBorders>
            <w:tcMar>
              <w:top w:w="-113" w:type="dxa"/>
              <w:left w:w="-113" w:type="dxa"/>
              <w:bottom w:w="-113" w:type="dxa"/>
              <w:right w:w="-113" w:type="dxa"/>
            </w:tcMar>
          </w:tcPr>
          <w:p w14:paraId="202F7971" w14:textId="77777777" w:rsidR="00CB0062" w:rsidRDefault="00CB0062" w:rsidP="00223E56">
            <w:pPr>
              <w:rPr>
                <w:color w:val="000000"/>
                <w:sz w:val="16"/>
                <w:szCs w:val="16"/>
              </w:rPr>
            </w:pPr>
            <w:r>
              <w:rPr>
                <w:color w:val="000000"/>
                <w:sz w:val="16"/>
                <w:szCs w:val="16"/>
              </w:rPr>
              <w:t>G&gt;A</w:t>
            </w:r>
          </w:p>
        </w:tc>
        <w:tc>
          <w:tcPr>
            <w:tcW w:w="1701" w:type="dxa"/>
            <w:tcBorders>
              <w:top w:val="single" w:sz="4" w:space="0" w:color="D0CECE"/>
              <w:bottom w:val="single" w:sz="4" w:space="0" w:color="D0CECE"/>
            </w:tcBorders>
            <w:tcMar>
              <w:top w:w="-113" w:type="dxa"/>
              <w:left w:w="-113" w:type="dxa"/>
              <w:bottom w:w="-113" w:type="dxa"/>
              <w:right w:w="-113" w:type="dxa"/>
            </w:tcMar>
          </w:tcPr>
          <w:p w14:paraId="5852B725"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7848F12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2157BEB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214C9A9F"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03F3A8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4B4156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1BA595D1" w14:textId="77777777" w:rsidR="00CB0062" w:rsidRDefault="00CB0062" w:rsidP="00223E56">
            <w:pPr>
              <w:rPr>
                <w:sz w:val="16"/>
                <w:szCs w:val="16"/>
              </w:rPr>
            </w:pPr>
            <w:r>
              <w:rPr>
                <w:color w:val="000000"/>
                <w:sz w:val="16"/>
                <w:szCs w:val="16"/>
              </w:rPr>
              <w:t>rs6586281</w:t>
            </w:r>
          </w:p>
          <w:p w14:paraId="3A712966" w14:textId="77777777" w:rsidR="00CB0062" w:rsidRDefault="00CB0062" w:rsidP="00223E56">
            <w:pPr>
              <w:rPr>
                <w:sz w:val="16"/>
                <w:szCs w:val="16"/>
              </w:rPr>
            </w:pPr>
          </w:p>
        </w:tc>
        <w:tc>
          <w:tcPr>
            <w:tcW w:w="851" w:type="dxa"/>
            <w:vMerge w:val="restart"/>
            <w:tcBorders>
              <w:top w:val="single" w:sz="4" w:space="0" w:color="D0CECE"/>
              <w:bottom w:val="single" w:sz="4" w:space="0" w:color="D0CECE"/>
            </w:tcBorders>
            <w:tcMar>
              <w:top w:w="-113" w:type="dxa"/>
              <w:left w:w="-113" w:type="dxa"/>
              <w:bottom w:w="-113" w:type="dxa"/>
              <w:right w:w="-113" w:type="dxa"/>
            </w:tcMar>
          </w:tcPr>
          <w:p w14:paraId="224E09EB" w14:textId="77777777" w:rsidR="00CB0062" w:rsidRDefault="00CB0062" w:rsidP="00223E56">
            <w:pPr>
              <w:rPr>
                <w:color w:val="000000"/>
                <w:sz w:val="16"/>
                <w:szCs w:val="16"/>
              </w:rPr>
            </w:pPr>
            <w:r>
              <w:rPr>
                <w:color w:val="000000"/>
                <w:sz w:val="16"/>
                <w:szCs w:val="16"/>
              </w:rPr>
              <w:t>G&gt;A</w:t>
            </w:r>
          </w:p>
        </w:tc>
        <w:tc>
          <w:tcPr>
            <w:tcW w:w="1701" w:type="dxa"/>
            <w:vMerge w:val="restart"/>
            <w:tcBorders>
              <w:top w:val="single" w:sz="4" w:space="0" w:color="D0CECE"/>
              <w:bottom w:val="single" w:sz="4" w:space="0" w:color="D0CECE"/>
            </w:tcBorders>
            <w:tcMar>
              <w:top w:w="-113" w:type="dxa"/>
              <w:left w:w="-113" w:type="dxa"/>
              <w:bottom w:w="-113" w:type="dxa"/>
              <w:right w:w="-113" w:type="dxa"/>
            </w:tcMar>
          </w:tcPr>
          <w:p w14:paraId="26DF4A60" w14:textId="77777777" w:rsidR="00CB0062" w:rsidRDefault="00CB0062" w:rsidP="00223E56">
            <w:pPr>
              <w:rPr>
                <w:color w:val="000000"/>
                <w:sz w:val="16"/>
                <w:szCs w:val="16"/>
              </w:rPr>
            </w:pPr>
            <w:r>
              <w:rPr>
                <w:color w:val="000000"/>
                <w:sz w:val="16"/>
                <w:szCs w:val="16"/>
              </w:rPr>
              <w:t>Noncoding transcript variant</w:t>
            </w:r>
          </w:p>
        </w:tc>
        <w:tc>
          <w:tcPr>
            <w:tcW w:w="708" w:type="dxa"/>
            <w:tcBorders>
              <w:top w:val="single" w:sz="4" w:space="0" w:color="D0CECE"/>
              <w:bottom w:val="single" w:sz="4" w:space="0" w:color="D0CECE"/>
            </w:tcBorders>
            <w:tcMar>
              <w:top w:w="-113" w:type="dxa"/>
              <w:left w:w="-113" w:type="dxa"/>
              <w:bottom w:w="-113" w:type="dxa"/>
              <w:right w:w="-113" w:type="dxa"/>
            </w:tcMar>
          </w:tcPr>
          <w:p w14:paraId="5F34FBB9" w14:textId="77777777" w:rsidR="00CB0062" w:rsidRDefault="00CB0062" w:rsidP="00223E56">
            <w:pPr>
              <w:rPr>
                <w:color w:val="000000"/>
                <w:sz w:val="16"/>
                <w:szCs w:val="16"/>
              </w:rPr>
            </w:pPr>
            <w:r>
              <w:rPr>
                <w:color w:val="000000"/>
                <w:sz w:val="16"/>
                <w:szCs w:val="16"/>
              </w:rPr>
              <w:t>BP</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EA9C08D" w14:textId="77777777" w:rsidR="00CB0062" w:rsidRDefault="00CB0062" w:rsidP="00223E56">
            <w:pPr>
              <w:rPr>
                <w:color w:val="000000"/>
                <w:sz w:val="16"/>
                <w:szCs w:val="16"/>
              </w:rPr>
            </w:pPr>
            <w:r>
              <w:rPr>
                <w:sz w:val="16"/>
                <w:szCs w:val="16"/>
              </w:rPr>
              <w:t xml:space="preserve">Farzan </w:t>
            </w:r>
            <w:r>
              <w:rPr>
                <w:i/>
                <w:sz w:val="16"/>
                <w:szCs w:val="16"/>
              </w:rPr>
              <w:t>et al.</w:t>
            </w:r>
            <w:r>
              <w:rPr>
                <w:sz w:val="16"/>
                <w:szCs w:val="16"/>
              </w:rPr>
              <w:t xml:space="preserve"> 2016</w:t>
            </w:r>
          </w:p>
        </w:tc>
      </w:tr>
      <w:tr w:rsidR="00CB0062" w:rsidRPr="0030321B" w14:paraId="096768E6" w14:textId="77777777" w:rsidTr="00923C73">
        <w:trPr>
          <w:trHeight w:val="317"/>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2D47E7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D0521C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48EDBB1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tcMar>
              <w:top w:w="-113" w:type="dxa"/>
              <w:left w:w="-113" w:type="dxa"/>
              <w:bottom w:w="-113" w:type="dxa"/>
              <w:right w:w="-113" w:type="dxa"/>
            </w:tcMar>
          </w:tcPr>
          <w:p w14:paraId="6330300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tcMar>
              <w:top w:w="-113" w:type="dxa"/>
              <w:left w:w="-113" w:type="dxa"/>
              <w:bottom w:w="-113" w:type="dxa"/>
              <w:right w:w="-113" w:type="dxa"/>
            </w:tcMar>
          </w:tcPr>
          <w:p w14:paraId="4AB0983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vMerge w:val="restart"/>
            <w:tcBorders>
              <w:top w:val="single" w:sz="4" w:space="0" w:color="D0CECE"/>
              <w:bottom w:val="single" w:sz="4" w:space="0" w:color="D0CECE"/>
            </w:tcBorders>
            <w:tcMar>
              <w:top w:w="-113" w:type="dxa"/>
              <w:left w:w="-113" w:type="dxa"/>
              <w:bottom w:w="-113" w:type="dxa"/>
              <w:right w:w="-113" w:type="dxa"/>
            </w:tcMar>
          </w:tcPr>
          <w:p w14:paraId="73CBB3D1" w14:textId="77777777" w:rsidR="00CB0062" w:rsidRDefault="00CB0062" w:rsidP="00223E56">
            <w:pPr>
              <w:rPr>
                <w:sz w:val="16"/>
                <w:szCs w:val="16"/>
              </w:rPr>
            </w:pPr>
            <w:r>
              <w:rPr>
                <w:color w:val="000000"/>
                <w:sz w:val="16"/>
                <w:szCs w:val="16"/>
              </w:rPr>
              <w:t>CVD</w:t>
            </w:r>
          </w:p>
          <w:p w14:paraId="68BE4A37" w14:textId="77777777" w:rsidR="00CB0062" w:rsidRDefault="00CB0062" w:rsidP="00223E56">
            <w:pPr>
              <w:rPr>
                <w:sz w:val="16"/>
                <w:szCs w:val="16"/>
              </w:rPr>
            </w:pPr>
            <w:r>
              <w:rPr>
                <w:sz w:val="16"/>
                <w:szCs w:val="16"/>
              </w:rPr>
              <w:t>CIMT</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67321265" w14:textId="77777777" w:rsidR="00CB0062" w:rsidRPr="00641BD3" w:rsidRDefault="00CB0062" w:rsidP="00223E56">
            <w:pPr>
              <w:rPr>
                <w:color w:val="000000"/>
                <w:sz w:val="16"/>
                <w:szCs w:val="16"/>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06F8948C" w14:textId="77777777" w:rsidR="00CB0062" w:rsidRPr="00641BD3" w:rsidRDefault="00CB0062" w:rsidP="00223E56">
            <w:pPr>
              <w:rPr>
                <w:color w:val="000000"/>
                <w:sz w:val="16"/>
                <w:szCs w:val="16"/>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tc>
      </w:tr>
      <w:tr w:rsidR="00CB0062" w14:paraId="500B7243"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F2FEF35"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CF8B22C"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7BD82DBA" w14:textId="77777777" w:rsidR="00CB0062" w:rsidRDefault="00CB0062" w:rsidP="00223E56">
            <w:pPr>
              <w:rPr>
                <w:color w:val="000000"/>
                <w:sz w:val="16"/>
                <w:szCs w:val="16"/>
              </w:rPr>
            </w:pPr>
            <w:r>
              <w:rPr>
                <w:color w:val="000000"/>
                <w:sz w:val="16"/>
                <w:szCs w:val="16"/>
              </w:rPr>
              <w:t>rs6586282</w:t>
            </w:r>
          </w:p>
        </w:tc>
        <w:tc>
          <w:tcPr>
            <w:tcW w:w="851" w:type="dxa"/>
            <w:tcBorders>
              <w:top w:val="single" w:sz="4" w:space="0" w:color="D0CECE"/>
              <w:bottom w:val="single" w:sz="4" w:space="0" w:color="D0CECE"/>
            </w:tcBorders>
            <w:tcMar>
              <w:top w:w="-113" w:type="dxa"/>
              <w:left w:w="-113" w:type="dxa"/>
              <w:bottom w:w="-113" w:type="dxa"/>
              <w:right w:w="-113" w:type="dxa"/>
            </w:tcMar>
          </w:tcPr>
          <w:p w14:paraId="2F5F406B" w14:textId="77777777" w:rsidR="00CB0062" w:rsidRDefault="00CB0062" w:rsidP="00223E56">
            <w:pPr>
              <w:rPr>
                <w:color w:val="000000"/>
                <w:sz w:val="16"/>
                <w:szCs w:val="16"/>
              </w:rPr>
            </w:pPr>
            <w:r>
              <w:rPr>
                <w:color w:val="000000"/>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7437087B" w14:textId="77777777" w:rsidR="00CB0062" w:rsidRDefault="00CB0062" w:rsidP="00223E56">
            <w:pPr>
              <w:rPr>
                <w:color w:val="000000"/>
                <w:sz w:val="16"/>
                <w:szCs w:val="16"/>
              </w:rPr>
            </w:pPr>
            <w:r>
              <w:rPr>
                <w:color w:val="000000"/>
                <w:sz w:val="16"/>
                <w:szCs w:val="16"/>
              </w:rPr>
              <w:t>Noncoding transcript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7E4D5F0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7944660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03E6DF69"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22B4C1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212900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D2B500E" w14:textId="77777777" w:rsidR="00CB0062" w:rsidRDefault="00CB0062" w:rsidP="00223E56">
            <w:pPr>
              <w:rPr>
                <w:color w:val="000000"/>
                <w:sz w:val="16"/>
                <w:szCs w:val="16"/>
              </w:rPr>
            </w:pPr>
            <w:r>
              <w:rPr>
                <w:color w:val="000000"/>
                <w:sz w:val="16"/>
                <w:szCs w:val="16"/>
              </w:rPr>
              <w:t>rs6586283</w:t>
            </w:r>
          </w:p>
        </w:tc>
        <w:tc>
          <w:tcPr>
            <w:tcW w:w="851" w:type="dxa"/>
            <w:tcBorders>
              <w:top w:val="single" w:sz="4" w:space="0" w:color="D0CECE"/>
              <w:bottom w:val="single" w:sz="4" w:space="0" w:color="D0CECE"/>
            </w:tcBorders>
            <w:tcMar>
              <w:top w:w="-113" w:type="dxa"/>
              <w:left w:w="-113" w:type="dxa"/>
              <w:bottom w:w="-113" w:type="dxa"/>
              <w:right w:w="-113" w:type="dxa"/>
            </w:tcMar>
          </w:tcPr>
          <w:p w14:paraId="51AAECD2" w14:textId="77777777" w:rsidR="00CB0062" w:rsidRDefault="00CB0062" w:rsidP="00223E56">
            <w:pPr>
              <w:rPr>
                <w:color w:val="000000"/>
                <w:sz w:val="16"/>
                <w:szCs w:val="16"/>
              </w:rPr>
            </w:pPr>
            <w:r>
              <w:rPr>
                <w:color w:val="000000"/>
                <w:sz w:val="16"/>
                <w:szCs w:val="16"/>
              </w:rPr>
              <w:t>T&gt;C</w:t>
            </w:r>
          </w:p>
        </w:tc>
        <w:tc>
          <w:tcPr>
            <w:tcW w:w="1701" w:type="dxa"/>
            <w:tcBorders>
              <w:top w:val="single" w:sz="4" w:space="0" w:color="D0CECE"/>
              <w:bottom w:val="single" w:sz="4" w:space="0" w:color="D0CECE"/>
            </w:tcBorders>
            <w:tcMar>
              <w:top w:w="-113" w:type="dxa"/>
              <w:left w:w="-113" w:type="dxa"/>
              <w:bottom w:w="-113" w:type="dxa"/>
              <w:right w:w="-113" w:type="dxa"/>
            </w:tcMar>
          </w:tcPr>
          <w:p w14:paraId="254C15EC"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72F1CC3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4134066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633BFCB9"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B157CE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264DDB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429A99BC" w14:textId="77777777" w:rsidR="00CB0062" w:rsidRDefault="00CB0062" w:rsidP="00223E56">
            <w:pPr>
              <w:rPr>
                <w:sz w:val="16"/>
                <w:szCs w:val="16"/>
              </w:rPr>
            </w:pPr>
            <w:r>
              <w:rPr>
                <w:color w:val="000000"/>
                <w:sz w:val="16"/>
                <w:szCs w:val="16"/>
              </w:rPr>
              <w:t>rs706208</w:t>
            </w:r>
          </w:p>
          <w:p w14:paraId="40089C7C" w14:textId="77777777" w:rsidR="00CB0062" w:rsidRDefault="00CB0062" w:rsidP="00223E56">
            <w:pPr>
              <w:rPr>
                <w:sz w:val="16"/>
                <w:szCs w:val="16"/>
              </w:rPr>
            </w:pPr>
          </w:p>
        </w:tc>
        <w:tc>
          <w:tcPr>
            <w:tcW w:w="851" w:type="dxa"/>
            <w:vMerge w:val="restart"/>
            <w:tcBorders>
              <w:top w:val="single" w:sz="4" w:space="0" w:color="D0CECE"/>
              <w:bottom w:val="single" w:sz="4" w:space="0" w:color="D0CECE"/>
            </w:tcBorders>
            <w:tcMar>
              <w:top w:w="-113" w:type="dxa"/>
              <w:left w:w="-113" w:type="dxa"/>
              <w:bottom w:w="-113" w:type="dxa"/>
              <w:right w:w="-113" w:type="dxa"/>
            </w:tcMar>
          </w:tcPr>
          <w:p w14:paraId="25681D10" w14:textId="77777777" w:rsidR="00CB0062" w:rsidRDefault="00CB0062" w:rsidP="00223E56">
            <w:pPr>
              <w:rPr>
                <w:color w:val="000000"/>
                <w:sz w:val="16"/>
                <w:szCs w:val="16"/>
              </w:rPr>
            </w:pPr>
            <w:r>
              <w:rPr>
                <w:color w:val="000000"/>
                <w:sz w:val="16"/>
                <w:szCs w:val="16"/>
              </w:rPr>
              <w:t>A&gt;</w:t>
            </w:r>
            <w:proofErr w:type="gramStart"/>
            <w:r>
              <w:rPr>
                <w:color w:val="000000"/>
                <w:sz w:val="16"/>
                <w:szCs w:val="16"/>
              </w:rPr>
              <w:t>C,G</w:t>
            </w:r>
            <w:proofErr w:type="gramEnd"/>
            <w:r>
              <w:rPr>
                <w:color w:val="000000"/>
                <w:sz w:val="16"/>
                <w:szCs w:val="16"/>
              </w:rPr>
              <w:t>,T</w:t>
            </w:r>
          </w:p>
        </w:tc>
        <w:tc>
          <w:tcPr>
            <w:tcW w:w="1701" w:type="dxa"/>
            <w:vMerge w:val="restart"/>
            <w:tcBorders>
              <w:top w:val="single" w:sz="4" w:space="0" w:color="D0CECE"/>
              <w:bottom w:val="single" w:sz="4" w:space="0" w:color="D0CECE"/>
            </w:tcBorders>
            <w:tcMar>
              <w:top w:w="-113" w:type="dxa"/>
              <w:left w:w="-113" w:type="dxa"/>
              <w:bottom w:w="-113" w:type="dxa"/>
              <w:right w:w="-113" w:type="dxa"/>
            </w:tcMar>
          </w:tcPr>
          <w:p w14:paraId="262FA463" w14:textId="77777777" w:rsidR="00CB0062" w:rsidRDefault="00CB0062" w:rsidP="00223E56">
            <w:pPr>
              <w:rPr>
                <w:color w:val="000000"/>
                <w:sz w:val="16"/>
                <w:szCs w:val="16"/>
              </w:rPr>
            </w:pPr>
            <w:r>
              <w:rPr>
                <w:color w:val="000000"/>
                <w:sz w:val="16"/>
                <w:szCs w:val="16"/>
              </w:rPr>
              <w:t>Noncoding transcript variant</w:t>
            </w:r>
          </w:p>
        </w:tc>
        <w:tc>
          <w:tcPr>
            <w:tcW w:w="708" w:type="dxa"/>
            <w:tcBorders>
              <w:top w:val="single" w:sz="4" w:space="0" w:color="D0CECE"/>
              <w:bottom w:val="single" w:sz="4" w:space="0" w:color="D0CECE"/>
            </w:tcBorders>
            <w:tcMar>
              <w:top w:w="-113" w:type="dxa"/>
              <w:left w:w="-113" w:type="dxa"/>
              <w:bottom w:w="-113" w:type="dxa"/>
              <w:right w:w="-113" w:type="dxa"/>
            </w:tcMar>
          </w:tcPr>
          <w:p w14:paraId="0CC23EF0" w14:textId="77777777" w:rsidR="00CB0062" w:rsidRDefault="00CB0062" w:rsidP="00223E56">
            <w:pPr>
              <w:rPr>
                <w:color w:val="000000"/>
                <w:sz w:val="16"/>
                <w:szCs w:val="16"/>
              </w:rPr>
            </w:pPr>
            <w:r>
              <w:rPr>
                <w:color w:val="000000"/>
                <w:sz w:val="16"/>
                <w:szCs w:val="16"/>
              </w:rPr>
              <w:t>BP</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12F52FEB" w14:textId="77777777" w:rsidR="00CB0062" w:rsidRDefault="00CB0062" w:rsidP="00223E56">
            <w:pPr>
              <w:rPr>
                <w:color w:val="000000"/>
                <w:sz w:val="16"/>
                <w:szCs w:val="16"/>
              </w:rPr>
            </w:pPr>
            <w:r>
              <w:rPr>
                <w:sz w:val="16"/>
                <w:szCs w:val="16"/>
              </w:rPr>
              <w:t xml:space="preserve">Farzan </w:t>
            </w:r>
            <w:r>
              <w:rPr>
                <w:i/>
                <w:sz w:val="16"/>
                <w:szCs w:val="16"/>
              </w:rPr>
              <w:t>et al.</w:t>
            </w:r>
            <w:r>
              <w:rPr>
                <w:sz w:val="16"/>
                <w:szCs w:val="16"/>
              </w:rPr>
              <w:t xml:space="preserve"> 2016</w:t>
            </w:r>
          </w:p>
        </w:tc>
      </w:tr>
      <w:tr w:rsidR="00CB0062" w:rsidRPr="0030321B" w14:paraId="0E092CC0" w14:textId="77777777" w:rsidTr="00923C73">
        <w:trPr>
          <w:trHeight w:val="317"/>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F5B217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61EDCE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590D05C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tcMar>
              <w:top w:w="-113" w:type="dxa"/>
              <w:left w:w="-113" w:type="dxa"/>
              <w:bottom w:w="-113" w:type="dxa"/>
              <w:right w:w="-113" w:type="dxa"/>
            </w:tcMar>
          </w:tcPr>
          <w:p w14:paraId="63A43D5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tcMar>
              <w:top w:w="-113" w:type="dxa"/>
              <w:left w:w="-113" w:type="dxa"/>
              <w:bottom w:w="-113" w:type="dxa"/>
              <w:right w:w="-113" w:type="dxa"/>
            </w:tcMar>
          </w:tcPr>
          <w:p w14:paraId="2ED1674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vMerge w:val="restart"/>
            <w:tcBorders>
              <w:top w:val="single" w:sz="4" w:space="0" w:color="D0CECE"/>
              <w:bottom w:val="single" w:sz="4" w:space="0" w:color="D0CECE"/>
            </w:tcBorders>
            <w:tcMar>
              <w:top w:w="-113" w:type="dxa"/>
              <w:left w:w="-113" w:type="dxa"/>
              <w:bottom w:w="-113" w:type="dxa"/>
              <w:right w:w="-113" w:type="dxa"/>
            </w:tcMar>
          </w:tcPr>
          <w:p w14:paraId="3274E01F" w14:textId="77777777" w:rsidR="00CB0062" w:rsidRDefault="00CB0062" w:rsidP="00223E56">
            <w:pPr>
              <w:rPr>
                <w:sz w:val="16"/>
                <w:szCs w:val="16"/>
              </w:rPr>
            </w:pPr>
            <w:r>
              <w:rPr>
                <w:color w:val="000000"/>
                <w:sz w:val="16"/>
                <w:szCs w:val="16"/>
              </w:rPr>
              <w:t>CVD</w:t>
            </w:r>
          </w:p>
          <w:p w14:paraId="48C6D55C" w14:textId="77777777" w:rsidR="00CB0062" w:rsidRDefault="00CB0062" w:rsidP="00223E56">
            <w:pPr>
              <w:rPr>
                <w:sz w:val="16"/>
                <w:szCs w:val="16"/>
              </w:rPr>
            </w:pPr>
            <w:r>
              <w:rPr>
                <w:sz w:val="16"/>
                <w:szCs w:val="16"/>
              </w:rPr>
              <w:t>CIMT</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EF40AEF" w14:textId="77777777" w:rsidR="00CB0062" w:rsidRPr="00641BD3" w:rsidRDefault="00CB0062" w:rsidP="00223E56">
            <w:pPr>
              <w:rPr>
                <w:color w:val="000000"/>
                <w:sz w:val="16"/>
                <w:szCs w:val="16"/>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43542480" w14:textId="77777777" w:rsidR="00CB0062" w:rsidRPr="00641BD3" w:rsidRDefault="00CB0062" w:rsidP="00223E56">
            <w:pPr>
              <w:rPr>
                <w:color w:val="000000"/>
                <w:sz w:val="16"/>
                <w:szCs w:val="16"/>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tc>
      </w:tr>
      <w:tr w:rsidR="00CB0062" w14:paraId="2C6694DD"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1068AF5"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30D9E3D"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7C7C5DB4" w14:textId="77777777" w:rsidR="00CB0062" w:rsidRDefault="00CB0062" w:rsidP="00223E56">
            <w:pPr>
              <w:rPr>
                <w:color w:val="000000"/>
                <w:sz w:val="16"/>
                <w:szCs w:val="16"/>
              </w:rPr>
            </w:pPr>
            <w:r>
              <w:rPr>
                <w:color w:val="000000"/>
                <w:sz w:val="16"/>
                <w:szCs w:val="16"/>
              </w:rPr>
              <w:t>rs7276016</w:t>
            </w:r>
          </w:p>
        </w:tc>
        <w:tc>
          <w:tcPr>
            <w:tcW w:w="851" w:type="dxa"/>
            <w:tcBorders>
              <w:top w:val="single" w:sz="4" w:space="0" w:color="D0CECE"/>
              <w:bottom w:val="single" w:sz="4" w:space="0" w:color="D0CECE"/>
            </w:tcBorders>
            <w:tcMar>
              <w:top w:w="-113" w:type="dxa"/>
              <w:left w:w="-113" w:type="dxa"/>
              <w:bottom w:w="-113" w:type="dxa"/>
              <w:right w:w="-113" w:type="dxa"/>
            </w:tcMar>
          </w:tcPr>
          <w:p w14:paraId="4A23B089" w14:textId="77777777" w:rsidR="00CB0062" w:rsidRDefault="00CB0062" w:rsidP="00223E56">
            <w:pPr>
              <w:rPr>
                <w:color w:val="000000"/>
                <w:sz w:val="16"/>
                <w:szCs w:val="16"/>
              </w:rPr>
            </w:pPr>
            <w:r>
              <w:rPr>
                <w:color w:val="000000"/>
                <w:sz w:val="16"/>
                <w:szCs w:val="16"/>
              </w:rPr>
              <w:t>G&gt;A</w:t>
            </w:r>
          </w:p>
        </w:tc>
        <w:tc>
          <w:tcPr>
            <w:tcW w:w="1701" w:type="dxa"/>
            <w:tcBorders>
              <w:top w:val="single" w:sz="4" w:space="0" w:color="D0CECE"/>
              <w:bottom w:val="single" w:sz="4" w:space="0" w:color="D0CECE"/>
            </w:tcBorders>
            <w:tcMar>
              <w:top w:w="-113" w:type="dxa"/>
              <w:left w:w="-113" w:type="dxa"/>
              <w:bottom w:w="-113" w:type="dxa"/>
              <w:right w:w="-113" w:type="dxa"/>
            </w:tcMar>
          </w:tcPr>
          <w:p w14:paraId="5638520F"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49B0DE9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215747B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323CF1CD"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669BF4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1DBA3D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722A4167" w14:textId="77777777" w:rsidR="00CB0062" w:rsidRDefault="00CB0062" w:rsidP="00223E56">
            <w:pPr>
              <w:rPr>
                <w:color w:val="000000"/>
                <w:sz w:val="16"/>
                <w:szCs w:val="16"/>
              </w:rPr>
            </w:pPr>
            <w:r>
              <w:rPr>
                <w:color w:val="000000"/>
                <w:sz w:val="16"/>
                <w:szCs w:val="16"/>
              </w:rPr>
              <w:t>rs760124</w:t>
            </w:r>
          </w:p>
        </w:tc>
        <w:tc>
          <w:tcPr>
            <w:tcW w:w="851" w:type="dxa"/>
            <w:tcBorders>
              <w:top w:val="single" w:sz="4" w:space="0" w:color="D0CECE"/>
              <w:bottom w:val="single" w:sz="4" w:space="0" w:color="D0CECE"/>
            </w:tcBorders>
            <w:tcMar>
              <w:top w:w="-113" w:type="dxa"/>
              <w:left w:w="-113" w:type="dxa"/>
              <w:bottom w:w="-113" w:type="dxa"/>
              <w:right w:w="-113" w:type="dxa"/>
            </w:tcMar>
          </w:tcPr>
          <w:p w14:paraId="5A1C10BD" w14:textId="77777777" w:rsidR="00CB0062" w:rsidRDefault="00CB0062" w:rsidP="00223E56">
            <w:pPr>
              <w:rPr>
                <w:color w:val="000000"/>
                <w:sz w:val="16"/>
                <w:szCs w:val="16"/>
              </w:rPr>
            </w:pPr>
            <w:r>
              <w:rPr>
                <w:color w:val="000000"/>
                <w:sz w:val="16"/>
                <w:szCs w:val="16"/>
              </w:rPr>
              <w:t>T&gt;C</w:t>
            </w:r>
          </w:p>
        </w:tc>
        <w:tc>
          <w:tcPr>
            <w:tcW w:w="1701" w:type="dxa"/>
            <w:tcBorders>
              <w:top w:val="single" w:sz="4" w:space="0" w:color="D0CECE"/>
              <w:bottom w:val="single" w:sz="4" w:space="0" w:color="D0CECE"/>
            </w:tcBorders>
            <w:tcMar>
              <w:top w:w="-113" w:type="dxa"/>
              <w:left w:w="-113" w:type="dxa"/>
              <w:bottom w:w="-113" w:type="dxa"/>
              <w:right w:w="-113" w:type="dxa"/>
            </w:tcMar>
          </w:tcPr>
          <w:p w14:paraId="01BB1A53"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01ED98B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1307EDD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477CAFDD"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715125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E6E801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6034F614" w14:textId="77777777" w:rsidR="00CB0062" w:rsidRDefault="00CB0062" w:rsidP="00223E56">
            <w:pPr>
              <w:rPr>
                <w:color w:val="000000"/>
                <w:sz w:val="16"/>
                <w:szCs w:val="16"/>
              </w:rPr>
            </w:pPr>
            <w:r>
              <w:rPr>
                <w:color w:val="000000"/>
                <w:sz w:val="16"/>
                <w:szCs w:val="16"/>
              </w:rPr>
              <w:t>rs8131163</w:t>
            </w:r>
          </w:p>
        </w:tc>
        <w:tc>
          <w:tcPr>
            <w:tcW w:w="851" w:type="dxa"/>
            <w:tcBorders>
              <w:top w:val="single" w:sz="4" w:space="0" w:color="D0CECE"/>
              <w:bottom w:val="single" w:sz="4" w:space="0" w:color="D0CECE"/>
            </w:tcBorders>
            <w:tcMar>
              <w:top w:w="-113" w:type="dxa"/>
              <w:left w:w="-113" w:type="dxa"/>
              <w:bottom w:w="-113" w:type="dxa"/>
              <w:right w:w="-113" w:type="dxa"/>
            </w:tcMar>
          </w:tcPr>
          <w:p w14:paraId="6AD1438A" w14:textId="77777777" w:rsidR="00CB0062" w:rsidRDefault="00CB0062" w:rsidP="00223E56">
            <w:pPr>
              <w:rPr>
                <w:color w:val="000000"/>
                <w:sz w:val="16"/>
                <w:szCs w:val="16"/>
              </w:rPr>
            </w:pPr>
            <w:r>
              <w:rPr>
                <w:color w:val="000000"/>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79190302" w14:textId="77777777" w:rsidR="00CB0062" w:rsidRDefault="00CB0062" w:rsidP="00223E56">
            <w:pPr>
              <w:rPr>
                <w:color w:val="000000"/>
                <w:sz w:val="16"/>
                <w:szCs w:val="16"/>
              </w:rPr>
            </w:pPr>
            <w:r>
              <w:rPr>
                <w:color w:val="000000"/>
                <w:sz w:val="16"/>
                <w:szCs w:val="16"/>
              </w:rPr>
              <w:t>Missense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4F9569E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320D68D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29FBDC49"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573995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ECF43B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066003A" w14:textId="77777777" w:rsidR="00CB0062" w:rsidRDefault="00CB0062" w:rsidP="00223E56">
            <w:pPr>
              <w:rPr>
                <w:color w:val="000000"/>
                <w:sz w:val="16"/>
                <w:szCs w:val="16"/>
              </w:rPr>
            </w:pPr>
            <w:r>
              <w:rPr>
                <w:color w:val="000000"/>
                <w:sz w:val="16"/>
                <w:szCs w:val="16"/>
              </w:rPr>
              <w:t>rs8132811</w:t>
            </w:r>
          </w:p>
        </w:tc>
        <w:tc>
          <w:tcPr>
            <w:tcW w:w="851" w:type="dxa"/>
            <w:tcBorders>
              <w:top w:val="single" w:sz="4" w:space="0" w:color="D0CECE"/>
              <w:bottom w:val="single" w:sz="4" w:space="0" w:color="D0CECE"/>
            </w:tcBorders>
            <w:tcMar>
              <w:top w:w="-113" w:type="dxa"/>
              <w:left w:w="-113" w:type="dxa"/>
              <w:bottom w:w="-113" w:type="dxa"/>
              <w:right w:w="-113" w:type="dxa"/>
            </w:tcMar>
          </w:tcPr>
          <w:p w14:paraId="242379C1" w14:textId="77777777" w:rsidR="00CB0062" w:rsidRDefault="00CB0062" w:rsidP="00223E56">
            <w:pPr>
              <w:rPr>
                <w:color w:val="000000"/>
                <w:sz w:val="16"/>
                <w:szCs w:val="16"/>
              </w:rPr>
            </w:pPr>
            <w:r>
              <w:rPr>
                <w:color w:val="000000"/>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00029BF0"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7F24E9D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462C3BB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1F0DF21E"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E3E993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2888B6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B58BFA4" w14:textId="77777777" w:rsidR="00CB0062" w:rsidRDefault="00CB0062" w:rsidP="00223E56">
            <w:pPr>
              <w:rPr>
                <w:color w:val="000000"/>
                <w:sz w:val="16"/>
                <w:szCs w:val="16"/>
              </w:rPr>
            </w:pPr>
            <w:r>
              <w:rPr>
                <w:color w:val="000000"/>
                <w:sz w:val="16"/>
                <w:szCs w:val="16"/>
              </w:rPr>
              <w:t>rs9978863</w:t>
            </w:r>
          </w:p>
        </w:tc>
        <w:tc>
          <w:tcPr>
            <w:tcW w:w="851" w:type="dxa"/>
            <w:tcBorders>
              <w:top w:val="single" w:sz="4" w:space="0" w:color="D0CECE"/>
              <w:bottom w:val="single" w:sz="4" w:space="0" w:color="D0CECE"/>
            </w:tcBorders>
            <w:tcMar>
              <w:top w:w="-113" w:type="dxa"/>
              <w:left w:w="-113" w:type="dxa"/>
              <w:bottom w:w="-113" w:type="dxa"/>
              <w:right w:w="-113" w:type="dxa"/>
            </w:tcMar>
          </w:tcPr>
          <w:p w14:paraId="26BCCC86" w14:textId="77777777" w:rsidR="00CB0062" w:rsidRDefault="00CB0062" w:rsidP="00223E56">
            <w:pPr>
              <w:rPr>
                <w:color w:val="000000"/>
                <w:sz w:val="16"/>
                <w:szCs w:val="16"/>
              </w:rPr>
            </w:pPr>
            <w:r>
              <w:rPr>
                <w:color w:val="000000"/>
                <w:sz w:val="16"/>
                <w:szCs w:val="16"/>
              </w:rPr>
              <w:t>G&gt;</w:t>
            </w:r>
            <w:proofErr w:type="gramStart"/>
            <w:r>
              <w:rPr>
                <w:color w:val="000000"/>
                <w:sz w:val="16"/>
                <w:szCs w:val="16"/>
              </w:rPr>
              <w:t>A,T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33FF0846" w14:textId="77777777" w:rsidR="00CB0062" w:rsidRDefault="00CB0062" w:rsidP="00223E56">
            <w:pPr>
              <w:rPr>
                <w:color w:val="000000"/>
                <w:sz w:val="16"/>
                <w:szCs w:val="16"/>
              </w:rPr>
            </w:pPr>
            <w:r>
              <w:rPr>
                <w:color w:val="000000"/>
                <w:sz w:val="16"/>
                <w:szCs w:val="16"/>
              </w:rPr>
              <w:t>Noncoding transcript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59ED25D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79D2979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6CF9E00E"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50E2B3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B9C86F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7EF19A99" w14:textId="77777777" w:rsidR="00CB0062" w:rsidRDefault="00CB0062" w:rsidP="00223E56">
            <w:pPr>
              <w:rPr>
                <w:color w:val="000000"/>
                <w:sz w:val="16"/>
                <w:szCs w:val="16"/>
              </w:rPr>
            </w:pPr>
            <w:r>
              <w:rPr>
                <w:color w:val="000000"/>
                <w:sz w:val="16"/>
                <w:szCs w:val="16"/>
              </w:rPr>
              <w:t>rs9982015</w:t>
            </w:r>
          </w:p>
        </w:tc>
        <w:tc>
          <w:tcPr>
            <w:tcW w:w="851" w:type="dxa"/>
            <w:tcBorders>
              <w:top w:val="single" w:sz="4" w:space="0" w:color="D0CECE"/>
              <w:bottom w:val="single" w:sz="4" w:space="0" w:color="D0CECE"/>
            </w:tcBorders>
            <w:tcMar>
              <w:top w:w="-113" w:type="dxa"/>
              <w:left w:w="-113" w:type="dxa"/>
              <w:bottom w:w="-113" w:type="dxa"/>
              <w:right w:w="-113" w:type="dxa"/>
            </w:tcMar>
          </w:tcPr>
          <w:p w14:paraId="15C4D1A0" w14:textId="77777777" w:rsidR="00CB0062" w:rsidRDefault="00CB0062" w:rsidP="00223E56">
            <w:pPr>
              <w:rPr>
                <w:color w:val="000000"/>
                <w:sz w:val="16"/>
                <w:szCs w:val="16"/>
              </w:rPr>
            </w:pPr>
            <w:r>
              <w:rPr>
                <w:color w:val="000000"/>
                <w:sz w:val="16"/>
                <w:szCs w:val="16"/>
              </w:rPr>
              <w:t>T&gt;</w:t>
            </w:r>
            <w:proofErr w:type="gramStart"/>
            <w:r>
              <w:rPr>
                <w:color w:val="000000"/>
                <w:sz w:val="16"/>
                <w:szCs w:val="16"/>
              </w:rPr>
              <w:t>A,C</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3AAAAC22"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409A795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12E6C3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327D40F1"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91558C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2FB612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10CAB1A5" w14:textId="77777777" w:rsidR="00CB0062" w:rsidRDefault="00CB0062" w:rsidP="00223E56">
            <w:pPr>
              <w:rPr>
                <w:sz w:val="16"/>
                <w:szCs w:val="16"/>
              </w:rPr>
            </w:pPr>
            <w:r>
              <w:rPr>
                <w:color w:val="000000"/>
                <w:sz w:val="16"/>
                <w:szCs w:val="16"/>
              </w:rPr>
              <w:t>rs9983620</w:t>
            </w:r>
          </w:p>
          <w:p w14:paraId="4B0DBB51" w14:textId="77777777" w:rsidR="00CB0062" w:rsidRDefault="00CB0062" w:rsidP="00223E56">
            <w:pPr>
              <w:rPr>
                <w:sz w:val="16"/>
                <w:szCs w:val="16"/>
              </w:rPr>
            </w:pPr>
          </w:p>
        </w:tc>
        <w:tc>
          <w:tcPr>
            <w:tcW w:w="851" w:type="dxa"/>
            <w:vMerge w:val="restart"/>
            <w:tcBorders>
              <w:top w:val="single" w:sz="4" w:space="0" w:color="D0CECE"/>
              <w:bottom w:val="single" w:sz="4" w:space="0" w:color="D0CECE"/>
            </w:tcBorders>
            <w:tcMar>
              <w:top w:w="-113" w:type="dxa"/>
              <w:left w:w="-113" w:type="dxa"/>
              <w:bottom w:w="-113" w:type="dxa"/>
              <w:right w:w="-113" w:type="dxa"/>
            </w:tcMar>
          </w:tcPr>
          <w:p w14:paraId="68D7EAFD" w14:textId="77777777" w:rsidR="00CB0062" w:rsidRDefault="00CB0062" w:rsidP="00223E56">
            <w:pPr>
              <w:rPr>
                <w:color w:val="000000"/>
                <w:sz w:val="16"/>
                <w:szCs w:val="16"/>
              </w:rPr>
            </w:pPr>
            <w:r>
              <w:rPr>
                <w:color w:val="000000"/>
                <w:sz w:val="16"/>
                <w:szCs w:val="16"/>
              </w:rPr>
              <w:t>A&gt;G</w:t>
            </w:r>
          </w:p>
        </w:tc>
        <w:tc>
          <w:tcPr>
            <w:tcW w:w="1701" w:type="dxa"/>
            <w:vMerge w:val="restart"/>
            <w:tcBorders>
              <w:top w:val="single" w:sz="4" w:space="0" w:color="D0CECE"/>
              <w:bottom w:val="single" w:sz="4" w:space="0" w:color="D0CECE"/>
            </w:tcBorders>
            <w:tcMar>
              <w:top w:w="-113" w:type="dxa"/>
              <w:left w:w="-113" w:type="dxa"/>
              <w:bottom w:w="-113" w:type="dxa"/>
              <w:right w:w="-113" w:type="dxa"/>
            </w:tcMar>
          </w:tcPr>
          <w:p w14:paraId="3E5EE093" w14:textId="77777777" w:rsidR="00CB0062" w:rsidRDefault="00CB0062" w:rsidP="00223E56">
            <w:pPr>
              <w:rPr>
                <w:color w:val="000000"/>
                <w:sz w:val="16"/>
                <w:szCs w:val="16"/>
              </w:rPr>
            </w:pPr>
            <w:r>
              <w:rPr>
                <w:color w:val="000000"/>
                <w:sz w:val="16"/>
                <w:szCs w:val="16"/>
              </w:rPr>
              <w:t>Intron variant</w:t>
            </w:r>
          </w:p>
        </w:tc>
        <w:tc>
          <w:tcPr>
            <w:tcW w:w="708" w:type="dxa"/>
            <w:tcBorders>
              <w:top w:val="single" w:sz="4" w:space="0" w:color="D0CECE"/>
              <w:bottom w:val="single" w:sz="4" w:space="0" w:color="D0CECE"/>
            </w:tcBorders>
            <w:tcMar>
              <w:top w:w="-113" w:type="dxa"/>
              <w:left w:w="-113" w:type="dxa"/>
              <w:bottom w:w="-113" w:type="dxa"/>
              <w:right w:w="-113" w:type="dxa"/>
            </w:tcMar>
          </w:tcPr>
          <w:p w14:paraId="58DA3A1F" w14:textId="77777777" w:rsidR="00CB0062" w:rsidRDefault="00CB0062" w:rsidP="00223E56">
            <w:pPr>
              <w:rPr>
                <w:color w:val="000000"/>
                <w:sz w:val="16"/>
                <w:szCs w:val="16"/>
              </w:rPr>
            </w:pPr>
            <w:r>
              <w:rPr>
                <w:color w:val="000000"/>
                <w:sz w:val="16"/>
                <w:szCs w:val="16"/>
              </w:rPr>
              <w:t>BP</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46F4A57B" w14:textId="77777777" w:rsidR="00CB0062" w:rsidRDefault="00CB0062" w:rsidP="00223E56">
            <w:pPr>
              <w:rPr>
                <w:color w:val="000000"/>
                <w:sz w:val="16"/>
                <w:szCs w:val="16"/>
              </w:rPr>
            </w:pPr>
            <w:r>
              <w:rPr>
                <w:sz w:val="16"/>
                <w:szCs w:val="16"/>
              </w:rPr>
              <w:t xml:space="preserve">Farzan </w:t>
            </w:r>
            <w:r>
              <w:rPr>
                <w:i/>
                <w:sz w:val="16"/>
                <w:szCs w:val="16"/>
              </w:rPr>
              <w:t>et al.</w:t>
            </w:r>
            <w:r>
              <w:rPr>
                <w:sz w:val="16"/>
                <w:szCs w:val="16"/>
              </w:rPr>
              <w:t xml:space="preserve"> 2016</w:t>
            </w:r>
          </w:p>
        </w:tc>
      </w:tr>
      <w:tr w:rsidR="00CB0062" w:rsidRPr="0030321B" w14:paraId="0A05807C"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A312E8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BD3984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1F850F4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tcMar>
              <w:top w:w="-113" w:type="dxa"/>
              <w:left w:w="-113" w:type="dxa"/>
              <w:bottom w:w="-113" w:type="dxa"/>
              <w:right w:w="-113" w:type="dxa"/>
            </w:tcMar>
          </w:tcPr>
          <w:p w14:paraId="4EA878A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tcMar>
              <w:top w:w="-113" w:type="dxa"/>
              <w:left w:w="-113" w:type="dxa"/>
              <w:bottom w:w="-113" w:type="dxa"/>
              <w:right w:w="-113" w:type="dxa"/>
            </w:tcMar>
          </w:tcPr>
          <w:p w14:paraId="30287DC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tcBorders>
              <w:top w:val="single" w:sz="4" w:space="0" w:color="D0CECE"/>
              <w:bottom w:val="single" w:sz="4" w:space="0" w:color="000000"/>
            </w:tcBorders>
            <w:tcMar>
              <w:top w:w="-113" w:type="dxa"/>
              <w:left w:w="-113" w:type="dxa"/>
              <w:bottom w:w="-113" w:type="dxa"/>
              <w:right w:w="-113" w:type="dxa"/>
            </w:tcMar>
          </w:tcPr>
          <w:p w14:paraId="1C6ED5A0" w14:textId="77777777" w:rsidR="00CB0062" w:rsidRDefault="00CB0062" w:rsidP="00223E56">
            <w:pPr>
              <w:rPr>
                <w:color w:val="000000"/>
                <w:sz w:val="16"/>
                <w:szCs w:val="16"/>
              </w:rPr>
            </w:pPr>
            <w:r>
              <w:rPr>
                <w:color w:val="000000"/>
                <w:sz w:val="16"/>
                <w:szCs w:val="16"/>
              </w:rPr>
              <w:t>CVD</w:t>
            </w:r>
          </w:p>
          <w:p w14:paraId="63061EC9" w14:textId="77777777" w:rsidR="00CB0062" w:rsidRDefault="00CB0062" w:rsidP="00223E56">
            <w:pPr>
              <w:rPr>
                <w:sz w:val="16"/>
                <w:szCs w:val="16"/>
              </w:rPr>
            </w:pPr>
            <w:r>
              <w:rPr>
                <w:sz w:val="16"/>
                <w:szCs w:val="16"/>
              </w:rPr>
              <w:t>CIMT</w:t>
            </w:r>
          </w:p>
        </w:tc>
        <w:tc>
          <w:tcPr>
            <w:tcW w:w="1838" w:type="dxa"/>
            <w:tcBorders>
              <w:top w:val="single" w:sz="4" w:space="0" w:color="D0CECE"/>
              <w:bottom w:val="single" w:sz="4" w:space="0" w:color="000000"/>
              <w:right w:val="single" w:sz="4" w:space="0" w:color="000000" w:themeColor="text1"/>
            </w:tcBorders>
            <w:tcMar>
              <w:top w:w="-113" w:type="dxa"/>
              <w:left w:w="-113" w:type="dxa"/>
              <w:bottom w:w="-113" w:type="dxa"/>
              <w:right w:w="-113" w:type="dxa"/>
            </w:tcMar>
          </w:tcPr>
          <w:p w14:paraId="7CD7DFAE"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00AD0E2D"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tc>
      </w:tr>
      <w:tr w:rsidR="00CB0062" w14:paraId="13266F7B"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01EC801" w14:textId="77777777" w:rsidR="00CB0062" w:rsidRDefault="00CB0062" w:rsidP="00223E56">
            <w:pPr>
              <w:rPr>
                <w:i/>
                <w:color w:val="000000"/>
                <w:sz w:val="16"/>
                <w:szCs w:val="16"/>
              </w:rPr>
            </w:pPr>
            <w:r>
              <w:rPr>
                <w:i/>
                <w:color w:val="000000"/>
                <w:sz w:val="16"/>
                <w:szCs w:val="16"/>
                <w:highlight w:val="white"/>
              </w:rPr>
              <w:t>CCM3</w:t>
            </w:r>
          </w:p>
          <w:p w14:paraId="07EB7AC3"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FD142FF" w14:textId="77777777" w:rsidR="00CB0062" w:rsidRDefault="00CB0062" w:rsidP="00223E56">
            <w:pPr>
              <w:rPr>
                <w:color w:val="000000"/>
                <w:sz w:val="16"/>
                <w:szCs w:val="16"/>
              </w:rPr>
            </w:pPr>
            <w:r>
              <w:rPr>
                <w:color w:val="000000"/>
                <w:sz w:val="16"/>
                <w:szCs w:val="16"/>
                <w:highlight w:val="white"/>
              </w:rPr>
              <w:t>Programmed cell death protein 10</w:t>
            </w:r>
          </w:p>
          <w:p w14:paraId="4A042304" w14:textId="77777777" w:rsidR="00CB0062" w:rsidRDefault="00CB0062" w:rsidP="00223E56">
            <w:pPr>
              <w:rPr>
                <w:color w:val="000000"/>
                <w:sz w:val="16"/>
                <w:szCs w:val="16"/>
              </w:rPr>
            </w:pP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1BC0219A" w14:textId="77777777" w:rsidR="00CB0062" w:rsidRDefault="00CB0062" w:rsidP="00223E56">
            <w:pPr>
              <w:rPr>
                <w:color w:val="000000"/>
                <w:sz w:val="16"/>
                <w:szCs w:val="16"/>
              </w:rPr>
            </w:pPr>
            <w:r>
              <w:rPr>
                <w:color w:val="000000"/>
                <w:sz w:val="16"/>
                <w:szCs w:val="16"/>
                <w:highlight w:val="white"/>
              </w:rPr>
              <w:t>rs3804610</w:t>
            </w:r>
          </w:p>
        </w:tc>
        <w:tc>
          <w:tcPr>
            <w:tcW w:w="851" w:type="dxa"/>
            <w:tcBorders>
              <w:top w:val="single" w:sz="4" w:space="0" w:color="000000"/>
              <w:bottom w:val="single" w:sz="4" w:space="0" w:color="D0CECE"/>
            </w:tcBorders>
            <w:tcMar>
              <w:top w:w="-113" w:type="dxa"/>
              <w:left w:w="-113" w:type="dxa"/>
              <w:bottom w:w="-113" w:type="dxa"/>
              <w:right w:w="-113" w:type="dxa"/>
            </w:tcMar>
          </w:tcPr>
          <w:p w14:paraId="34D5DFEC" w14:textId="77777777" w:rsidR="00CB0062" w:rsidRDefault="00CB0062" w:rsidP="00223E56">
            <w:pPr>
              <w:rPr>
                <w:color w:val="000000"/>
                <w:sz w:val="16"/>
                <w:szCs w:val="16"/>
              </w:rPr>
            </w:pPr>
            <w:r>
              <w:rPr>
                <w:color w:val="000000"/>
                <w:sz w:val="16"/>
                <w:szCs w:val="16"/>
              </w:rPr>
              <w:t>T&gt;C</w:t>
            </w:r>
          </w:p>
        </w:tc>
        <w:tc>
          <w:tcPr>
            <w:tcW w:w="1701" w:type="dxa"/>
            <w:tcBorders>
              <w:top w:val="single" w:sz="4" w:space="0" w:color="000000"/>
              <w:bottom w:val="single" w:sz="4" w:space="0" w:color="D0CECE"/>
            </w:tcBorders>
            <w:tcMar>
              <w:top w:w="-113" w:type="dxa"/>
              <w:left w:w="-113" w:type="dxa"/>
              <w:bottom w:w="-113" w:type="dxa"/>
              <w:right w:w="-113" w:type="dxa"/>
            </w:tcMar>
          </w:tcPr>
          <w:p w14:paraId="0BFC2572" w14:textId="77777777" w:rsidR="00CB0062" w:rsidRDefault="00CB0062" w:rsidP="00223E56">
            <w:pPr>
              <w:rPr>
                <w:color w:val="000000"/>
                <w:sz w:val="16"/>
                <w:szCs w:val="16"/>
              </w:rPr>
            </w:pPr>
            <w:r>
              <w:rPr>
                <w:color w:val="000000"/>
                <w:sz w:val="16"/>
                <w:szCs w:val="16"/>
              </w:rPr>
              <w:t>Intron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63354F8B" w14:textId="77777777" w:rsidR="00CB0062" w:rsidRDefault="00CB0062" w:rsidP="00223E56">
            <w:pPr>
              <w:rPr>
                <w:sz w:val="16"/>
                <w:szCs w:val="16"/>
              </w:rPr>
            </w:pPr>
            <w:r>
              <w:rPr>
                <w:color w:val="000000"/>
                <w:sz w:val="16"/>
                <w:szCs w:val="16"/>
              </w:rPr>
              <w:t>BP</w:t>
            </w:r>
          </w:p>
          <w:p w14:paraId="0F396C21" w14:textId="77777777" w:rsidR="00CB0062" w:rsidRDefault="00CB0062" w:rsidP="00223E56">
            <w:pPr>
              <w:rPr>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28F5DF4B" w14:textId="77777777" w:rsidR="00CB0062" w:rsidRDefault="00CB0062" w:rsidP="00223E56">
            <w:pPr>
              <w:rPr>
                <w:color w:val="000000"/>
                <w:sz w:val="16"/>
                <w:szCs w:val="16"/>
              </w:rPr>
            </w:pPr>
            <w:r>
              <w:rPr>
                <w:color w:val="000000"/>
                <w:sz w:val="16"/>
                <w:szCs w:val="16"/>
              </w:rPr>
              <w:t xml:space="preserve">Gao </w:t>
            </w:r>
            <w:r>
              <w:rPr>
                <w:i/>
                <w:color w:val="000000"/>
                <w:sz w:val="16"/>
                <w:szCs w:val="16"/>
              </w:rPr>
              <w:t>et al.</w:t>
            </w:r>
            <w:r>
              <w:rPr>
                <w:color w:val="000000"/>
                <w:sz w:val="16"/>
                <w:szCs w:val="16"/>
              </w:rPr>
              <w:t xml:space="preserve"> 2018</w:t>
            </w:r>
          </w:p>
          <w:p w14:paraId="7B8407A6" w14:textId="77777777" w:rsidR="00CB0062" w:rsidRDefault="00CB0062" w:rsidP="00223E56">
            <w:pPr>
              <w:rPr>
                <w:color w:val="000000"/>
                <w:sz w:val="16"/>
                <w:szCs w:val="16"/>
              </w:rPr>
            </w:pPr>
          </w:p>
        </w:tc>
      </w:tr>
      <w:tr w:rsidR="00CB0062" w14:paraId="7B9E0E5B"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48F850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0EFDC2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1CDD7FE3" w14:textId="77777777" w:rsidR="00CB0062" w:rsidRDefault="00CB0062" w:rsidP="00223E56">
            <w:pPr>
              <w:rPr>
                <w:color w:val="000000"/>
                <w:sz w:val="16"/>
                <w:szCs w:val="16"/>
              </w:rPr>
            </w:pPr>
            <w:r>
              <w:rPr>
                <w:color w:val="000000"/>
                <w:sz w:val="16"/>
                <w:szCs w:val="16"/>
                <w:highlight w:val="white"/>
              </w:rPr>
              <w:t>rs6784267</w:t>
            </w:r>
          </w:p>
        </w:tc>
        <w:tc>
          <w:tcPr>
            <w:tcW w:w="851" w:type="dxa"/>
            <w:tcBorders>
              <w:top w:val="single" w:sz="4" w:space="0" w:color="D0CECE"/>
              <w:bottom w:val="single" w:sz="4" w:space="0" w:color="D0CECE"/>
            </w:tcBorders>
            <w:tcMar>
              <w:top w:w="-113" w:type="dxa"/>
              <w:left w:w="-113" w:type="dxa"/>
              <w:bottom w:w="-113" w:type="dxa"/>
              <w:right w:w="-113" w:type="dxa"/>
            </w:tcMar>
          </w:tcPr>
          <w:p w14:paraId="787FF862" w14:textId="77777777" w:rsidR="00CB0062" w:rsidRDefault="00CB0062" w:rsidP="00223E56">
            <w:pPr>
              <w:rPr>
                <w:color w:val="000000"/>
                <w:sz w:val="16"/>
                <w:szCs w:val="16"/>
              </w:rPr>
            </w:pPr>
            <w:r>
              <w:rPr>
                <w:color w:val="000000"/>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6068CE65"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2FC2F03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6485C9D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05F6ADF6"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999A88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6E40DD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45F43BF0" w14:textId="77777777" w:rsidR="00CB0062" w:rsidRDefault="00CB0062" w:rsidP="00223E56">
            <w:pPr>
              <w:rPr>
                <w:color w:val="000000"/>
                <w:sz w:val="16"/>
                <w:szCs w:val="16"/>
              </w:rPr>
            </w:pPr>
            <w:r>
              <w:rPr>
                <w:color w:val="000000"/>
                <w:sz w:val="16"/>
                <w:szCs w:val="16"/>
                <w:highlight w:val="white"/>
              </w:rPr>
              <w:t>rs9818496</w:t>
            </w:r>
          </w:p>
        </w:tc>
        <w:tc>
          <w:tcPr>
            <w:tcW w:w="851" w:type="dxa"/>
            <w:tcBorders>
              <w:top w:val="single" w:sz="4" w:space="0" w:color="D0CECE"/>
              <w:bottom w:val="single" w:sz="4" w:space="0" w:color="000000"/>
            </w:tcBorders>
            <w:tcMar>
              <w:top w:w="-113" w:type="dxa"/>
              <w:left w:w="-113" w:type="dxa"/>
              <w:bottom w:w="-113" w:type="dxa"/>
              <w:right w:w="-113" w:type="dxa"/>
            </w:tcMar>
          </w:tcPr>
          <w:p w14:paraId="45AC3490" w14:textId="77777777" w:rsidR="00CB0062" w:rsidRDefault="00CB0062" w:rsidP="00223E56">
            <w:pPr>
              <w:rPr>
                <w:color w:val="000000"/>
                <w:sz w:val="16"/>
                <w:szCs w:val="16"/>
              </w:rPr>
            </w:pPr>
            <w:r>
              <w:rPr>
                <w:color w:val="000000"/>
                <w:sz w:val="16"/>
                <w:szCs w:val="16"/>
              </w:rPr>
              <w:t>C&gt;T</w:t>
            </w:r>
          </w:p>
        </w:tc>
        <w:tc>
          <w:tcPr>
            <w:tcW w:w="1701" w:type="dxa"/>
            <w:tcBorders>
              <w:top w:val="single" w:sz="4" w:space="0" w:color="D0CECE"/>
              <w:bottom w:val="single" w:sz="4" w:space="0" w:color="000000"/>
            </w:tcBorders>
            <w:tcMar>
              <w:top w:w="-113" w:type="dxa"/>
              <w:left w:w="-113" w:type="dxa"/>
              <w:bottom w:w="-113" w:type="dxa"/>
              <w:right w:w="-113" w:type="dxa"/>
            </w:tcMar>
          </w:tcPr>
          <w:p w14:paraId="7A695200"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357BB41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65B904B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1E880DDB"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37C62CC" w14:textId="77777777" w:rsidR="00CB0062" w:rsidRDefault="00CB0062" w:rsidP="00223E56">
            <w:pPr>
              <w:rPr>
                <w:i/>
                <w:color w:val="000000"/>
                <w:sz w:val="16"/>
                <w:szCs w:val="16"/>
              </w:rPr>
            </w:pPr>
            <w:r>
              <w:rPr>
                <w:i/>
                <w:color w:val="000000"/>
                <w:sz w:val="16"/>
                <w:szCs w:val="16"/>
              </w:rPr>
              <w:t>CDC123</w:t>
            </w:r>
          </w:p>
          <w:p w14:paraId="35E7214C"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EF53DBE" w14:textId="77777777" w:rsidR="00CB0062" w:rsidRDefault="00CB0062" w:rsidP="00223E56">
            <w:pPr>
              <w:rPr>
                <w:color w:val="000000"/>
                <w:sz w:val="16"/>
                <w:szCs w:val="16"/>
              </w:rPr>
            </w:pPr>
            <w:r>
              <w:rPr>
                <w:color w:val="000000"/>
                <w:sz w:val="16"/>
                <w:szCs w:val="16"/>
                <w:highlight w:val="white"/>
              </w:rPr>
              <w:t>Cell division cycle protein 123 homolog</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214E99C3" w14:textId="77777777" w:rsidR="00CB0062" w:rsidRDefault="00CB0062" w:rsidP="00223E56">
            <w:pPr>
              <w:rPr>
                <w:color w:val="000000"/>
                <w:sz w:val="16"/>
                <w:szCs w:val="16"/>
              </w:rPr>
            </w:pPr>
            <w:r>
              <w:rPr>
                <w:color w:val="000000"/>
                <w:sz w:val="16"/>
                <w:szCs w:val="16"/>
              </w:rPr>
              <w:t>rs1051055</w:t>
            </w:r>
          </w:p>
        </w:tc>
        <w:tc>
          <w:tcPr>
            <w:tcW w:w="851" w:type="dxa"/>
            <w:tcBorders>
              <w:top w:val="single" w:sz="4" w:space="0" w:color="000000"/>
              <w:bottom w:val="single" w:sz="4" w:space="0" w:color="D0CECE"/>
            </w:tcBorders>
            <w:tcMar>
              <w:top w:w="-113" w:type="dxa"/>
              <w:left w:w="-113" w:type="dxa"/>
              <w:bottom w:w="-113" w:type="dxa"/>
              <w:right w:w="-113" w:type="dxa"/>
            </w:tcMar>
          </w:tcPr>
          <w:p w14:paraId="5F6D8B5B" w14:textId="77777777" w:rsidR="00CB0062" w:rsidRDefault="00CB0062" w:rsidP="00223E56">
            <w:pPr>
              <w:rPr>
                <w:color w:val="000000"/>
                <w:sz w:val="16"/>
                <w:szCs w:val="16"/>
              </w:rPr>
            </w:pPr>
            <w:r>
              <w:rPr>
                <w:color w:val="000000"/>
                <w:sz w:val="16"/>
                <w:szCs w:val="16"/>
              </w:rPr>
              <w:t>A&gt;G</w:t>
            </w:r>
          </w:p>
        </w:tc>
        <w:tc>
          <w:tcPr>
            <w:tcW w:w="1701" w:type="dxa"/>
            <w:tcBorders>
              <w:top w:val="single" w:sz="4" w:space="0" w:color="000000"/>
              <w:bottom w:val="single" w:sz="4" w:space="0" w:color="D0CECE"/>
            </w:tcBorders>
            <w:tcMar>
              <w:top w:w="-113" w:type="dxa"/>
              <w:left w:w="-113" w:type="dxa"/>
              <w:bottom w:w="-113" w:type="dxa"/>
              <w:right w:w="-113" w:type="dxa"/>
            </w:tcMar>
          </w:tcPr>
          <w:p w14:paraId="088800C6" w14:textId="77777777" w:rsidR="00CB0062" w:rsidRDefault="00CB0062" w:rsidP="00223E56">
            <w:pPr>
              <w:rPr>
                <w:color w:val="000000"/>
                <w:sz w:val="16"/>
                <w:szCs w:val="16"/>
              </w:rPr>
            </w:pPr>
            <w:r>
              <w:rPr>
                <w:sz w:val="16"/>
                <w:szCs w:val="16"/>
              </w:rPr>
              <w:t>3 Prime UTR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64924FD2" w14:textId="77777777" w:rsidR="00CB0062" w:rsidRDefault="00CB0062" w:rsidP="00223E56">
            <w:pPr>
              <w:rPr>
                <w:sz w:val="16"/>
                <w:szCs w:val="16"/>
              </w:rPr>
            </w:pPr>
            <w:r>
              <w:rPr>
                <w:color w:val="000000"/>
                <w:sz w:val="16"/>
                <w:szCs w:val="16"/>
              </w:rPr>
              <w:t>T2DM</w:t>
            </w:r>
          </w:p>
          <w:p w14:paraId="5C0D055A" w14:textId="77777777" w:rsidR="00CB0062" w:rsidRDefault="00CB0062" w:rsidP="00223E56">
            <w:pPr>
              <w:rPr>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7A933445" w14:textId="77777777" w:rsidR="00CB0062" w:rsidRDefault="00CB0062" w:rsidP="00223E56">
            <w:pPr>
              <w:rPr>
                <w:color w:val="000000"/>
                <w:sz w:val="16"/>
                <w:szCs w:val="16"/>
              </w:rPr>
            </w:pPr>
            <w:r>
              <w:rPr>
                <w:sz w:val="16"/>
                <w:szCs w:val="16"/>
              </w:rPr>
              <w:t xml:space="preserve">Pan </w:t>
            </w:r>
            <w:r>
              <w:rPr>
                <w:i/>
                <w:sz w:val="16"/>
                <w:szCs w:val="16"/>
              </w:rPr>
              <w:t>et al.</w:t>
            </w:r>
            <w:r>
              <w:rPr>
                <w:sz w:val="16"/>
                <w:szCs w:val="16"/>
              </w:rPr>
              <w:t xml:space="preserve"> 2013</w:t>
            </w:r>
          </w:p>
          <w:p w14:paraId="7C492E74" w14:textId="77777777" w:rsidR="00CB0062" w:rsidRDefault="00CB0062" w:rsidP="00223E56">
            <w:pPr>
              <w:rPr>
                <w:color w:val="000000"/>
                <w:sz w:val="16"/>
                <w:szCs w:val="16"/>
              </w:rPr>
            </w:pPr>
          </w:p>
        </w:tc>
      </w:tr>
      <w:tr w:rsidR="00CB0062" w14:paraId="0D065513"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4884BD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BD1992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12ED02D3" w14:textId="77777777" w:rsidR="00CB0062" w:rsidRDefault="00CB0062" w:rsidP="00223E56">
            <w:pPr>
              <w:rPr>
                <w:color w:val="000000"/>
                <w:sz w:val="16"/>
                <w:szCs w:val="16"/>
              </w:rPr>
            </w:pPr>
            <w:r>
              <w:rPr>
                <w:color w:val="000000"/>
                <w:sz w:val="16"/>
                <w:szCs w:val="16"/>
              </w:rPr>
              <w:t>rs12126</w:t>
            </w:r>
          </w:p>
        </w:tc>
        <w:tc>
          <w:tcPr>
            <w:tcW w:w="851" w:type="dxa"/>
            <w:tcBorders>
              <w:top w:val="single" w:sz="4" w:space="0" w:color="D0CECE"/>
              <w:bottom w:val="single" w:sz="4" w:space="0" w:color="000000"/>
            </w:tcBorders>
            <w:tcMar>
              <w:top w:w="-113" w:type="dxa"/>
              <w:left w:w="-113" w:type="dxa"/>
              <w:bottom w:w="-113" w:type="dxa"/>
              <w:right w:w="-113" w:type="dxa"/>
            </w:tcMar>
          </w:tcPr>
          <w:p w14:paraId="29921F16" w14:textId="77777777" w:rsidR="00CB0062" w:rsidRDefault="00CB0062" w:rsidP="00223E56">
            <w:pPr>
              <w:rPr>
                <w:color w:val="000000"/>
                <w:sz w:val="16"/>
                <w:szCs w:val="16"/>
              </w:rPr>
            </w:pPr>
            <w:r>
              <w:rPr>
                <w:color w:val="000000"/>
                <w:sz w:val="16"/>
                <w:szCs w:val="16"/>
              </w:rPr>
              <w:t>T&gt;A</w:t>
            </w:r>
          </w:p>
        </w:tc>
        <w:tc>
          <w:tcPr>
            <w:tcW w:w="1701" w:type="dxa"/>
            <w:tcBorders>
              <w:top w:val="single" w:sz="4" w:space="0" w:color="D0CECE"/>
              <w:bottom w:val="single" w:sz="4" w:space="0" w:color="000000"/>
            </w:tcBorders>
            <w:tcMar>
              <w:top w:w="-113" w:type="dxa"/>
              <w:left w:w="-113" w:type="dxa"/>
              <w:bottom w:w="-113" w:type="dxa"/>
              <w:right w:w="-113" w:type="dxa"/>
            </w:tcMar>
          </w:tcPr>
          <w:p w14:paraId="65BF5EF0" w14:textId="77777777" w:rsidR="00CB0062" w:rsidRDefault="00CB0062" w:rsidP="00223E56">
            <w:pPr>
              <w:rPr>
                <w:color w:val="000000"/>
                <w:sz w:val="16"/>
                <w:szCs w:val="16"/>
              </w:rPr>
            </w:pPr>
            <w:r>
              <w:rPr>
                <w:sz w:val="16"/>
                <w:szCs w:val="16"/>
              </w:rPr>
              <w:t>3 Prime UTR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79AA161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0D1F838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6A97710D"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46FA6AC1" w14:textId="77777777" w:rsidR="00CB0062" w:rsidRDefault="00CB0062" w:rsidP="00223E56">
            <w:pPr>
              <w:rPr>
                <w:i/>
                <w:color w:val="000000"/>
                <w:sz w:val="16"/>
                <w:szCs w:val="16"/>
              </w:rPr>
            </w:pPr>
            <w:r>
              <w:rPr>
                <w:i/>
                <w:color w:val="000000"/>
                <w:sz w:val="16"/>
                <w:szCs w:val="16"/>
              </w:rPr>
              <w:t>CDKAL1</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0FDE5871" w14:textId="77777777" w:rsidR="00CB0062" w:rsidRDefault="00CB0062" w:rsidP="00223E56">
            <w:pPr>
              <w:rPr>
                <w:sz w:val="16"/>
                <w:szCs w:val="16"/>
              </w:rPr>
            </w:pPr>
            <w:r>
              <w:rPr>
                <w:color w:val="000000"/>
                <w:sz w:val="16"/>
                <w:szCs w:val="16"/>
                <w:highlight w:val="white"/>
              </w:rPr>
              <w:t>CDK5 Regulatory Subunit Associated Protein 1 Like 1</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5FF390DC" w14:textId="77777777" w:rsidR="00CB0062" w:rsidRDefault="00CB0062" w:rsidP="00223E56">
            <w:pPr>
              <w:rPr>
                <w:color w:val="000000"/>
                <w:sz w:val="16"/>
                <w:szCs w:val="16"/>
              </w:rPr>
            </w:pPr>
            <w:r>
              <w:rPr>
                <w:color w:val="000000"/>
                <w:sz w:val="16"/>
                <w:szCs w:val="16"/>
              </w:rPr>
              <w:t>rs7754840</w:t>
            </w:r>
          </w:p>
        </w:tc>
        <w:tc>
          <w:tcPr>
            <w:tcW w:w="851" w:type="dxa"/>
            <w:tcBorders>
              <w:top w:val="single" w:sz="4" w:space="0" w:color="000000"/>
              <w:bottom w:val="single" w:sz="4" w:space="0" w:color="000000"/>
            </w:tcBorders>
            <w:tcMar>
              <w:top w:w="-113" w:type="dxa"/>
              <w:left w:w="-113" w:type="dxa"/>
              <w:bottom w:w="-113" w:type="dxa"/>
              <w:right w:w="-113" w:type="dxa"/>
            </w:tcMar>
          </w:tcPr>
          <w:p w14:paraId="1E092F66" w14:textId="77777777" w:rsidR="00CB0062" w:rsidRDefault="00CB0062" w:rsidP="00223E56">
            <w:pPr>
              <w:rPr>
                <w:color w:val="000000"/>
                <w:sz w:val="16"/>
                <w:szCs w:val="16"/>
              </w:rPr>
            </w:pPr>
            <w:r>
              <w:rPr>
                <w:color w:val="000000"/>
                <w:sz w:val="16"/>
                <w:szCs w:val="16"/>
              </w:rPr>
              <w:t>G&gt;</w:t>
            </w:r>
            <w:proofErr w:type="gramStart"/>
            <w:r>
              <w:rPr>
                <w:color w:val="000000"/>
                <w:sz w:val="16"/>
                <w:szCs w:val="16"/>
              </w:rPr>
              <w:t>A,C</w:t>
            </w:r>
            <w:proofErr w:type="gramEnd"/>
            <w:r>
              <w:rPr>
                <w:color w:val="000000"/>
                <w:sz w:val="16"/>
                <w:szCs w:val="16"/>
              </w:rPr>
              <w:t>,T</w:t>
            </w:r>
          </w:p>
        </w:tc>
        <w:tc>
          <w:tcPr>
            <w:tcW w:w="1701" w:type="dxa"/>
            <w:tcBorders>
              <w:top w:val="single" w:sz="4" w:space="0" w:color="000000"/>
              <w:bottom w:val="single" w:sz="4" w:space="0" w:color="000000"/>
            </w:tcBorders>
            <w:tcMar>
              <w:top w:w="-113" w:type="dxa"/>
              <w:left w:w="-113" w:type="dxa"/>
              <w:bottom w:w="-113" w:type="dxa"/>
              <w:right w:w="-113" w:type="dxa"/>
            </w:tcMar>
          </w:tcPr>
          <w:p w14:paraId="616C2FF9" w14:textId="77777777" w:rsidR="00CB0062" w:rsidRDefault="00CB0062" w:rsidP="00223E56">
            <w:pPr>
              <w:rPr>
                <w:color w:val="000000"/>
                <w:sz w:val="16"/>
                <w:szCs w:val="16"/>
              </w:rPr>
            </w:pPr>
            <w:r>
              <w:rPr>
                <w:color w:val="000000"/>
                <w:sz w:val="16"/>
                <w:szCs w:val="16"/>
              </w:rPr>
              <w:t>Intron variant</w:t>
            </w:r>
          </w:p>
        </w:tc>
        <w:tc>
          <w:tcPr>
            <w:tcW w:w="708" w:type="dxa"/>
            <w:tcBorders>
              <w:top w:val="single" w:sz="4" w:space="0" w:color="000000"/>
              <w:bottom w:val="single" w:sz="4" w:space="0" w:color="000000"/>
            </w:tcBorders>
            <w:tcMar>
              <w:top w:w="-113" w:type="dxa"/>
              <w:left w:w="-113" w:type="dxa"/>
              <w:bottom w:w="-113" w:type="dxa"/>
              <w:right w:w="-113" w:type="dxa"/>
            </w:tcMar>
          </w:tcPr>
          <w:p w14:paraId="0E794E15" w14:textId="77777777" w:rsidR="00CB0062" w:rsidRDefault="00CB0062" w:rsidP="00223E56">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5EB54150" w14:textId="77777777" w:rsidR="00CB0062" w:rsidRDefault="00CB0062" w:rsidP="00223E56">
            <w:pPr>
              <w:rPr>
                <w:color w:val="000000"/>
                <w:sz w:val="16"/>
                <w:szCs w:val="16"/>
              </w:rPr>
            </w:pPr>
            <w:r>
              <w:rPr>
                <w:sz w:val="16"/>
                <w:szCs w:val="16"/>
              </w:rPr>
              <w:t>Grau-Perez et al. 2018</w:t>
            </w:r>
          </w:p>
        </w:tc>
      </w:tr>
      <w:tr w:rsidR="00CB0062" w14:paraId="679D5441"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4ED8FB81" w14:textId="77777777" w:rsidR="00CB0062" w:rsidRDefault="00CB0062" w:rsidP="00223E56">
            <w:pPr>
              <w:rPr>
                <w:i/>
                <w:color w:val="000000"/>
                <w:sz w:val="16"/>
                <w:szCs w:val="16"/>
              </w:rPr>
            </w:pPr>
            <w:r>
              <w:rPr>
                <w:i/>
                <w:color w:val="000000"/>
                <w:sz w:val="16"/>
                <w:szCs w:val="16"/>
              </w:rPr>
              <w:t>CDKN2A</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75356066" w14:textId="77777777" w:rsidR="00CB0062" w:rsidRDefault="00CB0062" w:rsidP="00223E56">
            <w:pPr>
              <w:rPr>
                <w:sz w:val="16"/>
                <w:szCs w:val="16"/>
              </w:rPr>
            </w:pPr>
            <w:r>
              <w:rPr>
                <w:color w:val="000000"/>
                <w:sz w:val="16"/>
                <w:szCs w:val="16"/>
                <w:highlight w:val="white"/>
              </w:rPr>
              <w:t>Cyclin Dependent Kinase Inhibitor 2A</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1BC00F69" w14:textId="77777777" w:rsidR="00CB0062" w:rsidRDefault="00CB0062" w:rsidP="00223E56">
            <w:pPr>
              <w:rPr>
                <w:color w:val="000000"/>
                <w:sz w:val="16"/>
                <w:szCs w:val="16"/>
              </w:rPr>
            </w:pPr>
            <w:r>
              <w:rPr>
                <w:color w:val="000000"/>
                <w:sz w:val="16"/>
                <w:szCs w:val="16"/>
              </w:rPr>
              <w:t>rs3088440</w:t>
            </w:r>
          </w:p>
        </w:tc>
        <w:tc>
          <w:tcPr>
            <w:tcW w:w="851" w:type="dxa"/>
            <w:tcBorders>
              <w:top w:val="single" w:sz="4" w:space="0" w:color="000000"/>
              <w:bottom w:val="single" w:sz="4" w:space="0" w:color="000000"/>
            </w:tcBorders>
            <w:tcMar>
              <w:top w:w="-113" w:type="dxa"/>
              <w:left w:w="-113" w:type="dxa"/>
              <w:bottom w:w="-113" w:type="dxa"/>
              <w:right w:w="-113" w:type="dxa"/>
            </w:tcMar>
          </w:tcPr>
          <w:p w14:paraId="321BE744" w14:textId="77777777" w:rsidR="00CB0062" w:rsidRDefault="00CB0062" w:rsidP="00223E56">
            <w:pPr>
              <w:rPr>
                <w:color w:val="000000"/>
                <w:sz w:val="16"/>
                <w:szCs w:val="16"/>
              </w:rPr>
            </w:pPr>
            <w:r>
              <w:rPr>
                <w:color w:val="000000"/>
                <w:sz w:val="16"/>
                <w:szCs w:val="16"/>
              </w:rPr>
              <w:t>G&gt;A</w:t>
            </w:r>
          </w:p>
        </w:tc>
        <w:tc>
          <w:tcPr>
            <w:tcW w:w="1701" w:type="dxa"/>
            <w:tcBorders>
              <w:top w:val="single" w:sz="4" w:space="0" w:color="000000"/>
              <w:bottom w:val="single" w:sz="4" w:space="0" w:color="000000"/>
            </w:tcBorders>
            <w:tcMar>
              <w:top w:w="-113" w:type="dxa"/>
              <w:left w:w="-113" w:type="dxa"/>
              <w:bottom w:w="-113" w:type="dxa"/>
              <w:right w:w="-113" w:type="dxa"/>
            </w:tcMar>
          </w:tcPr>
          <w:p w14:paraId="7383F76A" w14:textId="77777777" w:rsidR="00CB0062" w:rsidRDefault="00CB0062" w:rsidP="00223E56">
            <w:pPr>
              <w:rPr>
                <w:color w:val="000000"/>
                <w:sz w:val="16"/>
                <w:szCs w:val="16"/>
              </w:rPr>
            </w:pPr>
            <w:r>
              <w:rPr>
                <w:sz w:val="16"/>
                <w:szCs w:val="16"/>
              </w:rPr>
              <w:t>3 Prime UTR variant</w:t>
            </w:r>
          </w:p>
        </w:tc>
        <w:tc>
          <w:tcPr>
            <w:tcW w:w="708" w:type="dxa"/>
            <w:tcBorders>
              <w:top w:val="single" w:sz="4" w:space="0" w:color="000000"/>
              <w:bottom w:val="single" w:sz="4" w:space="0" w:color="000000"/>
            </w:tcBorders>
            <w:tcMar>
              <w:top w:w="-113" w:type="dxa"/>
              <w:left w:w="-113" w:type="dxa"/>
              <w:bottom w:w="-113" w:type="dxa"/>
              <w:right w:w="-113" w:type="dxa"/>
            </w:tcMar>
          </w:tcPr>
          <w:p w14:paraId="28B783F0" w14:textId="77777777" w:rsidR="00CB0062" w:rsidRDefault="00CB0062" w:rsidP="00223E56">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234D4D5B" w14:textId="77777777" w:rsidR="00CB0062" w:rsidRDefault="00CB0062" w:rsidP="00223E56">
            <w:pPr>
              <w:rPr>
                <w:color w:val="000000"/>
                <w:sz w:val="16"/>
                <w:szCs w:val="16"/>
              </w:rPr>
            </w:pPr>
            <w:r>
              <w:rPr>
                <w:sz w:val="16"/>
                <w:szCs w:val="16"/>
              </w:rPr>
              <w:t xml:space="preserve">Pan </w:t>
            </w:r>
            <w:r>
              <w:rPr>
                <w:i/>
                <w:sz w:val="16"/>
                <w:szCs w:val="16"/>
              </w:rPr>
              <w:t>et al.</w:t>
            </w:r>
            <w:r>
              <w:rPr>
                <w:sz w:val="16"/>
                <w:szCs w:val="16"/>
              </w:rPr>
              <w:t xml:space="preserve"> 2013</w:t>
            </w:r>
          </w:p>
        </w:tc>
      </w:tr>
      <w:tr w:rsidR="00CB0062" w14:paraId="609F346E"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9B6244C" w14:textId="77777777" w:rsidR="00CB0062" w:rsidRDefault="00CB0062" w:rsidP="00223E56">
            <w:pPr>
              <w:rPr>
                <w:i/>
                <w:color w:val="000000"/>
                <w:sz w:val="16"/>
                <w:szCs w:val="16"/>
              </w:rPr>
            </w:pPr>
            <w:r>
              <w:rPr>
                <w:i/>
                <w:color w:val="000000"/>
                <w:sz w:val="16"/>
                <w:szCs w:val="16"/>
              </w:rPr>
              <w:t>CDKN2B</w:t>
            </w:r>
          </w:p>
          <w:p w14:paraId="7B9B338C"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C158E0E" w14:textId="77777777" w:rsidR="00CB0062" w:rsidRDefault="00CB0062" w:rsidP="00223E56">
            <w:pPr>
              <w:rPr>
                <w:color w:val="000000"/>
                <w:sz w:val="16"/>
                <w:szCs w:val="16"/>
              </w:rPr>
            </w:pPr>
            <w:r>
              <w:rPr>
                <w:color w:val="000000"/>
                <w:sz w:val="16"/>
                <w:szCs w:val="16"/>
              </w:rPr>
              <w:t>Cyclin Dependent Kinase Inhibitor 2B</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31F75CDE" w14:textId="77777777" w:rsidR="00CB0062" w:rsidRDefault="00CB0062" w:rsidP="00223E56">
            <w:pPr>
              <w:rPr>
                <w:color w:val="000000"/>
                <w:sz w:val="16"/>
                <w:szCs w:val="16"/>
              </w:rPr>
            </w:pPr>
            <w:r>
              <w:rPr>
                <w:color w:val="000000"/>
                <w:sz w:val="16"/>
                <w:szCs w:val="16"/>
              </w:rPr>
              <w:t>rs1063192</w:t>
            </w:r>
          </w:p>
        </w:tc>
        <w:tc>
          <w:tcPr>
            <w:tcW w:w="851" w:type="dxa"/>
            <w:tcBorders>
              <w:top w:val="single" w:sz="4" w:space="0" w:color="000000"/>
              <w:bottom w:val="single" w:sz="4" w:space="0" w:color="D0CECE"/>
            </w:tcBorders>
            <w:tcMar>
              <w:top w:w="-113" w:type="dxa"/>
              <w:left w:w="-113" w:type="dxa"/>
              <w:bottom w:w="-113" w:type="dxa"/>
              <w:right w:w="-113" w:type="dxa"/>
            </w:tcMar>
          </w:tcPr>
          <w:p w14:paraId="79B289CF" w14:textId="77777777" w:rsidR="00CB0062" w:rsidRDefault="00CB0062" w:rsidP="00223E56">
            <w:pPr>
              <w:rPr>
                <w:color w:val="000000"/>
                <w:sz w:val="16"/>
                <w:szCs w:val="16"/>
              </w:rPr>
            </w:pPr>
            <w:r>
              <w:rPr>
                <w:color w:val="000000"/>
                <w:sz w:val="16"/>
                <w:szCs w:val="16"/>
              </w:rPr>
              <w:t>G&gt;</w:t>
            </w:r>
            <w:proofErr w:type="gramStart"/>
            <w:r>
              <w:rPr>
                <w:color w:val="000000"/>
                <w:sz w:val="16"/>
                <w:szCs w:val="16"/>
              </w:rPr>
              <w:t>A,T</w:t>
            </w:r>
            <w:proofErr w:type="gramEnd"/>
          </w:p>
        </w:tc>
        <w:tc>
          <w:tcPr>
            <w:tcW w:w="1701" w:type="dxa"/>
            <w:tcBorders>
              <w:top w:val="single" w:sz="4" w:space="0" w:color="000000"/>
              <w:bottom w:val="single" w:sz="4" w:space="0" w:color="D0CECE"/>
            </w:tcBorders>
            <w:tcMar>
              <w:top w:w="-113" w:type="dxa"/>
              <w:left w:w="-113" w:type="dxa"/>
              <w:bottom w:w="-113" w:type="dxa"/>
              <w:right w:w="-113" w:type="dxa"/>
            </w:tcMar>
          </w:tcPr>
          <w:p w14:paraId="515DD03F" w14:textId="77777777" w:rsidR="00CB0062" w:rsidRDefault="00CB0062" w:rsidP="00223E56">
            <w:pPr>
              <w:rPr>
                <w:color w:val="000000"/>
                <w:sz w:val="16"/>
                <w:szCs w:val="16"/>
              </w:rPr>
            </w:pPr>
            <w:r>
              <w:rPr>
                <w:color w:val="000000"/>
                <w:sz w:val="16"/>
                <w:szCs w:val="16"/>
              </w:rPr>
              <w:t>Intron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170AD915" w14:textId="77777777" w:rsidR="00CB0062" w:rsidRDefault="00CB0062" w:rsidP="00223E56">
            <w:pPr>
              <w:rPr>
                <w:sz w:val="16"/>
                <w:szCs w:val="16"/>
              </w:rPr>
            </w:pPr>
            <w:r>
              <w:rPr>
                <w:color w:val="000000"/>
                <w:sz w:val="16"/>
                <w:szCs w:val="16"/>
              </w:rPr>
              <w:t>T2DM</w:t>
            </w:r>
          </w:p>
          <w:p w14:paraId="1636A617" w14:textId="77777777" w:rsidR="00CB0062" w:rsidRDefault="00CB0062" w:rsidP="00223E56">
            <w:pPr>
              <w:rPr>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498E8151" w14:textId="77777777" w:rsidR="00CB0062" w:rsidRDefault="00CB0062" w:rsidP="00223E56">
            <w:pPr>
              <w:rPr>
                <w:color w:val="000000"/>
                <w:sz w:val="16"/>
                <w:szCs w:val="16"/>
              </w:rPr>
            </w:pPr>
            <w:r>
              <w:rPr>
                <w:sz w:val="16"/>
                <w:szCs w:val="16"/>
              </w:rPr>
              <w:t xml:space="preserve">Pan </w:t>
            </w:r>
            <w:r>
              <w:rPr>
                <w:i/>
                <w:sz w:val="16"/>
                <w:szCs w:val="16"/>
              </w:rPr>
              <w:t>et al.</w:t>
            </w:r>
            <w:r>
              <w:rPr>
                <w:sz w:val="16"/>
                <w:szCs w:val="16"/>
              </w:rPr>
              <w:t xml:space="preserve"> 2013</w:t>
            </w:r>
          </w:p>
          <w:p w14:paraId="7B03ECC5" w14:textId="77777777" w:rsidR="00CB0062" w:rsidRDefault="00CB0062" w:rsidP="00223E56">
            <w:pPr>
              <w:rPr>
                <w:color w:val="000000"/>
                <w:sz w:val="16"/>
                <w:szCs w:val="16"/>
              </w:rPr>
            </w:pPr>
            <w:r>
              <w:rPr>
                <w:sz w:val="16"/>
                <w:szCs w:val="16"/>
              </w:rPr>
              <w:t xml:space="preserve"> </w:t>
            </w:r>
          </w:p>
        </w:tc>
      </w:tr>
      <w:tr w:rsidR="00CB0062" w14:paraId="24A63E3B"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6AB4B5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475E0E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941123F" w14:textId="77777777" w:rsidR="00CB0062" w:rsidRDefault="00CB0062" w:rsidP="00223E56">
            <w:pPr>
              <w:rPr>
                <w:color w:val="000000"/>
                <w:sz w:val="16"/>
                <w:szCs w:val="16"/>
              </w:rPr>
            </w:pPr>
            <w:r>
              <w:rPr>
                <w:color w:val="000000"/>
                <w:sz w:val="16"/>
                <w:szCs w:val="16"/>
              </w:rPr>
              <w:t>rs3217986</w:t>
            </w:r>
          </w:p>
        </w:tc>
        <w:tc>
          <w:tcPr>
            <w:tcW w:w="851" w:type="dxa"/>
            <w:tcBorders>
              <w:top w:val="single" w:sz="4" w:space="0" w:color="D0CECE"/>
              <w:bottom w:val="single" w:sz="4" w:space="0" w:color="D0CECE"/>
            </w:tcBorders>
            <w:tcMar>
              <w:top w:w="-113" w:type="dxa"/>
              <w:left w:w="-113" w:type="dxa"/>
              <w:bottom w:w="-113" w:type="dxa"/>
              <w:right w:w="-113" w:type="dxa"/>
            </w:tcMar>
          </w:tcPr>
          <w:p w14:paraId="1065D40E" w14:textId="77777777" w:rsidR="00CB0062" w:rsidRDefault="00CB0062" w:rsidP="00223E56">
            <w:pPr>
              <w:rPr>
                <w:color w:val="000000"/>
                <w:sz w:val="16"/>
                <w:szCs w:val="16"/>
              </w:rPr>
            </w:pPr>
            <w:r>
              <w:rPr>
                <w:color w:val="000000"/>
                <w:sz w:val="16"/>
                <w:szCs w:val="16"/>
              </w:rPr>
              <w:t>T&gt;G</w:t>
            </w:r>
          </w:p>
        </w:tc>
        <w:tc>
          <w:tcPr>
            <w:tcW w:w="1701" w:type="dxa"/>
            <w:tcBorders>
              <w:top w:val="single" w:sz="4" w:space="0" w:color="D0CECE"/>
              <w:bottom w:val="single" w:sz="4" w:space="0" w:color="D0CECE"/>
            </w:tcBorders>
            <w:tcMar>
              <w:top w:w="-113" w:type="dxa"/>
              <w:left w:w="-113" w:type="dxa"/>
              <w:bottom w:w="-113" w:type="dxa"/>
              <w:right w:w="-113" w:type="dxa"/>
            </w:tcMar>
          </w:tcPr>
          <w:p w14:paraId="2D84D668" w14:textId="77777777" w:rsidR="00CB0062" w:rsidRDefault="00CB0062" w:rsidP="00223E56">
            <w:pPr>
              <w:rPr>
                <w:color w:val="000000"/>
                <w:sz w:val="16"/>
                <w:szCs w:val="16"/>
              </w:rPr>
            </w:pPr>
            <w:r>
              <w:rPr>
                <w:sz w:val="16"/>
                <w:szCs w:val="16"/>
              </w:rPr>
              <w:t>3 Prime UTR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5C222BE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25FAE16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5864A626"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8AE230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B832D0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2262F25C" w14:textId="77777777" w:rsidR="00CB0062" w:rsidRDefault="00CB0062" w:rsidP="00223E56">
            <w:pPr>
              <w:rPr>
                <w:color w:val="000000"/>
                <w:sz w:val="16"/>
                <w:szCs w:val="16"/>
              </w:rPr>
            </w:pPr>
            <w:r>
              <w:rPr>
                <w:color w:val="000000"/>
                <w:sz w:val="16"/>
                <w:szCs w:val="16"/>
              </w:rPr>
              <w:t>rs3217992</w:t>
            </w:r>
          </w:p>
        </w:tc>
        <w:tc>
          <w:tcPr>
            <w:tcW w:w="851" w:type="dxa"/>
            <w:tcBorders>
              <w:top w:val="single" w:sz="4" w:space="0" w:color="D0CECE"/>
              <w:bottom w:val="single" w:sz="4" w:space="0" w:color="000000"/>
            </w:tcBorders>
            <w:tcMar>
              <w:top w:w="-113" w:type="dxa"/>
              <w:left w:w="-113" w:type="dxa"/>
              <w:bottom w:w="-113" w:type="dxa"/>
              <w:right w:w="-113" w:type="dxa"/>
            </w:tcMar>
          </w:tcPr>
          <w:p w14:paraId="48F8694C" w14:textId="77777777" w:rsidR="00CB0062" w:rsidRDefault="00CB0062" w:rsidP="00223E56">
            <w:pPr>
              <w:rPr>
                <w:color w:val="000000"/>
                <w:sz w:val="16"/>
                <w:szCs w:val="16"/>
              </w:rPr>
            </w:pPr>
            <w:r>
              <w:rPr>
                <w:color w:val="000000"/>
                <w:sz w:val="16"/>
                <w:szCs w:val="16"/>
              </w:rPr>
              <w:t>C&gt;</w:t>
            </w:r>
            <w:proofErr w:type="gramStart"/>
            <w:r>
              <w:rPr>
                <w:color w:val="000000"/>
                <w:sz w:val="16"/>
                <w:szCs w:val="16"/>
              </w:rPr>
              <w:t>G,T</w:t>
            </w:r>
            <w:proofErr w:type="gramEnd"/>
          </w:p>
        </w:tc>
        <w:tc>
          <w:tcPr>
            <w:tcW w:w="1701" w:type="dxa"/>
            <w:tcBorders>
              <w:top w:val="single" w:sz="4" w:space="0" w:color="D0CECE"/>
              <w:bottom w:val="single" w:sz="4" w:space="0" w:color="000000"/>
            </w:tcBorders>
            <w:tcMar>
              <w:top w:w="-113" w:type="dxa"/>
              <w:left w:w="-113" w:type="dxa"/>
              <w:bottom w:w="-113" w:type="dxa"/>
              <w:right w:w="-113" w:type="dxa"/>
            </w:tcMar>
          </w:tcPr>
          <w:p w14:paraId="7CEC5316" w14:textId="77777777" w:rsidR="00CB0062" w:rsidRDefault="00CB0062" w:rsidP="00223E56">
            <w:pPr>
              <w:rPr>
                <w:color w:val="000000"/>
                <w:sz w:val="16"/>
                <w:szCs w:val="16"/>
              </w:rPr>
            </w:pPr>
            <w:r>
              <w:rPr>
                <w:sz w:val="16"/>
                <w:szCs w:val="16"/>
              </w:rPr>
              <w:t>3 Prime UTR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113C61F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486F4A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5F30D568"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2846E6D5" w14:textId="77777777" w:rsidR="00CB0062" w:rsidRDefault="00CB0062" w:rsidP="00223E56">
            <w:pPr>
              <w:rPr>
                <w:i/>
                <w:color w:val="000000"/>
                <w:sz w:val="16"/>
                <w:szCs w:val="16"/>
              </w:rPr>
            </w:pPr>
            <w:r>
              <w:rPr>
                <w:i/>
                <w:color w:val="000000"/>
                <w:sz w:val="16"/>
                <w:szCs w:val="16"/>
              </w:rPr>
              <w:t>CENTD2</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431249DA" w14:textId="77777777" w:rsidR="00CB0062" w:rsidRDefault="00CB0062" w:rsidP="00223E56">
            <w:pPr>
              <w:rPr>
                <w:color w:val="000000"/>
                <w:sz w:val="16"/>
                <w:szCs w:val="16"/>
              </w:rPr>
            </w:pPr>
            <w:r>
              <w:rPr>
                <w:color w:val="000000"/>
                <w:sz w:val="16"/>
                <w:szCs w:val="16"/>
              </w:rPr>
              <w:t>Arf-GAP with Rho-GAP domain</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2FA80D2F" w14:textId="77777777" w:rsidR="00CB0062" w:rsidRDefault="00CB0062" w:rsidP="00223E56">
            <w:pPr>
              <w:rPr>
                <w:color w:val="000000"/>
                <w:sz w:val="16"/>
                <w:szCs w:val="16"/>
              </w:rPr>
            </w:pPr>
            <w:r>
              <w:rPr>
                <w:color w:val="000000"/>
                <w:sz w:val="16"/>
                <w:szCs w:val="16"/>
              </w:rPr>
              <w:t>rs11603334</w:t>
            </w:r>
          </w:p>
        </w:tc>
        <w:tc>
          <w:tcPr>
            <w:tcW w:w="851" w:type="dxa"/>
            <w:tcBorders>
              <w:top w:val="single" w:sz="4" w:space="0" w:color="000000"/>
              <w:bottom w:val="single" w:sz="4" w:space="0" w:color="000000"/>
            </w:tcBorders>
            <w:tcMar>
              <w:top w:w="-113" w:type="dxa"/>
              <w:left w:w="-113" w:type="dxa"/>
              <w:bottom w:w="-113" w:type="dxa"/>
              <w:right w:w="-113" w:type="dxa"/>
            </w:tcMar>
          </w:tcPr>
          <w:p w14:paraId="5D0E8782" w14:textId="77777777" w:rsidR="00CB0062" w:rsidRDefault="00CB0062" w:rsidP="00223E56">
            <w:pPr>
              <w:rPr>
                <w:color w:val="000000"/>
                <w:sz w:val="16"/>
                <w:szCs w:val="16"/>
              </w:rPr>
            </w:pPr>
            <w:r>
              <w:rPr>
                <w:color w:val="000000"/>
                <w:sz w:val="16"/>
                <w:szCs w:val="16"/>
              </w:rPr>
              <w:t>G&gt;</w:t>
            </w:r>
            <w:proofErr w:type="gramStart"/>
            <w:r>
              <w:rPr>
                <w:color w:val="000000"/>
                <w:sz w:val="16"/>
                <w:szCs w:val="16"/>
              </w:rPr>
              <w:t>A,T</w:t>
            </w:r>
            <w:proofErr w:type="gramEnd"/>
          </w:p>
        </w:tc>
        <w:tc>
          <w:tcPr>
            <w:tcW w:w="1701" w:type="dxa"/>
            <w:tcBorders>
              <w:top w:val="single" w:sz="4" w:space="0" w:color="000000"/>
              <w:bottom w:val="single" w:sz="4" w:space="0" w:color="000000"/>
            </w:tcBorders>
            <w:tcMar>
              <w:top w:w="-113" w:type="dxa"/>
              <w:left w:w="-113" w:type="dxa"/>
              <w:bottom w:w="-113" w:type="dxa"/>
              <w:right w:w="-113" w:type="dxa"/>
            </w:tcMar>
          </w:tcPr>
          <w:p w14:paraId="1171725A" w14:textId="77777777" w:rsidR="00CB0062" w:rsidRDefault="00CB0062" w:rsidP="00223E56">
            <w:pPr>
              <w:rPr>
                <w:color w:val="000000"/>
                <w:sz w:val="16"/>
                <w:szCs w:val="16"/>
              </w:rPr>
            </w:pPr>
            <w:r>
              <w:rPr>
                <w:color w:val="000000"/>
                <w:sz w:val="16"/>
                <w:szCs w:val="16"/>
              </w:rPr>
              <w:t>Noncoding transcript variant</w:t>
            </w:r>
          </w:p>
        </w:tc>
        <w:tc>
          <w:tcPr>
            <w:tcW w:w="708" w:type="dxa"/>
            <w:tcBorders>
              <w:top w:val="single" w:sz="4" w:space="0" w:color="000000"/>
              <w:bottom w:val="single" w:sz="4" w:space="0" w:color="000000"/>
            </w:tcBorders>
            <w:tcMar>
              <w:top w:w="-113" w:type="dxa"/>
              <w:left w:w="-113" w:type="dxa"/>
              <w:bottom w:w="-113" w:type="dxa"/>
              <w:right w:w="-113" w:type="dxa"/>
            </w:tcMar>
          </w:tcPr>
          <w:p w14:paraId="483C9E4B" w14:textId="77777777" w:rsidR="00CB0062" w:rsidRDefault="00CB0062" w:rsidP="00223E56">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5891748B" w14:textId="77777777" w:rsidR="00CB0062" w:rsidRDefault="00CB0062" w:rsidP="00223E56">
            <w:pPr>
              <w:rPr>
                <w:color w:val="000000"/>
                <w:sz w:val="16"/>
                <w:szCs w:val="16"/>
              </w:rPr>
            </w:pPr>
            <w:r>
              <w:rPr>
                <w:sz w:val="16"/>
                <w:szCs w:val="16"/>
              </w:rPr>
              <w:t xml:space="preserve">Pan </w:t>
            </w:r>
            <w:r>
              <w:rPr>
                <w:i/>
                <w:sz w:val="16"/>
                <w:szCs w:val="16"/>
              </w:rPr>
              <w:t>et al.</w:t>
            </w:r>
            <w:r>
              <w:rPr>
                <w:sz w:val="16"/>
                <w:szCs w:val="16"/>
              </w:rPr>
              <w:t xml:space="preserve"> 2013</w:t>
            </w:r>
          </w:p>
        </w:tc>
      </w:tr>
      <w:tr w:rsidR="00CB0062" w14:paraId="374B61A9"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F77D99C" w14:textId="77777777" w:rsidR="00CB0062" w:rsidRDefault="00CB0062" w:rsidP="00223E56">
            <w:pPr>
              <w:rPr>
                <w:i/>
                <w:color w:val="000000"/>
                <w:sz w:val="16"/>
                <w:szCs w:val="16"/>
              </w:rPr>
            </w:pPr>
            <w:r>
              <w:rPr>
                <w:i/>
                <w:color w:val="000000"/>
                <w:sz w:val="16"/>
                <w:szCs w:val="16"/>
              </w:rPr>
              <w:t>CETP</w:t>
            </w:r>
          </w:p>
          <w:p w14:paraId="63E425EA"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28F5F98" w14:textId="77777777" w:rsidR="00CB0062" w:rsidRDefault="00CB0062" w:rsidP="00223E56">
            <w:pPr>
              <w:tabs>
                <w:tab w:val="left" w:pos="539"/>
              </w:tabs>
              <w:rPr>
                <w:sz w:val="16"/>
                <w:szCs w:val="16"/>
              </w:rPr>
            </w:pPr>
            <w:r>
              <w:rPr>
                <w:sz w:val="16"/>
                <w:szCs w:val="16"/>
              </w:rPr>
              <w:t>Cholesteryl Ester Transfer Protein</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11531F0A" w14:textId="77777777" w:rsidR="00CB0062" w:rsidRDefault="00CB0062" w:rsidP="00223E56">
            <w:pPr>
              <w:rPr>
                <w:color w:val="000000"/>
                <w:sz w:val="16"/>
                <w:szCs w:val="16"/>
              </w:rPr>
            </w:pPr>
            <w:r>
              <w:rPr>
                <w:color w:val="000000"/>
                <w:sz w:val="16"/>
                <w:szCs w:val="16"/>
              </w:rPr>
              <w:t>rs1800774</w:t>
            </w:r>
          </w:p>
        </w:tc>
        <w:tc>
          <w:tcPr>
            <w:tcW w:w="851" w:type="dxa"/>
            <w:tcBorders>
              <w:top w:val="single" w:sz="4" w:space="0" w:color="000000"/>
              <w:bottom w:val="single" w:sz="4" w:space="0" w:color="D0CECE"/>
            </w:tcBorders>
            <w:tcMar>
              <w:top w:w="-113" w:type="dxa"/>
              <w:left w:w="-113" w:type="dxa"/>
              <w:bottom w:w="-113" w:type="dxa"/>
              <w:right w:w="-113" w:type="dxa"/>
            </w:tcMar>
          </w:tcPr>
          <w:p w14:paraId="3CDA8DC9" w14:textId="77777777" w:rsidR="00CB0062" w:rsidRDefault="00CB0062" w:rsidP="00223E56">
            <w:pPr>
              <w:rPr>
                <w:color w:val="000000"/>
                <w:sz w:val="16"/>
                <w:szCs w:val="16"/>
              </w:rPr>
            </w:pPr>
            <w:r>
              <w:rPr>
                <w:color w:val="000000"/>
                <w:sz w:val="16"/>
                <w:szCs w:val="16"/>
              </w:rPr>
              <w:t>C&gt;</w:t>
            </w:r>
            <w:proofErr w:type="gramStart"/>
            <w:r>
              <w:rPr>
                <w:color w:val="000000"/>
                <w:sz w:val="16"/>
                <w:szCs w:val="16"/>
              </w:rPr>
              <w:t>G,T</w:t>
            </w:r>
            <w:proofErr w:type="gramEnd"/>
          </w:p>
        </w:tc>
        <w:tc>
          <w:tcPr>
            <w:tcW w:w="1701" w:type="dxa"/>
            <w:tcBorders>
              <w:top w:val="single" w:sz="4" w:space="0" w:color="000000"/>
              <w:bottom w:val="single" w:sz="4" w:space="0" w:color="D0CECE"/>
            </w:tcBorders>
            <w:tcMar>
              <w:top w:w="-113" w:type="dxa"/>
              <w:left w:w="-113" w:type="dxa"/>
              <w:bottom w:w="-113" w:type="dxa"/>
              <w:right w:w="-113" w:type="dxa"/>
            </w:tcMar>
          </w:tcPr>
          <w:p w14:paraId="277E38FB" w14:textId="77777777" w:rsidR="00CB0062" w:rsidRDefault="00CB0062" w:rsidP="00223E56">
            <w:pPr>
              <w:rPr>
                <w:color w:val="000000"/>
                <w:sz w:val="16"/>
                <w:szCs w:val="16"/>
              </w:rPr>
            </w:pPr>
            <w:r>
              <w:rPr>
                <w:color w:val="000000"/>
                <w:sz w:val="16"/>
                <w:szCs w:val="16"/>
              </w:rPr>
              <w:t>Intron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305CAA4F" w14:textId="77777777" w:rsidR="00CB0062" w:rsidRDefault="00CB0062" w:rsidP="00223E56">
            <w:pPr>
              <w:rPr>
                <w:sz w:val="16"/>
                <w:szCs w:val="16"/>
              </w:rPr>
            </w:pPr>
            <w:r>
              <w:rPr>
                <w:color w:val="000000"/>
                <w:sz w:val="16"/>
                <w:szCs w:val="16"/>
              </w:rPr>
              <w:t>T2DM</w:t>
            </w:r>
          </w:p>
          <w:p w14:paraId="6DFE6A38" w14:textId="77777777" w:rsidR="00CB0062" w:rsidRDefault="00CB0062" w:rsidP="00223E56">
            <w:pPr>
              <w:rPr>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43DD829" w14:textId="77777777" w:rsidR="00CB0062" w:rsidRDefault="00CB0062" w:rsidP="00223E56">
            <w:pPr>
              <w:rPr>
                <w:color w:val="000000"/>
                <w:sz w:val="16"/>
                <w:szCs w:val="16"/>
              </w:rPr>
            </w:pPr>
            <w:r>
              <w:rPr>
                <w:sz w:val="16"/>
                <w:szCs w:val="16"/>
              </w:rPr>
              <w:t>Grau-Perez et al. 2018</w:t>
            </w:r>
          </w:p>
          <w:p w14:paraId="639A736F" w14:textId="77777777" w:rsidR="00CB0062" w:rsidRDefault="00CB0062" w:rsidP="00223E56">
            <w:pPr>
              <w:rPr>
                <w:color w:val="000000"/>
                <w:sz w:val="16"/>
                <w:szCs w:val="16"/>
              </w:rPr>
            </w:pPr>
          </w:p>
        </w:tc>
      </w:tr>
      <w:tr w:rsidR="00CB0062" w14:paraId="620E95C4"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1EE5F4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0CAA45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90FDDF2" w14:textId="77777777" w:rsidR="00CB0062" w:rsidRDefault="00CB0062" w:rsidP="00223E56">
            <w:pPr>
              <w:rPr>
                <w:color w:val="000000"/>
                <w:sz w:val="16"/>
                <w:szCs w:val="16"/>
              </w:rPr>
            </w:pPr>
            <w:r>
              <w:rPr>
                <w:color w:val="000000"/>
                <w:sz w:val="16"/>
                <w:szCs w:val="16"/>
              </w:rPr>
              <w:t>rs4783962</w:t>
            </w:r>
          </w:p>
        </w:tc>
        <w:tc>
          <w:tcPr>
            <w:tcW w:w="851" w:type="dxa"/>
            <w:tcBorders>
              <w:top w:val="single" w:sz="4" w:space="0" w:color="D0CECE"/>
              <w:bottom w:val="single" w:sz="4" w:space="0" w:color="D0CECE"/>
            </w:tcBorders>
            <w:tcMar>
              <w:top w:w="-113" w:type="dxa"/>
              <w:left w:w="-113" w:type="dxa"/>
              <w:bottom w:w="-113" w:type="dxa"/>
              <w:right w:w="-113" w:type="dxa"/>
            </w:tcMar>
          </w:tcPr>
          <w:p w14:paraId="00C2712C" w14:textId="77777777" w:rsidR="00CB0062" w:rsidRDefault="00CB0062" w:rsidP="00223E56">
            <w:pPr>
              <w:rPr>
                <w:color w:val="000000"/>
                <w:sz w:val="16"/>
                <w:szCs w:val="16"/>
              </w:rPr>
            </w:pPr>
            <w:r>
              <w:rPr>
                <w:color w:val="000000"/>
                <w:sz w:val="16"/>
                <w:szCs w:val="16"/>
              </w:rPr>
              <w:t>T&gt;</w:t>
            </w:r>
            <w:proofErr w:type="gramStart"/>
            <w:r>
              <w:rPr>
                <w:color w:val="000000"/>
                <w:sz w:val="16"/>
                <w:szCs w:val="16"/>
              </w:rPr>
              <w:t>A,C</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3E7C59CF" w14:textId="77777777" w:rsidR="00CB0062" w:rsidRDefault="00CB0062" w:rsidP="00223E56">
            <w:pPr>
              <w:rPr>
                <w:color w:val="000000"/>
                <w:sz w:val="16"/>
                <w:szCs w:val="16"/>
              </w:rPr>
            </w:pPr>
            <w:r>
              <w:rPr>
                <w:sz w:val="16"/>
                <w:szCs w:val="16"/>
              </w:rPr>
              <w:t>2KB Upstream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438E363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41C29D0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787D4AB9"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4946EF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D71259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68BBC601" w14:textId="77777777" w:rsidR="00CB0062" w:rsidRDefault="00CB0062" w:rsidP="00223E56">
            <w:pPr>
              <w:rPr>
                <w:color w:val="000000"/>
                <w:sz w:val="16"/>
                <w:szCs w:val="16"/>
              </w:rPr>
            </w:pPr>
            <w:r>
              <w:rPr>
                <w:color w:val="000000"/>
                <w:sz w:val="16"/>
                <w:szCs w:val="16"/>
              </w:rPr>
              <w:t>rs5882</w:t>
            </w:r>
          </w:p>
        </w:tc>
        <w:tc>
          <w:tcPr>
            <w:tcW w:w="851" w:type="dxa"/>
            <w:tcBorders>
              <w:top w:val="single" w:sz="4" w:space="0" w:color="D0CECE"/>
              <w:bottom w:val="single" w:sz="4" w:space="0" w:color="000000"/>
            </w:tcBorders>
            <w:tcMar>
              <w:top w:w="-113" w:type="dxa"/>
              <w:left w:w="-113" w:type="dxa"/>
              <w:bottom w:w="-113" w:type="dxa"/>
              <w:right w:w="-113" w:type="dxa"/>
            </w:tcMar>
          </w:tcPr>
          <w:p w14:paraId="06A7FE64" w14:textId="77777777" w:rsidR="00CB0062" w:rsidRDefault="00CB0062" w:rsidP="00223E56">
            <w:pPr>
              <w:rPr>
                <w:color w:val="000000"/>
                <w:sz w:val="16"/>
                <w:szCs w:val="16"/>
              </w:rPr>
            </w:pPr>
            <w:r>
              <w:rPr>
                <w:color w:val="000000"/>
                <w:sz w:val="16"/>
                <w:szCs w:val="16"/>
              </w:rPr>
              <w:t>G&gt;</w:t>
            </w:r>
            <w:proofErr w:type="gramStart"/>
            <w:r>
              <w:rPr>
                <w:color w:val="000000"/>
                <w:sz w:val="16"/>
                <w:szCs w:val="16"/>
              </w:rPr>
              <w:t>A,C</w:t>
            </w:r>
            <w:proofErr w:type="gramEnd"/>
          </w:p>
        </w:tc>
        <w:tc>
          <w:tcPr>
            <w:tcW w:w="1701" w:type="dxa"/>
            <w:tcBorders>
              <w:top w:val="single" w:sz="4" w:space="0" w:color="D0CECE"/>
              <w:bottom w:val="single" w:sz="4" w:space="0" w:color="000000"/>
            </w:tcBorders>
            <w:tcMar>
              <w:top w:w="-113" w:type="dxa"/>
              <w:left w:w="-113" w:type="dxa"/>
              <w:bottom w:w="-113" w:type="dxa"/>
              <w:right w:w="-113" w:type="dxa"/>
            </w:tcMar>
          </w:tcPr>
          <w:p w14:paraId="75D6F6A0" w14:textId="77777777" w:rsidR="00CB0062" w:rsidRDefault="00CB0062" w:rsidP="00223E56">
            <w:pPr>
              <w:rPr>
                <w:color w:val="000000"/>
                <w:sz w:val="16"/>
                <w:szCs w:val="16"/>
              </w:rPr>
            </w:pPr>
            <w:r>
              <w:rPr>
                <w:color w:val="000000"/>
                <w:sz w:val="16"/>
                <w:szCs w:val="16"/>
              </w:rPr>
              <w:t>Missense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52C0501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36CD2E7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2CF6CE96"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79A888D3" w14:textId="77777777" w:rsidR="00CB0062" w:rsidRDefault="00CB0062" w:rsidP="00223E56">
            <w:pPr>
              <w:rPr>
                <w:i/>
                <w:color w:val="000000"/>
                <w:sz w:val="16"/>
                <w:szCs w:val="16"/>
              </w:rPr>
            </w:pPr>
            <w:r>
              <w:rPr>
                <w:i/>
                <w:color w:val="000000"/>
                <w:sz w:val="16"/>
                <w:szCs w:val="16"/>
              </w:rPr>
              <w:t>COX5A</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5195FCF7" w14:textId="77777777" w:rsidR="00CB0062" w:rsidRDefault="00CB0062" w:rsidP="00223E56">
            <w:pPr>
              <w:rPr>
                <w:color w:val="000000"/>
                <w:sz w:val="16"/>
                <w:szCs w:val="16"/>
              </w:rPr>
            </w:pPr>
            <w:r>
              <w:rPr>
                <w:color w:val="000000"/>
                <w:sz w:val="16"/>
                <w:szCs w:val="16"/>
              </w:rPr>
              <w:t>Cytochrome C Oxidase Subunit 5A</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02166261" w14:textId="77777777" w:rsidR="00CB0062" w:rsidRDefault="00CB0062" w:rsidP="00223E56">
            <w:pPr>
              <w:rPr>
                <w:color w:val="000000"/>
                <w:sz w:val="16"/>
                <w:szCs w:val="16"/>
              </w:rPr>
            </w:pPr>
            <w:r>
              <w:rPr>
                <w:color w:val="000000"/>
                <w:sz w:val="16"/>
                <w:szCs w:val="16"/>
              </w:rPr>
              <w:t>rs1133322</w:t>
            </w:r>
          </w:p>
        </w:tc>
        <w:tc>
          <w:tcPr>
            <w:tcW w:w="851" w:type="dxa"/>
            <w:tcBorders>
              <w:top w:val="single" w:sz="4" w:space="0" w:color="000000"/>
              <w:bottom w:val="single" w:sz="4" w:space="0" w:color="000000"/>
            </w:tcBorders>
            <w:tcMar>
              <w:top w:w="-113" w:type="dxa"/>
              <w:left w:w="-113" w:type="dxa"/>
              <w:bottom w:w="-113" w:type="dxa"/>
              <w:right w:w="-113" w:type="dxa"/>
            </w:tcMar>
          </w:tcPr>
          <w:p w14:paraId="2FC8E421" w14:textId="77777777" w:rsidR="00CB0062" w:rsidRDefault="00CB0062" w:rsidP="00223E56">
            <w:pPr>
              <w:rPr>
                <w:color w:val="000000"/>
                <w:sz w:val="16"/>
                <w:szCs w:val="16"/>
              </w:rPr>
            </w:pPr>
            <w:r>
              <w:rPr>
                <w:color w:val="000000"/>
                <w:sz w:val="16"/>
                <w:szCs w:val="16"/>
              </w:rPr>
              <w:t>A&gt;</w:t>
            </w:r>
            <w:proofErr w:type="gramStart"/>
            <w:r>
              <w:rPr>
                <w:color w:val="000000"/>
                <w:sz w:val="16"/>
                <w:szCs w:val="16"/>
              </w:rPr>
              <w:t>C,G</w:t>
            </w:r>
            <w:proofErr w:type="gramEnd"/>
          </w:p>
        </w:tc>
        <w:tc>
          <w:tcPr>
            <w:tcW w:w="1701" w:type="dxa"/>
            <w:tcBorders>
              <w:top w:val="single" w:sz="4" w:space="0" w:color="000000"/>
              <w:bottom w:val="single" w:sz="4" w:space="0" w:color="000000"/>
            </w:tcBorders>
            <w:tcMar>
              <w:top w:w="-113" w:type="dxa"/>
              <w:left w:w="-113" w:type="dxa"/>
              <w:bottom w:w="-113" w:type="dxa"/>
              <w:right w:w="-113" w:type="dxa"/>
            </w:tcMar>
          </w:tcPr>
          <w:p w14:paraId="48E48501" w14:textId="77777777" w:rsidR="00CB0062" w:rsidRDefault="00CB0062" w:rsidP="00223E56">
            <w:pPr>
              <w:rPr>
                <w:color w:val="000000"/>
                <w:sz w:val="16"/>
                <w:szCs w:val="16"/>
              </w:rPr>
            </w:pPr>
            <w:r>
              <w:rPr>
                <w:sz w:val="16"/>
                <w:szCs w:val="16"/>
              </w:rPr>
              <w:t>3 Prime UTR variant</w:t>
            </w:r>
          </w:p>
        </w:tc>
        <w:tc>
          <w:tcPr>
            <w:tcW w:w="708" w:type="dxa"/>
            <w:tcBorders>
              <w:top w:val="single" w:sz="4" w:space="0" w:color="000000"/>
              <w:bottom w:val="single" w:sz="4" w:space="0" w:color="000000"/>
            </w:tcBorders>
            <w:tcMar>
              <w:top w:w="-113" w:type="dxa"/>
              <w:left w:w="-113" w:type="dxa"/>
              <w:bottom w:w="-113" w:type="dxa"/>
              <w:right w:w="-113" w:type="dxa"/>
            </w:tcMar>
          </w:tcPr>
          <w:p w14:paraId="01CF5EFE" w14:textId="77777777" w:rsidR="00CB0062" w:rsidRDefault="00CB0062" w:rsidP="00223E56">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0B7BF1C5" w14:textId="77777777" w:rsidR="00CB0062" w:rsidRDefault="00CB0062" w:rsidP="00223E56">
            <w:pPr>
              <w:rPr>
                <w:color w:val="000000"/>
                <w:sz w:val="16"/>
                <w:szCs w:val="16"/>
              </w:rPr>
            </w:pPr>
            <w:r>
              <w:rPr>
                <w:sz w:val="16"/>
                <w:szCs w:val="16"/>
              </w:rPr>
              <w:t>Grau-Perez et al. 2018</w:t>
            </w:r>
          </w:p>
        </w:tc>
      </w:tr>
      <w:tr w:rsidR="00CB0062" w14:paraId="51A55BC6"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13602DEC" w14:textId="77777777" w:rsidR="00CB0062" w:rsidRDefault="00CB0062" w:rsidP="00223E56">
            <w:pPr>
              <w:rPr>
                <w:i/>
                <w:color w:val="000000"/>
                <w:sz w:val="16"/>
                <w:szCs w:val="16"/>
              </w:rPr>
            </w:pPr>
            <w:r>
              <w:rPr>
                <w:i/>
                <w:color w:val="000000"/>
                <w:sz w:val="16"/>
                <w:szCs w:val="16"/>
              </w:rPr>
              <w:t>COX5B</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6BCE6E5E" w14:textId="77777777" w:rsidR="00CB0062" w:rsidRDefault="00CB0062" w:rsidP="00223E56">
            <w:pPr>
              <w:rPr>
                <w:color w:val="000000"/>
                <w:sz w:val="16"/>
                <w:szCs w:val="16"/>
              </w:rPr>
            </w:pPr>
            <w:r>
              <w:rPr>
                <w:color w:val="000000"/>
                <w:sz w:val="16"/>
                <w:szCs w:val="16"/>
              </w:rPr>
              <w:t>Cytochrome C Oxidase Subunit 5B</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696CF41C" w14:textId="77777777" w:rsidR="00CB0062" w:rsidRDefault="00CB0062" w:rsidP="00223E56">
            <w:pPr>
              <w:rPr>
                <w:color w:val="000000"/>
                <w:sz w:val="16"/>
                <w:szCs w:val="16"/>
              </w:rPr>
            </w:pPr>
            <w:r>
              <w:rPr>
                <w:color w:val="000000"/>
                <w:sz w:val="16"/>
                <w:szCs w:val="16"/>
              </w:rPr>
              <w:t>rs1470625</w:t>
            </w:r>
          </w:p>
        </w:tc>
        <w:tc>
          <w:tcPr>
            <w:tcW w:w="851" w:type="dxa"/>
            <w:tcBorders>
              <w:top w:val="single" w:sz="4" w:space="0" w:color="000000"/>
              <w:bottom w:val="single" w:sz="4" w:space="0" w:color="000000"/>
            </w:tcBorders>
            <w:tcMar>
              <w:top w:w="-113" w:type="dxa"/>
              <w:left w:w="-113" w:type="dxa"/>
              <w:bottom w:w="-113" w:type="dxa"/>
              <w:right w:w="-113" w:type="dxa"/>
            </w:tcMar>
          </w:tcPr>
          <w:p w14:paraId="13DDC43F" w14:textId="77777777" w:rsidR="00CB0062" w:rsidRDefault="00CB0062" w:rsidP="00223E56">
            <w:pPr>
              <w:rPr>
                <w:color w:val="000000"/>
                <w:sz w:val="16"/>
                <w:szCs w:val="16"/>
              </w:rPr>
            </w:pPr>
            <w:r>
              <w:rPr>
                <w:color w:val="000000"/>
                <w:sz w:val="16"/>
                <w:szCs w:val="16"/>
              </w:rPr>
              <w:t>C&gt;</w:t>
            </w:r>
            <w:proofErr w:type="gramStart"/>
            <w:r>
              <w:rPr>
                <w:color w:val="000000"/>
                <w:sz w:val="16"/>
                <w:szCs w:val="16"/>
              </w:rPr>
              <w:t>A,T</w:t>
            </w:r>
            <w:proofErr w:type="gramEnd"/>
          </w:p>
        </w:tc>
        <w:tc>
          <w:tcPr>
            <w:tcW w:w="1701" w:type="dxa"/>
            <w:tcBorders>
              <w:top w:val="single" w:sz="4" w:space="0" w:color="000000"/>
              <w:bottom w:val="single" w:sz="4" w:space="0" w:color="000000"/>
            </w:tcBorders>
            <w:tcMar>
              <w:top w:w="-113" w:type="dxa"/>
              <w:left w:w="-113" w:type="dxa"/>
              <w:bottom w:w="-113" w:type="dxa"/>
              <w:right w:w="-113" w:type="dxa"/>
            </w:tcMar>
          </w:tcPr>
          <w:p w14:paraId="3DBE51D8" w14:textId="77777777" w:rsidR="00CB0062" w:rsidRDefault="00CB0062" w:rsidP="00223E56">
            <w:pPr>
              <w:rPr>
                <w:color w:val="000000"/>
                <w:sz w:val="16"/>
                <w:szCs w:val="16"/>
              </w:rPr>
            </w:pPr>
            <w:r>
              <w:rPr>
                <w:color w:val="000000"/>
                <w:sz w:val="16"/>
                <w:szCs w:val="16"/>
              </w:rPr>
              <w:t>None</w:t>
            </w:r>
          </w:p>
        </w:tc>
        <w:tc>
          <w:tcPr>
            <w:tcW w:w="708" w:type="dxa"/>
            <w:tcBorders>
              <w:top w:val="single" w:sz="4" w:space="0" w:color="000000"/>
              <w:bottom w:val="single" w:sz="4" w:space="0" w:color="000000"/>
            </w:tcBorders>
            <w:tcMar>
              <w:top w:w="-113" w:type="dxa"/>
              <w:left w:w="-113" w:type="dxa"/>
              <w:bottom w:w="-113" w:type="dxa"/>
              <w:right w:w="-113" w:type="dxa"/>
            </w:tcMar>
          </w:tcPr>
          <w:p w14:paraId="4956A4B5" w14:textId="77777777" w:rsidR="00CB0062" w:rsidRDefault="00CB0062" w:rsidP="00223E56">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1BF99A68" w14:textId="77777777" w:rsidR="00CB0062" w:rsidRDefault="00CB0062" w:rsidP="00223E56">
            <w:pPr>
              <w:rPr>
                <w:color w:val="000000"/>
                <w:sz w:val="16"/>
                <w:szCs w:val="16"/>
              </w:rPr>
            </w:pPr>
            <w:r>
              <w:rPr>
                <w:sz w:val="16"/>
                <w:szCs w:val="16"/>
              </w:rPr>
              <w:t>Grau-Perez et al. 2018</w:t>
            </w:r>
          </w:p>
        </w:tc>
      </w:tr>
      <w:tr w:rsidR="00CB0062" w14:paraId="16644D31"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4FBEAC85" w14:textId="77777777" w:rsidR="00CB0062" w:rsidRDefault="00CB0062" w:rsidP="00223E56">
            <w:pPr>
              <w:rPr>
                <w:i/>
                <w:color w:val="000000"/>
                <w:sz w:val="16"/>
                <w:szCs w:val="16"/>
              </w:rPr>
            </w:pPr>
            <w:r>
              <w:rPr>
                <w:i/>
                <w:color w:val="000000"/>
                <w:sz w:val="16"/>
                <w:szCs w:val="16"/>
              </w:rPr>
              <w:t>COX6B1</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60ED523E" w14:textId="77777777" w:rsidR="00CB0062" w:rsidRDefault="00CB0062" w:rsidP="00223E56">
            <w:pPr>
              <w:rPr>
                <w:color w:val="000000"/>
                <w:sz w:val="16"/>
                <w:szCs w:val="16"/>
              </w:rPr>
            </w:pPr>
            <w:r>
              <w:rPr>
                <w:color w:val="000000"/>
                <w:sz w:val="16"/>
                <w:szCs w:val="16"/>
              </w:rPr>
              <w:t>Cytochrome c oxidase 6B1</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0B78EBE5" w14:textId="77777777" w:rsidR="00CB0062" w:rsidRDefault="00CB0062" w:rsidP="00223E56">
            <w:pPr>
              <w:rPr>
                <w:color w:val="000000"/>
                <w:sz w:val="16"/>
                <w:szCs w:val="16"/>
              </w:rPr>
            </w:pPr>
            <w:r>
              <w:rPr>
                <w:color w:val="000000"/>
                <w:sz w:val="16"/>
                <w:szCs w:val="16"/>
              </w:rPr>
              <w:t>rs4806187</w:t>
            </w:r>
          </w:p>
        </w:tc>
        <w:tc>
          <w:tcPr>
            <w:tcW w:w="851" w:type="dxa"/>
            <w:tcBorders>
              <w:top w:val="single" w:sz="4" w:space="0" w:color="000000"/>
              <w:bottom w:val="single" w:sz="4" w:space="0" w:color="000000"/>
            </w:tcBorders>
            <w:tcMar>
              <w:top w:w="-113" w:type="dxa"/>
              <w:left w:w="-113" w:type="dxa"/>
              <w:bottom w:w="-113" w:type="dxa"/>
              <w:right w:w="-113" w:type="dxa"/>
            </w:tcMar>
          </w:tcPr>
          <w:p w14:paraId="38FE5BBA" w14:textId="77777777" w:rsidR="00CB0062" w:rsidRDefault="00CB0062" w:rsidP="00223E56">
            <w:pPr>
              <w:rPr>
                <w:color w:val="000000"/>
                <w:sz w:val="16"/>
                <w:szCs w:val="16"/>
              </w:rPr>
            </w:pPr>
            <w:r>
              <w:rPr>
                <w:color w:val="000000"/>
                <w:sz w:val="16"/>
                <w:szCs w:val="16"/>
              </w:rPr>
              <w:t>A&gt;</w:t>
            </w:r>
            <w:proofErr w:type="gramStart"/>
            <w:r>
              <w:rPr>
                <w:color w:val="000000"/>
                <w:sz w:val="16"/>
                <w:szCs w:val="16"/>
              </w:rPr>
              <w:t>C,G</w:t>
            </w:r>
            <w:proofErr w:type="gramEnd"/>
            <w:r>
              <w:rPr>
                <w:color w:val="000000"/>
                <w:sz w:val="16"/>
                <w:szCs w:val="16"/>
              </w:rPr>
              <w:t>,T</w:t>
            </w:r>
          </w:p>
        </w:tc>
        <w:tc>
          <w:tcPr>
            <w:tcW w:w="1701" w:type="dxa"/>
            <w:tcBorders>
              <w:top w:val="single" w:sz="4" w:space="0" w:color="000000"/>
              <w:bottom w:val="single" w:sz="4" w:space="0" w:color="000000"/>
            </w:tcBorders>
            <w:tcMar>
              <w:top w:w="-113" w:type="dxa"/>
              <w:left w:w="-113" w:type="dxa"/>
              <w:bottom w:w="-113" w:type="dxa"/>
              <w:right w:w="-113" w:type="dxa"/>
            </w:tcMar>
          </w:tcPr>
          <w:p w14:paraId="1111B681" w14:textId="77777777" w:rsidR="00CB0062" w:rsidRDefault="00CB0062" w:rsidP="00223E56">
            <w:pPr>
              <w:rPr>
                <w:color w:val="000000"/>
                <w:sz w:val="16"/>
                <w:szCs w:val="16"/>
              </w:rPr>
            </w:pPr>
            <w:r>
              <w:rPr>
                <w:sz w:val="16"/>
                <w:szCs w:val="16"/>
              </w:rPr>
              <w:t>500B Downstream variant</w:t>
            </w:r>
          </w:p>
        </w:tc>
        <w:tc>
          <w:tcPr>
            <w:tcW w:w="708" w:type="dxa"/>
            <w:tcBorders>
              <w:top w:val="single" w:sz="4" w:space="0" w:color="000000"/>
              <w:bottom w:val="single" w:sz="4" w:space="0" w:color="000000"/>
            </w:tcBorders>
            <w:tcMar>
              <w:top w:w="-113" w:type="dxa"/>
              <w:left w:w="-113" w:type="dxa"/>
              <w:bottom w:w="-113" w:type="dxa"/>
              <w:right w:w="-113" w:type="dxa"/>
            </w:tcMar>
          </w:tcPr>
          <w:p w14:paraId="6F9334B9" w14:textId="77777777" w:rsidR="00CB0062" w:rsidRDefault="00CB0062" w:rsidP="00223E56">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7D5A9071" w14:textId="77777777" w:rsidR="00CB0062" w:rsidRDefault="00CB0062" w:rsidP="00223E56">
            <w:pPr>
              <w:rPr>
                <w:color w:val="000000"/>
                <w:sz w:val="16"/>
                <w:szCs w:val="16"/>
              </w:rPr>
            </w:pPr>
            <w:r>
              <w:rPr>
                <w:sz w:val="16"/>
                <w:szCs w:val="16"/>
              </w:rPr>
              <w:t>Grau-Perez et al. 2018</w:t>
            </w:r>
          </w:p>
        </w:tc>
      </w:tr>
      <w:tr w:rsidR="00CB0062" w14:paraId="682135DF"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20F21A4F" w14:textId="77777777" w:rsidR="00CB0062" w:rsidRDefault="00CB0062" w:rsidP="00223E56">
            <w:pPr>
              <w:rPr>
                <w:i/>
                <w:color w:val="000000"/>
                <w:sz w:val="16"/>
                <w:szCs w:val="16"/>
              </w:rPr>
            </w:pPr>
            <w:r>
              <w:rPr>
                <w:i/>
                <w:color w:val="000000"/>
                <w:sz w:val="16"/>
                <w:szCs w:val="16"/>
              </w:rPr>
              <w:t>COX6B2</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02E80372" w14:textId="77777777" w:rsidR="00CB0062" w:rsidRDefault="00CB0062" w:rsidP="00223E56">
            <w:pPr>
              <w:rPr>
                <w:color w:val="000000"/>
                <w:sz w:val="16"/>
                <w:szCs w:val="16"/>
              </w:rPr>
            </w:pPr>
            <w:r>
              <w:rPr>
                <w:color w:val="000000"/>
                <w:sz w:val="16"/>
                <w:szCs w:val="16"/>
              </w:rPr>
              <w:t>Cytochrome C Oxidase Subunit 6B2</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19D8EF7A" w14:textId="77777777" w:rsidR="00CB0062" w:rsidRDefault="00CB0062" w:rsidP="00223E56">
            <w:pPr>
              <w:rPr>
                <w:color w:val="000000"/>
                <w:sz w:val="16"/>
                <w:szCs w:val="16"/>
              </w:rPr>
            </w:pPr>
            <w:r>
              <w:rPr>
                <w:color w:val="000000"/>
                <w:sz w:val="16"/>
                <w:szCs w:val="16"/>
              </w:rPr>
              <w:t>rs1058511</w:t>
            </w:r>
          </w:p>
        </w:tc>
        <w:tc>
          <w:tcPr>
            <w:tcW w:w="851" w:type="dxa"/>
            <w:tcBorders>
              <w:top w:val="single" w:sz="4" w:space="0" w:color="000000"/>
              <w:bottom w:val="single" w:sz="4" w:space="0" w:color="000000"/>
            </w:tcBorders>
            <w:tcMar>
              <w:top w:w="-113" w:type="dxa"/>
              <w:left w:w="-113" w:type="dxa"/>
              <w:bottom w:w="-113" w:type="dxa"/>
              <w:right w:w="-113" w:type="dxa"/>
            </w:tcMar>
          </w:tcPr>
          <w:p w14:paraId="3267E49B" w14:textId="77777777" w:rsidR="00CB0062" w:rsidRDefault="00CB0062" w:rsidP="00223E56">
            <w:pPr>
              <w:rPr>
                <w:color w:val="000000"/>
                <w:sz w:val="16"/>
                <w:szCs w:val="16"/>
              </w:rPr>
            </w:pPr>
            <w:r>
              <w:rPr>
                <w:color w:val="000000"/>
                <w:sz w:val="16"/>
                <w:szCs w:val="16"/>
              </w:rPr>
              <w:t>C&gt;</w:t>
            </w:r>
            <w:proofErr w:type="gramStart"/>
            <w:r>
              <w:rPr>
                <w:color w:val="000000"/>
                <w:sz w:val="16"/>
                <w:szCs w:val="16"/>
              </w:rPr>
              <w:t>A,G</w:t>
            </w:r>
            <w:proofErr w:type="gramEnd"/>
          </w:p>
        </w:tc>
        <w:tc>
          <w:tcPr>
            <w:tcW w:w="1701" w:type="dxa"/>
            <w:tcBorders>
              <w:top w:val="single" w:sz="4" w:space="0" w:color="000000"/>
              <w:bottom w:val="single" w:sz="4" w:space="0" w:color="000000"/>
            </w:tcBorders>
            <w:tcMar>
              <w:top w:w="-113" w:type="dxa"/>
              <w:left w:w="-113" w:type="dxa"/>
              <w:bottom w:w="-113" w:type="dxa"/>
              <w:right w:w="-113" w:type="dxa"/>
            </w:tcMar>
          </w:tcPr>
          <w:p w14:paraId="56B9CB26" w14:textId="77777777" w:rsidR="00CB0062" w:rsidRDefault="00CB0062" w:rsidP="00223E56">
            <w:pPr>
              <w:rPr>
                <w:color w:val="000000"/>
                <w:sz w:val="16"/>
                <w:szCs w:val="16"/>
              </w:rPr>
            </w:pPr>
            <w:r>
              <w:rPr>
                <w:sz w:val="16"/>
                <w:szCs w:val="16"/>
              </w:rPr>
              <w:t>3 Prime UTR variant</w:t>
            </w:r>
          </w:p>
        </w:tc>
        <w:tc>
          <w:tcPr>
            <w:tcW w:w="708" w:type="dxa"/>
            <w:tcBorders>
              <w:top w:val="single" w:sz="4" w:space="0" w:color="000000"/>
              <w:bottom w:val="single" w:sz="4" w:space="0" w:color="000000"/>
            </w:tcBorders>
            <w:tcMar>
              <w:top w:w="-113" w:type="dxa"/>
              <w:left w:w="-113" w:type="dxa"/>
              <w:bottom w:w="-113" w:type="dxa"/>
              <w:right w:w="-113" w:type="dxa"/>
            </w:tcMar>
          </w:tcPr>
          <w:p w14:paraId="30B35D87" w14:textId="77777777" w:rsidR="00CB0062" w:rsidRDefault="00CB0062" w:rsidP="00223E56">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6C17CD05" w14:textId="77777777" w:rsidR="00CB0062" w:rsidRDefault="00CB0062" w:rsidP="00223E56">
            <w:pPr>
              <w:rPr>
                <w:color w:val="000000"/>
                <w:sz w:val="16"/>
                <w:szCs w:val="16"/>
              </w:rPr>
            </w:pPr>
            <w:r>
              <w:rPr>
                <w:sz w:val="16"/>
                <w:szCs w:val="16"/>
              </w:rPr>
              <w:t>Grau-Perez et al. 2018</w:t>
            </w:r>
          </w:p>
        </w:tc>
      </w:tr>
      <w:tr w:rsidR="00CB0062" w14:paraId="2C9AD1FC"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5D1C8BFE" w14:textId="77777777" w:rsidR="00CB0062" w:rsidRDefault="00CB0062" w:rsidP="00223E56">
            <w:pPr>
              <w:rPr>
                <w:i/>
                <w:color w:val="000000"/>
                <w:sz w:val="16"/>
                <w:szCs w:val="16"/>
              </w:rPr>
            </w:pPr>
            <w:r>
              <w:rPr>
                <w:i/>
                <w:color w:val="000000"/>
                <w:sz w:val="16"/>
                <w:szCs w:val="16"/>
              </w:rPr>
              <w:t>COX7A1</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2B338344" w14:textId="77777777" w:rsidR="00CB0062" w:rsidRDefault="00CB0062" w:rsidP="00223E56">
            <w:pPr>
              <w:rPr>
                <w:color w:val="000000"/>
                <w:sz w:val="16"/>
                <w:szCs w:val="16"/>
              </w:rPr>
            </w:pPr>
            <w:r>
              <w:rPr>
                <w:color w:val="000000"/>
                <w:sz w:val="16"/>
                <w:szCs w:val="16"/>
              </w:rPr>
              <w:t>Cytochrome C Oxidase Subunit 7A1</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723F8212" w14:textId="77777777" w:rsidR="00CB0062" w:rsidRDefault="00CB0062" w:rsidP="00223E56">
            <w:pPr>
              <w:rPr>
                <w:color w:val="000000"/>
                <w:sz w:val="16"/>
                <w:szCs w:val="16"/>
              </w:rPr>
            </w:pPr>
            <w:r>
              <w:rPr>
                <w:color w:val="000000"/>
                <w:sz w:val="16"/>
                <w:szCs w:val="16"/>
              </w:rPr>
              <w:t>rs753420</w:t>
            </w:r>
          </w:p>
        </w:tc>
        <w:tc>
          <w:tcPr>
            <w:tcW w:w="851" w:type="dxa"/>
            <w:tcBorders>
              <w:top w:val="single" w:sz="4" w:space="0" w:color="000000"/>
              <w:bottom w:val="single" w:sz="4" w:space="0" w:color="000000"/>
            </w:tcBorders>
            <w:tcMar>
              <w:top w:w="-113" w:type="dxa"/>
              <w:left w:w="-113" w:type="dxa"/>
              <w:bottom w:w="-113" w:type="dxa"/>
              <w:right w:w="-113" w:type="dxa"/>
            </w:tcMar>
          </w:tcPr>
          <w:p w14:paraId="096DD97D" w14:textId="77777777" w:rsidR="00CB0062" w:rsidRDefault="00CB0062" w:rsidP="00223E56">
            <w:pPr>
              <w:rPr>
                <w:color w:val="000000"/>
                <w:sz w:val="16"/>
                <w:szCs w:val="16"/>
              </w:rPr>
            </w:pPr>
            <w:r>
              <w:rPr>
                <w:color w:val="000000"/>
                <w:sz w:val="16"/>
                <w:szCs w:val="16"/>
              </w:rPr>
              <w:t>T&gt;G</w:t>
            </w:r>
          </w:p>
        </w:tc>
        <w:tc>
          <w:tcPr>
            <w:tcW w:w="1701" w:type="dxa"/>
            <w:tcBorders>
              <w:top w:val="single" w:sz="4" w:space="0" w:color="000000"/>
              <w:bottom w:val="single" w:sz="4" w:space="0" w:color="000000"/>
            </w:tcBorders>
            <w:tcMar>
              <w:top w:w="-113" w:type="dxa"/>
              <w:left w:w="-113" w:type="dxa"/>
              <w:bottom w:w="-113" w:type="dxa"/>
              <w:right w:w="-113" w:type="dxa"/>
            </w:tcMar>
          </w:tcPr>
          <w:p w14:paraId="563D47EE" w14:textId="77777777" w:rsidR="00CB0062" w:rsidRDefault="00CB0062" w:rsidP="00223E56">
            <w:pPr>
              <w:rPr>
                <w:color w:val="000000"/>
                <w:sz w:val="16"/>
                <w:szCs w:val="16"/>
              </w:rPr>
            </w:pPr>
            <w:r>
              <w:rPr>
                <w:sz w:val="16"/>
                <w:szCs w:val="16"/>
              </w:rPr>
              <w:t>2KB Upstream variant</w:t>
            </w:r>
          </w:p>
        </w:tc>
        <w:tc>
          <w:tcPr>
            <w:tcW w:w="708" w:type="dxa"/>
            <w:tcBorders>
              <w:top w:val="single" w:sz="4" w:space="0" w:color="000000"/>
              <w:bottom w:val="single" w:sz="4" w:space="0" w:color="000000"/>
            </w:tcBorders>
            <w:tcMar>
              <w:top w:w="-113" w:type="dxa"/>
              <w:left w:w="-113" w:type="dxa"/>
              <w:bottom w:w="-113" w:type="dxa"/>
              <w:right w:w="-113" w:type="dxa"/>
            </w:tcMar>
          </w:tcPr>
          <w:p w14:paraId="07FD6628" w14:textId="77777777" w:rsidR="00CB0062" w:rsidRDefault="00CB0062" w:rsidP="00223E56">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1F44C734" w14:textId="77777777" w:rsidR="00CB0062" w:rsidRDefault="00CB0062" w:rsidP="00223E56">
            <w:pPr>
              <w:rPr>
                <w:color w:val="000000"/>
                <w:sz w:val="16"/>
                <w:szCs w:val="16"/>
              </w:rPr>
            </w:pPr>
            <w:r>
              <w:rPr>
                <w:sz w:val="16"/>
                <w:szCs w:val="16"/>
              </w:rPr>
              <w:t>Grau-Perez et al. 2018</w:t>
            </w:r>
          </w:p>
        </w:tc>
      </w:tr>
      <w:tr w:rsidR="00CB0062" w14:paraId="79C5EF77"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A767DF3" w14:textId="77777777" w:rsidR="00CB0062" w:rsidRDefault="00CB0062" w:rsidP="00223E56">
            <w:pPr>
              <w:rPr>
                <w:i/>
                <w:color w:val="000000"/>
                <w:sz w:val="16"/>
                <w:szCs w:val="16"/>
              </w:rPr>
            </w:pPr>
            <w:r>
              <w:rPr>
                <w:i/>
                <w:color w:val="000000"/>
                <w:sz w:val="16"/>
                <w:szCs w:val="16"/>
              </w:rPr>
              <w:t>CRP</w:t>
            </w:r>
          </w:p>
          <w:p w14:paraId="3ECA9F1B"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E46A1C0" w14:textId="77777777" w:rsidR="00CB0062" w:rsidRDefault="00CB0062" w:rsidP="00223E56">
            <w:pPr>
              <w:rPr>
                <w:color w:val="000000"/>
                <w:sz w:val="16"/>
                <w:szCs w:val="16"/>
              </w:rPr>
            </w:pPr>
            <w:r>
              <w:rPr>
                <w:color w:val="000000"/>
                <w:sz w:val="16"/>
                <w:szCs w:val="16"/>
              </w:rPr>
              <w:t>C-reactive protein</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76B845DF" w14:textId="77777777" w:rsidR="00CB0062" w:rsidRDefault="00CB0062" w:rsidP="00223E56">
            <w:pPr>
              <w:rPr>
                <w:color w:val="000000"/>
                <w:sz w:val="16"/>
                <w:szCs w:val="16"/>
              </w:rPr>
            </w:pPr>
            <w:r>
              <w:rPr>
                <w:color w:val="000000"/>
                <w:sz w:val="16"/>
                <w:szCs w:val="16"/>
              </w:rPr>
              <w:t>rs1130864</w:t>
            </w:r>
          </w:p>
        </w:tc>
        <w:tc>
          <w:tcPr>
            <w:tcW w:w="851" w:type="dxa"/>
            <w:tcBorders>
              <w:top w:val="single" w:sz="4" w:space="0" w:color="000000"/>
              <w:bottom w:val="single" w:sz="4" w:space="0" w:color="D0CECE"/>
            </w:tcBorders>
            <w:tcMar>
              <w:top w:w="-113" w:type="dxa"/>
              <w:left w:w="-113" w:type="dxa"/>
              <w:bottom w:w="-113" w:type="dxa"/>
              <w:right w:w="-113" w:type="dxa"/>
            </w:tcMar>
          </w:tcPr>
          <w:p w14:paraId="165D7746" w14:textId="77777777" w:rsidR="00CB0062" w:rsidRDefault="00CB0062" w:rsidP="00223E56">
            <w:pPr>
              <w:rPr>
                <w:color w:val="000000"/>
                <w:sz w:val="16"/>
                <w:szCs w:val="16"/>
              </w:rPr>
            </w:pPr>
            <w:r>
              <w:rPr>
                <w:color w:val="000000"/>
                <w:sz w:val="16"/>
                <w:szCs w:val="16"/>
              </w:rPr>
              <w:t>G&gt;A</w:t>
            </w:r>
          </w:p>
        </w:tc>
        <w:tc>
          <w:tcPr>
            <w:tcW w:w="1701" w:type="dxa"/>
            <w:tcBorders>
              <w:top w:val="single" w:sz="4" w:space="0" w:color="000000"/>
              <w:bottom w:val="single" w:sz="4" w:space="0" w:color="D0CECE"/>
            </w:tcBorders>
            <w:tcMar>
              <w:top w:w="-113" w:type="dxa"/>
              <w:left w:w="-113" w:type="dxa"/>
              <w:bottom w:w="-113" w:type="dxa"/>
              <w:right w:w="-113" w:type="dxa"/>
            </w:tcMar>
          </w:tcPr>
          <w:p w14:paraId="1AB56444" w14:textId="77777777" w:rsidR="00CB0062" w:rsidRDefault="00CB0062" w:rsidP="00223E56">
            <w:pPr>
              <w:rPr>
                <w:color w:val="000000"/>
                <w:sz w:val="16"/>
                <w:szCs w:val="16"/>
              </w:rPr>
            </w:pPr>
            <w:r>
              <w:rPr>
                <w:color w:val="000000"/>
                <w:sz w:val="16"/>
                <w:szCs w:val="16"/>
              </w:rPr>
              <w:t>Intron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3BD44225" w14:textId="77777777" w:rsidR="00CB0062" w:rsidRDefault="00CB0062" w:rsidP="00223E56">
            <w:pPr>
              <w:rPr>
                <w:sz w:val="16"/>
                <w:szCs w:val="16"/>
              </w:rPr>
            </w:pPr>
            <w:r>
              <w:rPr>
                <w:color w:val="000000"/>
                <w:sz w:val="16"/>
                <w:szCs w:val="16"/>
              </w:rPr>
              <w:t>T2DM</w:t>
            </w:r>
          </w:p>
          <w:p w14:paraId="58FA5D2E" w14:textId="77777777" w:rsidR="00CB0062" w:rsidRDefault="00CB0062" w:rsidP="00223E56">
            <w:pPr>
              <w:rPr>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17D5A274" w14:textId="77777777" w:rsidR="00CB0062" w:rsidRDefault="00CB0062" w:rsidP="00223E56">
            <w:pPr>
              <w:rPr>
                <w:color w:val="000000"/>
                <w:sz w:val="16"/>
                <w:szCs w:val="16"/>
              </w:rPr>
            </w:pPr>
            <w:r>
              <w:rPr>
                <w:sz w:val="16"/>
                <w:szCs w:val="16"/>
              </w:rPr>
              <w:t>Grau-Perez et al. 2018</w:t>
            </w:r>
          </w:p>
        </w:tc>
      </w:tr>
      <w:tr w:rsidR="00CB0062" w14:paraId="44E7FB32"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980925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47A822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3ADFB948" w14:textId="77777777" w:rsidR="00CB0062" w:rsidRDefault="00CB0062" w:rsidP="00223E56">
            <w:pPr>
              <w:rPr>
                <w:color w:val="000000"/>
                <w:sz w:val="16"/>
                <w:szCs w:val="16"/>
              </w:rPr>
            </w:pPr>
            <w:r>
              <w:rPr>
                <w:color w:val="000000"/>
                <w:sz w:val="16"/>
                <w:szCs w:val="16"/>
              </w:rPr>
              <w:t>rs1205</w:t>
            </w:r>
          </w:p>
        </w:tc>
        <w:tc>
          <w:tcPr>
            <w:tcW w:w="851" w:type="dxa"/>
            <w:tcBorders>
              <w:top w:val="single" w:sz="4" w:space="0" w:color="D0CECE"/>
              <w:bottom w:val="single" w:sz="4" w:space="0" w:color="000000"/>
            </w:tcBorders>
            <w:tcMar>
              <w:top w:w="-113" w:type="dxa"/>
              <w:left w:w="-113" w:type="dxa"/>
              <w:bottom w:w="-113" w:type="dxa"/>
              <w:right w:w="-113" w:type="dxa"/>
            </w:tcMar>
          </w:tcPr>
          <w:p w14:paraId="33D3D1F4" w14:textId="77777777" w:rsidR="00CB0062" w:rsidRDefault="00CB0062" w:rsidP="00223E56">
            <w:pPr>
              <w:rPr>
                <w:color w:val="000000"/>
                <w:sz w:val="16"/>
                <w:szCs w:val="16"/>
              </w:rPr>
            </w:pPr>
            <w:r>
              <w:rPr>
                <w:color w:val="000000"/>
                <w:sz w:val="16"/>
                <w:szCs w:val="16"/>
              </w:rPr>
              <w:t>C&gt;T</w:t>
            </w:r>
          </w:p>
        </w:tc>
        <w:tc>
          <w:tcPr>
            <w:tcW w:w="1701" w:type="dxa"/>
            <w:tcBorders>
              <w:top w:val="single" w:sz="4" w:space="0" w:color="D0CECE"/>
              <w:bottom w:val="single" w:sz="4" w:space="0" w:color="000000"/>
            </w:tcBorders>
            <w:tcMar>
              <w:top w:w="-113" w:type="dxa"/>
              <w:left w:w="-113" w:type="dxa"/>
              <w:bottom w:w="-113" w:type="dxa"/>
              <w:right w:w="-113" w:type="dxa"/>
            </w:tcMar>
          </w:tcPr>
          <w:p w14:paraId="602A4C77" w14:textId="77777777" w:rsidR="00CB0062" w:rsidRDefault="00CB0062" w:rsidP="00223E56">
            <w:pPr>
              <w:rPr>
                <w:color w:val="000000"/>
                <w:sz w:val="16"/>
                <w:szCs w:val="16"/>
              </w:rPr>
            </w:pPr>
            <w:r>
              <w:rPr>
                <w:sz w:val="16"/>
                <w:szCs w:val="16"/>
              </w:rPr>
              <w:t>3 Prime UTR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51C44E5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72FF3D8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rsidRPr="0030321B" w14:paraId="3B80D06F"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29C8BF4" w14:textId="77777777" w:rsidR="00CB0062" w:rsidRDefault="00CB0062" w:rsidP="00223E56">
            <w:pPr>
              <w:rPr>
                <w:i/>
                <w:color w:val="000000"/>
                <w:sz w:val="16"/>
                <w:szCs w:val="16"/>
              </w:rPr>
            </w:pPr>
            <w:r>
              <w:rPr>
                <w:i/>
                <w:color w:val="000000"/>
                <w:sz w:val="16"/>
                <w:szCs w:val="16"/>
              </w:rPr>
              <w:t>CYBA</w:t>
            </w:r>
          </w:p>
          <w:p w14:paraId="1AB1BA81"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F4C9672" w14:textId="77777777" w:rsidR="00CB0062" w:rsidRDefault="00CB0062" w:rsidP="00223E56">
            <w:pPr>
              <w:rPr>
                <w:color w:val="000000"/>
                <w:sz w:val="16"/>
                <w:szCs w:val="16"/>
              </w:rPr>
            </w:pPr>
            <w:r>
              <w:rPr>
                <w:color w:val="000000"/>
                <w:sz w:val="16"/>
                <w:szCs w:val="16"/>
              </w:rPr>
              <w:t>Cytochrome B-245 Alpha Chain</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28345401" w14:textId="77777777" w:rsidR="00CB0062" w:rsidRDefault="00CB0062" w:rsidP="00223E56">
            <w:pPr>
              <w:rPr>
                <w:color w:val="000000"/>
                <w:sz w:val="16"/>
                <w:szCs w:val="16"/>
              </w:rPr>
            </w:pPr>
            <w:r>
              <w:rPr>
                <w:color w:val="000000"/>
                <w:sz w:val="16"/>
                <w:szCs w:val="16"/>
              </w:rPr>
              <w:t>rs12709102</w:t>
            </w:r>
          </w:p>
        </w:tc>
        <w:tc>
          <w:tcPr>
            <w:tcW w:w="851" w:type="dxa"/>
            <w:tcBorders>
              <w:top w:val="single" w:sz="4" w:space="0" w:color="000000"/>
              <w:bottom w:val="single" w:sz="4" w:space="0" w:color="D0CECE"/>
            </w:tcBorders>
            <w:tcMar>
              <w:top w:w="-113" w:type="dxa"/>
              <w:left w:w="-113" w:type="dxa"/>
              <w:bottom w:w="-113" w:type="dxa"/>
              <w:right w:w="-113" w:type="dxa"/>
            </w:tcMar>
          </w:tcPr>
          <w:p w14:paraId="7A8773DD" w14:textId="77777777" w:rsidR="00CB0062" w:rsidRDefault="00CB0062" w:rsidP="00223E56">
            <w:pPr>
              <w:rPr>
                <w:color w:val="000000"/>
                <w:sz w:val="16"/>
                <w:szCs w:val="16"/>
              </w:rPr>
            </w:pPr>
            <w:r>
              <w:rPr>
                <w:color w:val="000000"/>
                <w:sz w:val="16"/>
                <w:szCs w:val="16"/>
              </w:rPr>
              <w:t>T&gt;</w:t>
            </w:r>
            <w:proofErr w:type="gramStart"/>
            <w:r>
              <w:rPr>
                <w:color w:val="000000"/>
                <w:sz w:val="16"/>
                <w:szCs w:val="16"/>
              </w:rPr>
              <w:t>C,G</w:t>
            </w:r>
            <w:proofErr w:type="gramEnd"/>
          </w:p>
        </w:tc>
        <w:tc>
          <w:tcPr>
            <w:tcW w:w="1701" w:type="dxa"/>
            <w:tcBorders>
              <w:top w:val="single" w:sz="4" w:space="0" w:color="000000"/>
              <w:bottom w:val="single" w:sz="4" w:space="0" w:color="D0CECE"/>
            </w:tcBorders>
            <w:tcMar>
              <w:top w:w="-113" w:type="dxa"/>
              <w:left w:w="-113" w:type="dxa"/>
              <w:bottom w:w="-113" w:type="dxa"/>
              <w:right w:w="-113" w:type="dxa"/>
            </w:tcMar>
          </w:tcPr>
          <w:p w14:paraId="3974ECC2" w14:textId="77777777" w:rsidR="00CB0062" w:rsidRDefault="00CB0062" w:rsidP="00223E56">
            <w:pPr>
              <w:rPr>
                <w:color w:val="000000"/>
                <w:sz w:val="16"/>
                <w:szCs w:val="16"/>
              </w:rPr>
            </w:pPr>
            <w:r>
              <w:rPr>
                <w:color w:val="000000"/>
                <w:sz w:val="16"/>
                <w:szCs w:val="16"/>
              </w:rPr>
              <w:t>Intron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55AB9189" w14:textId="77777777" w:rsidR="00CB0062" w:rsidRDefault="00CB0062" w:rsidP="00223E56">
            <w:pPr>
              <w:rPr>
                <w:sz w:val="16"/>
                <w:szCs w:val="16"/>
              </w:rPr>
            </w:pPr>
            <w:r>
              <w:rPr>
                <w:color w:val="000000"/>
                <w:sz w:val="16"/>
                <w:szCs w:val="16"/>
              </w:rPr>
              <w:t>CVD</w:t>
            </w:r>
          </w:p>
          <w:p w14:paraId="31FB246A" w14:textId="77777777" w:rsidR="00CB0062" w:rsidRDefault="00CB0062" w:rsidP="00223E56">
            <w:pPr>
              <w:rPr>
                <w:sz w:val="16"/>
                <w:szCs w:val="16"/>
              </w:rPr>
            </w:pPr>
            <w:r>
              <w:rPr>
                <w:sz w:val="16"/>
                <w:szCs w:val="16"/>
              </w:rPr>
              <w:t>CIMT</w:t>
            </w: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0AB0C2B7"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3A2A8F8B"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p w14:paraId="0DD18FA8" w14:textId="77777777" w:rsidR="00CB0062" w:rsidRPr="00641BD3" w:rsidRDefault="00CB0062" w:rsidP="00223E56">
            <w:pPr>
              <w:rPr>
                <w:color w:val="000000"/>
                <w:sz w:val="16"/>
                <w:szCs w:val="16"/>
                <w:lang w:val="es-ES"/>
              </w:rPr>
            </w:pPr>
          </w:p>
        </w:tc>
      </w:tr>
      <w:tr w:rsidR="00CB0062" w14:paraId="6BD6AB8B"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7C91933"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8D8A26D"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9DC14D4" w14:textId="77777777" w:rsidR="00CB0062" w:rsidRDefault="00CB0062" w:rsidP="00223E56">
            <w:pPr>
              <w:rPr>
                <w:color w:val="000000"/>
                <w:sz w:val="16"/>
                <w:szCs w:val="16"/>
              </w:rPr>
            </w:pPr>
            <w:r>
              <w:rPr>
                <w:color w:val="000000"/>
                <w:sz w:val="16"/>
                <w:szCs w:val="16"/>
              </w:rPr>
              <w:t>rs12933505</w:t>
            </w:r>
          </w:p>
        </w:tc>
        <w:tc>
          <w:tcPr>
            <w:tcW w:w="851" w:type="dxa"/>
            <w:tcBorders>
              <w:top w:val="single" w:sz="4" w:space="0" w:color="D0CECE"/>
              <w:bottom w:val="single" w:sz="4" w:space="0" w:color="D0CECE"/>
            </w:tcBorders>
            <w:tcMar>
              <w:top w:w="-113" w:type="dxa"/>
              <w:left w:w="-113" w:type="dxa"/>
              <w:bottom w:w="-113" w:type="dxa"/>
              <w:right w:w="-113" w:type="dxa"/>
            </w:tcMar>
          </w:tcPr>
          <w:p w14:paraId="5B17CBB3" w14:textId="77777777" w:rsidR="00CB0062" w:rsidRDefault="00CB0062" w:rsidP="00223E56">
            <w:pPr>
              <w:rPr>
                <w:color w:val="000000"/>
                <w:sz w:val="16"/>
                <w:szCs w:val="16"/>
              </w:rPr>
            </w:pPr>
            <w:r>
              <w:rPr>
                <w:color w:val="000000"/>
                <w:sz w:val="16"/>
                <w:szCs w:val="16"/>
              </w:rPr>
              <w:t>A&gt;</w:t>
            </w:r>
            <w:proofErr w:type="gramStart"/>
            <w:r>
              <w:rPr>
                <w:color w:val="000000"/>
                <w:sz w:val="16"/>
                <w:szCs w:val="16"/>
              </w:rPr>
              <w:t>G,T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3AEE8531"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6B78899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0A43F33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7879A757"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57FEB8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77B99C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1BC7F556" w14:textId="77777777" w:rsidR="00CB0062" w:rsidRDefault="00CB0062" w:rsidP="00223E56">
            <w:pPr>
              <w:rPr>
                <w:color w:val="000000"/>
                <w:sz w:val="16"/>
                <w:szCs w:val="16"/>
              </w:rPr>
            </w:pPr>
            <w:r>
              <w:rPr>
                <w:color w:val="000000"/>
                <w:sz w:val="16"/>
                <w:szCs w:val="16"/>
              </w:rPr>
              <w:t>rs13306295</w:t>
            </w:r>
          </w:p>
        </w:tc>
        <w:tc>
          <w:tcPr>
            <w:tcW w:w="851" w:type="dxa"/>
            <w:tcBorders>
              <w:top w:val="single" w:sz="4" w:space="0" w:color="D0CECE"/>
              <w:bottom w:val="single" w:sz="4" w:space="0" w:color="D0CECE"/>
            </w:tcBorders>
            <w:tcMar>
              <w:top w:w="-113" w:type="dxa"/>
              <w:left w:w="-113" w:type="dxa"/>
              <w:bottom w:w="-113" w:type="dxa"/>
              <w:right w:w="-113" w:type="dxa"/>
            </w:tcMar>
          </w:tcPr>
          <w:p w14:paraId="611BAFFE" w14:textId="77777777" w:rsidR="00CB0062" w:rsidRDefault="00CB0062" w:rsidP="00223E56">
            <w:pPr>
              <w:rPr>
                <w:color w:val="000000"/>
                <w:sz w:val="16"/>
                <w:szCs w:val="16"/>
              </w:rPr>
            </w:pPr>
            <w:r>
              <w:rPr>
                <w:color w:val="000000"/>
                <w:sz w:val="16"/>
                <w:szCs w:val="16"/>
              </w:rPr>
              <w:t>G&gt;</w:t>
            </w:r>
            <w:proofErr w:type="gramStart"/>
            <w:r>
              <w:rPr>
                <w:color w:val="000000"/>
                <w:sz w:val="16"/>
                <w:szCs w:val="16"/>
              </w:rPr>
              <w:t>A,T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7E3B959C"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4EE788E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237C73F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31EC3A81"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E15A1E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EF1DB8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2F7FF9E7" w14:textId="77777777" w:rsidR="00CB0062" w:rsidRDefault="00CB0062" w:rsidP="00223E56">
            <w:pPr>
              <w:rPr>
                <w:sz w:val="16"/>
                <w:szCs w:val="16"/>
              </w:rPr>
            </w:pPr>
            <w:r>
              <w:rPr>
                <w:color w:val="000000"/>
                <w:sz w:val="16"/>
                <w:szCs w:val="16"/>
              </w:rPr>
              <w:t>rs13306296</w:t>
            </w:r>
          </w:p>
          <w:p w14:paraId="5BA2D24E" w14:textId="77777777" w:rsidR="00CB0062" w:rsidRDefault="00CB0062" w:rsidP="00223E56">
            <w:pPr>
              <w:rPr>
                <w:sz w:val="16"/>
                <w:szCs w:val="16"/>
              </w:rPr>
            </w:pPr>
          </w:p>
        </w:tc>
        <w:tc>
          <w:tcPr>
            <w:tcW w:w="851" w:type="dxa"/>
            <w:vMerge w:val="restart"/>
            <w:tcBorders>
              <w:top w:val="single" w:sz="4" w:space="0" w:color="D0CECE"/>
              <w:bottom w:val="single" w:sz="4" w:space="0" w:color="D0CECE"/>
            </w:tcBorders>
            <w:tcMar>
              <w:top w:w="-113" w:type="dxa"/>
              <w:left w:w="-113" w:type="dxa"/>
              <w:bottom w:w="-113" w:type="dxa"/>
              <w:right w:w="-113" w:type="dxa"/>
            </w:tcMar>
          </w:tcPr>
          <w:p w14:paraId="106AEDCE" w14:textId="77777777" w:rsidR="00CB0062" w:rsidRDefault="00CB0062" w:rsidP="00223E56">
            <w:pPr>
              <w:rPr>
                <w:color w:val="000000"/>
                <w:sz w:val="16"/>
                <w:szCs w:val="16"/>
              </w:rPr>
            </w:pPr>
            <w:r>
              <w:rPr>
                <w:color w:val="000000"/>
                <w:sz w:val="16"/>
                <w:szCs w:val="16"/>
              </w:rPr>
              <w:t>G&gt;A</w:t>
            </w:r>
          </w:p>
        </w:tc>
        <w:tc>
          <w:tcPr>
            <w:tcW w:w="1701" w:type="dxa"/>
            <w:vMerge w:val="restart"/>
            <w:tcBorders>
              <w:top w:val="single" w:sz="4" w:space="0" w:color="D0CECE"/>
              <w:bottom w:val="single" w:sz="4" w:space="0" w:color="D0CECE"/>
            </w:tcBorders>
            <w:tcMar>
              <w:top w:w="-113" w:type="dxa"/>
              <w:left w:w="-113" w:type="dxa"/>
              <w:bottom w:w="-113" w:type="dxa"/>
              <w:right w:w="-113" w:type="dxa"/>
            </w:tcMar>
          </w:tcPr>
          <w:p w14:paraId="7131A7CA" w14:textId="77777777" w:rsidR="00CB0062" w:rsidRDefault="00CB0062" w:rsidP="00223E56">
            <w:pPr>
              <w:rPr>
                <w:color w:val="000000"/>
                <w:sz w:val="16"/>
                <w:szCs w:val="16"/>
              </w:rPr>
            </w:pPr>
            <w:r>
              <w:rPr>
                <w:sz w:val="16"/>
                <w:szCs w:val="16"/>
              </w:rPr>
              <w:t>2KB Upstream variant</w:t>
            </w:r>
          </w:p>
        </w:tc>
        <w:tc>
          <w:tcPr>
            <w:tcW w:w="708" w:type="dxa"/>
            <w:tcBorders>
              <w:top w:val="single" w:sz="4" w:space="0" w:color="D0CECE"/>
              <w:bottom w:val="single" w:sz="4" w:space="0" w:color="D0CECE"/>
            </w:tcBorders>
            <w:tcMar>
              <w:top w:w="-113" w:type="dxa"/>
              <w:left w:w="-113" w:type="dxa"/>
              <w:bottom w:w="-113" w:type="dxa"/>
              <w:right w:w="-113" w:type="dxa"/>
            </w:tcMar>
          </w:tcPr>
          <w:p w14:paraId="18FED3D1" w14:textId="77777777" w:rsidR="00CB0062" w:rsidRDefault="00CB0062" w:rsidP="00223E56">
            <w:pPr>
              <w:rPr>
                <w:color w:val="000000"/>
                <w:sz w:val="16"/>
                <w:szCs w:val="16"/>
              </w:rPr>
            </w:pPr>
            <w:r>
              <w:rPr>
                <w:color w:val="000000"/>
                <w:sz w:val="16"/>
                <w:szCs w:val="16"/>
              </w:rPr>
              <w:t>BP</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310ADE7" w14:textId="77777777" w:rsidR="00CB0062" w:rsidRDefault="00CB0062" w:rsidP="00223E56">
            <w:pPr>
              <w:rPr>
                <w:color w:val="000000"/>
                <w:sz w:val="16"/>
                <w:szCs w:val="16"/>
              </w:rPr>
            </w:pPr>
            <w:r>
              <w:rPr>
                <w:sz w:val="16"/>
                <w:szCs w:val="16"/>
              </w:rPr>
              <w:t xml:space="preserve">Farzan </w:t>
            </w:r>
            <w:r>
              <w:rPr>
                <w:i/>
                <w:sz w:val="16"/>
                <w:szCs w:val="16"/>
              </w:rPr>
              <w:t>et al.</w:t>
            </w:r>
            <w:r>
              <w:rPr>
                <w:sz w:val="16"/>
                <w:szCs w:val="16"/>
              </w:rPr>
              <w:t xml:space="preserve"> 2016</w:t>
            </w:r>
          </w:p>
        </w:tc>
      </w:tr>
      <w:tr w:rsidR="00CB0062" w:rsidRPr="0030321B" w14:paraId="3201641D" w14:textId="77777777" w:rsidTr="00923C73">
        <w:trPr>
          <w:trHeight w:val="317"/>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E8D3A8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B0C6CA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46B1CB7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tcMar>
              <w:top w:w="-113" w:type="dxa"/>
              <w:left w:w="-113" w:type="dxa"/>
              <w:bottom w:w="-113" w:type="dxa"/>
              <w:right w:w="-113" w:type="dxa"/>
            </w:tcMar>
          </w:tcPr>
          <w:p w14:paraId="2DD76AE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tcMar>
              <w:top w:w="-113" w:type="dxa"/>
              <w:left w:w="-113" w:type="dxa"/>
              <w:bottom w:w="-113" w:type="dxa"/>
              <w:right w:w="-113" w:type="dxa"/>
            </w:tcMar>
          </w:tcPr>
          <w:p w14:paraId="3C2DBFA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vMerge w:val="restart"/>
            <w:tcBorders>
              <w:top w:val="single" w:sz="4" w:space="0" w:color="D0CECE"/>
              <w:bottom w:val="single" w:sz="4" w:space="0" w:color="D0CECE"/>
            </w:tcBorders>
            <w:tcMar>
              <w:top w:w="-113" w:type="dxa"/>
              <w:left w:w="-113" w:type="dxa"/>
              <w:bottom w:w="-113" w:type="dxa"/>
              <w:right w:w="-113" w:type="dxa"/>
            </w:tcMar>
          </w:tcPr>
          <w:p w14:paraId="421DE399" w14:textId="77777777" w:rsidR="00CB0062" w:rsidRDefault="00CB0062" w:rsidP="00223E56">
            <w:pPr>
              <w:rPr>
                <w:sz w:val="16"/>
                <w:szCs w:val="16"/>
              </w:rPr>
            </w:pPr>
            <w:r>
              <w:rPr>
                <w:color w:val="000000"/>
                <w:sz w:val="16"/>
                <w:szCs w:val="16"/>
              </w:rPr>
              <w:t>CVD</w:t>
            </w:r>
          </w:p>
          <w:p w14:paraId="0FB14970" w14:textId="77777777" w:rsidR="00CB0062" w:rsidRDefault="00CB0062" w:rsidP="00223E56">
            <w:pPr>
              <w:rPr>
                <w:sz w:val="16"/>
                <w:szCs w:val="16"/>
              </w:rPr>
            </w:pPr>
            <w:r>
              <w:rPr>
                <w:sz w:val="16"/>
                <w:szCs w:val="16"/>
              </w:rPr>
              <w:t>CIMT</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1F5B13E6"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0417199A"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p w14:paraId="053DE185" w14:textId="77777777" w:rsidR="00CB0062" w:rsidRPr="00641BD3" w:rsidRDefault="00CB0062" w:rsidP="00223E56">
            <w:pPr>
              <w:rPr>
                <w:color w:val="000000"/>
                <w:sz w:val="16"/>
                <w:szCs w:val="16"/>
                <w:lang w:val="es-ES"/>
              </w:rPr>
            </w:pPr>
          </w:p>
        </w:tc>
      </w:tr>
      <w:tr w:rsidR="00CB0062" w14:paraId="543965BD"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A6A7A3C"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1E0377F"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71BDEBF5" w14:textId="77777777" w:rsidR="00CB0062" w:rsidRDefault="00CB0062" w:rsidP="00223E56">
            <w:pPr>
              <w:rPr>
                <w:color w:val="000000"/>
                <w:sz w:val="16"/>
                <w:szCs w:val="16"/>
              </w:rPr>
            </w:pPr>
            <w:r>
              <w:rPr>
                <w:color w:val="000000"/>
                <w:sz w:val="16"/>
                <w:szCs w:val="16"/>
              </w:rPr>
              <w:t>rs16966653</w:t>
            </w:r>
          </w:p>
        </w:tc>
        <w:tc>
          <w:tcPr>
            <w:tcW w:w="851" w:type="dxa"/>
            <w:tcBorders>
              <w:top w:val="single" w:sz="4" w:space="0" w:color="D0CECE"/>
              <w:bottom w:val="single" w:sz="4" w:space="0" w:color="D0CECE"/>
            </w:tcBorders>
            <w:tcMar>
              <w:top w:w="-113" w:type="dxa"/>
              <w:left w:w="-113" w:type="dxa"/>
              <w:bottom w:w="-113" w:type="dxa"/>
              <w:right w:w="-113" w:type="dxa"/>
            </w:tcMar>
          </w:tcPr>
          <w:p w14:paraId="1E121AA1" w14:textId="77777777" w:rsidR="00CB0062" w:rsidRDefault="00CB0062" w:rsidP="00223E56">
            <w:pPr>
              <w:rPr>
                <w:color w:val="000000"/>
                <w:sz w:val="16"/>
                <w:szCs w:val="16"/>
              </w:rPr>
            </w:pPr>
            <w:r>
              <w:rPr>
                <w:color w:val="000000"/>
                <w:sz w:val="16"/>
                <w:szCs w:val="16"/>
              </w:rPr>
              <w:t>C&gt;G</w:t>
            </w:r>
          </w:p>
        </w:tc>
        <w:tc>
          <w:tcPr>
            <w:tcW w:w="1701" w:type="dxa"/>
            <w:tcBorders>
              <w:top w:val="single" w:sz="4" w:space="0" w:color="D0CECE"/>
              <w:bottom w:val="single" w:sz="4" w:space="0" w:color="D0CECE"/>
            </w:tcBorders>
            <w:tcMar>
              <w:top w:w="-113" w:type="dxa"/>
              <w:left w:w="-113" w:type="dxa"/>
              <w:bottom w:w="-113" w:type="dxa"/>
              <w:right w:w="-113" w:type="dxa"/>
            </w:tcMar>
          </w:tcPr>
          <w:p w14:paraId="3794594C"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5132850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1A268E9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72662045"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900DB8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0F38C8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A633537" w14:textId="77777777" w:rsidR="00CB0062" w:rsidRDefault="00CB0062" w:rsidP="00223E56">
            <w:pPr>
              <w:rPr>
                <w:color w:val="000000"/>
                <w:sz w:val="16"/>
                <w:szCs w:val="16"/>
              </w:rPr>
            </w:pPr>
            <w:r>
              <w:rPr>
                <w:color w:val="000000"/>
                <w:sz w:val="16"/>
                <w:szCs w:val="16"/>
              </w:rPr>
              <w:t>rs3180279</w:t>
            </w:r>
          </w:p>
        </w:tc>
        <w:tc>
          <w:tcPr>
            <w:tcW w:w="851" w:type="dxa"/>
            <w:tcBorders>
              <w:top w:val="single" w:sz="4" w:space="0" w:color="D0CECE"/>
              <w:bottom w:val="single" w:sz="4" w:space="0" w:color="D0CECE"/>
            </w:tcBorders>
            <w:tcMar>
              <w:top w:w="-113" w:type="dxa"/>
              <w:left w:w="-113" w:type="dxa"/>
              <w:bottom w:w="-113" w:type="dxa"/>
              <w:right w:w="-113" w:type="dxa"/>
            </w:tcMar>
          </w:tcPr>
          <w:p w14:paraId="5AFD69E7" w14:textId="77777777" w:rsidR="00CB0062" w:rsidRDefault="00CB0062" w:rsidP="00223E56">
            <w:pPr>
              <w:rPr>
                <w:color w:val="000000"/>
                <w:sz w:val="16"/>
                <w:szCs w:val="16"/>
              </w:rPr>
            </w:pPr>
            <w:r>
              <w:rPr>
                <w:color w:val="000000"/>
                <w:sz w:val="16"/>
                <w:szCs w:val="16"/>
              </w:rPr>
              <w:t>C&gt;</w:t>
            </w:r>
            <w:proofErr w:type="gramStart"/>
            <w:r>
              <w:rPr>
                <w:color w:val="000000"/>
                <w:sz w:val="16"/>
                <w:szCs w:val="16"/>
              </w:rPr>
              <w:t>G,T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46D4A479"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66B6A2D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79175F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44DFD135"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2F0FE1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25077F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64174719" w14:textId="77777777" w:rsidR="00CB0062" w:rsidRDefault="00CB0062" w:rsidP="00223E56">
            <w:pPr>
              <w:rPr>
                <w:color w:val="000000"/>
                <w:sz w:val="16"/>
                <w:szCs w:val="16"/>
              </w:rPr>
            </w:pPr>
            <w:r>
              <w:rPr>
                <w:color w:val="000000"/>
                <w:sz w:val="16"/>
                <w:szCs w:val="16"/>
              </w:rPr>
              <w:t>rs3199601</w:t>
            </w:r>
          </w:p>
        </w:tc>
        <w:tc>
          <w:tcPr>
            <w:tcW w:w="851" w:type="dxa"/>
            <w:tcBorders>
              <w:top w:val="single" w:sz="4" w:space="0" w:color="D0CECE"/>
              <w:bottom w:val="single" w:sz="4" w:space="0" w:color="D0CECE"/>
            </w:tcBorders>
            <w:tcMar>
              <w:top w:w="-113" w:type="dxa"/>
              <w:left w:w="-113" w:type="dxa"/>
              <w:bottom w:w="-113" w:type="dxa"/>
              <w:right w:w="-113" w:type="dxa"/>
            </w:tcMar>
          </w:tcPr>
          <w:p w14:paraId="6C0F7A66" w14:textId="77777777" w:rsidR="00CB0062" w:rsidRDefault="00CB0062" w:rsidP="00223E56">
            <w:pPr>
              <w:rPr>
                <w:color w:val="000000"/>
                <w:sz w:val="16"/>
                <w:szCs w:val="16"/>
              </w:rPr>
            </w:pPr>
            <w:r>
              <w:rPr>
                <w:color w:val="000000"/>
                <w:sz w:val="16"/>
                <w:szCs w:val="16"/>
              </w:rPr>
              <w:t>G&gt;A</w:t>
            </w:r>
          </w:p>
        </w:tc>
        <w:tc>
          <w:tcPr>
            <w:tcW w:w="1701" w:type="dxa"/>
            <w:tcBorders>
              <w:top w:val="single" w:sz="4" w:space="0" w:color="D0CECE"/>
              <w:bottom w:val="single" w:sz="4" w:space="0" w:color="D0CECE"/>
            </w:tcBorders>
            <w:tcMar>
              <w:top w:w="-113" w:type="dxa"/>
              <w:left w:w="-113" w:type="dxa"/>
              <w:bottom w:w="-113" w:type="dxa"/>
              <w:right w:w="-113" w:type="dxa"/>
            </w:tcMar>
          </w:tcPr>
          <w:p w14:paraId="28D7969D"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71B9CCB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7FF0685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239E30BF"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969C4F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9B6AC2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7FF6F4E8" w14:textId="77777777" w:rsidR="00CB0062" w:rsidRDefault="00CB0062" w:rsidP="00223E56">
            <w:pPr>
              <w:rPr>
                <w:sz w:val="16"/>
                <w:szCs w:val="16"/>
              </w:rPr>
            </w:pPr>
            <w:r>
              <w:rPr>
                <w:color w:val="000000"/>
                <w:sz w:val="16"/>
                <w:szCs w:val="16"/>
              </w:rPr>
              <w:t>rs3794624</w:t>
            </w:r>
          </w:p>
          <w:p w14:paraId="401E76F2" w14:textId="77777777" w:rsidR="00CB0062" w:rsidRDefault="00CB0062" w:rsidP="00223E56">
            <w:pPr>
              <w:rPr>
                <w:sz w:val="16"/>
                <w:szCs w:val="16"/>
              </w:rPr>
            </w:pPr>
          </w:p>
        </w:tc>
        <w:tc>
          <w:tcPr>
            <w:tcW w:w="85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6BC5F5C2" w14:textId="77777777" w:rsidR="00CB0062" w:rsidRDefault="00CB0062" w:rsidP="00223E56">
            <w:pPr>
              <w:rPr>
                <w:color w:val="000000"/>
                <w:sz w:val="16"/>
                <w:szCs w:val="16"/>
              </w:rPr>
            </w:pPr>
            <w:r>
              <w:rPr>
                <w:color w:val="000000"/>
                <w:sz w:val="16"/>
                <w:szCs w:val="16"/>
              </w:rPr>
              <w:t>G&gt;A</w:t>
            </w:r>
          </w:p>
        </w:tc>
        <w:tc>
          <w:tcPr>
            <w:tcW w:w="170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2471F722" w14:textId="77777777" w:rsidR="00CB0062" w:rsidRDefault="00CB0062" w:rsidP="00223E56">
            <w:pPr>
              <w:rPr>
                <w:color w:val="000000"/>
                <w:sz w:val="16"/>
                <w:szCs w:val="16"/>
              </w:rPr>
            </w:pPr>
            <w:r>
              <w:rPr>
                <w:color w:val="000000"/>
                <w:sz w:val="16"/>
                <w:szCs w:val="16"/>
              </w:rPr>
              <w:t>Intron variant</w:t>
            </w:r>
          </w:p>
        </w:tc>
        <w:tc>
          <w:tcPr>
            <w:tcW w:w="708" w:type="dxa"/>
            <w:tcBorders>
              <w:top w:val="single" w:sz="4" w:space="0" w:color="D0CECE"/>
              <w:bottom w:val="single" w:sz="4" w:space="0" w:color="D0CECE"/>
            </w:tcBorders>
            <w:shd w:val="clear" w:color="auto" w:fill="auto"/>
            <w:tcMar>
              <w:top w:w="-113" w:type="dxa"/>
              <w:left w:w="-113" w:type="dxa"/>
              <w:bottom w:w="-113" w:type="dxa"/>
              <w:right w:w="-113" w:type="dxa"/>
            </w:tcMar>
          </w:tcPr>
          <w:p w14:paraId="43229D28" w14:textId="77777777" w:rsidR="00CB0062" w:rsidRDefault="00CB0062" w:rsidP="00223E56">
            <w:pPr>
              <w:rPr>
                <w:color w:val="000000"/>
                <w:sz w:val="16"/>
                <w:szCs w:val="16"/>
              </w:rPr>
            </w:pPr>
            <w:r>
              <w:rPr>
                <w:color w:val="000000"/>
                <w:sz w:val="16"/>
                <w:szCs w:val="16"/>
              </w:rPr>
              <w:t>DBP</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21F3DE27" w14:textId="77777777" w:rsidR="00CB0062" w:rsidRDefault="00CB0062" w:rsidP="00223E56">
            <w:pPr>
              <w:rPr>
                <w:color w:val="000000"/>
                <w:sz w:val="16"/>
                <w:szCs w:val="16"/>
              </w:rPr>
            </w:pPr>
            <w:r>
              <w:rPr>
                <w:sz w:val="16"/>
                <w:szCs w:val="16"/>
              </w:rPr>
              <w:t xml:space="preserve">Farzan </w:t>
            </w:r>
            <w:r>
              <w:rPr>
                <w:i/>
                <w:sz w:val="16"/>
                <w:szCs w:val="16"/>
              </w:rPr>
              <w:t>et al.</w:t>
            </w:r>
            <w:r>
              <w:rPr>
                <w:sz w:val="16"/>
                <w:szCs w:val="16"/>
              </w:rPr>
              <w:t xml:space="preserve"> 2016</w:t>
            </w:r>
          </w:p>
        </w:tc>
      </w:tr>
      <w:tr w:rsidR="00CB0062" w14:paraId="676D6F9E"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6C0DA2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F7E61B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1E78596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0A0A20F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419FF3E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tcBorders>
              <w:top w:val="single" w:sz="4" w:space="0" w:color="D0CECE"/>
              <w:bottom w:val="single" w:sz="4" w:space="0" w:color="D0CECE"/>
            </w:tcBorders>
            <w:tcMar>
              <w:top w:w="-113" w:type="dxa"/>
              <w:left w:w="-113" w:type="dxa"/>
              <w:bottom w:w="-113" w:type="dxa"/>
              <w:right w:w="-113" w:type="dxa"/>
            </w:tcMar>
          </w:tcPr>
          <w:p w14:paraId="305BEF82" w14:textId="77777777" w:rsidR="00CB0062" w:rsidRDefault="00CB0062" w:rsidP="00223E56">
            <w:pPr>
              <w:rPr>
                <w:color w:val="000000"/>
                <w:sz w:val="16"/>
                <w:szCs w:val="16"/>
              </w:rPr>
            </w:pPr>
            <w:r>
              <w:rPr>
                <w:color w:val="000000"/>
                <w:sz w:val="16"/>
                <w:szCs w:val="16"/>
              </w:rPr>
              <w:t>BP</w:t>
            </w: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52000FD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rsidRPr="0030321B" w14:paraId="5317A3CF" w14:textId="77777777" w:rsidTr="00923C73">
        <w:trPr>
          <w:trHeight w:val="317"/>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C5FF48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8351A7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68441F7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1877FDD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4E51B9E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vMerge w:val="restart"/>
            <w:tcBorders>
              <w:top w:val="single" w:sz="4" w:space="0" w:color="D0CECE"/>
              <w:bottom w:val="single" w:sz="4" w:space="0" w:color="D0CECE"/>
            </w:tcBorders>
            <w:tcMar>
              <w:top w:w="-113" w:type="dxa"/>
              <w:left w:w="-113" w:type="dxa"/>
              <w:bottom w:w="-113" w:type="dxa"/>
              <w:right w:w="-113" w:type="dxa"/>
            </w:tcMar>
          </w:tcPr>
          <w:p w14:paraId="3055D7D8" w14:textId="77777777" w:rsidR="00CB0062" w:rsidRDefault="00CB0062" w:rsidP="00223E56">
            <w:pPr>
              <w:rPr>
                <w:sz w:val="16"/>
                <w:szCs w:val="16"/>
              </w:rPr>
            </w:pPr>
            <w:r>
              <w:rPr>
                <w:color w:val="000000"/>
                <w:sz w:val="16"/>
                <w:szCs w:val="16"/>
              </w:rPr>
              <w:t>CVD</w:t>
            </w:r>
          </w:p>
          <w:p w14:paraId="684635C9" w14:textId="77777777" w:rsidR="00CB0062" w:rsidRDefault="00CB0062" w:rsidP="00223E56">
            <w:pPr>
              <w:rPr>
                <w:sz w:val="16"/>
                <w:szCs w:val="16"/>
              </w:rPr>
            </w:pPr>
            <w:r>
              <w:rPr>
                <w:sz w:val="16"/>
                <w:szCs w:val="16"/>
              </w:rPr>
              <w:t>CIMT</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688A4253"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1B1F4FFC"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p w14:paraId="1B4C2441" w14:textId="77777777" w:rsidR="00CB0062" w:rsidRPr="00641BD3" w:rsidRDefault="00CB0062" w:rsidP="00223E56">
            <w:pPr>
              <w:rPr>
                <w:color w:val="000000"/>
                <w:sz w:val="16"/>
                <w:szCs w:val="16"/>
                <w:lang w:val="es-ES"/>
              </w:rPr>
            </w:pPr>
          </w:p>
        </w:tc>
      </w:tr>
      <w:tr w:rsidR="00CB0062" w14:paraId="1AE7E900"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CF42001"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C7C9E1B"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63CA402F" w14:textId="77777777" w:rsidR="00CB0062" w:rsidRDefault="00CB0062" w:rsidP="00223E56">
            <w:pPr>
              <w:rPr>
                <w:color w:val="000000"/>
                <w:sz w:val="16"/>
                <w:szCs w:val="16"/>
              </w:rPr>
            </w:pPr>
            <w:r>
              <w:rPr>
                <w:color w:val="000000"/>
                <w:sz w:val="16"/>
                <w:szCs w:val="16"/>
              </w:rPr>
              <w:t>rs4782391</w:t>
            </w:r>
          </w:p>
        </w:tc>
        <w:tc>
          <w:tcPr>
            <w:tcW w:w="851" w:type="dxa"/>
            <w:tcBorders>
              <w:top w:val="single" w:sz="4" w:space="0" w:color="D0CECE"/>
              <w:bottom w:val="single" w:sz="4" w:space="0" w:color="D0CECE"/>
            </w:tcBorders>
            <w:tcMar>
              <w:top w:w="-113" w:type="dxa"/>
              <w:left w:w="-113" w:type="dxa"/>
              <w:bottom w:w="-113" w:type="dxa"/>
              <w:right w:w="-113" w:type="dxa"/>
            </w:tcMar>
          </w:tcPr>
          <w:p w14:paraId="610D24C3" w14:textId="77777777" w:rsidR="00CB0062" w:rsidRDefault="00CB0062" w:rsidP="00223E56">
            <w:pPr>
              <w:rPr>
                <w:color w:val="000000"/>
                <w:sz w:val="16"/>
                <w:szCs w:val="16"/>
              </w:rPr>
            </w:pPr>
            <w:r>
              <w:rPr>
                <w:color w:val="000000"/>
                <w:sz w:val="16"/>
                <w:szCs w:val="16"/>
              </w:rPr>
              <w:t>A&gt;</w:t>
            </w:r>
            <w:proofErr w:type="gramStart"/>
            <w:r>
              <w:rPr>
                <w:color w:val="000000"/>
                <w:sz w:val="16"/>
                <w:szCs w:val="16"/>
              </w:rPr>
              <w:t>G,T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504836F0"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7D7076D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5E8B23C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632B8237"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DE273D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38242C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74910C1" w14:textId="77777777" w:rsidR="00CB0062" w:rsidRDefault="00CB0062" w:rsidP="00223E56">
            <w:pPr>
              <w:rPr>
                <w:color w:val="000000"/>
                <w:sz w:val="16"/>
                <w:szCs w:val="16"/>
              </w:rPr>
            </w:pPr>
            <w:r>
              <w:rPr>
                <w:color w:val="000000"/>
                <w:sz w:val="16"/>
                <w:szCs w:val="16"/>
              </w:rPr>
              <w:t>rs4782393</w:t>
            </w:r>
          </w:p>
        </w:tc>
        <w:tc>
          <w:tcPr>
            <w:tcW w:w="851" w:type="dxa"/>
            <w:tcBorders>
              <w:top w:val="single" w:sz="4" w:space="0" w:color="D0CECE"/>
              <w:bottom w:val="single" w:sz="4" w:space="0" w:color="D0CECE"/>
            </w:tcBorders>
            <w:tcMar>
              <w:top w:w="-113" w:type="dxa"/>
              <w:left w:w="-113" w:type="dxa"/>
              <w:bottom w:w="-113" w:type="dxa"/>
              <w:right w:w="-113" w:type="dxa"/>
            </w:tcMar>
          </w:tcPr>
          <w:p w14:paraId="09149FFF" w14:textId="77777777" w:rsidR="00CB0062" w:rsidRDefault="00CB0062" w:rsidP="00223E56">
            <w:pPr>
              <w:rPr>
                <w:color w:val="000000"/>
                <w:sz w:val="16"/>
                <w:szCs w:val="16"/>
              </w:rPr>
            </w:pPr>
            <w:r>
              <w:rPr>
                <w:color w:val="000000"/>
                <w:sz w:val="16"/>
                <w:szCs w:val="16"/>
              </w:rPr>
              <w:t>A&gt;</w:t>
            </w:r>
            <w:proofErr w:type="gramStart"/>
            <w:r>
              <w:rPr>
                <w:color w:val="000000"/>
                <w:sz w:val="16"/>
                <w:szCs w:val="16"/>
              </w:rPr>
              <w:t>G,T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774AB1FB"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079ADAC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5AC8C49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4194E1A4" w14:textId="77777777" w:rsidTr="00923C73">
        <w:trPr>
          <w:trHeight w:val="61"/>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72F674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098D1F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51BC217C" w14:textId="77777777" w:rsidR="00CB0062" w:rsidRDefault="00CB0062" w:rsidP="00223E56">
            <w:pPr>
              <w:rPr>
                <w:color w:val="000000"/>
                <w:sz w:val="16"/>
                <w:szCs w:val="16"/>
              </w:rPr>
            </w:pPr>
            <w:r>
              <w:rPr>
                <w:color w:val="000000"/>
                <w:sz w:val="16"/>
                <w:szCs w:val="16"/>
              </w:rPr>
              <w:t>rs7195830</w:t>
            </w:r>
          </w:p>
        </w:tc>
        <w:tc>
          <w:tcPr>
            <w:tcW w:w="851" w:type="dxa"/>
            <w:tcBorders>
              <w:top w:val="single" w:sz="4" w:space="0" w:color="D0CECE"/>
              <w:bottom w:val="single" w:sz="4" w:space="0" w:color="D0CECE"/>
            </w:tcBorders>
            <w:tcMar>
              <w:top w:w="-113" w:type="dxa"/>
              <w:left w:w="-113" w:type="dxa"/>
              <w:bottom w:w="-113" w:type="dxa"/>
              <w:right w:w="-113" w:type="dxa"/>
            </w:tcMar>
          </w:tcPr>
          <w:p w14:paraId="395D7EB2" w14:textId="77777777" w:rsidR="00CB0062" w:rsidRDefault="00CB0062" w:rsidP="00223E56">
            <w:pPr>
              <w:rPr>
                <w:color w:val="000000"/>
                <w:sz w:val="16"/>
                <w:szCs w:val="16"/>
              </w:rPr>
            </w:pPr>
            <w:r>
              <w:rPr>
                <w:color w:val="000000"/>
                <w:sz w:val="16"/>
                <w:szCs w:val="16"/>
              </w:rPr>
              <w:t>A&gt;</w:t>
            </w:r>
            <w:proofErr w:type="gramStart"/>
            <w:r>
              <w:rPr>
                <w:color w:val="000000"/>
                <w:sz w:val="16"/>
                <w:szCs w:val="16"/>
              </w:rPr>
              <w:t>G,T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52D234AD" w14:textId="77777777" w:rsidR="00CB0062" w:rsidRDefault="00CB0062" w:rsidP="00223E56">
            <w:pPr>
              <w:rPr>
                <w:color w:val="000000"/>
                <w:sz w:val="16"/>
                <w:szCs w:val="16"/>
              </w:rPr>
            </w:pPr>
            <w:r>
              <w:rPr>
                <w:sz w:val="16"/>
                <w:szCs w:val="16"/>
              </w:rPr>
              <w:t>3 Prime UTR variant</w:t>
            </w:r>
          </w:p>
        </w:tc>
        <w:tc>
          <w:tcPr>
            <w:tcW w:w="708" w:type="dxa"/>
            <w:tcBorders>
              <w:top w:val="single" w:sz="4" w:space="0" w:color="D0CECE"/>
              <w:bottom w:val="single" w:sz="4" w:space="0" w:color="D0CECE"/>
            </w:tcBorders>
            <w:tcMar>
              <w:top w:w="-113" w:type="dxa"/>
              <w:left w:w="-113" w:type="dxa"/>
              <w:bottom w:w="-113" w:type="dxa"/>
              <w:right w:w="-113" w:type="dxa"/>
            </w:tcMar>
          </w:tcPr>
          <w:p w14:paraId="653BABA9" w14:textId="77777777" w:rsidR="00CB0062" w:rsidRDefault="00CB0062" w:rsidP="00223E56">
            <w:pPr>
              <w:rPr>
                <w:color w:val="000000"/>
                <w:sz w:val="16"/>
                <w:szCs w:val="16"/>
              </w:rPr>
            </w:pPr>
            <w:r>
              <w:rPr>
                <w:color w:val="000000"/>
                <w:sz w:val="16"/>
                <w:szCs w:val="16"/>
              </w:rPr>
              <w:t>T2DM</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3D3551EE" w14:textId="77777777" w:rsidR="00CB0062" w:rsidRDefault="00CB0062" w:rsidP="00223E56">
            <w:pPr>
              <w:rPr>
                <w:color w:val="000000"/>
                <w:sz w:val="16"/>
                <w:szCs w:val="16"/>
              </w:rPr>
            </w:pPr>
            <w:r>
              <w:rPr>
                <w:sz w:val="16"/>
                <w:szCs w:val="16"/>
              </w:rPr>
              <w:t>Grau-Perez et al. 2018</w:t>
            </w:r>
          </w:p>
        </w:tc>
      </w:tr>
      <w:tr w:rsidR="00CB0062" w:rsidRPr="0030321B" w14:paraId="5D7BF72B"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7A123A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BE2682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7C39FBA" w14:textId="77777777" w:rsidR="00CB0062" w:rsidRDefault="00CB0062" w:rsidP="00223E56">
            <w:pPr>
              <w:rPr>
                <w:color w:val="000000"/>
                <w:sz w:val="16"/>
                <w:szCs w:val="16"/>
              </w:rPr>
            </w:pPr>
            <w:r>
              <w:rPr>
                <w:color w:val="000000"/>
                <w:sz w:val="16"/>
                <w:szCs w:val="16"/>
              </w:rPr>
              <w:t>rs9925947</w:t>
            </w:r>
          </w:p>
        </w:tc>
        <w:tc>
          <w:tcPr>
            <w:tcW w:w="851" w:type="dxa"/>
            <w:tcBorders>
              <w:top w:val="single" w:sz="4" w:space="0" w:color="D0CECE"/>
              <w:bottom w:val="single" w:sz="4" w:space="0" w:color="D0CECE"/>
            </w:tcBorders>
            <w:tcMar>
              <w:top w:w="-113" w:type="dxa"/>
              <w:left w:w="-113" w:type="dxa"/>
              <w:bottom w:w="-113" w:type="dxa"/>
              <w:right w:w="-113" w:type="dxa"/>
            </w:tcMar>
          </w:tcPr>
          <w:p w14:paraId="36D37571" w14:textId="77777777" w:rsidR="00CB0062" w:rsidRDefault="00CB0062" w:rsidP="00223E56">
            <w:pPr>
              <w:rPr>
                <w:color w:val="000000"/>
                <w:sz w:val="16"/>
                <w:szCs w:val="16"/>
              </w:rPr>
            </w:pPr>
            <w:r>
              <w:rPr>
                <w:color w:val="000000"/>
                <w:sz w:val="16"/>
                <w:szCs w:val="16"/>
              </w:rPr>
              <w:t>A&gt;</w:t>
            </w:r>
            <w:proofErr w:type="gramStart"/>
            <w:r>
              <w:rPr>
                <w:color w:val="000000"/>
                <w:sz w:val="16"/>
                <w:szCs w:val="16"/>
              </w:rPr>
              <w:t>C,G</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694D45D7" w14:textId="77777777" w:rsidR="00CB0062" w:rsidRDefault="00CB0062" w:rsidP="00223E56">
            <w:pPr>
              <w:rPr>
                <w:color w:val="000000"/>
                <w:sz w:val="16"/>
                <w:szCs w:val="16"/>
              </w:rPr>
            </w:pPr>
            <w:r>
              <w:rPr>
                <w:sz w:val="16"/>
                <w:szCs w:val="16"/>
              </w:rPr>
              <w:t>500B Downstream variant</w:t>
            </w:r>
          </w:p>
        </w:tc>
        <w:tc>
          <w:tcPr>
            <w:tcW w:w="708" w:type="dxa"/>
            <w:vMerge w:val="restart"/>
            <w:tcBorders>
              <w:top w:val="single" w:sz="4" w:space="0" w:color="D0CECE"/>
              <w:bottom w:val="single" w:sz="4" w:space="0" w:color="D0CECE"/>
            </w:tcBorders>
            <w:tcMar>
              <w:top w:w="-113" w:type="dxa"/>
              <w:left w:w="-113" w:type="dxa"/>
              <w:bottom w:w="-113" w:type="dxa"/>
              <w:right w:w="-113" w:type="dxa"/>
            </w:tcMar>
          </w:tcPr>
          <w:p w14:paraId="547D487C" w14:textId="77777777" w:rsidR="00CB0062" w:rsidRDefault="00CB0062" w:rsidP="00223E56">
            <w:pPr>
              <w:rPr>
                <w:sz w:val="16"/>
                <w:szCs w:val="16"/>
              </w:rPr>
            </w:pPr>
            <w:r>
              <w:rPr>
                <w:color w:val="000000"/>
                <w:sz w:val="16"/>
                <w:szCs w:val="16"/>
              </w:rPr>
              <w:t>CVD</w:t>
            </w:r>
          </w:p>
          <w:p w14:paraId="65528ECB" w14:textId="77777777" w:rsidR="00CB0062" w:rsidRDefault="00CB0062" w:rsidP="00223E56">
            <w:pPr>
              <w:rPr>
                <w:sz w:val="16"/>
                <w:szCs w:val="16"/>
              </w:rPr>
            </w:pPr>
            <w:r>
              <w:rPr>
                <w:sz w:val="16"/>
                <w:szCs w:val="16"/>
              </w:rPr>
              <w:t>CIMT</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2B3CE21B"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59BAEFE9"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p w14:paraId="7392B022" w14:textId="77777777" w:rsidR="00CB0062" w:rsidRPr="00641BD3" w:rsidRDefault="00CB0062" w:rsidP="00223E56">
            <w:pPr>
              <w:rPr>
                <w:color w:val="000000"/>
                <w:sz w:val="16"/>
                <w:szCs w:val="16"/>
                <w:lang w:val="es-ES"/>
              </w:rPr>
            </w:pPr>
          </w:p>
        </w:tc>
      </w:tr>
      <w:tr w:rsidR="00CB0062" w14:paraId="428161A2"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7C61F55"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6AD039B"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36701139" w14:textId="77777777" w:rsidR="00CB0062" w:rsidRDefault="00CB0062" w:rsidP="00223E56">
            <w:pPr>
              <w:rPr>
                <w:color w:val="000000"/>
                <w:sz w:val="16"/>
                <w:szCs w:val="16"/>
              </w:rPr>
            </w:pPr>
            <w:r>
              <w:rPr>
                <w:color w:val="000000"/>
                <w:sz w:val="16"/>
                <w:szCs w:val="16"/>
              </w:rPr>
              <w:t>rs9940427</w:t>
            </w:r>
          </w:p>
        </w:tc>
        <w:tc>
          <w:tcPr>
            <w:tcW w:w="851" w:type="dxa"/>
            <w:tcBorders>
              <w:top w:val="single" w:sz="4" w:space="0" w:color="D0CECE"/>
              <w:bottom w:val="single" w:sz="4" w:space="0" w:color="000000"/>
            </w:tcBorders>
            <w:tcMar>
              <w:top w:w="-113" w:type="dxa"/>
              <w:left w:w="-113" w:type="dxa"/>
              <w:bottom w:w="-113" w:type="dxa"/>
              <w:right w:w="-113" w:type="dxa"/>
            </w:tcMar>
          </w:tcPr>
          <w:p w14:paraId="04518F3A" w14:textId="77777777" w:rsidR="00CB0062" w:rsidRDefault="00CB0062" w:rsidP="00223E56">
            <w:pPr>
              <w:rPr>
                <w:color w:val="000000"/>
                <w:sz w:val="16"/>
                <w:szCs w:val="16"/>
              </w:rPr>
            </w:pPr>
            <w:r>
              <w:rPr>
                <w:color w:val="000000"/>
                <w:sz w:val="16"/>
                <w:szCs w:val="16"/>
              </w:rPr>
              <w:t>G&gt;</w:t>
            </w:r>
            <w:proofErr w:type="gramStart"/>
            <w:r>
              <w:rPr>
                <w:color w:val="000000"/>
                <w:sz w:val="16"/>
                <w:szCs w:val="16"/>
              </w:rPr>
              <w:t>A,C</w:t>
            </w:r>
            <w:proofErr w:type="gramEnd"/>
            <w:r>
              <w:rPr>
                <w:color w:val="000000"/>
                <w:sz w:val="16"/>
                <w:szCs w:val="16"/>
              </w:rPr>
              <w:t>,T</w:t>
            </w:r>
          </w:p>
        </w:tc>
        <w:tc>
          <w:tcPr>
            <w:tcW w:w="1701" w:type="dxa"/>
            <w:tcBorders>
              <w:top w:val="single" w:sz="4" w:space="0" w:color="D0CECE"/>
              <w:bottom w:val="single" w:sz="4" w:space="0" w:color="000000"/>
            </w:tcBorders>
            <w:tcMar>
              <w:top w:w="-113" w:type="dxa"/>
              <w:left w:w="-113" w:type="dxa"/>
              <w:bottom w:w="-113" w:type="dxa"/>
              <w:right w:w="-113" w:type="dxa"/>
            </w:tcMar>
          </w:tcPr>
          <w:p w14:paraId="47F05D8A" w14:textId="77777777" w:rsidR="00CB0062" w:rsidRDefault="00CB0062" w:rsidP="00223E56">
            <w:pPr>
              <w:rPr>
                <w:color w:val="000000"/>
                <w:sz w:val="16"/>
                <w:szCs w:val="16"/>
              </w:rPr>
            </w:pPr>
            <w:r>
              <w:rPr>
                <w:color w:val="000000"/>
                <w:sz w:val="16"/>
                <w:szCs w:val="16"/>
              </w:rPr>
              <w:t>Missense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6B415D2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45A0BD0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4396B0AC"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788B4962" w14:textId="77777777" w:rsidR="00CB0062" w:rsidRDefault="00CB0062" w:rsidP="00223E56">
            <w:pPr>
              <w:rPr>
                <w:i/>
                <w:color w:val="000000"/>
                <w:sz w:val="16"/>
                <w:szCs w:val="16"/>
              </w:rPr>
            </w:pPr>
            <w:r>
              <w:rPr>
                <w:i/>
                <w:color w:val="000000"/>
                <w:sz w:val="16"/>
                <w:szCs w:val="16"/>
              </w:rPr>
              <w:lastRenderedPageBreak/>
              <w:t>CYP11B1</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128B2406" w14:textId="77777777" w:rsidR="00CB0062" w:rsidRDefault="00CB0062" w:rsidP="00223E56">
            <w:pPr>
              <w:rPr>
                <w:color w:val="000000"/>
                <w:sz w:val="16"/>
                <w:szCs w:val="16"/>
              </w:rPr>
            </w:pPr>
            <w:r>
              <w:rPr>
                <w:color w:val="000000"/>
                <w:sz w:val="16"/>
                <w:szCs w:val="16"/>
              </w:rPr>
              <w:t>Cytochrome P450 Family 11 Subfamily B Member 1</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7EF1B18C" w14:textId="77777777" w:rsidR="00CB0062" w:rsidRDefault="00CB0062" w:rsidP="00223E56">
            <w:pPr>
              <w:rPr>
                <w:color w:val="000000"/>
                <w:sz w:val="16"/>
                <w:szCs w:val="16"/>
              </w:rPr>
            </w:pPr>
            <w:r>
              <w:rPr>
                <w:color w:val="000000"/>
                <w:sz w:val="16"/>
                <w:szCs w:val="16"/>
              </w:rPr>
              <w:t>rs5299</w:t>
            </w:r>
          </w:p>
        </w:tc>
        <w:tc>
          <w:tcPr>
            <w:tcW w:w="851" w:type="dxa"/>
            <w:tcBorders>
              <w:top w:val="single" w:sz="4" w:space="0" w:color="000000"/>
              <w:bottom w:val="single" w:sz="4" w:space="0" w:color="000000"/>
            </w:tcBorders>
            <w:tcMar>
              <w:top w:w="-113" w:type="dxa"/>
              <w:left w:w="-113" w:type="dxa"/>
              <w:bottom w:w="-113" w:type="dxa"/>
              <w:right w:w="-113" w:type="dxa"/>
            </w:tcMar>
          </w:tcPr>
          <w:p w14:paraId="193550FB" w14:textId="77777777" w:rsidR="00CB0062" w:rsidRDefault="00CB0062" w:rsidP="00223E56">
            <w:pPr>
              <w:rPr>
                <w:color w:val="000000"/>
                <w:sz w:val="16"/>
                <w:szCs w:val="16"/>
              </w:rPr>
            </w:pPr>
            <w:r>
              <w:rPr>
                <w:color w:val="000000"/>
                <w:sz w:val="16"/>
                <w:szCs w:val="16"/>
              </w:rPr>
              <w:t>T&gt;</w:t>
            </w:r>
            <w:proofErr w:type="gramStart"/>
            <w:r>
              <w:rPr>
                <w:color w:val="000000"/>
                <w:sz w:val="16"/>
                <w:szCs w:val="16"/>
              </w:rPr>
              <w:t>C,G</w:t>
            </w:r>
            <w:proofErr w:type="gramEnd"/>
          </w:p>
        </w:tc>
        <w:tc>
          <w:tcPr>
            <w:tcW w:w="1701" w:type="dxa"/>
            <w:tcBorders>
              <w:top w:val="single" w:sz="4" w:space="0" w:color="000000"/>
              <w:bottom w:val="single" w:sz="4" w:space="0" w:color="000000"/>
            </w:tcBorders>
            <w:tcMar>
              <w:top w:w="-113" w:type="dxa"/>
              <w:left w:w="-113" w:type="dxa"/>
              <w:bottom w:w="-113" w:type="dxa"/>
              <w:right w:w="-113" w:type="dxa"/>
            </w:tcMar>
          </w:tcPr>
          <w:p w14:paraId="2D707019" w14:textId="77777777" w:rsidR="00CB0062" w:rsidRDefault="00CB0062" w:rsidP="00223E56">
            <w:pPr>
              <w:rPr>
                <w:color w:val="000000"/>
                <w:sz w:val="16"/>
                <w:szCs w:val="16"/>
              </w:rPr>
            </w:pPr>
            <w:r>
              <w:rPr>
                <w:sz w:val="16"/>
                <w:szCs w:val="16"/>
              </w:rPr>
              <w:t>3 Prime UTR variant</w:t>
            </w:r>
          </w:p>
        </w:tc>
        <w:tc>
          <w:tcPr>
            <w:tcW w:w="708" w:type="dxa"/>
            <w:tcBorders>
              <w:top w:val="single" w:sz="4" w:space="0" w:color="000000"/>
              <w:bottom w:val="single" w:sz="4" w:space="0" w:color="000000"/>
            </w:tcBorders>
            <w:tcMar>
              <w:top w:w="-113" w:type="dxa"/>
              <w:left w:w="-113" w:type="dxa"/>
              <w:bottom w:w="-113" w:type="dxa"/>
              <w:right w:w="-113" w:type="dxa"/>
            </w:tcMar>
          </w:tcPr>
          <w:p w14:paraId="4D892A6D" w14:textId="77777777" w:rsidR="00CB0062" w:rsidRDefault="00CB0062" w:rsidP="00223E56">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222D6C0B" w14:textId="77777777" w:rsidR="00CB0062" w:rsidRDefault="00CB0062" w:rsidP="00223E56">
            <w:pPr>
              <w:rPr>
                <w:color w:val="000000"/>
                <w:sz w:val="16"/>
                <w:szCs w:val="16"/>
              </w:rPr>
            </w:pPr>
            <w:r>
              <w:rPr>
                <w:sz w:val="16"/>
                <w:szCs w:val="16"/>
              </w:rPr>
              <w:t>Grau-Perez et al. 2018</w:t>
            </w:r>
          </w:p>
        </w:tc>
      </w:tr>
      <w:tr w:rsidR="00CB0062" w14:paraId="5A4DE702"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70485B0" w14:textId="77777777" w:rsidR="00CB0062" w:rsidRDefault="00CB0062" w:rsidP="00223E56">
            <w:pPr>
              <w:rPr>
                <w:i/>
                <w:color w:val="000000"/>
                <w:sz w:val="16"/>
                <w:szCs w:val="16"/>
              </w:rPr>
            </w:pPr>
            <w:r>
              <w:rPr>
                <w:i/>
                <w:color w:val="000000"/>
                <w:sz w:val="16"/>
                <w:szCs w:val="16"/>
              </w:rPr>
              <w:t>EDN1</w:t>
            </w:r>
          </w:p>
          <w:p w14:paraId="53896430"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8D56891" w14:textId="77777777" w:rsidR="00CB0062" w:rsidRDefault="00CB0062" w:rsidP="00223E56">
            <w:pPr>
              <w:rPr>
                <w:color w:val="000000"/>
                <w:sz w:val="16"/>
                <w:szCs w:val="16"/>
              </w:rPr>
            </w:pPr>
            <w:r>
              <w:rPr>
                <w:color w:val="000000"/>
                <w:sz w:val="16"/>
                <w:szCs w:val="16"/>
              </w:rPr>
              <w:t>Endothelin 1</w:t>
            </w:r>
          </w:p>
        </w:tc>
        <w:tc>
          <w:tcPr>
            <w:tcW w:w="992" w:type="dxa"/>
            <w:vMerge w:val="restart"/>
            <w:tcBorders>
              <w:top w:val="single" w:sz="4" w:space="0" w:color="000000"/>
              <w:left w:val="nil"/>
              <w:bottom w:val="single" w:sz="4" w:space="0" w:color="D0CECE"/>
            </w:tcBorders>
            <w:shd w:val="clear" w:color="auto" w:fill="auto"/>
            <w:tcMar>
              <w:top w:w="-113" w:type="dxa"/>
              <w:left w:w="-113" w:type="dxa"/>
              <w:bottom w:w="-113" w:type="dxa"/>
              <w:right w:w="-113" w:type="dxa"/>
            </w:tcMar>
          </w:tcPr>
          <w:p w14:paraId="0E19686F" w14:textId="77777777" w:rsidR="00CB0062" w:rsidRDefault="00CB0062" w:rsidP="00223E56">
            <w:pPr>
              <w:rPr>
                <w:sz w:val="16"/>
                <w:szCs w:val="16"/>
              </w:rPr>
            </w:pPr>
            <w:r>
              <w:rPr>
                <w:color w:val="000000"/>
                <w:sz w:val="16"/>
                <w:szCs w:val="16"/>
              </w:rPr>
              <w:t>rs1800541</w:t>
            </w:r>
          </w:p>
          <w:p w14:paraId="7FC8110F" w14:textId="77777777" w:rsidR="00CB0062" w:rsidRDefault="00CB0062" w:rsidP="00223E56">
            <w:pPr>
              <w:rPr>
                <w:sz w:val="16"/>
                <w:szCs w:val="16"/>
              </w:rPr>
            </w:pPr>
          </w:p>
        </w:tc>
        <w:tc>
          <w:tcPr>
            <w:tcW w:w="851" w:type="dxa"/>
            <w:vMerge w:val="restart"/>
            <w:tcBorders>
              <w:top w:val="single" w:sz="4" w:space="0" w:color="000000"/>
              <w:bottom w:val="single" w:sz="4" w:space="0" w:color="D0CECE"/>
            </w:tcBorders>
            <w:tcMar>
              <w:top w:w="-113" w:type="dxa"/>
              <w:left w:w="-113" w:type="dxa"/>
              <w:bottom w:w="-113" w:type="dxa"/>
              <w:right w:w="-113" w:type="dxa"/>
            </w:tcMar>
          </w:tcPr>
          <w:p w14:paraId="39436921" w14:textId="77777777" w:rsidR="00CB0062" w:rsidRDefault="00CB0062" w:rsidP="00223E56">
            <w:pPr>
              <w:rPr>
                <w:color w:val="000000"/>
                <w:sz w:val="16"/>
                <w:szCs w:val="16"/>
              </w:rPr>
            </w:pPr>
            <w:r>
              <w:rPr>
                <w:color w:val="000000"/>
                <w:sz w:val="16"/>
                <w:szCs w:val="16"/>
              </w:rPr>
              <w:t>T&gt;G</w:t>
            </w:r>
          </w:p>
        </w:tc>
        <w:tc>
          <w:tcPr>
            <w:tcW w:w="1701" w:type="dxa"/>
            <w:vMerge w:val="restart"/>
            <w:tcBorders>
              <w:top w:val="single" w:sz="4" w:space="0" w:color="000000"/>
              <w:bottom w:val="single" w:sz="4" w:space="0" w:color="D0CECE"/>
            </w:tcBorders>
            <w:tcMar>
              <w:top w:w="-113" w:type="dxa"/>
              <w:left w:w="-113" w:type="dxa"/>
              <w:bottom w:w="-113" w:type="dxa"/>
              <w:right w:w="-113" w:type="dxa"/>
            </w:tcMar>
          </w:tcPr>
          <w:p w14:paraId="6A24FA6A" w14:textId="77777777" w:rsidR="00CB0062" w:rsidRDefault="00CB0062" w:rsidP="00223E56">
            <w:pPr>
              <w:rPr>
                <w:color w:val="000000"/>
                <w:sz w:val="16"/>
                <w:szCs w:val="16"/>
              </w:rPr>
            </w:pPr>
            <w:r>
              <w:rPr>
                <w:color w:val="000000"/>
                <w:sz w:val="16"/>
                <w:szCs w:val="16"/>
              </w:rPr>
              <w:t>Intron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27A7B623" w14:textId="77777777" w:rsidR="00CB0062" w:rsidRDefault="00CB0062" w:rsidP="00223E56">
            <w:pPr>
              <w:rPr>
                <w:sz w:val="16"/>
                <w:szCs w:val="16"/>
              </w:rPr>
            </w:pPr>
            <w:r>
              <w:rPr>
                <w:color w:val="000000"/>
                <w:sz w:val="16"/>
                <w:szCs w:val="16"/>
              </w:rPr>
              <w:t>T2DM</w:t>
            </w:r>
          </w:p>
          <w:p w14:paraId="68031954" w14:textId="77777777" w:rsidR="00CB0062" w:rsidRDefault="00CB0062" w:rsidP="00223E56">
            <w:pPr>
              <w:rPr>
                <w:sz w:val="16"/>
                <w:szCs w:val="16"/>
              </w:rPr>
            </w:pPr>
          </w:p>
        </w:tc>
        <w:tc>
          <w:tcPr>
            <w:tcW w:w="1838" w:type="dxa"/>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9EFA9B2" w14:textId="77777777" w:rsidR="00CB0062" w:rsidRDefault="00CB0062" w:rsidP="00223E56">
            <w:pPr>
              <w:rPr>
                <w:color w:val="000000"/>
                <w:sz w:val="16"/>
                <w:szCs w:val="16"/>
              </w:rPr>
            </w:pPr>
            <w:proofErr w:type="spellStart"/>
            <w:r>
              <w:rPr>
                <w:sz w:val="16"/>
                <w:szCs w:val="16"/>
              </w:rPr>
              <w:t>Martíz</w:t>
            </w:r>
            <w:proofErr w:type="spellEnd"/>
            <w:r>
              <w:rPr>
                <w:sz w:val="16"/>
                <w:szCs w:val="16"/>
              </w:rPr>
              <w:t xml:space="preserve">-Barquero </w:t>
            </w:r>
            <w:r>
              <w:rPr>
                <w:i/>
                <w:sz w:val="16"/>
                <w:szCs w:val="16"/>
              </w:rPr>
              <w:t>et al.</w:t>
            </w:r>
            <w:r>
              <w:rPr>
                <w:sz w:val="16"/>
                <w:szCs w:val="16"/>
              </w:rPr>
              <w:t xml:space="preserve"> 2015</w:t>
            </w:r>
          </w:p>
        </w:tc>
      </w:tr>
      <w:tr w:rsidR="00CB0062" w14:paraId="77836959"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9A40D4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59EE0B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000000"/>
              <w:left w:val="nil"/>
              <w:bottom w:val="single" w:sz="4" w:space="0" w:color="D0CECE"/>
            </w:tcBorders>
            <w:shd w:val="clear" w:color="auto" w:fill="auto"/>
            <w:tcMar>
              <w:top w:w="-113" w:type="dxa"/>
              <w:left w:w="-113" w:type="dxa"/>
              <w:bottom w:w="-113" w:type="dxa"/>
              <w:right w:w="-113" w:type="dxa"/>
            </w:tcMar>
          </w:tcPr>
          <w:p w14:paraId="5B1FD10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000000"/>
              <w:bottom w:val="single" w:sz="4" w:space="0" w:color="D0CECE"/>
            </w:tcBorders>
            <w:tcMar>
              <w:top w:w="-113" w:type="dxa"/>
              <w:left w:w="-113" w:type="dxa"/>
              <w:bottom w:w="-113" w:type="dxa"/>
              <w:right w:w="-113" w:type="dxa"/>
            </w:tcMar>
          </w:tcPr>
          <w:p w14:paraId="6EA2DFB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000000"/>
              <w:bottom w:val="single" w:sz="4" w:space="0" w:color="D0CECE"/>
            </w:tcBorders>
            <w:tcMar>
              <w:top w:w="-113" w:type="dxa"/>
              <w:left w:w="-113" w:type="dxa"/>
              <w:bottom w:w="-113" w:type="dxa"/>
              <w:right w:w="-113" w:type="dxa"/>
            </w:tcMar>
          </w:tcPr>
          <w:p w14:paraId="796E72E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vMerge/>
            <w:tcBorders>
              <w:top w:val="single" w:sz="4" w:space="0" w:color="000000"/>
              <w:bottom w:val="single" w:sz="4" w:space="0" w:color="D0CECE"/>
            </w:tcBorders>
            <w:tcMar>
              <w:top w:w="-113" w:type="dxa"/>
              <w:left w:w="-113" w:type="dxa"/>
              <w:bottom w:w="-113" w:type="dxa"/>
              <w:right w:w="-113" w:type="dxa"/>
            </w:tcMar>
          </w:tcPr>
          <w:p w14:paraId="1D3C1ED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26787DEB" w14:textId="77777777" w:rsidR="00CB0062" w:rsidRDefault="00CB0062" w:rsidP="00223E56">
            <w:pPr>
              <w:rPr>
                <w:color w:val="000000"/>
                <w:sz w:val="16"/>
                <w:szCs w:val="16"/>
              </w:rPr>
            </w:pPr>
            <w:r>
              <w:rPr>
                <w:sz w:val="16"/>
                <w:szCs w:val="16"/>
              </w:rPr>
              <w:t>Grau-Perez et al. 2018</w:t>
            </w:r>
          </w:p>
        </w:tc>
      </w:tr>
      <w:tr w:rsidR="00CB0062" w14:paraId="4F940700"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76D786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DB04DF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3FAB30E7" w14:textId="77777777" w:rsidR="00CB0062" w:rsidRDefault="00CB0062" w:rsidP="00223E56">
            <w:pPr>
              <w:rPr>
                <w:sz w:val="16"/>
                <w:szCs w:val="16"/>
              </w:rPr>
            </w:pPr>
            <w:r>
              <w:rPr>
                <w:color w:val="000000"/>
                <w:sz w:val="16"/>
                <w:szCs w:val="16"/>
              </w:rPr>
              <w:t>rs2070699</w:t>
            </w:r>
          </w:p>
          <w:p w14:paraId="257FEEA7" w14:textId="77777777" w:rsidR="00CB0062" w:rsidRDefault="00CB0062" w:rsidP="00223E56">
            <w:pPr>
              <w:rPr>
                <w:sz w:val="16"/>
                <w:szCs w:val="16"/>
              </w:rPr>
            </w:pPr>
          </w:p>
        </w:tc>
        <w:tc>
          <w:tcPr>
            <w:tcW w:w="851" w:type="dxa"/>
            <w:vMerge w:val="restart"/>
            <w:tcBorders>
              <w:top w:val="single" w:sz="4" w:space="0" w:color="D0CECE"/>
              <w:bottom w:val="single" w:sz="4" w:space="0" w:color="D0CECE"/>
            </w:tcBorders>
            <w:tcMar>
              <w:top w:w="-113" w:type="dxa"/>
              <w:left w:w="-113" w:type="dxa"/>
              <w:bottom w:w="-113" w:type="dxa"/>
              <w:right w:w="-113" w:type="dxa"/>
            </w:tcMar>
          </w:tcPr>
          <w:p w14:paraId="37F34340" w14:textId="77777777" w:rsidR="00CB0062" w:rsidRDefault="00CB0062" w:rsidP="00223E56">
            <w:pPr>
              <w:rPr>
                <w:color w:val="000000"/>
                <w:sz w:val="16"/>
                <w:szCs w:val="16"/>
              </w:rPr>
            </w:pPr>
            <w:r>
              <w:rPr>
                <w:color w:val="000000"/>
                <w:sz w:val="16"/>
                <w:szCs w:val="16"/>
              </w:rPr>
              <w:t>G&gt;</w:t>
            </w:r>
            <w:proofErr w:type="gramStart"/>
            <w:r>
              <w:rPr>
                <w:color w:val="000000"/>
                <w:sz w:val="16"/>
                <w:szCs w:val="16"/>
              </w:rPr>
              <w:t>C,T</w:t>
            </w:r>
            <w:proofErr w:type="gramEnd"/>
          </w:p>
        </w:tc>
        <w:tc>
          <w:tcPr>
            <w:tcW w:w="1701" w:type="dxa"/>
            <w:vMerge w:val="restart"/>
            <w:tcBorders>
              <w:top w:val="single" w:sz="4" w:space="0" w:color="D0CECE"/>
              <w:bottom w:val="single" w:sz="4" w:space="0" w:color="D0CECE"/>
            </w:tcBorders>
            <w:tcMar>
              <w:top w:w="-113" w:type="dxa"/>
              <w:left w:w="-113" w:type="dxa"/>
              <w:bottom w:w="-113" w:type="dxa"/>
              <w:right w:w="-113" w:type="dxa"/>
            </w:tcMar>
          </w:tcPr>
          <w:p w14:paraId="0A67CC24"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4B0F250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1F0CF808" w14:textId="77777777" w:rsidR="00CB0062" w:rsidRDefault="00CB0062" w:rsidP="00223E56">
            <w:pPr>
              <w:rPr>
                <w:color w:val="000000"/>
                <w:sz w:val="16"/>
                <w:szCs w:val="16"/>
              </w:rPr>
            </w:pPr>
            <w:proofErr w:type="spellStart"/>
            <w:r>
              <w:rPr>
                <w:sz w:val="16"/>
                <w:szCs w:val="16"/>
              </w:rPr>
              <w:t>Martíz</w:t>
            </w:r>
            <w:proofErr w:type="spellEnd"/>
            <w:r>
              <w:rPr>
                <w:sz w:val="16"/>
                <w:szCs w:val="16"/>
              </w:rPr>
              <w:t xml:space="preserve">-Barquero </w:t>
            </w:r>
            <w:r>
              <w:rPr>
                <w:i/>
                <w:sz w:val="16"/>
                <w:szCs w:val="16"/>
              </w:rPr>
              <w:t>et al.</w:t>
            </w:r>
            <w:r>
              <w:rPr>
                <w:sz w:val="16"/>
                <w:szCs w:val="16"/>
              </w:rPr>
              <w:t xml:space="preserve"> 2015</w:t>
            </w:r>
          </w:p>
        </w:tc>
      </w:tr>
      <w:tr w:rsidR="00CB0062" w14:paraId="188DAACF" w14:textId="77777777" w:rsidTr="00923C73">
        <w:trPr>
          <w:trHeight w:val="198"/>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CDD586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295333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40DBCAD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tcMar>
              <w:top w:w="-113" w:type="dxa"/>
              <w:left w:w="-113" w:type="dxa"/>
              <w:bottom w:w="-113" w:type="dxa"/>
              <w:right w:w="-113" w:type="dxa"/>
            </w:tcMar>
          </w:tcPr>
          <w:p w14:paraId="4B012A2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tcMar>
              <w:top w:w="-113" w:type="dxa"/>
              <w:left w:w="-113" w:type="dxa"/>
              <w:bottom w:w="-113" w:type="dxa"/>
              <w:right w:w="-113" w:type="dxa"/>
            </w:tcMar>
          </w:tcPr>
          <w:p w14:paraId="06BA7BF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vMerge/>
            <w:tcBorders>
              <w:top w:val="single" w:sz="4" w:space="0" w:color="000000"/>
              <w:bottom w:val="single" w:sz="4" w:space="0" w:color="D0CECE"/>
            </w:tcBorders>
            <w:tcMar>
              <w:top w:w="-113" w:type="dxa"/>
              <w:left w:w="-113" w:type="dxa"/>
              <w:bottom w:w="-113" w:type="dxa"/>
              <w:right w:w="-113" w:type="dxa"/>
            </w:tcMar>
          </w:tcPr>
          <w:p w14:paraId="3B32D19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279EF79B" w14:textId="77777777" w:rsidR="00CB0062" w:rsidRDefault="00CB0062" w:rsidP="00223E56">
            <w:pPr>
              <w:rPr>
                <w:color w:val="000000"/>
                <w:sz w:val="16"/>
                <w:szCs w:val="16"/>
              </w:rPr>
            </w:pPr>
            <w:r>
              <w:rPr>
                <w:sz w:val="16"/>
                <w:szCs w:val="16"/>
              </w:rPr>
              <w:t>Grau-Perez et al. 2018</w:t>
            </w:r>
          </w:p>
        </w:tc>
      </w:tr>
      <w:tr w:rsidR="00CB0062" w14:paraId="7C38BF60"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DDE953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F0EA2B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5F860500" w14:textId="77777777" w:rsidR="00CB0062" w:rsidRDefault="00CB0062" w:rsidP="00223E56">
            <w:pPr>
              <w:rPr>
                <w:sz w:val="16"/>
                <w:szCs w:val="16"/>
              </w:rPr>
            </w:pPr>
            <w:r>
              <w:rPr>
                <w:color w:val="000000"/>
                <w:sz w:val="16"/>
                <w:szCs w:val="16"/>
              </w:rPr>
              <w:t>rs3087459</w:t>
            </w:r>
          </w:p>
        </w:tc>
        <w:tc>
          <w:tcPr>
            <w:tcW w:w="851" w:type="dxa"/>
            <w:vMerge w:val="restart"/>
            <w:tcBorders>
              <w:top w:val="single" w:sz="4" w:space="0" w:color="D0CECE"/>
              <w:bottom w:val="single" w:sz="4" w:space="0" w:color="D0CECE"/>
            </w:tcBorders>
            <w:tcMar>
              <w:top w:w="-113" w:type="dxa"/>
              <w:left w:w="-113" w:type="dxa"/>
              <w:bottom w:w="-113" w:type="dxa"/>
              <w:right w:w="-113" w:type="dxa"/>
            </w:tcMar>
          </w:tcPr>
          <w:p w14:paraId="337AB0C2" w14:textId="77777777" w:rsidR="00CB0062" w:rsidRDefault="00CB0062" w:rsidP="00223E56">
            <w:pPr>
              <w:rPr>
                <w:color w:val="000000"/>
                <w:sz w:val="16"/>
                <w:szCs w:val="16"/>
              </w:rPr>
            </w:pPr>
            <w:r>
              <w:rPr>
                <w:color w:val="000000"/>
                <w:sz w:val="16"/>
                <w:szCs w:val="16"/>
              </w:rPr>
              <w:t>A&gt;C</w:t>
            </w:r>
          </w:p>
        </w:tc>
        <w:tc>
          <w:tcPr>
            <w:tcW w:w="1701" w:type="dxa"/>
            <w:vMerge w:val="restart"/>
            <w:tcBorders>
              <w:top w:val="single" w:sz="4" w:space="0" w:color="D0CECE"/>
              <w:bottom w:val="single" w:sz="4" w:space="0" w:color="D0CECE"/>
            </w:tcBorders>
            <w:tcMar>
              <w:top w:w="-113" w:type="dxa"/>
              <w:left w:w="-113" w:type="dxa"/>
              <w:bottom w:w="-113" w:type="dxa"/>
              <w:right w:w="-113" w:type="dxa"/>
            </w:tcMar>
          </w:tcPr>
          <w:p w14:paraId="04DBE191" w14:textId="77777777" w:rsidR="00CB0062" w:rsidRDefault="00CB0062" w:rsidP="00223E56">
            <w:pPr>
              <w:rPr>
                <w:color w:val="000000"/>
                <w:sz w:val="16"/>
                <w:szCs w:val="16"/>
              </w:rPr>
            </w:pPr>
            <w:r>
              <w:rPr>
                <w:color w:val="000000"/>
                <w:sz w:val="16"/>
                <w:szCs w:val="16"/>
              </w:rPr>
              <w:t xml:space="preserve">Intron variant </w:t>
            </w:r>
          </w:p>
        </w:tc>
        <w:tc>
          <w:tcPr>
            <w:tcW w:w="708" w:type="dxa"/>
            <w:vMerge/>
            <w:tcBorders>
              <w:top w:val="single" w:sz="4" w:space="0" w:color="000000"/>
              <w:bottom w:val="single" w:sz="4" w:space="0" w:color="D0CECE"/>
            </w:tcBorders>
            <w:tcMar>
              <w:top w:w="-113" w:type="dxa"/>
              <w:left w:w="-113" w:type="dxa"/>
              <w:bottom w:w="-113" w:type="dxa"/>
              <w:right w:w="-113" w:type="dxa"/>
            </w:tcMar>
          </w:tcPr>
          <w:p w14:paraId="0269180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14CC49D2" w14:textId="77777777" w:rsidR="00CB0062" w:rsidRDefault="00CB0062" w:rsidP="00223E56">
            <w:pPr>
              <w:rPr>
                <w:color w:val="000000"/>
                <w:sz w:val="16"/>
                <w:szCs w:val="16"/>
              </w:rPr>
            </w:pPr>
            <w:proofErr w:type="spellStart"/>
            <w:r>
              <w:rPr>
                <w:sz w:val="16"/>
                <w:szCs w:val="16"/>
              </w:rPr>
              <w:t>Martíz</w:t>
            </w:r>
            <w:proofErr w:type="spellEnd"/>
            <w:r>
              <w:rPr>
                <w:sz w:val="16"/>
                <w:szCs w:val="16"/>
              </w:rPr>
              <w:t xml:space="preserve">-Barquero </w:t>
            </w:r>
            <w:r>
              <w:rPr>
                <w:i/>
                <w:sz w:val="16"/>
                <w:szCs w:val="16"/>
              </w:rPr>
              <w:t>et al.</w:t>
            </w:r>
            <w:r>
              <w:rPr>
                <w:sz w:val="16"/>
                <w:szCs w:val="16"/>
              </w:rPr>
              <w:t xml:space="preserve"> 2015</w:t>
            </w:r>
          </w:p>
        </w:tc>
      </w:tr>
      <w:tr w:rsidR="00CB0062" w14:paraId="258AC533"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812BEA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2292BB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307FE36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tcMar>
              <w:top w:w="-113" w:type="dxa"/>
              <w:left w:w="-113" w:type="dxa"/>
              <w:bottom w:w="-113" w:type="dxa"/>
              <w:right w:w="-113" w:type="dxa"/>
            </w:tcMar>
          </w:tcPr>
          <w:p w14:paraId="3543B5E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tcMar>
              <w:top w:w="-113" w:type="dxa"/>
              <w:left w:w="-113" w:type="dxa"/>
              <w:bottom w:w="-113" w:type="dxa"/>
              <w:right w:w="-113" w:type="dxa"/>
            </w:tcMar>
          </w:tcPr>
          <w:p w14:paraId="01A6C78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vMerge/>
            <w:tcBorders>
              <w:top w:val="single" w:sz="4" w:space="0" w:color="000000"/>
              <w:bottom w:val="single" w:sz="4" w:space="0" w:color="D0CECE"/>
            </w:tcBorders>
            <w:tcMar>
              <w:top w:w="-113" w:type="dxa"/>
              <w:left w:w="-113" w:type="dxa"/>
              <w:bottom w:w="-113" w:type="dxa"/>
              <w:right w:w="-113" w:type="dxa"/>
            </w:tcMar>
          </w:tcPr>
          <w:p w14:paraId="764025C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15F650E9" w14:textId="77777777" w:rsidR="00CB0062" w:rsidRDefault="00CB0062" w:rsidP="00223E56">
            <w:pPr>
              <w:rPr>
                <w:color w:val="000000"/>
                <w:sz w:val="16"/>
                <w:szCs w:val="16"/>
              </w:rPr>
            </w:pPr>
            <w:r>
              <w:rPr>
                <w:sz w:val="16"/>
                <w:szCs w:val="16"/>
              </w:rPr>
              <w:t>Grau-Perez et al. 2018</w:t>
            </w:r>
          </w:p>
        </w:tc>
      </w:tr>
      <w:tr w:rsidR="00CB0062" w14:paraId="783EC43C"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7BC051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31C8C8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594858A8" w14:textId="77777777" w:rsidR="00CB0062" w:rsidRDefault="00CB0062" w:rsidP="00223E56">
            <w:pPr>
              <w:rPr>
                <w:sz w:val="16"/>
                <w:szCs w:val="16"/>
              </w:rPr>
            </w:pPr>
            <w:r>
              <w:rPr>
                <w:color w:val="000000"/>
                <w:sz w:val="16"/>
                <w:szCs w:val="16"/>
              </w:rPr>
              <w:t>rs5370</w:t>
            </w:r>
          </w:p>
          <w:p w14:paraId="477E0CA8" w14:textId="77777777" w:rsidR="00CB0062" w:rsidRDefault="00CB0062" w:rsidP="00223E56">
            <w:pPr>
              <w:rPr>
                <w:sz w:val="16"/>
                <w:szCs w:val="16"/>
              </w:rPr>
            </w:pPr>
          </w:p>
        </w:tc>
        <w:tc>
          <w:tcPr>
            <w:tcW w:w="851" w:type="dxa"/>
            <w:vMerge w:val="restart"/>
            <w:tcBorders>
              <w:top w:val="single" w:sz="4" w:space="0" w:color="D0CECE"/>
              <w:bottom w:val="single" w:sz="4" w:space="0" w:color="D0CECE"/>
            </w:tcBorders>
            <w:tcMar>
              <w:top w:w="-113" w:type="dxa"/>
              <w:left w:w="-113" w:type="dxa"/>
              <w:bottom w:w="-113" w:type="dxa"/>
              <w:right w:w="-113" w:type="dxa"/>
            </w:tcMar>
          </w:tcPr>
          <w:p w14:paraId="49B86AE3" w14:textId="77777777" w:rsidR="00CB0062" w:rsidRDefault="00CB0062" w:rsidP="00223E56">
            <w:pPr>
              <w:rPr>
                <w:color w:val="000000"/>
                <w:sz w:val="16"/>
                <w:szCs w:val="16"/>
              </w:rPr>
            </w:pPr>
            <w:r>
              <w:rPr>
                <w:color w:val="000000"/>
                <w:sz w:val="16"/>
                <w:szCs w:val="16"/>
              </w:rPr>
              <w:t>G&gt;T</w:t>
            </w:r>
          </w:p>
        </w:tc>
        <w:tc>
          <w:tcPr>
            <w:tcW w:w="1701" w:type="dxa"/>
            <w:vMerge w:val="restart"/>
            <w:tcBorders>
              <w:top w:val="single" w:sz="4" w:space="0" w:color="D0CECE"/>
              <w:bottom w:val="single" w:sz="4" w:space="0" w:color="D0CECE"/>
            </w:tcBorders>
            <w:tcMar>
              <w:top w:w="-113" w:type="dxa"/>
              <w:left w:w="-113" w:type="dxa"/>
              <w:bottom w:w="-113" w:type="dxa"/>
              <w:right w:w="-113" w:type="dxa"/>
            </w:tcMar>
          </w:tcPr>
          <w:p w14:paraId="42E968D9" w14:textId="77777777" w:rsidR="00CB0062" w:rsidRDefault="00CB0062" w:rsidP="00223E56">
            <w:pPr>
              <w:rPr>
                <w:color w:val="000000"/>
                <w:sz w:val="16"/>
                <w:szCs w:val="16"/>
              </w:rPr>
            </w:pPr>
            <w:r>
              <w:rPr>
                <w:color w:val="000000"/>
                <w:sz w:val="16"/>
                <w:szCs w:val="16"/>
              </w:rPr>
              <w:t>Missense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0F68134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26B7E7A7" w14:textId="77777777" w:rsidR="00CB0062" w:rsidRDefault="00CB0062" w:rsidP="00223E56">
            <w:pPr>
              <w:rPr>
                <w:color w:val="000000"/>
                <w:sz w:val="16"/>
                <w:szCs w:val="16"/>
              </w:rPr>
            </w:pPr>
            <w:proofErr w:type="spellStart"/>
            <w:r>
              <w:rPr>
                <w:sz w:val="16"/>
                <w:szCs w:val="16"/>
              </w:rPr>
              <w:t>Martíz</w:t>
            </w:r>
            <w:proofErr w:type="spellEnd"/>
            <w:r>
              <w:rPr>
                <w:sz w:val="16"/>
                <w:szCs w:val="16"/>
              </w:rPr>
              <w:t xml:space="preserve">-Barquero </w:t>
            </w:r>
            <w:r>
              <w:rPr>
                <w:i/>
                <w:sz w:val="16"/>
                <w:szCs w:val="16"/>
              </w:rPr>
              <w:t>et al.</w:t>
            </w:r>
            <w:r>
              <w:rPr>
                <w:sz w:val="16"/>
                <w:szCs w:val="16"/>
              </w:rPr>
              <w:t xml:space="preserve"> 2015</w:t>
            </w:r>
          </w:p>
        </w:tc>
      </w:tr>
      <w:tr w:rsidR="00CB0062" w14:paraId="47521EF2"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AFB387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2B130A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52A3415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tcMar>
              <w:top w:w="-113" w:type="dxa"/>
              <w:left w:w="-113" w:type="dxa"/>
              <w:bottom w:w="-113" w:type="dxa"/>
              <w:right w:w="-113" w:type="dxa"/>
            </w:tcMar>
          </w:tcPr>
          <w:p w14:paraId="5C0E90E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tcMar>
              <w:top w:w="-113" w:type="dxa"/>
              <w:left w:w="-113" w:type="dxa"/>
              <w:bottom w:w="-113" w:type="dxa"/>
              <w:right w:w="-113" w:type="dxa"/>
            </w:tcMar>
          </w:tcPr>
          <w:p w14:paraId="35DACAA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vMerge/>
            <w:tcBorders>
              <w:top w:val="single" w:sz="4" w:space="0" w:color="000000"/>
              <w:bottom w:val="single" w:sz="4" w:space="0" w:color="D0CECE"/>
            </w:tcBorders>
            <w:tcMar>
              <w:top w:w="-113" w:type="dxa"/>
              <w:left w:w="-113" w:type="dxa"/>
              <w:bottom w:w="-113" w:type="dxa"/>
              <w:right w:w="-113" w:type="dxa"/>
            </w:tcMar>
          </w:tcPr>
          <w:p w14:paraId="259C905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tcBorders>
              <w:top w:val="single" w:sz="4" w:space="0" w:color="D0CECE"/>
              <w:bottom w:val="single" w:sz="4" w:space="0" w:color="000000"/>
              <w:right w:val="single" w:sz="4" w:space="0" w:color="000000" w:themeColor="text1"/>
            </w:tcBorders>
            <w:tcMar>
              <w:top w:w="-113" w:type="dxa"/>
              <w:left w:w="-113" w:type="dxa"/>
              <w:bottom w:w="-113" w:type="dxa"/>
              <w:right w:w="-113" w:type="dxa"/>
            </w:tcMar>
          </w:tcPr>
          <w:p w14:paraId="0259BA70" w14:textId="77777777" w:rsidR="00CB0062" w:rsidRDefault="00CB0062" w:rsidP="00223E56">
            <w:pPr>
              <w:rPr>
                <w:color w:val="000000"/>
                <w:sz w:val="16"/>
                <w:szCs w:val="16"/>
              </w:rPr>
            </w:pPr>
            <w:r>
              <w:rPr>
                <w:sz w:val="16"/>
                <w:szCs w:val="16"/>
              </w:rPr>
              <w:t>Grau-Perez et al. 2018</w:t>
            </w:r>
          </w:p>
        </w:tc>
      </w:tr>
      <w:tr w:rsidR="00CB0062" w14:paraId="1C2D9A50"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47A15F7" w14:textId="77777777" w:rsidR="00CB0062" w:rsidRDefault="00CB0062" w:rsidP="00223E56">
            <w:pPr>
              <w:rPr>
                <w:i/>
                <w:color w:val="000000"/>
                <w:sz w:val="16"/>
                <w:szCs w:val="16"/>
              </w:rPr>
            </w:pPr>
            <w:r>
              <w:rPr>
                <w:i/>
                <w:color w:val="000000"/>
                <w:sz w:val="16"/>
                <w:szCs w:val="16"/>
              </w:rPr>
              <w:t>EDN2</w:t>
            </w:r>
          </w:p>
          <w:p w14:paraId="4AA96C5D"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0AEF823" w14:textId="77777777" w:rsidR="00CB0062" w:rsidRDefault="00CB0062" w:rsidP="00223E56">
            <w:pPr>
              <w:rPr>
                <w:color w:val="000000"/>
                <w:sz w:val="16"/>
                <w:szCs w:val="16"/>
              </w:rPr>
            </w:pPr>
            <w:r>
              <w:rPr>
                <w:color w:val="000000"/>
                <w:sz w:val="16"/>
                <w:szCs w:val="16"/>
              </w:rPr>
              <w:t>Endothelin 2</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33723414" w14:textId="77777777" w:rsidR="00CB0062" w:rsidRDefault="00CB0062" w:rsidP="00223E56">
            <w:pPr>
              <w:rPr>
                <w:color w:val="000000"/>
                <w:sz w:val="16"/>
                <w:szCs w:val="16"/>
              </w:rPr>
            </w:pPr>
            <w:r>
              <w:rPr>
                <w:color w:val="000000"/>
                <w:sz w:val="16"/>
                <w:szCs w:val="16"/>
              </w:rPr>
              <w:t>rs11210262</w:t>
            </w:r>
          </w:p>
        </w:tc>
        <w:tc>
          <w:tcPr>
            <w:tcW w:w="851" w:type="dxa"/>
            <w:tcBorders>
              <w:top w:val="single" w:sz="4" w:space="0" w:color="000000"/>
              <w:bottom w:val="single" w:sz="4" w:space="0" w:color="D0CECE"/>
            </w:tcBorders>
            <w:tcMar>
              <w:top w:w="-113" w:type="dxa"/>
              <w:left w:w="-113" w:type="dxa"/>
              <w:bottom w:w="-113" w:type="dxa"/>
              <w:right w:w="-113" w:type="dxa"/>
            </w:tcMar>
          </w:tcPr>
          <w:p w14:paraId="3F44A32E" w14:textId="77777777" w:rsidR="00CB0062" w:rsidRDefault="00CB0062" w:rsidP="00223E56">
            <w:pPr>
              <w:rPr>
                <w:color w:val="000000"/>
                <w:sz w:val="16"/>
                <w:szCs w:val="16"/>
              </w:rPr>
            </w:pPr>
            <w:r>
              <w:rPr>
                <w:color w:val="000000"/>
                <w:sz w:val="16"/>
                <w:szCs w:val="16"/>
              </w:rPr>
              <w:t>C&gt;</w:t>
            </w:r>
            <w:proofErr w:type="gramStart"/>
            <w:r>
              <w:rPr>
                <w:color w:val="000000"/>
                <w:sz w:val="16"/>
                <w:szCs w:val="16"/>
              </w:rPr>
              <w:t>G,T</w:t>
            </w:r>
            <w:proofErr w:type="gramEnd"/>
          </w:p>
        </w:tc>
        <w:tc>
          <w:tcPr>
            <w:tcW w:w="1701" w:type="dxa"/>
            <w:tcBorders>
              <w:top w:val="single" w:sz="4" w:space="0" w:color="000000"/>
              <w:bottom w:val="single" w:sz="4" w:space="0" w:color="D0CECE"/>
            </w:tcBorders>
            <w:tcMar>
              <w:top w:w="-113" w:type="dxa"/>
              <w:left w:w="-113" w:type="dxa"/>
              <w:bottom w:w="-113" w:type="dxa"/>
              <w:right w:w="-113" w:type="dxa"/>
            </w:tcMar>
          </w:tcPr>
          <w:p w14:paraId="4734F33A" w14:textId="77777777" w:rsidR="00CB0062" w:rsidRDefault="00CB0062" w:rsidP="00223E56">
            <w:pPr>
              <w:rPr>
                <w:color w:val="000000"/>
                <w:sz w:val="16"/>
                <w:szCs w:val="16"/>
              </w:rPr>
            </w:pPr>
            <w:r>
              <w:rPr>
                <w:sz w:val="16"/>
                <w:szCs w:val="16"/>
              </w:rPr>
              <w:t>500B Downstream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5563D7E7" w14:textId="77777777" w:rsidR="00CB0062" w:rsidRDefault="00CB0062" w:rsidP="00223E56">
            <w:pPr>
              <w:rPr>
                <w:sz w:val="16"/>
                <w:szCs w:val="16"/>
              </w:rPr>
            </w:pPr>
            <w:r>
              <w:rPr>
                <w:color w:val="000000"/>
                <w:sz w:val="16"/>
                <w:szCs w:val="16"/>
              </w:rPr>
              <w:t>T2DM</w:t>
            </w:r>
          </w:p>
          <w:p w14:paraId="725E9EF8" w14:textId="77777777" w:rsidR="00CB0062" w:rsidRDefault="00CB0062" w:rsidP="00223E56">
            <w:pPr>
              <w:rPr>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33057912" w14:textId="77777777" w:rsidR="00CB0062" w:rsidRDefault="00CB0062" w:rsidP="00223E56">
            <w:pPr>
              <w:rPr>
                <w:color w:val="000000"/>
                <w:sz w:val="16"/>
                <w:szCs w:val="16"/>
              </w:rPr>
            </w:pPr>
            <w:proofErr w:type="spellStart"/>
            <w:r>
              <w:rPr>
                <w:sz w:val="16"/>
                <w:szCs w:val="16"/>
              </w:rPr>
              <w:t>Martíz</w:t>
            </w:r>
            <w:proofErr w:type="spellEnd"/>
            <w:r>
              <w:rPr>
                <w:sz w:val="16"/>
                <w:szCs w:val="16"/>
              </w:rPr>
              <w:t xml:space="preserve">-Barquero </w:t>
            </w:r>
            <w:r>
              <w:rPr>
                <w:i/>
                <w:sz w:val="16"/>
                <w:szCs w:val="16"/>
              </w:rPr>
              <w:t>et al.</w:t>
            </w:r>
            <w:r>
              <w:rPr>
                <w:sz w:val="16"/>
                <w:szCs w:val="16"/>
              </w:rPr>
              <w:t xml:space="preserve"> 2015</w:t>
            </w:r>
          </w:p>
          <w:p w14:paraId="74026D72" w14:textId="77777777" w:rsidR="00CB0062" w:rsidRDefault="00CB0062" w:rsidP="00223E56">
            <w:pPr>
              <w:rPr>
                <w:color w:val="000000"/>
                <w:sz w:val="16"/>
                <w:szCs w:val="16"/>
              </w:rPr>
            </w:pPr>
          </w:p>
        </w:tc>
      </w:tr>
      <w:tr w:rsidR="00CB0062" w14:paraId="43034331" w14:textId="77777777" w:rsidTr="00923C73">
        <w:trPr>
          <w:trHeight w:val="317"/>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C85B81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0F5348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69EE2DBC" w14:textId="77777777" w:rsidR="00CB0062" w:rsidRDefault="00CB0062" w:rsidP="00223E56">
            <w:pPr>
              <w:rPr>
                <w:sz w:val="16"/>
                <w:szCs w:val="16"/>
              </w:rPr>
            </w:pPr>
            <w:r>
              <w:rPr>
                <w:color w:val="000000"/>
                <w:sz w:val="16"/>
                <w:szCs w:val="16"/>
              </w:rPr>
              <w:t>rs11572340</w:t>
            </w:r>
          </w:p>
          <w:p w14:paraId="715D72B1" w14:textId="77777777" w:rsidR="00CB0062" w:rsidRDefault="00CB0062" w:rsidP="00223E56">
            <w:pPr>
              <w:rPr>
                <w:sz w:val="16"/>
                <w:szCs w:val="16"/>
              </w:rPr>
            </w:pPr>
          </w:p>
        </w:tc>
        <w:tc>
          <w:tcPr>
            <w:tcW w:w="851" w:type="dxa"/>
            <w:vMerge w:val="restart"/>
            <w:tcBorders>
              <w:top w:val="single" w:sz="4" w:space="0" w:color="D0CECE"/>
              <w:bottom w:val="single" w:sz="4" w:space="0" w:color="D0CECE"/>
            </w:tcBorders>
            <w:tcMar>
              <w:top w:w="-113" w:type="dxa"/>
              <w:left w:w="-113" w:type="dxa"/>
              <w:bottom w:w="-113" w:type="dxa"/>
              <w:right w:w="-113" w:type="dxa"/>
            </w:tcMar>
          </w:tcPr>
          <w:p w14:paraId="2905D1A2" w14:textId="77777777" w:rsidR="00CB0062" w:rsidRDefault="00CB0062" w:rsidP="00223E56">
            <w:pPr>
              <w:rPr>
                <w:color w:val="000000"/>
                <w:sz w:val="16"/>
                <w:szCs w:val="16"/>
              </w:rPr>
            </w:pPr>
            <w:r>
              <w:rPr>
                <w:color w:val="000000"/>
                <w:sz w:val="16"/>
                <w:szCs w:val="16"/>
              </w:rPr>
              <w:t>C&gt;</w:t>
            </w:r>
            <w:proofErr w:type="gramStart"/>
            <w:r>
              <w:rPr>
                <w:color w:val="000000"/>
                <w:sz w:val="16"/>
                <w:szCs w:val="16"/>
              </w:rPr>
              <w:t>A,T</w:t>
            </w:r>
            <w:proofErr w:type="gramEnd"/>
          </w:p>
        </w:tc>
        <w:tc>
          <w:tcPr>
            <w:tcW w:w="1701" w:type="dxa"/>
            <w:vMerge w:val="restart"/>
            <w:tcBorders>
              <w:top w:val="single" w:sz="4" w:space="0" w:color="D0CECE"/>
              <w:bottom w:val="single" w:sz="4" w:space="0" w:color="D0CECE"/>
            </w:tcBorders>
            <w:tcMar>
              <w:top w:w="-113" w:type="dxa"/>
              <w:left w:w="-113" w:type="dxa"/>
              <w:bottom w:w="-113" w:type="dxa"/>
              <w:right w:w="-113" w:type="dxa"/>
            </w:tcMar>
          </w:tcPr>
          <w:p w14:paraId="5F480BE4" w14:textId="77777777" w:rsidR="00CB0062" w:rsidRDefault="00CB0062" w:rsidP="00223E56">
            <w:pPr>
              <w:rPr>
                <w:color w:val="000000"/>
                <w:sz w:val="16"/>
                <w:szCs w:val="16"/>
              </w:rPr>
            </w:pPr>
            <w:r>
              <w:rPr>
                <w:sz w:val="16"/>
                <w:szCs w:val="16"/>
              </w:rPr>
              <w:t>2KB Upstream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69FD141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2CF80C7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79FB18AF"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F35825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2D6581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23FF2AD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tcMar>
              <w:top w:w="-113" w:type="dxa"/>
              <w:left w:w="-113" w:type="dxa"/>
              <w:bottom w:w="-113" w:type="dxa"/>
              <w:right w:w="-113" w:type="dxa"/>
            </w:tcMar>
          </w:tcPr>
          <w:p w14:paraId="0F1AB5D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tcMar>
              <w:top w:w="-113" w:type="dxa"/>
              <w:left w:w="-113" w:type="dxa"/>
              <w:bottom w:w="-113" w:type="dxa"/>
              <w:right w:w="-113" w:type="dxa"/>
            </w:tcMar>
          </w:tcPr>
          <w:p w14:paraId="0EBF0D7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vMerge/>
            <w:tcBorders>
              <w:top w:val="single" w:sz="4" w:space="0" w:color="000000"/>
              <w:bottom w:val="single" w:sz="4" w:space="0" w:color="D0CECE"/>
            </w:tcBorders>
            <w:tcMar>
              <w:top w:w="-113" w:type="dxa"/>
              <w:left w:w="-113" w:type="dxa"/>
              <w:bottom w:w="-113" w:type="dxa"/>
              <w:right w:w="-113" w:type="dxa"/>
            </w:tcMar>
          </w:tcPr>
          <w:p w14:paraId="52745A9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tcBorders>
              <w:top w:val="single" w:sz="4" w:space="0" w:color="D0CECE"/>
              <w:bottom w:val="single" w:sz="4" w:space="0" w:color="000000"/>
              <w:right w:val="single" w:sz="4" w:space="0" w:color="000000" w:themeColor="text1"/>
            </w:tcBorders>
            <w:tcMar>
              <w:top w:w="-113" w:type="dxa"/>
              <w:left w:w="-113" w:type="dxa"/>
              <w:bottom w:w="-113" w:type="dxa"/>
              <w:right w:w="-113" w:type="dxa"/>
            </w:tcMar>
          </w:tcPr>
          <w:p w14:paraId="54C3E37D" w14:textId="77777777" w:rsidR="00CB0062" w:rsidRDefault="00CB0062" w:rsidP="00223E56">
            <w:pPr>
              <w:rPr>
                <w:color w:val="000000"/>
                <w:sz w:val="16"/>
                <w:szCs w:val="16"/>
              </w:rPr>
            </w:pPr>
            <w:r>
              <w:rPr>
                <w:sz w:val="16"/>
                <w:szCs w:val="16"/>
              </w:rPr>
              <w:t>Grau-Perez et al. 2018</w:t>
            </w:r>
          </w:p>
        </w:tc>
      </w:tr>
      <w:tr w:rsidR="00CB0062" w14:paraId="2287C81C"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0EEEF74" w14:textId="77777777" w:rsidR="00CB0062" w:rsidRDefault="00CB0062" w:rsidP="00223E56">
            <w:pPr>
              <w:rPr>
                <w:i/>
                <w:color w:val="000000"/>
                <w:sz w:val="16"/>
                <w:szCs w:val="16"/>
              </w:rPr>
            </w:pPr>
            <w:r>
              <w:rPr>
                <w:i/>
                <w:color w:val="000000"/>
                <w:sz w:val="16"/>
                <w:szCs w:val="16"/>
              </w:rPr>
              <w:t>EDN3</w:t>
            </w:r>
          </w:p>
          <w:p w14:paraId="596514F9"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5E27A83" w14:textId="77777777" w:rsidR="00CB0062" w:rsidRDefault="00CB0062" w:rsidP="00223E56">
            <w:pPr>
              <w:rPr>
                <w:color w:val="000000"/>
                <w:sz w:val="16"/>
                <w:szCs w:val="16"/>
              </w:rPr>
            </w:pPr>
            <w:r>
              <w:rPr>
                <w:color w:val="000000"/>
                <w:sz w:val="16"/>
                <w:szCs w:val="16"/>
              </w:rPr>
              <w:t>Endothelin 3</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2C82B634" w14:textId="77777777" w:rsidR="00CB0062" w:rsidRDefault="00CB0062" w:rsidP="00223E56">
            <w:pPr>
              <w:rPr>
                <w:color w:val="000000"/>
                <w:sz w:val="16"/>
                <w:szCs w:val="16"/>
              </w:rPr>
            </w:pPr>
            <w:r>
              <w:rPr>
                <w:color w:val="000000"/>
                <w:sz w:val="16"/>
                <w:szCs w:val="16"/>
              </w:rPr>
              <w:t>rs11570257</w:t>
            </w:r>
          </w:p>
        </w:tc>
        <w:tc>
          <w:tcPr>
            <w:tcW w:w="851" w:type="dxa"/>
            <w:tcBorders>
              <w:top w:val="single" w:sz="4" w:space="0" w:color="000000"/>
              <w:bottom w:val="single" w:sz="4" w:space="0" w:color="D0CECE"/>
            </w:tcBorders>
            <w:tcMar>
              <w:top w:w="-113" w:type="dxa"/>
              <w:left w:w="-113" w:type="dxa"/>
              <w:bottom w:w="-113" w:type="dxa"/>
              <w:right w:w="-113" w:type="dxa"/>
            </w:tcMar>
          </w:tcPr>
          <w:p w14:paraId="2D94AEBA" w14:textId="77777777" w:rsidR="00CB0062" w:rsidRDefault="00CB0062" w:rsidP="00223E56">
            <w:pPr>
              <w:rPr>
                <w:color w:val="000000"/>
                <w:sz w:val="16"/>
                <w:szCs w:val="16"/>
              </w:rPr>
            </w:pPr>
            <w:r>
              <w:rPr>
                <w:color w:val="000000"/>
                <w:sz w:val="16"/>
                <w:szCs w:val="16"/>
              </w:rPr>
              <w:t>G&gt;A</w:t>
            </w:r>
          </w:p>
        </w:tc>
        <w:tc>
          <w:tcPr>
            <w:tcW w:w="1701" w:type="dxa"/>
            <w:tcBorders>
              <w:top w:val="single" w:sz="4" w:space="0" w:color="000000"/>
              <w:bottom w:val="single" w:sz="4" w:space="0" w:color="D0CECE"/>
            </w:tcBorders>
            <w:tcMar>
              <w:top w:w="-113" w:type="dxa"/>
              <w:left w:w="-113" w:type="dxa"/>
              <w:bottom w:w="-113" w:type="dxa"/>
              <w:right w:w="-113" w:type="dxa"/>
            </w:tcMar>
          </w:tcPr>
          <w:p w14:paraId="3BFFD423" w14:textId="77777777" w:rsidR="00CB0062" w:rsidRDefault="00CB0062" w:rsidP="00223E56">
            <w:pPr>
              <w:rPr>
                <w:color w:val="000000"/>
                <w:sz w:val="16"/>
                <w:szCs w:val="16"/>
              </w:rPr>
            </w:pPr>
            <w:r>
              <w:rPr>
                <w:color w:val="000000"/>
                <w:sz w:val="16"/>
                <w:szCs w:val="16"/>
              </w:rPr>
              <w:t>Intron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607A0FE4" w14:textId="77777777" w:rsidR="00CB0062" w:rsidRDefault="00CB0062" w:rsidP="00223E56">
            <w:pPr>
              <w:rPr>
                <w:sz w:val="16"/>
                <w:szCs w:val="16"/>
              </w:rPr>
            </w:pPr>
            <w:r>
              <w:rPr>
                <w:color w:val="000000"/>
                <w:sz w:val="16"/>
                <w:szCs w:val="16"/>
              </w:rPr>
              <w:t>T2DM</w:t>
            </w:r>
          </w:p>
          <w:p w14:paraId="45C07B1D" w14:textId="77777777" w:rsidR="00CB0062" w:rsidRDefault="00CB0062" w:rsidP="00223E56">
            <w:pPr>
              <w:rPr>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043FE6D9" w14:textId="77777777" w:rsidR="00CB0062" w:rsidRDefault="00CB0062" w:rsidP="00223E56">
            <w:pPr>
              <w:rPr>
                <w:color w:val="000000"/>
                <w:sz w:val="16"/>
                <w:szCs w:val="16"/>
              </w:rPr>
            </w:pPr>
            <w:proofErr w:type="spellStart"/>
            <w:r>
              <w:rPr>
                <w:sz w:val="16"/>
                <w:szCs w:val="16"/>
              </w:rPr>
              <w:t>Martíz</w:t>
            </w:r>
            <w:proofErr w:type="spellEnd"/>
            <w:r>
              <w:rPr>
                <w:sz w:val="16"/>
                <w:szCs w:val="16"/>
              </w:rPr>
              <w:t xml:space="preserve">-Barquero </w:t>
            </w:r>
            <w:r>
              <w:rPr>
                <w:i/>
                <w:sz w:val="16"/>
                <w:szCs w:val="16"/>
              </w:rPr>
              <w:t>et al.</w:t>
            </w:r>
            <w:r>
              <w:rPr>
                <w:sz w:val="16"/>
                <w:szCs w:val="16"/>
              </w:rPr>
              <w:t xml:space="preserve"> 2015</w:t>
            </w:r>
          </w:p>
        </w:tc>
      </w:tr>
      <w:tr w:rsidR="00CB0062" w14:paraId="5C693CBC" w14:textId="77777777" w:rsidTr="00923C73">
        <w:trPr>
          <w:trHeight w:val="317"/>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E14934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662814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0C065803" w14:textId="77777777" w:rsidR="00CB0062" w:rsidRDefault="00CB0062" w:rsidP="00223E56">
            <w:pPr>
              <w:rPr>
                <w:sz w:val="16"/>
                <w:szCs w:val="16"/>
              </w:rPr>
            </w:pPr>
            <w:r>
              <w:rPr>
                <w:color w:val="000000"/>
                <w:sz w:val="16"/>
                <w:szCs w:val="16"/>
              </w:rPr>
              <w:t>rs260741</w:t>
            </w:r>
          </w:p>
          <w:p w14:paraId="6A6B2F0C" w14:textId="77777777" w:rsidR="00CB0062" w:rsidRDefault="00CB0062" w:rsidP="00223E56">
            <w:pPr>
              <w:rPr>
                <w:sz w:val="16"/>
                <w:szCs w:val="16"/>
              </w:rPr>
            </w:pPr>
          </w:p>
        </w:tc>
        <w:tc>
          <w:tcPr>
            <w:tcW w:w="851" w:type="dxa"/>
            <w:vMerge w:val="restart"/>
            <w:tcBorders>
              <w:top w:val="single" w:sz="4" w:space="0" w:color="D0CECE"/>
              <w:bottom w:val="single" w:sz="4" w:space="0" w:color="D0CECE"/>
            </w:tcBorders>
            <w:tcMar>
              <w:top w:w="-113" w:type="dxa"/>
              <w:left w:w="-113" w:type="dxa"/>
              <w:bottom w:w="-113" w:type="dxa"/>
              <w:right w:w="-113" w:type="dxa"/>
            </w:tcMar>
          </w:tcPr>
          <w:p w14:paraId="2CF8D5E6" w14:textId="77777777" w:rsidR="00CB0062" w:rsidRDefault="00CB0062" w:rsidP="00223E56">
            <w:pPr>
              <w:rPr>
                <w:color w:val="000000"/>
                <w:sz w:val="16"/>
                <w:szCs w:val="16"/>
              </w:rPr>
            </w:pPr>
            <w:r>
              <w:rPr>
                <w:color w:val="000000"/>
                <w:sz w:val="16"/>
                <w:szCs w:val="16"/>
              </w:rPr>
              <w:t>G&gt;</w:t>
            </w:r>
            <w:proofErr w:type="gramStart"/>
            <w:r>
              <w:rPr>
                <w:color w:val="000000"/>
                <w:sz w:val="16"/>
                <w:szCs w:val="16"/>
              </w:rPr>
              <w:t>A,T</w:t>
            </w:r>
            <w:proofErr w:type="gramEnd"/>
          </w:p>
        </w:tc>
        <w:tc>
          <w:tcPr>
            <w:tcW w:w="1701" w:type="dxa"/>
            <w:vMerge w:val="restart"/>
            <w:tcBorders>
              <w:top w:val="single" w:sz="4" w:space="0" w:color="D0CECE"/>
              <w:bottom w:val="single" w:sz="4" w:space="0" w:color="D0CECE"/>
            </w:tcBorders>
            <w:tcMar>
              <w:top w:w="-113" w:type="dxa"/>
              <w:left w:w="-113" w:type="dxa"/>
              <w:bottom w:w="-113" w:type="dxa"/>
              <w:right w:w="-113" w:type="dxa"/>
            </w:tcMar>
          </w:tcPr>
          <w:p w14:paraId="613299AA"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6D3E090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7FEDAF4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19EF0AF9"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C4BD65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46A532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4E048B3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tcMar>
              <w:top w:w="-113" w:type="dxa"/>
              <w:left w:w="-113" w:type="dxa"/>
              <w:bottom w:w="-113" w:type="dxa"/>
              <w:right w:w="-113" w:type="dxa"/>
            </w:tcMar>
          </w:tcPr>
          <w:p w14:paraId="1F5E39A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tcMar>
              <w:top w:w="-113" w:type="dxa"/>
              <w:left w:w="-113" w:type="dxa"/>
              <w:bottom w:w="-113" w:type="dxa"/>
              <w:right w:w="-113" w:type="dxa"/>
            </w:tcMar>
          </w:tcPr>
          <w:p w14:paraId="7CD60EE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vMerge/>
            <w:tcBorders>
              <w:top w:val="single" w:sz="4" w:space="0" w:color="000000"/>
              <w:bottom w:val="single" w:sz="4" w:space="0" w:color="D0CECE"/>
            </w:tcBorders>
            <w:tcMar>
              <w:top w:w="-113" w:type="dxa"/>
              <w:left w:w="-113" w:type="dxa"/>
              <w:bottom w:w="-113" w:type="dxa"/>
              <w:right w:w="-113" w:type="dxa"/>
            </w:tcMar>
          </w:tcPr>
          <w:p w14:paraId="3B07D62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tcBorders>
              <w:top w:val="single" w:sz="4" w:space="0" w:color="D0CECE"/>
              <w:bottom w:val="single" w:sz="4" w:space="0" w:color="000000"/>
              <w:right w:val="single" w:sz="4" w:space="0" w:color="000000" w:themeColor="text1"/>
            </w:tcBorders>
            <w:tcMar>
              <w:top w:w="-113" w:type="dxa"/>
              <w:left w:w="-113" w:type="dxa"/>
              <w:bottom w:w="-113" w:type="dxa"/>
              <w:right w:w="-113" w:type="dxa"/>
            </w:tcMar>
          </w:tcPr>
          <w:p w14:paraId="36B00650" w14:textId="77777777" w:rsidR="00CB0062" w:rsidRDefault="00CB0062" w:rsidP="00223E56">
            <w:pPr>
              <w:rPr>
                <w:color w:val="000000"/>
                <w:sz w:val="16"/>
                <w:szCs w:val="16"/>
              </w:rPr>
            </w:pPr>
            <w:r>
              <w:rPr>
                <w:sz w:val="16"/>
                <w:szCs w:val="16"/>
              </w:rPr>
              <w:t>Grau-Perez et al. 2018</w:t>
            </w:r>
          </w:p>
        </w:tc>
      </w:tr>
      <w:tr w:rsidR="00CB0062" w14:paraId="5FAF57FB"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284B91E" w14:textId="77777777" w:rsidR="00CB0062" w:rsidRDefault="00CB0062" w:rsidP="00223E56">
            <w:pPr>
              <w:rPr>
                <w:i/>
                <w:color w:val="000000"/>
                <w:sz w:val="16"/>
                <w:szCs w:val="16"/>
              </w:rPr>
            </w:pPr>
            <w:r>
              <w:rPr>
                <w:i/>
                <w:color w:val="000000"/>
                <w:sz w:val="16"/>
                <w:szCs w:val="16"/>
              </w:rPr>
              <w:t>EDNRA</w:t>
            </w:r>
          </w:p>
          <w:p w14:paraId="38BE7264"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D372C89" w14:textId="77777777" w:rsidR="00CB0062" w:rsidRDefault="00CB0062" w:rsidP="00223E56">
            <w:pPr>
              <w:rPr>
                <w:color w:val="000000"/>
                <w:sz w:val="16"/>
                <w:szCs w:val="16"/>
              </w:rPr>
            </w:pPr>
            <w:r>
              <w:rPr>
                <w:color w:val="000000"/>
                <w:sz w:val="16"/>
                <w:szCs w:val="16"/>
              </w:rPr>
              <w:t>Endothelin Receptor Type A</w:t>
            </w:r>
          </w:p>
        </w:tc>
        <w:tc>
          <w:tcPr>
            <w:tcW w:w="992" w:type="dxa"/>
            <w:vMerge w:val="restart"/>
            <w:tcBorders>
              <w:top w:val="single" w:sz="4" w:space="0" w:color="000000"/>
              <w:left w:val="nil"/>
              <w:bottom w:val="single" w:sz="4" w:space="0" w:color="D0CECE"/>
            </w:tcBorders>
            <w:shd w:val="clear" w:color="auto" w:fill="auto"/>
            <w:tcMar>
              <w:top w:w="-113" w:type="dxa"/>
              <w:left w:w="-113" w:type="dxa"/>
              <w:bottom w:w="-113" w:type="dxa"/>
              <w:right w:w="-113" w:type="dxa"/>
            </w:tcMar>
          </w:tcPr>
          <w:p w14:paraId="48B47C2E" w14:textId="77777777" w:rsidR="00CB0062" w:rsidRDefault="00CB0062" w:rsidP="00223E56">
            <w:pPr>
              <w:rPr>
                <w:sz w:val="16"/>
                <w:szCs w:val="16"/>
              </w:rPr>
            </w:pPr>
            <w:r>
              <w:rPr>
                <w:color w:val="000000"/>
                <w:sz w:val="16"/>
                <w:szCs w:val="16"/>
              </w:rPr>
              <w:t>rs1801708</w:t>
            </w:r>
          </w:p>
          <w:p w14:paraId="4F0CC6A7" w14:textId="77777777" w:rsidR="00CB0062" w:rsidRDefault="00CB0062" w:rsidP="00223E56">
            <w:pPr>
              <w:rPr>
                <w:sz w:val="16"/>
                <w:szCs w:val="16"/>
              </w:rPr>
            </w:pPr>
          </w:p>
        </w:tc>
        <w:tc>
          <w:tcPr>
            <w:tcW w:w="851" w:type="dxa"/>
            <w:vMerge w:val="restart"/>
            <w:tcBorders>
              <w:top w:val="single" w:sz="4" w:space="0" w:color="000000"/>
              <w:bottom w:val="single" w:sz="4" w:space="0" w:color="D0CECE"/>
            </w:tcBorders>
            <w:tcMar>
              <w:top w:w="-113" w:type="dxa"/>
              <w:left w:w="-113" w:type="dxa"/>
              <w:bottom w:w="-113" w:type="dxa"/>
              <w:right w:w="-113" w:type="dxa"/>
            </w:tcMar>
          </w:tcPr>
          <w:p w14:paraId="382DDB9F" w14:textId="77777777" w:rsidR="00CB0062" w:rsidRDefault="00CB0062" w:rsidP="00223E56">
            <w:pPr>
              <w:rPr>
                <w:color w:val="000000"/>
                <w:sz w:val="16"/>
                <w:szCs w:val="16"/>
              </w:rPr>
            </w:pPr>
            <w:r>
              <w:rPr>
                <w:color w:val="000000"/>
                <w:sz w:val="16"/>
                <w:szCs w:val="16"/>
              </w:rPr>
              <w:t>G&gt;</w:t>
            </w:r>
            <w:proofErr w:type="gramStart"/>
            <w:r>
              <w:rPr>
                <w:color w:val="000000"/>
                <w:sz w:val="16"/>
                <w:szCs w:val="16"/>
              </w:rPr>
              <w:t>A,C</w:t>
            </w:r>
            <w:proofErr w:type="gramEnd"/>
          </w:p>
        </w:tc>
        <w:tc>
          <w:tcPr>
            <w:tcW w:w="1701" w:type="dxa"/>
            <w:vMerge w:val="restart"/>
            <w:tcBorders>
              <w:top w:val="single" w:sz="4" w:space="0" w:color="000000"/>
              <w:bottom w:val="single" w:sz="4" w:space="0" w:color="D0CECE"/>
            </w:tcBorders>
            <w:tcMar>
              <w:top w:w="-113" w:type="dxa"/>
              <w:left w:w="-113" w:type="dxa"/>
              <w:bottom w:w="-113" w:type="dxa"/>
              <w:right w:w="-113" w:type="dxa"/>
            </w:tcMar>
          </w:tcPr>
          <w:p w14:paraId="524F2C44" w14:textId="77777777" w:rsidR="00CB0062" w:rsidRDefault="00CB0062" w:rsidP="00223E56">
            <w:pPr>
              <w:rPr>
                <w:color w:val="000000"/>
                <w:sz w:val="16"/>
                <w:szCs w:val="16"/>
              </w:rPr>
            </w:pPr>
            <w:r>
              <w:rPr>
                <w:color w:val="000000"/>
                <w:sz w:val="16"/>
                <w:szCs w:val="16"/>
              </w:rPr>
              <w:t>Noncoding transcript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42620DCF" w14:textId="77777777" w:rsidR="00CB0062" w:rsidRDefault="00CB0062" w:rsidP="00223E56">
            <w:pPr>
              <w:rPr>
                <w:sz w:val="16"/>
                <w:szCs w:val="16"/>
              </w:rPr>
            </w:pPr>
            <w:r>
              <w:rPr>
                <w:color w:val="000000"/>
                <w:sz w:val="16"/>
                <w:szCs w:val="16"/>
              </w:rPr>
              <w:t>T2DM</w:t>
            </w:r>
          </w:p>
          <w:p w14:paraId="46B8A7A0" w14:textId="77777777" w:rsidR="00CB0062" w:rsidRDefault="00CB0062" w:rsidP="00223E56">
            <w:pPr>
              <w:rPr>
                <w:sz w:val="16"/>
                <w:szCs w:val="16"/>
              </w:rPr>
            </w:pPr>
          </w:p>
        </w:tc>
        <w:tc>
          <w:tcPr>
            <w:tcW w:w="1838" w:type="dxa"/>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35036E68" w14:textId="77777777" w:rsidR="00CB0062" w:rsidRDefault="00CB0062" w:rsidP="00223E56">
            <w:pPr>
              <w:rPr>
                <w:color w:val="000000"/>
                <w:sz w:val="16"/>
                <w:szCs w:val="16"/>
              </w:rPr>
            </w:pPr>
            <w:proofErr w:type="spellStart"/>
            <w:r>
              <w:rPr>
                <w:sz w:val="16"/>
                <w:szCs w:val="16"/>
              </w:rPr>
              <w:t>Martíz</w:t>
            </w:r>
            <w:proofErr w:type="spellEnd"/>
            <w:r>
              <w:rPr>
                <w:sz w:val="16"/>
                <w:szCs w:val="16"/>
              </w:rPr>
              <w:t xml:space="preserve">-Barquero </w:t>
            </w:r>
            <w:r>
              <w:rPr>
                <w:i/>
                <w:sz w:val="16"/>
                <w:szCs w:val="16"/>
              </w:rPr>
              <w:t>et al.</w:t>
            </w:r>
            <w:r>
              <w:rPr>
                <w:sz w:val="16"/>
                <w:szCs w:val="16"/>
              </w:rPr>
              <w:t xml:space="preserve"> 2015</w:t>
            </w:r>
          </w:p>
        </w:tc>
      </w:tr>
      <w:tr w:rsidR="00CB0062" w14:paraId="5C537637"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4CF2DF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B23719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000000"/>
              <w:left w:val="nil"/>
              <w:bottom w:val="single" w:sz="4" w:space="0" w:color="D0CECE"/>
            </w:tcBorders>
            <w:shd w:val="clear" w:color="auto" w:fill="auto"/>
            <w:tcMar>
              <w:top w:w="-113" w:type="dxa"/>
              <w:left w:w="-113" w:type="dxa"/>
              <w:bottom w:w="-113" w:type="dxa"/>
              <w:right w:w="-113" w:type="dxa"/>
            </w:tcMar>
          </w:tcPr>
          <w:p w14:paraId="19CA6AC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000000"/>
              <w:bottom w:val="single" w:sz="4" w:space="0" w:color="D0CECE"/>
            </w:tcBorders>
            <w:tcMar>
              <w:top w:w="-113" w:type="dxa"/>
              <w:left w:w="-113" w:type="dxa"/>
              <w:bottom w:w="-113" w:type="dxa"/>
              <w:right w:w="-113" w:type="dxa"/>
            </w:tcMar>
          </w:tcPr>
          <w:p w14:paraId="0570215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000000"/>
              <w:bottom w:val="single" w:sz="4" w:space="0" w:color="D0CECE"/>
            </w:tcBorders>
            <w:tcMar>
              <w:top w:w="-113" w:type="dxa"/>
              <w:left w:w="-113" w:type="dxa"/>
              <w:bottom w:w="-113" w:type="dxa"/>
              <w:right w:w="-113" w:type="dxa"/>
            </w:tcMar>
          </w:tcPr>
          <w:p w14:paraId="39BC3C3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vMerge/>
            <w:tcBorders>
              <w:top w:val="single" w:sz="4" w:space="0" w:color="000000"/>
              <w:bottom w:val="single" w:sz="4" w:space="0" w:color="D0CECE"/>
            </w:tcBorders>
            <w:tcMar>
              <w:top w:w="-113" w:type="dxa"/>
              <w:left w:w="-113" w:type="dxa"/>
              <w:bottom w:w="-113" w:type="dxa"/>
              <w:right w:w="-113" w:type="dxa"/>
            </w:tcMar>
          </w:tcPr>
          <w:p w14:paraId="055F88A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3D0AA472" w14:textId="77777777" w:rsidR="00CB0062" w:rsidRDefault="00CB0062" w:rsidP="00223E56">
            <w:pPr>
              <w:rPr>
                <w:color w:val="000000"/>
                <w:sz w:val="16"/>
                <w:szCs w:val="16"/>
              </w:rPr>
            </w:pPr>
            <w:r>
              <w:rPr>
                <w:sz w:val="16"/>
                <w:szCs w:val="16"/>
              </w:rPr>
              <w:t>Grau-Perez et al. 2018</w:t>
            </w:r>
          </w:p>
        </w:tc>
      </w:tr>
      <w:tr w:rsidR="00CB0062" w14:paraId="66C3F77B"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8EAFCC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9F09EE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5F0E1096" w14:textId="77777777" w:rsidR="00CB0062" w:rsidRDefault="00CB0062" w:rsidP="00223E56">
            <w:pPr>
              <w:rPr>
                <w:color w:val="000000"/>
                <w:sz w:val="16"/>
                <w:szCs w:val="16"/>
              </w:rPr>
            </w:pPr>
            <w:r>
              <w:rPr>
                <w:color w:val="000000"/>
                <w:sz w:val="16"/>
                <w:szCs w:val="16"/>
              </w:rPr>
              <w:t>rs5333</w:t>
            </w:r>
          </w:p>
        </w:tc>
        <w:tc>
          <w:tcPr>
            <w:tcW w:w="851" w:type="dxa"/>
            <w:tcBorders>
              <w:top w:val="single" w:sz="4" w:space="0" w:color="D0CECE"/>
              <w:bottom w:val="single" w:sz="4" w:space="0" w:color="D0CECE"/>
            </w:tcBorders>
            <w:tcMar>
              <w:top w:w="-113" w:type="dxa"/>
              <w:left w:w="-113" w:type="dxa"/>
              <w:bottom w:w="-113" w:type="dxa"/>
              <w:right w:w="-113" w:type="dxa"/>
            </w:tcMar>
          </w:tcPr>
          <w:p w14:paraId="399F3B8F" w14:textId="77777777" w:rsidR="00CB0062" w:rsidRDefault="00CB0062" w:rsidP="00223E56">
            <w:pPr>
              <w:rPr>
                <w:color w:val="000000"/>
                <w:sz w:val="16"/>
                <w:szCs w:val="16"/>
              </w:rPr>
            </w:pPr>
            <w:r>
              <w:rPr>
                <w:color w:val="000000"/>
                <w:sz w:val="16"/>
                <w:szCs w:val="16"/>
              </w:rPr>
              <w:t>T&gt;C</w:t>
            </w:r>
          </w:p>
        </w:tc>
        <w:tc>
          <w:tcPr>
            <w:tcW w:w="1701" w:type="dxa"/>
            <w:tcBorders>
              <w:top w:val="single" w:sz="4" w:space="0" w:color="D0CECE"/>
              <w:bottom w:val="single" w:sz="4" w:space="0" w:color="D0CECE"/>
            </w:tcBorders>
            <w:tcMar>
              <w:top w:w="-113" w:type="dxa"/>
              <w:left w:w="-113" w:type="dxa"/>
              <w:bottom w:w="-113" w:type="dxa"/>
              <w:right w:w="-113" w:type="dxa"/>
            </w:tcMar>
          </w:tcPr>
          <w:p w14:paraId="2CBCBA76" w14:textId="77777777" w:rsidR="00CB0062" w:rsidRDefault="00CB0062" w:rsidP="00223E56">
            <w:pPr>
              <w:rPr>
                <w:color w:val="000000"/>
                <w:sz w:val="16"/>
                <w:szCs w:val="16"/>
              </w:rPr>
            </w:pPr>
            <w:r>
              <w:rPr>
                <w:color w:val="000000"/>
                <w:sz w:val="16"/>
                <w:szCs w:val="16"/>
              </w:rPr>
              <w:t>Synonymous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5F4A0EB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3723781E" w14:textId="77777777" w:rsidR="00CB0062" w:rsidRDefault="00CB0062" w:rsidP="00223E56">
            <w:pPr>
              <w:rPr>
                <w:color w:val="000000"/>
                <w:sz w:val="16"/>
                <w:szCs w:val="16"/>
              </w:rPr>
            </w:pPr>
            <w:proofErr w:type="spellStart"/>
            <w:r>
              <w:rPr>
                <w:sz w:val="16"/>
                <w:szCs w:val="16"/>
              </w:rPr>
              <w:t>Martíz</w:t>
            </w:r>
            <w:proofErr w:type="spellEnd"/>
            <w:r>
              <w:rPr>
                <w:sz w:val="16"/>
                <w:szCs w:val="16"/>
              </w:rPr>
              <w:t xml:space="preserve">-Barquero </w:t>
            </w:r>
            <w:r>
              <w:rPr>
                <w:i/>
                <w:sz w:val="16"/>
                <w:szCs w:val="16"/>
              </w:rPr>
              <w:t>et al.</w:t>
            </w:r>
            <w:r>
              <w:rPr>
                <w:sz w:val="16"/>
                <w:szCs w:val="16"/>
              </w:rPr>
              <w:t xml:space="preserve"> 2015</w:t>
            </w:r>
          </w:p>
        </w:tc>
      </w:tr>
      <w:tr w:rsidR="00CB0062" w14:paraId="07C54CF7"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6FA08B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12C546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5CAFC98A" w14:textId="77777777" w:rsidR="00CB0062" w:rsidRDefault="00CB0062" w:rsidP="00223E56">
            <w:pPr>
              <w:rPr>
                <w:color w:val="000000"/>
                <w:sz w:val="16"/>
                <w:szCs w:val="16"/>
              </w:rPr>
            </w:pPr>
            <w:r>
              <w:rPr>
                <w:color w:val="000000"/>
                <w:sz w:val="16"/>
                <w:szCs w:val="16"/>
              </w:rPr>
              <w:t>rs5334</w:t>
            </w:r>
          </w:p>
        </w:tc>
        <w:tc>
          <w:tcPr>
            <w:tcW w:w="851" w:type="dxa"/>
            <w:tcBorders>
              <w:top w:val="single" w:sz="4" w:space="0" w:color="D0CECE"/>
              <w:bottom w:val="single" w:sz="4" w:space="0" w:color="D0CECE"/>
            </w:tcBorders>
            <w:tcMar>
              <w:top w:w="-113" w:type="dxa"/>
              <w:left w:w="-113" w:type="dxa"/>
              <w:bottom w:w="-113" w:type="dxa"/>
              <w:right w:w="-113" w:type="dxa"/>
            </w:tcMar>
          </w:tcPr>
          <w:p w14:paraId="5ED39B35" w14:textId="77777777" w:rsidR="00CB0062" w:rsidRDefault="00CB0062" w:rsidP="00223E56">
            <w:pPr>
              <w:rPr>
                <w:color w:val="000000"/>
                <w:sz w:val="16"/>
                <w:szCs w:val="16"/>
              </w:rPr>
            </w:pPr>
            <w:r>
              <w:rPr>
                <w:color w:val="000000"/>
                <w:sz w:val="16"/>
                <w:szCs w:val="16"/>
              </w:rPr>
              <w:t>G&gt;A</w:t>
            </w:r>
          </w:p>
        </w:tc>
        <w:tc>
          <w:tcPr>
            <w:tcW w:w="1701" w:type="dxa"/>
            <w:tcBorders>
              <w:top w:val="single" w:sz="4" w:space="0" w:color="D0CECE"/>
              <w:bottom w:val="single" w:sz="4" w:space="0" w:color="D0CECE"/>
            </w:tcBorders>
            <w:tcMar>
              <w:top w:w="-113" w:type="dxa"/>
              <w:left w:w="-113" w:type="dxa"/>
              <w:bottom w:w="-113" w:type="dxa"/>
              <w:right w:w="-113" w:type="dxa"/>
            </w:tcMar>
          </w:tcPr>
          <w:p w14:paraId="76F6258E" w14:textId="77777777" w:rsidR="00CB0062" w:rsidRDefault="00CB0062" w:rsidP="00223E56">
            <w:pPr>
              <w:rPr>
                <w:color w:val="000000"/>
                <w:sz w:val="16"/>
                <w:szCs w:val="16"/>
              </w:rPr>
            </w:pPr>
            <w:r>
              <w:rPr>
                <w:color w:val="000000"/>
                <w:sz w:val="16"/>
                <w:szCs w:val="16"/>
              </w:rPr>
              <w:t>Synonymous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5C0BA89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46500B1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350BA306" w14:textId="77777777" w:rsidTr="00923C73">
        <w:trPr>
          <w:trHeight w:val="317"/>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72665A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7160A1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038EC398" w14:textId="77777777" w:rsidR="00CB0062" w:rsidRDefault="00CB0062" w:rsidP="00223E56">
            <w:pPr>
              <w:rPr>
                <w:sz w:val="16"/>
                <w:szCs w:val="16"/>
              </w:rPr>
            </w:pPr>
            <w:r>
              <w:rPr>
                <w:color w:val="000000"/>
                <w:sz w:val="16"/>
                <w:szCs w:val="16"/>
              </w:rPr>
              <w:t>rs5335</w:t>
            </w:r>
          </w:p>
          <w:p w14:paraId="16F25585" w14:textId="77777777" w:rsidR="00CB0062" w:rsidRDefault="00CB0062" w:rsidP="00223E56">
            <w:pPr>
              <w:rPr>
                <w:sz w:val="16"/>
                <w:szCs w:val="16"/>
              </w:rPr>
            </w:pPr>
          </w:p>
        </w:tc>
        <w:tc>
          <w:tcPr>
            <w:tcW w:w="851" w:type="dxa"/>
            <w:vMerge w:val="restart"/>
            <w:tcBorders>
              <w:top w:val="single" w:sz="4" w:space="0" w:color="D0CECE"/>
              <w:bottom w:val="single" w:sz="4" w:space="0" w:color="D0CECE"/>
            </w:tcBorders>
            <w:tcMar>
              <w:top w:w="-113" w:type="dxa"/>
              <w:left w:w="-113" w:type="dxa"/>
              <w:bottom w:w="-113" w:type="dxa"/>
              <w:right w:w="-113" w:type="dxa"/>
            </w:tcMar>
          </w:tcPr>
          <w:p w14:paraId="69C784BD" w14:textId="77777777" w:rsidR="00CB0062" w:rsidRDefault="00CB0062" w:rsidP="00223E56">
            <w:pPr>
              <w:rPr>
                <w:color w:val="000000"/>
                <w:sz w:val="16"/>
                <w:szCs w:val="16"/>
              </w:rPr>
            </w:pPr>
            <w:r>
              <w:rPr>
                <w:color w:val="000000"/>
                <w:sz w:val="16"/>
                <w:szCs w:val="16"/>
              </w:rPr>
              <w:t>G&gt;</w:t>
            </w:r>
            <w:proofErr w:type="gramStart"/>
            <w:r>
              <w:rPr>
                <w:color w:val="000000"/>
                <w:sz w:val="16"/>
                <w:szCs w:val="16"/>
              </w:rPr>
              <w:t>A,C</w:t>
            </w:r>
            <w:proofErr w:type="gramEnd"/>
            <w:r>
              <w:rPr>
                <w:color w:val="000000"/>
                <w:sz w:val="16"/>
                <w:szCs w:val="16"/>
              </w:rPr>
              <w:t>,T</w:t>
            </w:r>
          </w:p>
        </w:tc>
        <w:tc>
          <w:tcPr>
            <w:tcW w:w="1701" w:type="dxa"/>
            <w:vMerge w:val="restart"/>
            <w:tcBorders>
              <w:top w:val="single" w:sz="4" w:space="0" w:color="D0CECE"/>
              <w:bottom w:val="single" w:sz="4" w:space="0" w:color="D0CECE"/>
            </w:tcBorders>
            <w:tcMar>
              <w:top w:w="-113" w:type="dxa"/>
              <w:left w:w="-113" w:type="dxa"/>
              <w:bottom w:w="-113" w:type="dxa"/>
              <w:right w:w="-113" w:type="dxa"/>
            </w:tcMar>
          </w:tcPr>
          <w:p w14:paraId="263C340F" w14:textId="77777777" w:rsidR="00CB0062" w:rsidRDefault="00CB0062" w:rsidP="00223E56">
            <w:pPr>
              <w:rPr>
                <w:color w:val="000000"/>
                <w:sz w:val="16"/>
                <w:szCs w:val="16"/>
              </w:rPr>
            </w:pPr>
            <w:r>
              <w:rPr>
                <w:color w:val="000000"/>
                <w:sz w:val="16"/>
                <w:szCs w:val="16"/>
              </w:rPr>
              <w:t>Noncoding transcript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6EA5DE6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6C5286D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4C81DA95"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A79EA9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22921F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0F0886F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tcMar>
              <w:top w:w="-113" w:type="dxa"/>
              <w:left w:w="-113" w:type="dxa"/>
              <w:bottom w:w="-113" w:type="dxa"/>
              <w:right w:w="-113" w:type="dxa"/>
            </w:tcMar>
          </w:tcPr>
          <w:p w14:paraId="552DF50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tcMar>
              <w:top w:w="-113" w:type="dxa"/>
              <w:left w:w="-113" w:type="dxa"/>
              <w:bottom w:w="-113" w:type="dxa"/>
              <w:right w:w="-113" w:type="dxa"/>
            </w:tcMar>
          </w:tcPr>
          <w:p w14:paraId="5F1E558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vMerge/>
            <w:tcBorders>
              <w:top w:val="single" w:sz="4" w:space="0" w:color="000000"/>
              <w:bottom w:val="single" w:sz="4" w:space="0" w:color="D0CECE"/>
            </w:tcBorders>
            <w:tcMar>
              <w:top w:w="-113" w:type="dxa"/>
              <w:left w:w="-113" w:type="dxa"/>
              <w:bottom w:w="-113" w:type="dxa"/>
              <w:right w:w="-113" w:type="dxa"/>
            </w:tcMar>
          </w:tcPr>
          <w:p w14:paraId="29C3EE2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5C949E18" w14:textId="77777777" w:rsidR="00CB0062" w:rsidRDefault="00CB0062" w:rsidP="00223E56">
            <w:pPr>
              <w:rPr>
                <w:color w:val="000000"/>
                <w:sz w:val="16"/>
                <w:szCs w:val="16"/>
              </w:rPr>
            </w:pPr>
            <w:r>
              <w:rPr>
                <w:sz w:val="16"/>
                <w:szCs w:val="16"/>
              </w:rPr>
              <w:t>Grau-Perez et al. 2018</w:t>
            </w:r>
          </w:p>
        </w:tc>
      </w:tr>
      <w:tr w:rsidR="00CB0062" w14:paraId="7AAD8B55"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CAB542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3C7533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50CFA3DE" w14:textId="77777777" w:rsidR="00CB0062" w:rsidRDefault="00CB0062" w:rsidP="00223E56">
            <w:pPr>
              <w:rPr>
                <w:sz w:val="16"/>
                <w:szCs w:val="16"/>
              </w:rPr>
            </w:pPr>
            <w:r>
              <w:rPr>
                <w:color w:val="000000"/>
                <w:sz w:val="16"/>
                <w:szCs w:val="16"/>
              </w:rPr>
              <w:t>rs5342</w:t>
            </w:r>
          </w:p>
          <w:p w14:paraId="48CE5B68" w14:textId="77777777" w:rsidR="00CB0062" w:rsidRDefault="00CB0062" w:rsidP="00223E56">
            <w:pPr>
              <w:rPr>
                <w:sz w:val="16"/>
                <w:szCs w:val="16"/>
              </w:rPr>
            </w:pPr>
          </w:p>
        </w:tc>
        <w:tc>
          <w:tcPr>
            <w:tcW w:w="851" w:type="dxa"/>
            <w:vMerge w:val="restart"/>
            <w:tcBorders>
              <w:top w:val="single" w:sz="4" w:space="0" w:color="D0CECE"/>
              <w:bottom w:val="single" w:sz="4" w:space="0" w:color="D0CECE"/>
            </w:tcBorders>
            <w:tcMar>
              <w:top w:w="-113" w:type="dxa"/>
              <w:left w:w="-113" w:type="dxa"/>
              <w:bottom w:w="-113" w:type="dxa"/>
              <w:right w:w="-113" w:type="dxa"/>
            </w:tcMar>
          </w:tcPr>
          <w:p w14:paraId="2F9583DE" w14:textId="77777777" w:rsidR="00CB0062" w:rsidRDefault="00CB0062" w:rsidP="00223E56">
            <w:pPr>
              <w:rPr>
                <w:color w:val="000000"/>
                <w:sz w:val="16"/>
                <w:szCs w:val="16"/>
              </w:rPr>
            </w:pPr>
            <w:r>
              <w:rPr>
                <w:color w:val="000000"/>
                <w:sz w:val="16"/>
                <w:szCs w:val="16"/>
              </w:rPr>
              <w:t>A&gt;</w:t>
            </w:r>
            <w:proofErr w:type="gramStart"/>
            <w:r>
              <w:rPr>
                <w:color w:val="000000"/>
                <w:sz w:val="16"/>
                <w:szCs w:val="16"/>
              </w:rPr>
              <w:t>G,T</w:t>
            </w:r>
            <w:proofErr w:type="gramEnd"/>
          </w:p>
        </w:tc>
        <w:tc>
          <w:tcPr>
            <w:tcW w:w="1701" w:type="dxa"/>
            <w:vMerge w:val="restart"/>
            <w:tcBorders>
              <w:top w:val="single" w:sz="4" w:space="0" w:color="D0CECE"/>
              <w:bottom w:val="single" w:sz="4" w:space="0" w:color="D0CECE"/>
            </w:tcBorders>
            <w:tcMar>
              <w:top w:w="-113" w:type="dxa"/>
              <w:left w:w="-113" w:type="dxa"/>
              <w:bottom w:w="-113" w:type="dxa"/>
              <w:right w:w="-113" w:type="dxa"/>
            </w:tcMar>
          </w:tcPr>
          <w:p w14:paraId="15F0A262" w14:textId="77777777" w:rsidR="00CB0062" w:rsidRDefault="00CB0062" w:rsidP="00223E56">
            <w:pPr>
              <w:rPr>
                <w:color w:val="000000"/>
                <w:sz w:val="16"/>
                <w:szCs w:val="16"/>
              </w:rPr>
            </w:pPr>
            <w:r>
              <w:rPr>
                <w:color w:val="000000"/>
                <w:sz w:val="16"/>
                <w:szCs w:val="16"/>
              </w:rPr>
              <w:t>Noncoding transcript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4B924F0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46EFDAE6" w14:textId="77777777" w:rsidR="00CB0062" w:rsidRDefault="00CB0062" w:rsidP="00223E56">
            <w:pPr>
              <w:rPr>
                <w:color w:val="000000"/>
                <w:sz w:val="16"/>
                <w:szCs w:val="16"/>
              </w:rPr>
            </w:pPr>
            <w:proofErr w:type="spellStart"/>
            <w:r>
              <w:rPr>
                <w:sz w:val="16"/>
                <w:szCs w:val="16"/>
              </w:rPr>
              <w:t>Martíz</w:t>
            </w:r>
            <w:proofErr w:type="spellEnd"/>
            <w:r>
              <w:rPr>
                <w:sz w:val="16"/>
                <w:szCs w:val="16"/>
              </w:rPr>
              <w:t xml:space="preserve">-Barquero </w:t>
            </w:r>
            <w:r>
              <w:rPr>
                <w:i/>
                <w:sz w:val="16"/>
                <w:szCs w:val="16"/>
              </w:rPr>
              <w:t>et al.</w:t>
            </w:r>
            <w:r>
              <w:rPr>
                <w:sz w:val="16"/>
                <w:szCs w:val="16"/>
              </w:rPr>
              <w:t xml:space="preserve"> 2015</w:t>
            </w:r>
          </w:p>
        </w:tc>
      </w:tr>
      <w:tr w:rsidR="00CB0062" w14:paraId="4AA2DFCA"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EC73DA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C95209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300FEA2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tcMar>
              <w:top w:w="-113" w:type="dxa"/>
              <w:left w:w="-113" w:type="dxa"/>
              <w:bottom w:w="-113" w:type="dxa"/>
              <w:right w:w="-113" w:type="dxa"/>
            </w:tcMar>
          </w:tcPr>
          <w:p w14:paraId="6D96443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tcMar>
              <w:top w:w="-113" w:type="dxa"/>
              <w:left w:w="-113" w:type="dxa"/>
              <w:bottom w:w="-113" w:type="dxa"/>
              <w:right w:w="-113" w:type="dxa"/>
            </w:tcMar>
          </w:tcPr>
          <w:p w14:paraId="38C3C35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vMerge/>
            <w:tcBorders>
              <w:top w:val="single" w:sz="4" w:space="0" w:color="000000"/>
              <w:bottom w:val="single" w:sz="4" w:space="0" w:color="D0CECE"/>
            </w:tcBorders>
            <w:tcMar>
              <w:top w:w="-113" w:type="dxa"/>
              <w:left w:w="-113" w:type="dxa"/>
              <w:bottom w:w="-113" w:type="dxa"/>
              <w:right w:w="-113" w:type="dxa"/>
            </w:tcMar>
          </w:tcPr>
          <w:p w14:paraId="492A379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73A2E11C" w14:textId="77777777" w:rsidR="00CB0062" w:rsidRDefault="00CB0062" w:rsidP="00223E56">
            <w:pPr>
              <w:rPr>
                <w:color w:val="000000"/>
                <w:sz w:val="16"/>
                <w:szCs w:val="16"/>
              </w:rPr>
            </w:pPr>
            <w:r>
              <w:rPr>
                <w:sz w:val="16"/>
                <w:szCs w:val="16"/>
              </w:rPr>
              <w:t>Grau-Perez et al. 2018</w:t>
            </w:r>
          </w:p>
        </w:tc>
      </w:tr>
      <w:tr w:rsidR="00CB0062" w14:paraId="307146DA"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570228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9E935D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22C42831" w14:textId="77777777" w:rsidR="00CB0062" w:rsidRDefault="00CB0062" w:rsidP="00223E56">
            <w:pPr>
              <w:rPr>
                <w:color w:val="000000"/>
                <w:sz w:val="16"/>
                <w:szCs w:val="16"/>
              </w:rPr>
            </w:pPr>
            <w:r>
              <w:rPr>
                <w:color w:val="000000"/>
                <w:sz w:val="16"/>
                <w:szCs w:val="16"/>
              </w:rPr>
              <w:t>rs6842241</w:t>
            </w:r>
          </w:p>
        </w:tc>
        <w:tc>
          <w:tcPr>
            <w:tcW w:w="851" w:type="dxa"/>
            <w:tcBorders>
              <w:top w:val="single" w:sz="4" w:space="0" w:color="D0CECE"/>
              <w:bottom w:val="single" w:sz="4" w:space="0" w:color="000000"/>
            </w:tcBorders>
            <w:tcMar>
              <w:top w:w="-113" w:type="dxa"/>
              <w:left w:w="-113" w:type="dxa"/>
              <w:bottom w:w="-113" w:type="dxa"/>
              <w:right w:w="-113" w:type="dxa"/>
            </w:tcMar>
          </w:tcPr>
          <w:p w14:paraId="5A46AF86" w14:textId="77777777" w:rsidR="00CB0062" w:rsidRDefault="00CB0062" w:rsidP="00223E56">
            <w:pPr>
              <w:rPr>
                <w:color w:val="000000"/>
                <w:sz w:val="16"/>
                <w:szCs w:val="16"/>
              </w:rPr>
            </w:pPr>
            <w:r>
              <w:rPr>
                <w:color w:val="000000"/>
                <w:sz w:val="16"/>
                <w:szCs w:val="16"/>
              </w:rPr>
              <w:t>C&gt;A</w:t>
            </w:r>
          </w:p>
        </w:tc>
        <w:tc>
          <w:tcPr>
            <w:tcW w:w="1701" w:type="dxa"/>
            <w:tcBorders>
              <w:top w:val="single" w:sz="4" w:space="0" w:color="D0CECE"/>
              <w:bottom w:val="single" w:sz="4" w:space="0" w:color="000000"/>
            </w:tcBorders>
            <w:tcMar>
              <w:top w:w="-113" w:type="dxa"/>
              <w:left w:w="-113" w:type="dxa"/>
              <w:bottom w:w="-113" w:type="dxa"/>
              <w:right w:w="-113" w:type="dxa"/>
            </w:tcMar>
          </w:tcPr>
          <w:p w14:paraId="64C88BB5" w14:textId="77777777" w:rsidR="00CB0062" w:rsidRDefault="00CB0062" w:rsidP="00223E56">
            <w:pPr>
              <w:rPr>
                <w:color w:val="000000"/>
                <w:sz w:val="16"/>
                <w:szCs w:val="16"/>
              </w:rPr>
            </w:pPr>
            <w:r>
              <w:rPr>
                <w:sz w:val="16"/>
                <w:szCs w:val="16"/>
              </w:rPr>
              <w:t>2KB Upstream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7CA48B6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tcBorders>
              <w:top w:val="single" w:sz="4" w:space="0" w:color="D0CECE"/>
              <w:bottom w:val="single" w:sz="4" w:space="0" w:color="000000"/>
              <w:right w:val="single" w:sz="4" w:space="0" w:color="000000" w:themeColor="text1"/>
            </w:tcBorders>
            <w:tcMar>
              <w:top w:w="-113" w:type="dxa"/>
              <w:left w:w="-113" w:type="dxa"/>
              <w:bottom w:w="-113" w:type="dxa"/>
              <w:right w:w="-113" w:type="dxa"/>
            </w:tcMar>
          </w:tcPr>
          <w:p w14:paraId="4F84B06E" w14:textId="77777777" w:rsidR="00CB0062" w:rsidRDefault="00CB0062" w:rsidP="00223E56">
            <w:pPr>
              <w:rPr>
                <w:color w:val="000000"/>
                <w:sz w:val="16"/>
                <w:szCs w:val="16"/>
              </w:rPr>
            </w:pPr>
            <w:proofErr w:type="spellStart"/>
            <w:r>
              <w:rPr>
                <w:sz w:val="16"/>
                <w:szCs w:val="16"/>
              </w:rPr>
              <w:t>Martíz</w:t>
            </w:r>
            <w:proofErr w:type="spellEnd"/>
            <w:r>
              <w:rPr>
                <w:sz w:val="16"/>
                <w:szCs w:val="16"/>
              </w:rPr>
              <w:t xml:space="preserve">-Barquero </w:t>
            </w:r>
            <w:r>
              <w:rPr>
                <w:i/>
                <w:sz w:val="16"/>
                <w:szCs w:val="16"/>
              </w:rPr>
              <w:t>et al.</w:t>
            </w:r>
            <w:r>
              <w:rPr>
                <w:sz w:val="16"/>
                <w:szCs w:val="16"/>
              </w:rPr>
              <w:t xml:space="preserve"> 2015</w:t>
            </w:r>
          </w:p>
        </w:tc>
      </w:tr>
      <w:tr w:rsidR="00CB0062" w14:paraId="61E16101"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4B7D956" w14:textId="77777777" w:rsidR="00CB0062" w:rsidRDefault="00CB0062" w:rsidP="00223E56">
            <w:pPr>
              <w:rPr>
                <w:i/>
                <w:color w:val="000000"/>
                <w:sz w:val="16"/>
                <w:szCs w:val="16"/>
              </w:rPr>
            </w:pPr>
            <w:r>
              <w:rPr>
                <w:i/>
                <w:color w:val="000000"/>
                <w:sz w:val="16"/>
                <w:szCs w:val="16"/>
              </w:rPr>
              <w:t>EDNRB</w:t>
            </w:r>
          </w:p>
          <w:p w14:paraId="1C197E4D"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90F2372" w14:textId="77777777" w:rsidR="00CB0062" w:rsidRDefault="00CB0062" w:rsidP="00223E56">
            <w:pPr>
              <w:rPr>
                <w:color w:val="000000"/>
                <w:sz w:val="16"/>
                <w:szCs w:val="16"/>
              </w:rPr>
            </w:pPr>
            <w:r>
              <w:rPr>
                <w:color w:val="000000"/>
                <w:sz w:val="16"/>
                <w:szCs w:val="16"/>
              </w:rPr>
              <w:t>Endothelin Receptor Type B</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74CF8D39" w14:textId="77777777" w:rsidR="00CB0062" w:rsidRDefault="00CB0062" w:rsidP="00223E56">
            <w:pPr>
              <w:rPr>
                <w:color w:val="000000"/>
                <w:sz w:val="16"/>
                <w:szCs w:val="16"/>
              </w:rPr>
            </w:pPr>
            <w:r>
              <w:rPr>
                <w:color w:val="000000"/>
                <w:sz w:val="16"/>
                <w:szCs w:val="16"/>
              </w:rPr>
              <w:t>rs12716722</w:t>
            </w:r>
          </w:p>
        </w:tc>
        <w:tc>
          <w:tcPr>
            <w:tcW w:w="851" w:type="dxa"/>
            <w:tcBorders>
              <w:top w:val="single" w:sz="4" w:space="0" w:color="000000"/>
              <w:bottom w:val="single" w:sz="4" w:space="0" w:color="D0CECE"/>
            </w:tcBorders>
            <w:tcMar>
              <w:top w:w="-113" w:type="dxa"/>
              <w:left w:w="-113" w:type="dxa"/>
              <w:bottom w:w="-113" w:type="dxa"/>
              <w:right w:w="-113" w:type="dxa"/>
            </w:tcMar>
          </w:tcPr>
          <w:p w14:paraId="5969C87B" w14:textId="77777777" w:rsidR="00CB0062" w:rsidRDefault="00CB0062" w:rsidP="00223E56">
            <w:pPr>
              <w:rPr>
                <w:color w:val="000000"/>
                <w:sz w:val="16"/>
                <w:szCs w:val="16"/>
              </w:rPr>
            </w:pPr>
            <w:r>
              <w:rPr>
                <w:color w:val="000000"/>
                <w:sz w:val="16"/>
                <w:szCs w:val="16"/>
              </w:rPr>
              <w:t>T&gt;</w:t>
            </w:r>
            <w:proofErr w:type="gramStart"/>
            <w:r>
              <w:rPr>
                <w:color w:val="000000"/>
                <w:sz w:val="16"/>
                <w:szCs w:val="16"/>
              </w:rPr>
              <w:t>A,C</w:t>
            </w:r>
            <w:proofErr w:type="gramEnd"/>
          </w:p>
        </w:tc>
        <w:tc>
          <w:tcPr>
            <w:tcW w:w="1701" w:type="dxa"/>
            <w:tcBorders>
              <w:top w:val="single" w:sz="4" w:space="0" w:color="000000"/>
              <w:bottom w:val="single" w:sz="4" w:space="0" w:color="D0CECE"/>
            </w:tcBorders>
            <w:tcMar>
              <w:top w:w="-113" w:type="dxa"/>
              <w:left w:w="-113" w:type="dxa"/>
              <w:bottom w:w="-113" w:type="dxa"/>
              <w:right w:w="-113" w:type="dxa"/>
            </w:tcMar>
          </w:tcPr>
          <w:p w14:paraId="4A3CEB6D" w14:textId="77777777" w:rsidR="00CB0062" w:rsidRDefault="00CB0062" w:rsidP="00223E56">
            <w:pPr>
              <w:rPr>
                <w:color w:val="000000"/>
                <w:sz w:val="16"/>
                <w:szCs w:val="16"/>
              </w:rPr>
            </w:pPr>
            <w:r>
              <w:rPr>
                <w:color w:val="000000"/>
                <w:sz w:val="16"/>
                <w:szCs w:val="16"/>
              </w:rPr>
              <w:t>Intron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1E209F26" w14:textId="77777777" w:rsidR="00CB0062" w:rsidRDefault="00CB0062" w:rsidP="00223E56">
            <w:pPr>
              <w:rPr>
                <w:sz w:val="16"/>
                <w:szCs w:val="16"/>
              </w:rPr>
            </w:pPr>
            <w:r>
              <w:rPr>
                <w:color w:val="000000"/>
                <w:sz w:val="16"/>
                <w:szCs w:val="16"/>
              </w:rPr>
              <w:t>T2DM</w:t>
            </w:r>
          </w:p>
          <w:p w14:paraId="64863385" w14:textId="77777777" w:rsidR="00CB0062" w:rsidRDefault="00CB0062" w:rsidP="00223E56">
            <w:pPr>
              <w:rPr>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0B73506F" w14:textId="77777777" w:rsidR="00CB0062" w:rsidRDefault="00CB0062" w:rsidP="00223E56">
            <w:pPr>
              <w:rPr>
                <w:color w:val="000000"/>
                <w:sz w:val="16"/>
                <w:szCs w:val="16"/>
              </w:rPr>
            </w:pPr>
            <w:proofErr w:type="spellStart"/>
            <w:r>
              <w:rPr>
                <w:sz w:val="16"/>
                <w:szCs w:val="16"/>
              </w:rPr>
              <w:t>Martíz</w:t>
            </w:r>
            <w:proofErr w:type="spellEnd"/>
            <w:r>
              <w:rPr>
                <w:sz w:val="16"/>
                <w:szCs w:val="16"/>
              </w:rPr>
              <w:t xml:space="preserve">-Barquero </w:t>
            </w:r>
            <w:r>
              <w:rPr>
                <w:i/>
                <w:sz w:val="16"/>
                <w:szCs w:val="16"/>
              </w:rPr>
              <w:t>et al.</w:t>
            </w:r>
            <w:r>
              <w:rPr>
                <w:sz w:val="16"/>
                <w:szCs w:val="16"/>
              </w:rPr>
              <w:t xml:space="preserve"> 2015</w:t>
            </w:r>
          </w:p>
        </w:tc>
      </w:tr>
      <w:tr w:rsidR="00CB0062" w14:paraId="353AA359" w14:textId="77777777" w:rsidTr="00923C73">
        <w:trPr>
          <w:trHeight w:val="317"/>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E53436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B4E5AD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07FF53A1" w14:textId="77777777" w:rsidR="00CB0062" w:rsidRDefault="00CB0062" w:rsidP="00223E56">
            <w:pPr>
              <w:rPr>
                <w:sz w:val="16"/>
                <w:szCs w:val="16"/>
              </w:rPr>
            </w:pPr>
            <w:r>
              <w:rPr>
                <w:color w:val="000000"/>
                <w:sz w:val="16"/>
                <w:szCs w:val="16"/>
              </w:rPr>
              <w:t>rs3759475</w:t>
            </w:r>
          </w:p>
          <w:p w14:paraId="69380E71" w14:textId="77777777" w:rsidR="00CB0062" w:rsidRDefault="00CB0062" w:rsidP="00223E56">
            <w:pPr>
              <w:rPr>
                <w:sz w:val="16"/>
                <w:szCs w:val="16"/>
              </w:rPr>
            </w:pPr>
          </w:p>
        </w:tc>
        <w:tc>
          <w:tcPr>
            <w:tcW w:w="851" w:type="dxa"/>
            <w:vMerge w:val="restart"/>
            <w:tcBorders>
              <w:top w:val="single" w:sz="4" w:space="0" w:color="D0CECE"/>
              <w:bottom w:val="single" w:sz="4" w:space="0" w:color="D0CECE"/>
            </w:tcBorders>
            <w:tcMar>
              <w:top w:w="-113" w:type="dxa"/>
              <w:left w:w="-113" w:type="dxa"/>
              <w:bottom w:w="-113" w:type="dxa"/>
              <w:right w:w="-113" w:type="dxa"/>
            </w:tcMar>
          </w:tcPr>
          <w:p w14:paraId="268F05C8" w14:textId="77777777" w:rsidR="00CB0062" w:rsidRDefault="00CB0062" w:rsidP="00223E56">
            <w:pPr>
              <w:rPr>
                <w:color w:val="000000"/>
                <w:sz w:val="16"/>
                <w:szCs w:val="16"/>
              </w:rPr>
            </w:pPr>
            <w:r>
              <w:rPr>
                <w:color w:val="000000"/>
                <w:sz w:val="16"/>
                <w:szCs w:val="16"/>
              </w:rPr>
              <w:t>A&gt;</w:t>
            </w:r>
            <w:proofErr w:type="gramStart"/>
            <w:r>
              <w:rPr>
                <w:color w:val="000000"/>
                <w:sz w:val="16"/>
                <w:szCs w:val="16"/>
              </w:rPr>
              <w:t>C,G</w:t>
            </w:r>
            <w:proofErr w:type="gramEnd"/>
          </w:p>
        </w:tc>
        <w:tc>
          <w:tcPr>
            <w:tcW w:w="1701" w:type="dxa"/>
            <w:vMerge w:val="restart"/>
            <w:tcBorders>
              <w:top w:val="single" w:sz="4" w:space="0" w:color="D0CECE"/>
              <w:bottom w:val="single" w:sz="4" w:space="0" w:color="D0CECE"/>
            </w:tcBorders>
            <w:tcMar>
              <w:top w:w="-113" w:type="dxa"/>
              <w:left w:w="-113" w:type="dxa"/>
              <w:bottom w:w="-113" w:type="dxa"/>
              <w:right w:w="-113" w:type="dxa"/>
            </w:tcMar>
          </w:tcPr>
          <w:p w14:paraId="57DD7F61"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676C8F2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4ABC4F4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3A9056C9"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599628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8659CA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3D38653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tcMar>
              <w:top w:w="-113" w:type="dxa"/>
              <w:left w:w="-113" w:type="dxa"/>
              <w:bottom w:w="-113" w:type="dxa"/>
              <w:right w:w="-113" w:type="dxa"/>
            </w:tcMar>
          </w:tcPr>
          <w:p w14:paraId="378F32E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tcMar>
              <w:top w:w="-113" w:type="dxa"/>
              <w:left w:w="-113" w:type="dxa"/>
              <w:bottom w:w="-113" w:type="dxa"/>
              <w:right w:w="-113" w:type="dxa"/>
            </w:tcMar>
          </w:tcPr>
          <w:p w14:paraId="0BA014B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vMerge/>
            <w:tcBorders>
              <w:top w:val="single" w:sz="4" w:space="0" w:color="000000"/>
              <w:bottom w:val="single" w:sz="4" w:space="0" w:color="D0CECE"/>
            </w:tcBorders>
            <w:tcMar>
              <w:top w:w="-113" w:type="dxa"/>
              <w:left w:w="-113" w:type="dxa"/>
              <w:bottom w:w="-113" w:type="dxa"/>
              <w:right w:w="-113" w:type="dxa"/>
            </w:tcMar>
          </w:tcPr>
          <w:p w14:paraId="1748948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567751F7" w14:textId="77777777" w:rsidR="00CB0062" w:rsidRDefault="00CB0062" w:rsidP="00223E56">
            <w:pPr>
              <w:rPr>
                <w:color w:val="000000"/>
                <w:sz w:val="16"/>
                <w:szCs w:val="16"/>
              </w:rPr>
            </w:pPr>
            <w:r>
              <w:rPr>
                <w:sz w:val="16"/>
                <w:szCs w:val="16"/>
              </w:rPr>
              <w:t>Grau-Perez et al. 2018</w:t>
            </w:r>
          </w:p>
        </w:tc>
      </w:tr>
      <w:tr w:rsidR="00CB0062" w14:paraId="2A039BE4"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E5E1FA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BF04FB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1D2DD181" w14:textId="77777777" w:rsidR="00CB0062" w:rsidRDefault="00CB0062" w:rsidP="00223E56">
            <w:pPr>
              <w:rPr>
                <w:sz w:val="16"/>
                <w:szCs w:val="16"/>
              </w:rPr>
            </w:pPr>
            <w:r>
              <w:rPr>
                <w:color w:val="000000"/>
                <w:sz w:val="16"/>
                <w:szCs w:val="16"/>
              </w:rPr>
              <w:t>rs5351</w:t>
            </w:r>
          </w:p>
          <w:p w14:paraId="01CB0F0B" w14:textId="77777777" w:rsidR="00CB0062" w:rsidRDefault="00CB0062" w:rsidP="00223E56">
            <w:pPr>
              <w:rPr>
                <w:sz w:val="16"/>
                <w:szCs w:val="16"/>
              </w:rPr>
            </w:pPr>
          </w:p>
        </w:tc>
        <w:tc>
          <w:tcPr>
            <w:tcW w:w="851" w:type="dxa"/>
            <w:vMerge w:val="restart"/>
            <w:tcBorders>
              <w:top w:val="single" w:sz="4" w:space="0" w:color="D0CECE"/>
              <w:bottom w:val="single" w:sz="4" w:space="0" w:color="D0CECE"/>
            </w:tcBorders>
            <w:tcMar>
              <w:top w:w="-113" w:type="dxa"/>
              <w:left w:w="-113" w:type="dxa"/>
              <w:bottom w:w="-113" w:type="dxa"/>
              <w:right w:w="-113" w:type="dxa"/>
            </w:tcMar>
          </w:tcPr>
          <w:p w14:paraId="660CCFEB" w14:textId="77777777" w:rsidR="00CB0062" w:rsidRDefault="00CB0062" w:rsidP="00223E56">
            <w:pPr>
              <w:rPr>
                <w:color w:val="000000"/>
                <w:sz w:val="16"/>
                <w:szCs w:val="16"/>
              </w:rPr>
            </w:pPr>
            <w:r>
              <w:rPr>
                <w:color w:val="000000"/>
                <w:sz w:val="16"/>
                <w:szCs w:val="16"/>
              </w:rPr>
              <w:t>T&gt;</w:t>
            </w:r>
            <w:proofErr w:type="gramStart"/>
            <w:r>
              <w:rPr>
                <w:color w:val="000000"/>
                <w:sz w:val="16"/>
                <w:szCs w:val="16"/>
              </w:rPr>
              <w:t>C,G</w:t>
            </w:r>
            <w:proofErr w:type="gramEnd"/>
          </w:p>
        </w:tc>
        <w:tc>
          <w:tcPr>
            <w:tcW w:w="1701" w:type="dxa"/>
            <w:vMerge w:val="restart"/>
            <w:tcBorders>
              <w:top w:val="single" w:sz="4" w:space="0" w:color="D0CECE"/>
              <w:bottom w:val="single" w:sz="4" w:space="0" w:color="D0CECE"/>
            </w:tcBorders>
            <w:tcMar>
              <w:top w:w="-113" w:type="dxa"/>
              <w:left w:w="-113" w:type="dxa"/>
              <w:bottom w:w="-113" w:type="dxa"/>
              <w:right w:w="-113" w:type="dxa"/>
            </w:tcMar>
          </w:tcPr>
          <w:p w14:paraId="149149AF" w14:textId="77777777" w:rsidR="00CB0062" w:rsidRDefault="00CB0062" w:rsidP="00223E56">
            <w:pPr>
              <w:rPr>
                <w:color w:val="000000"/>
                <w:sz w:val="16"/>
                <w:szCs w:val="16"/>
              </w:rPr>
            </w:pPr>
            <w:r>
              <w:rPr>
                <w:color w:val="000000"/>
                <w:sz w:val="16"/>
                <w:szCs w:val="16"/>
              </w:rPr>
              <w:t>Synonymous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24C48AD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230FA397" w14:textId="77777777" w:rsidR="00CB0062" w:rsidRDefault="00CB0062" w:rsidP="00223E56">
            <w:pPr>
              <w:rPr>
                <w:color w:val="000000"/>
                <w:sz w:val="16"/>
                <w:szCs w:val="16"/>
              </w:rPr>
            </w:pPr>
            <w:proofErr w:type="spellStart"/>
            <w:r>
              <w:rPr>
                <w:sz w:val="16"/>
                <w:szCs w:val="16"/>
              </w:rPr>
              <w:t>Martíz</w:t>
            </w:r>
            <w:proofErr w:type="spellEnd"/>
            <w:r>
              <w:rPr>
                <w:sz w:val="16"/>
                <w:szCs w:val="16"/>
              </w:rPr>
              <w:t xml:space="preserve">-Barquero </w:t>
            </w:r>
            <w:r>
              <w:rPr>
                <w:i/>
                <w:sz w:val="16"/>
                <w:szCs w:val="16"/>
              </w:rPr>
              <w:t>et al.</w:t>
            </w:r>
            <w:r>
              <w:rPr>
                <w:sz w:val="16"/>
                <w:szCs w:val="16"/>
              </w:rPr>
              <w:t xml:space="preserve"> 2015</w:t>
            </w:r>
          </w:p>
        </w:tc>
      </w:tr>
      <w:tr w:rsidR="00CB0062" w14:paraId="1B947E34"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78050F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0AF1D7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1909991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tcMar>
              <w:top w:w="-113" w:type="dxa"/>
              <w:left w:w="-113" w:type="dxa"/>
              <w:bottom w:w="-113" w:type="dxa"/>
              <w:right w:w="-113" w:type="dxa"/>
            </w:tcMar>
          </w:tcPr>
          <w:p w14:paraId="20422EA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tcMar>
              <w:top w:w="-113" w:type="dxa"/>
              <w:left w:w="-113" w:type="dxa"/>
              <w:bottom w:w="-113" w:type="dxa"/>
              <w:right w:w="-113" w:type="dxa"/>
            </w:tcMar>
          </w:tcPr>
          <w:p w14:paraId="2604210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vMerge/>
            <w:tcBorders>
              <w:top w:val="single" w:sz="4" w:space="0" w:color="000000"/>
              <w:bottom w:val="single" w:sz="4" w:space="0" w:color="D0CECE"/>
            </w:tcBorders>
            <w:tcMar>
              <w:top w:w="-113" w:type="dxa"/>
              <w:left w:w="-113" w:type="dxa"/>
              <w:bottom w:w="-113" w:type="dxa"/>
              <w:right w:w="-113" w:type="dxa"/>
            </w:tcMar>
          </w:tcPr>
          <w:p w14:paraId="077395A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78421E62" w14:textId="77777777" w:rsidR="00CB0062" w:rsidRDefault="00CB0062" w:rsidP="00223E56">
            <w:pPr>
              <w:rPr>
                <w:color w:val="000000"/>
                <w:sz w:val="16"/>
                <w:szCs w:val="16"/>
              </w:rPr>
            </w:pPr>
            <w:r>
              <w:rPr>
                <w:sz w:val="16"/>
                <w:szCs w:val="16"/>
              </w:rPr>
              <w:t>Grau-Perez et al. 2018</w:t>
            </w:r>
          </w:p>
        </w:tc>
      </w:tr>
      <w:tr w:rsidR="00CB0062" w14:paraId="313208AA"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ABA5A3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A24F60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070068C2" w14:textId="77777777" w:rsidR="00CB0062" w:rsidRDefault="00CB0062" w:rsidP="00223E56">
            <w:pPr>
              <w:rPr>
                <w:color w:val="000000"/>
                <w:sz w:val="16"/>
                <w:szCs w:val="16"/>
              </w:rPr>
            </w:pPr>
            <w:r>
              <w:rPr>
                <w:color w:val="000000"/>
                <w:sz w:val="16"/>
                <w:szCs w:val="16"/>
              </w:rPr>
              <w:t>rs5352</w:t>
            </w:r>
          </w:p>
        </w:tc>
        <w:tc>
          <w:tcPr>
            <w:tcW w:w="851" w:type="dxa"/>
            <w:tcBorders>
              <w:top w:val="single" w:sz="4" w:space="0" w:color="D0CECE"/>
              <w:bottom w:val="single" w:sz="4" w:space="0" w:color="000000"/>
            </w:tcBorders>
            <w:tcMar>
              <w:top w:w="-113" w:type="dxa"/>
              <w:left w:w="-113" w:type="dxa"/>
              <w:bottom w:w="-113" w:type="dxa"/>
              <w:right w:w="-113" w:type="dxa"/>
            </w:tcMar>
          </w:tcPr>
          <w:p w14:paraId="35BF7CA5" w14:textId="77777777" w:rsidR="00CB0062" w:rsidRDefault="00CB0062" w:rsidP="00223E56">
            <w:pPr>
              <w:rPr>
                <w:color w:val="000000"/>
                <w:sz w:val="16"/>
                <w:szCs w:val="16"/>
              </w:rPr>
            </w:pPr>
            <w:r>
              <w:rPr>
                <w:color w:val="000000"/>
                <w:sz w:val="16"/>
                <w:szCs w:val="16"/>
              </w:rPr>
              <w:t>C&gt;T</w:t>
            </w:r>
          </w:p>
        </w:tc>
        <w:tc>
          <w:tcPr>
            <w:tcW w:w="1701" w:type="dxa"/>
            <w:tcBorders>
              <w:top w:val="single" w:sz="4" w:space="0" w:color="D0CECE"/>
              <w:bottom w:val="single" w:sz="4" w:space="0" w:color="000000"/>
            </w:tcBorders>
            <w:tcMar>
              <w:top w:w="-113" w:type="dxa"/>
              <w:left w:w="-113" w:type="dxa"/>
              <w:bottom w:w="-113" w:type="dxa"/>
              <w:right w:w="-113" w:type="dxa"/>
            </w:tcMar>
          </w:tcPr>
          <w:p w14:paraId="0E1D9931" w14:textId="77777777" w:rsidR="00CB0062" w:rsidRDefault="00CB0062" w:rsidP="00223E56">
            <w:pPr>
              <w:rPr>
                <w:color w:val="000000"/>
                <w:sz w:val="16"/>
                <w:szCs w:val="16"/>
              </w:rPr>
            </w:pPr>
            <w:r>
              <w:rPr>
                <w:color w:val="000000"/>
                <w:sz w:val="16"/>
                <w:szCs w:val="16"/>
              </w:rPr>
              <w:t>Missense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208A98B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tcBorders>
              <w:top w:val="single" w:sz="4" w:space="0" w:color="D0CECE"/>
              <w:bottom w:val="single" w:sz="4" w:space="0" w:color="000000"/>
              <w:right w:val="single" w:sz="4" w:space="0" w:color="000000" w:themeColor="text1"/>
            </w:tcBorders>
            <w:tcMar>
              <w:top w:w="-113" w:type="dxa"/>
              <w:left w:w="-113" w:type="dxa"/>
              <w:bottom w:w="-113" w:type="dxa"/>
              <w:right w:w="-113" w:type="dxa"/>
            </w:tcMar>
          </w:tcPr>
          <w:p w14:paraId="00114288" w14:textId="77777777" w:rsidR="00CB0062" w:rsidRDefault="00CB0062" w:rsidP="00223E56">
            <w:pPr>
              <w:rPr>
                <w:color w:val="000000"/>
                <w:sz w:val="16"/>
                <w:szCs w:val="16"/>
              </w:rPr>
            </w:pPr>
            <w:proofErr w:type="spellStart"/>
            <w:r>
              <w:rPr>
                <w:sz w:val="16"/>
                <w:szCs w:val="16"/>
              </w:rPr>
              <w:t>Martíz</w:t>
            </w:r>
            <w:proofErr w:type="spellEnd"/>
            <w:r>
              <w:rPr>
                <w:sz w:val="16"/>
                <w:szCs w:val="16"/>
              </w:rPr>
              <w:t xml:space="preserve">-Barquero </w:t>
            </w:r>
            <w:r>
              <w:rPr>
                <w:i/>
                <w:sz w:val="16"/>
                <w:szCs w:val="16"/>
              </w:rPr>
              <w:t>et al.</w:t>
            </w:r>
            <w:r>
              <w:rPr>
                <w:sz w:val="16"/>
                <w:szCs w:val="16"/>
              </w:rPr>
              <w:t xml:space="preserve"> 2015</w:t>
            </w:r>
          </w:p>
        </w:tc>
      </w:tr>
      <w:tr w:rsidR="00CB0062" w14:paraId="10760199"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487D6D93" w14:textId="77777777" w:rsidR="00CB0062" w:rsidRDefault="00CB0062" w:rsidP="00223E56">
            <w:pPr>
              <w:rPr>
                <w:i/>
                <w:color w:val="000000"/>
                <w:sz w:val="16"/>
                <w:szCs w:val="16"/>
              </w:rPr>
            </w:pPr>
            <w:r>
              <w:rPr>
                <w:i/>
                <w:color w:val="000000"/>
                <w:sz w:val="16"/>
                <w:szCs w:val="16"/>
              </w:rPr>
              <w:t>ETV5</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0EE16F3B" w14:textId="77777777" w:rsidR="00CB0062" w:rsidRDefault="00CB0062" w:rsidP="00223E56">
            <w:pPr>
              <w:rPr>
                <w:color w:val="000000"/>
                <w:sz w:val="16"/>
                <w:szCs w:val="16"/>
              </w:rPr>
            </w:pPr>
            <w:r>
              <w:rPr>
                <w:color w:val="000000"/>
                <w:sz w:val="16"/>
                <w:szCs w:val="16"/>
              </w:rPr>
              <w:t>ETS Variant Transcription Factor 5</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7974E134" w14:textId="77777777" w:rsidR="00CB0062" w:rsidRDefault="00CB0062" w:rsidP="00223E56">
            <w:pPr>
              <w:rPr>
                <w:color w:val="000000"/>
                <w:sz w:val="16"/>
                <w:szCs w:val="16"/>
              </w:rPr>
            </w:pPr>
            <w:r>
              <w:rPr>
                <w:color w:val="000000"/>
                <w:sz w:val="16"/>
                <w:szCs w:val="16"/>
              </w:rPr>
              <w:t>rs7647305</w:t>
            </w:r>
          </w:p>
        </w:tc>
        <w:tc>
          <w:tcPr>
            <w:tcW w:w="851" w:type="dxa"/>
            <w:tcBorders>
              <w:top w:val="single" w:sz="4" w:space="0" w:color="000000"/>
              <w:bottom w:val="single" w:sz="4" w:space="0" w:color="000000"/>
            </w:tcBorders>
            <w:tcMar>
              <w:top w:w="-113" w:type="dxa"/>
              <w:left w:w="-113" w:type="dxa"/>
              <w:bottom w:w="-113" w:type="dxa"/>
              <w:right w:w="-113" w:type="dxa"/>
            </w:tcMar>
          </w:tcPr>
          <w:p w14:paraId="13F07FA1" w14:textId="77777777" w:rsidR="00CB0062" w:rsidRDefault="00CB0062" w:rsidP="00223E56">
            <w:pPr>
              <w:rPr>
                <w:color w:val="000000"/>
                <w:sz w:val="16"/>
                <w:szCs w:val="16"/>
              </w:rPr>
            </w:pPr>
            <w:r>
              <w:rPr>
                <w:color w:val="000000"/>
                <w:sz w:val="16"/>
                <w:szCs w:val="16"/>
              </w:rPr>
              <w:t>T&gt;C</w:t>
            </w:r>
          </w:p>
        </w:tc>
        <w:tc>
          <w:tcPr>
            <w:tcW w:w="1701" w:type="dxa"/>
            <w:tcBorders>
              <w:top w:val="single" w:sz="4" w:space="0" w:color="000000"/>
              <w:bottom w:val="single" w:sz="4" w:space="0" w:color="000000"/>
            </w:tcBorders>
            <w:tcMar>
              <w:top w:w="-113" w:type="dxa"/>
              <w:left w:w="-113" w:type="dxa"/>
              <w:bottom w:w="-113" w:type="dxa"/>
              <w:right w:w="-113" w:type="dxa"/>
            </w:tcMar>
          </w:tcPr>
          <w:p w14:paraId="0C5D0102" w14:textId="77777777" w:rsidR="00CB0062" w:rsidRDefault="00CB0062" w:rsidP="00223E56">
            <w:pPr>
              <w:rPr>
                <w:color w:val="000000"/>
                <w:sz w:val="16"/>
                <w:szCs w:val="16"/>
              </w:rPr>
            </w:pPr>
            <w:r>
              <w:rPr>
                <w:color w:val="000000"/>
                <w:sz w:val="16"/>
                <w:szCs w:val="16"/>
              </w:rPr>
              <w:t>None</w:t>
            </w:r>
          </w:p>
        </w:tc>
        <w:tc>
          <w:tcPr>
            <w:tcW w:w="708" w:type="dxa"/>
            <w:tcBorders>
              <w:top w:val="single" w:sz="4" w:space="0" w:color="000000"/>
              <w:bottom w:val="single" w:sz="4" w:space="0" w:color="000000"/>
            </w:tcBorders>
            <w:tcMar>
              <w:top w:w="-113" w:type="dxa"/>
              <w:left w:w="-113" w:type="dxa"/>
              <w:bottom w:w="-113" w:type="dxa"/>
              <w:right w:w="-113" w:type="dxa"/>
            </w:tcMar>
          </w:tcPr>
          <w:p w14:paraId="66FC6212" w14:textId="77777777" w:rsidR="00CB0062" w:rsidRDefault="00CB0062" w:rsidP="00223E56">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7B4B3D27" w14:textId="77777777" w:rsidR="00CB0062" w:rsidRDefault="00CB0062" w:rsidP="00223E56">
            <w:pPr>
              <w:rPr>
                <w:color w:val="000000"/>
                <w:sz w:val="16"/>
                <w:szCs w:val="16"/>
              </w:rPr>
            </w:pPr>
            <w:r>
              <w:rPr>
                <w:sz w:val="16"/>
                <w:szCs w:val="16"/>
              </w:rPr>
              <w:t>Grau-Perez et al. 2018</w:t>
            </w:r>
          </w:p>
        </w:tc>
      </w:tr>
      <w:tr w:rsidR="00CB0062" w14:paraId="2733D709"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A280ACC" w14:textId="77777777" w:rsidR="00CB0062" w:rsidRDefault="00CB0062" w:rsidP="00223E56">
            <w:pPr>
              <w:rPr>
                <w:i/>
                <w:color w:val="000000"/>
                <w:sz w:val="16"/>
                <w:szCs w:val="16"/>
              </w:rPr>
            </w:pPr>
            <w:r>
              <w:rPr>
                <w:i/>
                <w:color w:val="000000"/>
                <w:sz w:val="16"/>
                <w:szCs w:val="16"/>
              </w:rPr>
              <w:t>FABP2</w:t>
            </w:r>
          </w:p>
          <w:p w14:paraId="0D330124"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8BF6B10" w14:textId="77777777" w:rsidR="00CB0062" w:rsidRDefault="00CB0062" w:rsidP="00223E56">
            <w:pPr>
              <w:rPr>
                <w:color w:val="000000"/>
                <w:sz w:val="16"/>
                <w:szCs w:val="16"/>
              </w:rPr>
            </w:pPr>
            <w:r>
              <w:rPr>
                <w:color w:val="000000"/>
                <w:sz w:val="16"/>
                <w:szCs w:val="16"/>
              </w:rPr>
              <w:t>Fatty acid-binding protein 2</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627B2C5D" w14:textId="77777777" w:rsidR="00CB0062" w:rsidRDefault="00CB0062" w:rsidP="00223E56">
            <w:pPr>
              <w:rPr>
                <w:color w:val="000000"/>
                <w:sz w:val="16"/>
                <w:szCs w:val="16"/>
              </w:rPr>
            </w:pPr>
            <w:r>
              <w:rPr>
                <w:color w:val="000000"/>
                <w:sz w:val="16"/>
                <w:szCs w:val="16"/>
              </w:rPr>
              <w:t>rs10034579</w:t>
            </w:r>
          </w:p>
        </w:tc>
        <w:tc>
          <w:tcPr>
            <w:tcW w:w="851" w:type="dxa"/>
            <w:tcBorders>
              <w:top w:val="single" w:sz="4" w:space="0" w:color="000000"/>
              <w:bottom w:val="single" w:sz="4" w:space="0" w:color="D0CECE"/>
            </w:tcBorders>
            <w:tcMar>
              <w:top w:w="-113" w:type="dxa"/>
              <w:left w:w="-113" w:type="dxa"/>
              <w:bottom w:w="-113" w:type="dxa"/>
              <w:right w:w="-113" w:type="dxa"/>
            </w:tcMar>
          </w:tcPr>
          <w:p w14:paraId="2A61C6AD" w14:textId="77777777" w:rsidR="00CB0062" w:rsidRDefault="00CB0062" w:rsidP="00223E56">
            <w:pPr>
              <w:rPr>
                <w:color w:val="000000"/>
                <w:sz w:val="16"/>
                <w:szCs w:val="16"/>
              </w:rPr>
            </w:pPr>
            <w:r>
              <w:rPr>
                <w:color w:val="000000"/>
                <w:sz w:val="16"/>
                <w:szCs w:val="16"/>
              </w:rPr>
              <w:t>A&gt;</w:t>
            </w:r>
            <w:proofErr w:type="gramStart"/>
            <w:r>
              <w:rPr>
                <w:color w:val="000000"/>
                <w:sz w:val="16"/>
                <w:szCs w:val="16"/>
              </w:rPr>
              <w:t>C,G</w:t>
            </w:r>
            <w:proofErr w:type="gramEnd"/>
            <w:r>
              <w:rPr>
                <w:color w:val="000000"/>
                <w:sz w:val="16"/>
                <w:szCs w:val="16"/>
              </w:rPr>
              <w:t>,T</w:t>
            </w:r>
          </w:p>
        </w:tc>
        <w:tc>
          <w:tcPr>
            <w:tcW w:w="1701" w:type="dxa"/>
            <w:tcBorders>
              <w:top w:val="single" w:sz="4" w:space="0" w:color="000000"/>
              <w:bottom w:val="single" w:sz="4" w:space="0" w:color="D0CECE"/>
            </w:tcBorders>
            <w:tcMar>
              <w:top w:w="-113" w:type="dxa"/>
              <w:left w:w="-113" w:type="dxa"/>
              <w:bottom w:w="-113" w:type="dxa"/>
              <w:right w:w="-113" w:type="dxa"/>
            </w:tcMar>
          </w:tcPr>
          <w:p w14:paraId="040F9AFE" w14:textId="77777777" w:rsidR="00CB0062" w:rsidRDefault="00CB0062" w:rsidP="00223E56">
            <w:pPr>
              <w:rPr>
                <w:color w:val="000000"/>
                <w:sz w:val="16"/>
                <w:szCs w:val="16"/>
              </w:rPr>
            </w:pPr>
            <w:r>
              <w:rPr>
                <w:sz w:val="16"/>
                <w:szCs w:val="16"/>
              </w:rPr>
              <w:t>2KB Upstream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65B9A1F7" w14:textId="77777777" w:rsidR="00CB0062" w:rsidRDefault="00CB0062" w:rsidP="00223E56">
            <w:pPr>
              <w:rPr>
                <w:sz w:val="16"/>
                <w:szCs w:val="16"/>
              </w:rPr>
            </w:pPr>
            <w:r>
              <w:rPr>
                <w:color w:val="000000"/>
                <w:sz w:val="16"/>
                <w:szCs w:val="16"/>
              </w:rPr>
              <w:t>T2DM</w:t>
            </w:r>
          </w:p>
          <w:p w14:paraId="1D877A91" w14:textId="77777777" w:rsidR="00CB0062" w:rsidRDefault="00CB0062" w:rsidP="00223E56">
            <w:pPr>
              <w:rPr>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7175CD7C" w14:textId="77777777" w:rsidR="00CB0062" w:rsidRDefault="00CB0062" w:rsidP="00223E56">
            <w:pPr>
              <w:rPr>
                <w:color w:val="000000"/>
                <w:sz w:val="16"/>
                <w:szCs w:val="16"/>
              </w:rPr>
            </w:pPr>
            <w:r>
              <w:rPr>
                <w:sz w:val="16"/>
                <w:szCs w:val="16"/>
              </w:rPr>
              <w:t>Grau-Perez et al. 2018</w:t>
            </w:r>
          </w:p>
          <w:p w14:paraId="4F5912D2" w14:textId="77777777" w:rsidR="00CB0062" w:rsidRDefault="00CB0062" w:rsidP="00223E56">
            <w:pPr>
              <w:rPr>
                <w:color w:val="000000"/>
                <w:sz w:val="16"/>
                <w:szCs w:val="16"/>
              </w:rPr>
            </w:pPr>
          </w:p>
        </w:tc>
      </w:tr>
      <w:tr w:rsidR="00CB0062" w14:paraId="653019ED"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ACD387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DFB9F3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9180275" w14:textId="77777777" w:rsidR="00CB0062" w:rsidRDefault="00CB0062" w:rsidP="00223E56">
            <w:pPr>
              <w:rPr>
                <w:color w:val="000000"/>
                <w:sz w:val="16"/>
                <w:szCs w:val="16"/>
              </w:rPr>
            </w:pPr>
            <w:r>
              <w:rPr>
                <w:color w:val="000000"/>
                <w:sz w:val="16"/>
                <w:szCs w:val="16"/>
              </w:rPr>
              <w:t>rs1511025</w:t>
            </w:r>
          </w:p>
        </w:tc>
        <w:tc>
          <w:tcPr>
            <w:tcW w:w="851" w:type="dxa"/>
            <w:tcBorders>
              <w:top w:val="single" w:sz="4" w:space="0" w:color="D0CECE"/>
              <w:bottom w:val="single" w:sz="4" w:space="0" w:color="D0CECE"/>
            </w:tcBorders>
            <w:tcMar>
              <w:top w:w="-113" w:type="dxa"/>
              <w:left w:w="-113" w:type="dxa"/>
              <w:bottom w:w="-113" w:type="dxa"/>
              <w:right w:w="-113" w:type="dxa"/>
            </w:tcMar>
          </w:tcPr>
          <w:p w14:paraId="6923178C" w14:textId="77777777" w:rsidR="00CB0062" w:rsidRDefault="00CB0062" w:rsidP="00223E56">
            <w:pPr>
              <w:rPr>
                <w:color w:val="000000"/>
                <w:sz w:val="16"/>
                <w:szCs w:val="16"/>
              </w:rPr>
            </w:pPr>
            <w:r>
              <w:rPr>
                <w:color w:val="000000"/>
                <w:sz w:val="16"/>
                <w:szCs w:val="16"/>
              </w:rPr>
              <w:t>T&gt;C</w:t>
            </w:r>
          </w:p>
        </w:tc>
        <w:tc>
          <w:tcPr>
            <w:tcW w:w="1701" w:type="dxa"/>
            <w:tcBorders>
              <w:top w:val="single" w:sz="4" w:space="0" w:color="D0CECE"/>
              <w:bottom w:val="single" w:sz="4" w:space="0" w:color="D0CECE"/>
            </w:tcBorders>
            <w:tcMar>
              <w:top w:w="-113" w:type="dxa"/>
              <w:left w:w="-113" w:type="dxa"/>
              <w:bottom w:w="-113" w:type="dxa"/>
              <w:right w:w="-113" w:type="dxa"/>
            </w:tcMar>
          </w:tcPr>
          <w:p w14:paraId="024B35EC" w14:textId="77777777" w:rsidR="00CB0062" w:rsidRDefault="00CB0062" w:rsidP="00223E56">
            <w:pPr>
              <w:rPr>
                <w:color w:val="000000"/>
                <w:sz w:val="16"/>
                <w:szCs w:val="16"/>
              </w:rPr>
            </w:pPr>
            <w:r>
              <w:rPr>
                <w:color w:val="000000"/>
                <w:sz w:val="16"/>
                <w:szCs w:val="16"/>
              </w:rPr>
              <w:t>Synonymous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1A604CF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7B757C5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7BBC39F1"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15F90C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A413F6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4299BCC" w14:textId="77777777" w:rsidR="00CB0062" w:rsidRDefault="00CB0062" w:rsidP="00223E56">
            <w:pPr>
              <w:rPr>
                <w:color w:val="000000"/>
                <w:sz w:val="16"/>
                <w:szCs w:val="16"/>
              </w:rPr>
            </w:pPr>
            <w:r>
              <w:rPr>
                <w:color w:val="000000"/>
                <w:sz w:val="16"/>
                <w:szCs w:val="16"/>
              </w:rPr>
              <w:t>rs2282688</w:t>
            </w:r>
          </w:p>
        </w:tc>
        <w:tc>
          <w:tcPr>
            <w:tcW w:w="851" w:type="dxa"/>
            <w:tcBorders>
              <w:top w:val="single" w:sz="4" w:space="0" w:color="D0CECE"/>
              <w:bottom w:val="single" w:sz="4" w:space="0" w:color="D0CECE"/>
            </w:tcBorders>
            <w:tcMar>
              <w:top w:w="-113" w:type="dxa"/>
              <w:left w:w="-113" w:type="dxa"/>
              <w:bottom w:w="-113" w:type="dxa"/>
              <w:right w:w="-113" w:type="dxa"/>
            </w:tcMar>
          </w:tcPr>
          <w:p w14:paraId="0B4AB675" w14:textId="77777777" w:rsidR="00CB0062" w:rsidRDefault="00CB0062" w:rsidP="00223E56">
            <w:pPr>
              <w:rPr>
                <w:color w:val="000000"/>
                <w:sz w:val="16"/>
                <w:szCs w:val="16"/>
              </w:rPr>
            </w:pPr>
            <w:r>
              <w:rPr>
                <w:color w:val="000000"/>
                <w:sz w:val="16"/>
                <w:szCs w:val="16"/>
              </w:rPr>
              <w:t>T&gt;</w:t>
            </w:r>
            <w:proofErr w:type="gramStart"/>
            <w:r>
              <w:rPr>
                <w:color w:val="000000"/>
                <w:sz w:val="16"/>
                <w:szCs w:val="16"/>
              </w:rPr>
              <w:t>A,C</w:t>
            </w:r>
            <w:proofErr w:type="gramEnd"/>
            <w:r>
              <w:rPr>
                <w:color w:val="000000"/>
                <w:sz w:val="16"/>
                <w:szCs w:val="16"/>
              </w:rPr>
              <w:t>,G</w:t>
            </w:r>
          </w:p>
        </w:tc>
        <w:tc>
          <w:tcPr>
            <w:tcW w:w="1701" w:type="dxa"/>
            <w:tcBorders>
              <w:top w:val="single" w:sz="4" w:space="0" w:color="D0CECE"/>
              <w:bottom w:val="single" w:sz="4" w:space="0" w:color="D0CECE"/>
            </w:tcBorders>
            <w:tcMar>
              <w:top w:w="-113" w:type="dxa"/>
              <w:left w:w="-113" w:type="dxa"/>
              <w:bottom w:w="-113" w:type="dxa"/>
              <w:right w:w="-113" w:type="dxa"/>
            </w:tcMar>
          </w:tcPr>
          <w:p w14:paraId="4C4655B5" w14:textId="77777777" w:rsidR="00CB0062" w:rsidRDefault="00CB0062" w:rsidP="00223E56">
            <w:pPr>
              <w:rPr>
                <w:color w:val="000000"/>
                <w:sz w:val="16"/>
                <w:szCs w:val="16"/>
              </w:rPr>
            </w:pPr>
            <w:r>
              <w:rPr>
                <w:sz w:val="16"/>
                <w:szCs w:val="16"/>
              </w:rPr>
              <w:t>2KB Upstream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4152EB3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2516EE2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064AAD87"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F07CD9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966B0B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2395F908" w14:textId="77777777" w:rsidR="00CB0062" w:rsidRDefault="00CB0062" w:rsidP="00223E56">
            <w:pPr>
              <w:rPr>
                <w:color w:val="000000"/>
                <w:sz w:val="16"/>
                <w:szCs w:val="16"/>
              </w:rPr>
            </w:pPr>
            <w:r>
              <w:rPr>
                <w:color w:val="000000"/>
                <w:sz w:val="16"/>
                <w:szCs w:val="16"/>
              </w:rPr>
              <w:t>rs6857641</w:t>
            </w:r>
          </w:p>
        </w:tc>
        <w:tc>
          <w:tcPr>
            <w:tcW w:w="851" w:type="dxa"/>
            <w:tcBorders>
              <w:top w:val="single" w:sz="4" w:space="0" w:color="D0CECE"/>
              <w:bottom w:val="single" w:sz="4" w:space="0" w:color="000000"/>
            </w:tcBorders>
            <w:tcMar>
              <w:top w:w="-113" w:type="dxa"/>
              <w:left w:w="-113" w:type="dxa"/>
              <w:bottom w:w="-113" w:type="dxa"/>
              <w:right w:w="-113" w:type="dxa"/>
            </w:tcMar>
          </w:tcPr>
          <w:p w14:paraId="4B7F6340" w14:textId="77777777" w:rsidR="00CB0062" w:rsidRDefault="00CB0062" w:rsidP="00223E56">
            <w:pPr>
              <w:rPr>
                <w:color w:val="000000"/>
                <w:sz w:val="16"/>
                <w:szCs w:val="16"/>
              </w:rPr>
            </w:pPr>
            <w:r>
              <w:rPr>
                <w:color w:val="000000"/>
                <w:sz w:val="16"/>
                <w:szCs w:val="16"/>
              </w:rPr>
              <w:t>T&gt;</w:t>
            </w:r>
            <w:proofErr w:type="gramStart"/>
            <w:r>
              <w:rPr>
                <w:color w:val="000000"/>
                <w:sz w:val="16"/>
                <w:szCs w:val="16"/>
              </w:rPr>
              <w:t>C,G</w:t>
            </w:r>
            <w:proofErr w:type="gramEnd"/>
          </w:p>
        </w:tc>
        <w:tc>
          <w:tcPr>
            <w:tcW w:w="1701" w:type="dxa"/>
            <w:tcBorders>
              <w:top w:val="single" w:sz="4" w:space="0" w:color="D0CECE"/>
              <w:bottom w:val="single" w:sz="4" w:space="0" w:color="000000"/>
            </w:tcBorders>
            <w:tcMar>
              <w:top w:w="-113" w:type="dxa"/>
              <w:left w:w="-113" w:type="dxa"/>
              <w:bottom w:w="-113" w:type="dxa"/>
              <w:right w:w="-113" w:type="dxa"/>
            </w:tcMar>
          </w:tcPr>
          <w:p w14:paraId="710F62B1" w14:textId="77777777" w:rsidR="00CB0062" w:rsidRDefault="00CB0062" w:rsidP="00223E56">
            <w:pPr>
              <w:rPr>
                <w:color w:val="000000"/>
                <w:sz w:val="16"/>
                <w:szCs w:val="16"/>
              </w:rPr>
            </w:pPr>
            <w:r>
              <w:rPr>
                <w:sz w:val="16"/>
                <w:szCs w:val="16"/>
              </w:rPr>
              <w:t>2KB Upstream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764A155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132179C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0BA0F499"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79EFD7C6" w14:textId="77777777" w:rsidR="00CB0062" w:rsidRDefault="00CB0062" w:rsidP="00223E56">
            <w:pPr>
              <w:rPr>
                <w:i/>
                <w:color w:val="000000"/>
                <w:sz w:val="16"/>
                <w:szCs w:val="16"/>
              </w:rPr>
            </w:pPr>
            <w:r>
              <w:rPr>
                <w:i/>
                <w:color w:val="000000"/>
                <w:sz w:val="16"/>
                <w:szCs w:val="16"/>
              </w:rPr>
              <w:t>FADS1</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0135CEEE" w14:textId="77777777" w:rsidR="00CB0062" w:rsidRDefault="00CB0062" w:rsidP="00223E56">
            <w:pPr>
              <w:rPr>
                <w:color w:val="000000"/>
                <w:sz w:val="16"/>
                <w:szCs w:val="16"/>
              </w:rPr>
            </w:pPr>
            <w:r>
              <w:rPr>
                <w:color w:val="000000"/>
                <w:sz w:val="16"/>
                <w:szCs w:val="16"/>
              </w:rPr>
              <w:t>Fatty Acid Desaturase 1</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085027A7" w14:textId="77777777" w:rsidR="00CB0062" w:rsidRDefault="00CB0062" w:rsidP="00223E56">
            <w:pPr>
              <w:rPr>
                <w:color w:val="000000"/>
                <w:sz w:val="16"/>
                <w:szCs w:val="16"/>
              </w:rPr>
            </w:pPr>
            <w:r>
              <w:rPr>
                <w:color w:val="000000"/>
                <w:sz w:val="16"/>
                <w:szCs w:val="16"/>
              </w:rPr>
              <w:t>rs174546</w:t>
            </w:r>
          </w:p>
        </w:tc>
        <w:tc>
          <w:tcPr>
            <w:tcW w:w="851" w:type="dxa"/>
            <w:tcBorders>
              <w:top w:val="single" w:sz="4" w:space="0" w:color="000000"/>
              <w:bottom w:val="single" w:sz="4" w:space="0" w:color="000000"/>
            </w:tcBorders>
            <w:tcMar>
              <w:top w:w="-113" w:type="dxa"/>
              <w:left w:w="-113" w:type="dxa"/>
              <w:bottom w:w="-113" w:type="dxa"/>
              <w:right w:w="-113" w:type="dxa"/>
            </w:tcMar>
          </w:tcPr>
          <w:p w14:paraId="060DE513" w14:textId="77777777" w:rsidR="00CB0062" w:rsidRDefault="00CB0062" w:rsidP="00223E56">
            <w:pPr>
              <w:rPr>
                <w:color w:val="000000"/>
                <w:sz w:val="16"/>
                <w:szCs w:val="16"/>
              </w:rPr>
            </w:pPr>
            <w:r>
              <w:rPr>
                <w:color w:val="000000"/>
                <w:sz w:val="16"/>
                <w:szCs w:val="16"/>
              </w:rPr>
              <w:t>C&gt;T</w:t>
            </w:r>
          </w:p>
        </w:tc>
        <w:tc>
          <w:tcPr>
            <w:tcW w:w="1701" w:type="dxa"/>
            <w:tcBorders>
              <w:top w:val="single" w:sz="4" w:space="0" w:color="000000"/>
              <w:bottom w:val="single" w:sz="4" w:space="0" w:color="000000"/>
            </w:tcBorders>
            <w:tcMar>
              <w:top w:w="-113" w:type="dxa"/>
              <w:left w:w="-113" w:type="dxa"/>
              <w:bottom w:w="-113" w:type="dxa"/>
              <w:right w:w="-113" w:type="dxa"/>
            </w:tcMar>
          </w:tcPr>
          <w:p w14:paraId="5E19B9BE" w14:textId="77777777" w:rsidR="00CB0062" w:rsidRDefault="00CB0062" w:rsidP="00223E56">
            <w:pPr>
              <w:rPr>
                <w:color w:val="000000"/>
                <w:sz w:val="16"/>
                <w:szCs w:val="16"/>
              </w:rPr>
            </w:pPr>
            <w:r>
              <w:rPr>
                <w:sz w:val="16"/>
                <w:szCs w:val="16"/>
              </w:rPr>
              <w:t>3 Prime UTR variant</w:t>
            </w:r>
          </w:p>
        </w:tc>
        <w:tc>
          <w:tcPr>
            <w:tcW w:w="708" w:type="dxa"/>
            <w:tcBorders>
              <w:top w:val="single" w:sz="4" w:space="0" w:color="000000"/>
              <w:bottom w:val="single" w:sz="4" w:space="0" w:color="000000"/>
            </w:tcBorders>
            <w:tcMar>
              <w:top w:w="-113" w:type="dxa"/>
              <w:left w:w="-113" w:type="dxa"/>
              <w:bottom w:w="-113" w:type="dxa"/>
              <w:right w:w="-113" w:type="dxa"/>
            </w:tcMar>
          </w:tcPr>
          <w:p w14:paraId="1BF79A2F" w14:textId="77777777" w:rsidR="00CB0062" w:rsidRDefault="00CB0062" w:rsidP="00223E56">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04E2CB61" w14:textId="77777777" w:rsidR="00CB0062" w:rsidRDefault="00CB0062" w:rsidP="00223E56">
            <w:pPr>
              <w:rPr>
                <w:color w:val="000000"/>
                <w:sz w:val="16"/>
                <w:szCs w:val="16"/>
              </w:rPr>
            </w:pPr>
            <w:r>
              <w:rPr>
                <w:sz w:val="16"/>
                <w:szCs w:val="16"/>
              </w:rPr>
              <w:t>Grau-Perez et al. 2018</w:t>
            </w:r>
          </w:p>
        </w:tc>
      </w:tr>
      <w:tr w:rsidR="00CB0062" w14:paraId="09B76CAA"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8D45970" w14:textId="77777777" w:rsidR="00CB0062" w:rsidRDefault="00CB0062" w:rsidP="00223E56">
            <w:pPr>
              <w:rPr>
                <w:i/>
                <w:color w:val="000000"/>
                <w:sz w:val="16"/>
                <w:szCs w:val="16"/>
              </w:rPr>
            </w:pPr>
            <w:r>
              <w:rPr>
                <w:i/>
                <w:color w:val="000000"/>
                <w:sz w:val="16"/>
                <w:szCs w:val="16"/>
              </w:rPr>
              <w:t>FADS2</w:t>
            </w:r>
          </w:p>
          <w:p w14:paraId="4577FEF2"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77C5AEA" w14:textId="77777777" w:rsidR="00CB0062" w:rsidRDefault="00CB0062" w:rsidP="00223E56">
            <w:pPr>
              <w:rPr>
                <w:color w:val="000000"/>
                <w:sz w:val="16"/>
                <w:szCs w:val="16"/>
              </w:rPr>
            </w:pPr>
            <w:r>
              <w:rPr>
                <w:color w:val="000000"/>
                <w:sz w:val="16"/>
                <w:szCs w:val="16"/>
              </w:rPr>
              <w:t>Fatty Acid Desaturase 2</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68B8840B" w14:textId="77777777" w:rsidR="00CB0062" w:rsidRDefault="00CB0062" w:rsidP="00223E56">
            <w:pPr>
              <w:rPr>
                <w:color w:val="000000"/>
                <w:sz w:val="16"/>
                <w:szCs w:val="16"/>
              </w:rPr>
            </w:pPr>
            <w:r>
              <w:rPr>
                <w:color w:val="000000"/>
                <w:sz w:val="16"/>
                <w:szCs w:val="16"/>
              </w:rPr>
              <w:t>rs174577</w:t>
            </w:r>
          </w:p>
        </w:tc>
        <w:tc>
          <w:tcPr>
            <w:tcW w:w="851" w:type="dxa"/>
            <w:tcBorders>
              <w:top w:val="single" w:sz="4" w:space="0" w:color="000000"/>
              <w:bottom w:val="single" w:sz="4" w:space="0" w:color="D0CECE"/>
            </w:tcBorders>
            <w:tcMar>
              <w:top w:w="-113" w:type="dxa"/>
              <w:left w:w="-113" w:type="dxa"/>
              <w:bottom w:w="-113" w:type="dxa"/>
              <w:right w:w="-113" w:type="dxa"/>
            </w:tcMar>
          </w:tcPr>
          <w:p w14:paraId="09AE8D50" w14:textId="77777777" w:rsidR="00CB0062" w:rsidRDefault="00CB0062" w:rsidP="00223E56">
            <w:pPr>
              <w:rPr>
                <w:color w:val="000000"/>
                <w:sz w:val="16"/>
                <w:szCs w:val="16"/>
              </w:rPr>
            </w:pPr>
            <w:r>
              <w:rPr>
                <w:color w:val="000000"/>
                <w:sz w:val="16"/>
                <w:szCs w:val="16"/>
              </w:rPr>
              <w:t>C&gt;A</w:t>
            </w:r>
          </w:p>
        </w:tc>
        <w:tc>
          <w:tcPr>
            <w:tcW w:w="1701" w:type="dxa"/>
            <w:tcBorders>
              <w:top w:val="single" w:sz="4" w:space="0" w:color="000000"/>
              <w:bottom w:val="single" w:sz="4" w:space="0" w:color="D0CECE"/>
            </w:tcBorders>
            <w:tcMar>
              <w:top w:w="-113" w:type="dxa"/>
              <w:left w:w="-113" w:type="dxa"/>
              <w:bottom w:w="-113" w:type="dxa"/>
              <w:right w:w="-113" w:type="dxa"/>
            </w:tcMar>
          </w:tcPr>
          <w:p w14:paraId="086FFE72" w14:textId="77777777" w:rsidR="00CB0062" w:rsidRDefault="00CB0062" w:rsidP="00223E56">
            <w:pPr>
              <w:rPr>
                <w:color w:val="000000"/>
                <w:sz w:val="16"/>
                <w:szCs w:val="16"/>
              </w:rPr>
            </w:pPr>
            <w:r>
              <w:rPr>
                <w:color w:val="000000"/>
                <w:sz w:val="16"/>
                <w:szCs w:val="16"/>
              </w:rPr>
              <w:t>Intron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4B8120B9" w14:textId="77777777" w:rsidR="00CB0062" w:rsidRDefault="00CB0062" w:rsidP="00223E56">
            <w:pPr>
              <w:rPr>
                <w:sz w:val="16"/>
                <w:szCs w:val="16"/>
              </w:rPr>
            </w:pPr>
            <w:r>
              <w:rPr>
                <w:color w:val="000000"/>
                <w:sz w:val="16"/>
                <w:szCs w:val="16"/>
              </w:rPr>
              <w:t>T2DM</w:t>
            </w:r>
          </w:p>
          <w:p w14:paraId="33D133B9" w14:textId="77777777" w:rsidR="00CB0062" w:rsidRDefault="00CB0062" w:rsidP="00223E56">
            <w:pPr>
              <w:rPr>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7BBA03DD" w14:textId="77777777" w:rsidR="00CB0062" w:rsidRDefault="00CB0062" w:rsidP="00223E56">
            <w:pPr>
              <w:rPr>
                <w:color w:val="000000"/>
                <w:sz w:val="16"/>
                <w:szCs w:val="16"/>
              </w:rPr>
            </w:pPr>
            <w:r>
              <w:rPr>
                <w:sz w:val="16"/>
                <w:szCs w:val="16"/>
              </w:rPr>
              <w:t>Grau-Perez et al. 2018</w:t>
            </w:r>
          </w:p>
          <w:p w14:paraId="2A333650" w14:textId="77777777" w:rsidR="00CB0062" w:rsidRDefault="00CB0062" w:rsidP="00223E56">
            <w:pPr>
              <w:rPr>
                <w:color w:val="000000"/>
                <w:sz w:val="16"/>
                <w:szCs w:val="16"/>
              </w:rPr>
            </w:pPr>
          </w:p>
        </w:tc>
      </w:tr>
      <w:tr w:rsidR="00CB0062" w14:paraId="7A7273F0"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CD061D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145614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1DB185CF" w14:textId="77777777" w:rsidR="00CB0062" w:rsidRDefault="00CB0062" w:rsidP="00223E56">
            <w:pPr>
              <w:rPr>
                <w:color w:val="000000"/>
                <w:sz w:val="16"/>
                <w:szCs w:val="16"/>
              </w:rPr>
            </w:pPr>
            <w:r>
              <w:rPr>
                <w:color w:val="000000"/>
                <w:sz w:val="16"/>
                <w:szCs w:val="16"/>
              </w:rPr>
              <w:t>rs174611</w:t>
            </w:r>
          </w:p>
        </w:tc>
        <w:tc>
          <w:tcPr>
            <w:tcW w:w="851" w:type="dxa"/>
            <w:tcBorders>
              <w:top w:val="single" w:sz="4" w:space="0" w:color="D0CECE"/>
              <w:bottom w:val="single" w:sz="4" w:space="0" w:color="D0CECE"/>
            </w:tcBorders>
            <w:tcMar>
              <w:top w:w="-113" w:type="dxa"/>
              <w:left w:w="-113" w:type="dxa"/>
              <w:bottom w:w="-113" w:type="dxa"/>
              <w:right w:w="-113" w:type="dxa"/>
            </w:tcMar>
          </w:tcPr>
          <w:p w14:paraId="3E6725B3" w14:textId="77777777" w:rsidR="00CB0062" w:rsidRDefault="00CB0062" w:rsidP="00223E56">
            <w:pPr>
              <w:rPr>
                <w:color w:val="000000"/>
                <w:sz w:val="16"/>
                <w:szCs w:val="16"/>
              </w:rPr>
            </w:pPr>
            <w:r>
              <w:rPr>
                <w:color w:val="000000"/>
                <w:sz w:val="16"/>
                <w:szCs w:val="16"/>
              </w:rPr>
              <w:t>T&gt;C</w:t>
            </w:r>
          </w:p>
        </w:tc>
        <w:tc>
          <w:tcPr>
            <w:tcW w:w="1701" w:type="dxa"/>
            <w:tcBorders>
              <w:top w:val="single" w:sz="4" w:space="0" w:color="D0CECE"/>
              <w:bottom w:val="single" w:sz="4" w:space="0" w:color="D0CECE"/>
            </w:tcBorders>
            <w:tcMar>
              <w:top w:w="-113" w:type="dxa"/>
              <w:left w:w="-113" w:type="dxa"/>
              <w:bottom w:w="-113" w:type="dxa"/>
              <w:right w:w="-113" w:type="dxa"/>
            </w:tcMar>
          </w:tcPr>
          <w:p w14:paraId="161E1328"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1AD191D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74D3BFD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2AEDDF04"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3D6B54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EF423D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67104699" w14:textId="77777777" w:rsidR="00CB0062" w:rsidRDefault="00CB0062" w:rsidP="00223E56">
            <w:pPr>
              <w:rPr>
                <w:color w:val="000000"/>
                <w:sz w:val="16"/>
                <w:szCs w:val="16"/>
              </w:rPr>
            </w:pPr>
            <w:r>
              <w:rPr>
                <w:color w:val="000000"/>
                <w:sz w:val="16"/>
                <w:szCs w:val="16"/>
              </w:rPr>
              <w:t>rs174616</w:t>
            </w:r>
          </w:p>
        </w:tc>
        <w:tc>
          <w:tcPr>
            <w:tcW w:w="851" w:type="dxa"/>
            <w:tcBorders>
              <w:top w:val="single" w:sz="4" w:space="0" w:color="D0CECE"/>
              <w:bottom w:val="single" w:sz="4" w:space="0" w:color="000000"/>
            </w:tcBorders>
            <w:tcMar>
              <w:top w:w="-113" w:type="dxa"/>
              <w:left w:w="-113" w:type="dxa"/>
              <w:bottom w:w="-113" w:type="dxa"/>
              <w:right w:w="-113" w:type="dxa"/>
            </w:tcMar>
          </w:tcPr>
          <w:p w14:paraId="767144B4" w14:textId="77777777" w:rsidR="00CB0062" w:rsidRDefault="00CB0062" w:rsidP="00223E56">
            <w:pPr>
              <w:rPr>
                <w:color w:val="000000"/>
                <w:sz w:val="16"/>
                <w:szCs w:val="16"/>
              </w:rPr>
            </w:pPr>
            <w:r>
              <w:rPr>
                <w:color w:val="000000"/>
                <w:sz w:val="16"/>
                <w:szCs w:val="16"/>
              </w:rPr>
              <w:t>G&gt;A</w:t>
            </w:r>
          </w:p>
        </w:tc>
        <w:tc>
          <w:tcPr>
            <w:tcW w:w="1701" w:type="dxa"/>
            <w:tcBorders>
              <w:top w:val="single" w:sz="4" w:space="0" w:color="D0CECE"/>
              <w:bottom w:val="single" w:sz="4" w:space="0" w:color="000000"/>
            </w:tcBorders>
            <w:tcMar>
              <w:top w:w="-113" w:type="dxa"/>
              <w:left w:w="-113" w:type="dxa"/>
              <w:bottom w:w="-113" w:type="dxa"/>
              <w:right w:w="-113" w:type="dxa"/>
            </w:tcMar>
          </w:tcPr>
          <w:p w14:paraId="7265A785"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40D89C5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0F3902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3188CA61"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029174CC" w14:textId="77777777" w:rsidR="00CB0062" w:rsidRDefault="00CB0062" w:rsidP="00223E56">
            <w:pPr>
              <w:rPr>
                <w:i/>
                <w:color w:val="000000"/>
                <w:sz w:val="16"/>
                <w:szCs w:val="16"/>
              </w:rPr>
            </w:pPr>
            <w:r>
              <w:rPr>
                <w:i/>
                <w:color w:val="000000"/>
                <w:sz w:val="16"/>
                <w:szCs w:val="16"/>
              </w:rPr>
              <w:t>FAIM2</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213A6F82" w14:textId="77777777" w:rsidR="00CB0062" w:rsidRDefault="00CB0062" w:rsidP="00223E56">
            <w:pPr>
              <w:rPr>
                <w:color w:val="000000"/>
                <w:sz w:val="16"/>
                <w:szCs w:val="16"/>
              </w:rPr>
            </w:pPr>
            <w:proofErr w:type="spellStart"/>
            <w:r>
              <w:rPr>
                <w:color w:val="000000"/>
                <w:sz w:val="16"/>
                <w:szCs w:val="16"/>
              </w:rPr>
              <w:t>Fas</w:t>
            </w:r>
            <w:proofErr w:type="spellEnd"/>
            <w:r>
              <w:rPr>
                <w:color w:val="000000"/>
                <w:sz w:val="16"/>
                <w:szCs w:val="16"/>
              </w:rPr>
              <w:t xml:space="preserve"> Apoptotic Inhibitory Molecule 2</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59D486F3" w14:textId="77777777" w:rsidR="00CB0062" w:rsidRDefault="00CB0062" w:rsidP="00223E56">
            <w:pPr>
              <w:rPr>
                <w:color w:val="000000"/>
                <w:sz w:val="16"/>
                <w:szCs w:val="16"/>
              </w:rPr>
            </w:pPr>
            <w:r>
              <w:rPr>
                <w:color w:val="000000"/>
                <w:sz w:val="16"/>
                <w:szCs w:val="16"/>
              </w:rPr>
              <w:t>rs7138803</w:t>
            </w:r>
          </w:p>
        </w:tc>
        <w:tc>
          <w:tcPr>
            <w:tcW w:w="851" w:type="dxa"/>
            <w:tcBorders>
              <w:top w:val="single" w:sz="4" w:space="0" w:color="000000"/>
              <w:bottom w:val="single" w:sz="4" w:space="0" w:color="000000"/>
            </w:tcBorders>
            <w:tcMar>
              <w:top w:w="-113" w:type="dxa"/>
              <w:left w:w="-113" w:type="dxa"/>
              <w:bottom w:w="-113" w:type="dxa"/>
              <w:right w:w="-113" w:type="dxa"/>
            </w:tcMar>
          </w:tcPr>
          <w:p w14:paraId="4949F603" w14:textId="77777777" w:rsidR="00CB0062" w:rsidRDefault="00CB0062" w:rsidP="00223E56">
            <w:pPr>
              <w:rPr>
                <w:color w:val="000000"/>
                <w:sz w:val="16"/>
                <w:szCs w:val="16"/>
              </w:rPr>
            </w:pPr>
            <w:r>
              <w:rPr>
                <w:color w:val="000000"/>
                <w:sz w:val="16"/>
                <w:szCs w:val="16"/>
              </w:rPr>
              <w:t>G&gt;</w:t>
            </w:r>
            <w:proofErr w:type="gramStart"/>
            <w:r>
              <w:rPr>
                <w:color w:val="000000"/>
                <w:sz w:val="16"/>
                <w:szCs w:val="16"/>
              </w:rPr>
              <w:t>A,T</w:t>
            </w:r>
            <w:proofErr w:type="gramEnd"/>
          </w:p>
        </w:tc>
        <w:tc>
          <w:tcPr>
            <w:tcW w:w="1701" w:type="dxa"/>
            <w:tcBorders>
              <w:top w:val="single" w:sz="4" w:space="0" w:color="000000"/>
              <w:bottom w:val="single" w:sz="4" w:space="0" w:color="000000"/>
            </w:tcBorders>
            <w:tcMar>
              <w:top w:w="-113" w:type="dxa"/>
              <w:left w:w="-113" w:type="dxa"/>
              <w:bottom w:w="-113" w:type="dxa"/>
              <w:right w:w="-113" w:type="dxa"/>
            </w:tcMar>
          </w:tcPr>
          <w:p w14:paraId="356FB3D9" w14:textId="77777777" w:rsidR="00CB0062" w:rsidRDefault="00CB0062" w:rsidP="00223E56">
            <w:pPr>
              <w:rPr>
                <w:color w:val="000000"/>
                <w:sz w:val="16"/>
                <w:szCs w:val="16"/>
              </w:rPr>
            </w:pPr>
            <w:r>
              <w:rPr>
                <w:color w:val="000000"/>
                <w:sz w:val="16"/>
                <w:szCs w:val="16"/>
              </w:rPr>
              <w:t>None</w:t>
            </w:r>
          </w:p>
        </w:tc>
        <w:tc>
          <w:tcPr>
            <w:tcW w:w="708" w:type="dxa"/>
            <w:tcBorders>
              <w:top w:val="single" w:sz="4" w:space="0" w:color="000000"/>
              <w:bottom w:val="single" w:sz="4" w:space="0" w:color="000000"/>
            </w:tcBorders>
            <w:tcMar>
              <w:top w:w="-113" w:type="dxa"/>
              <w:left w:w="-113" w:type="dxa"/>
              <w:bottom w:w="-113" w:type="dxa"/>
              <w:right w:w="-113" w:type="dxa"/>
            </w:tcMar>
          </w:tcPr>
          <w:p w14:paraId="19534EBF" w14:textId="77777777" w:rsidR="00CB0062" w:rsidRDefault="00CB0062" w:rsidP="00223E56">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2C00B0BB" w14:textId="77777777" w:rsidR="00CB0062" w:rsidRDefault="00CB0062" w:rsidP="00223E56">
            <w:pPr>
              <w:rPr>
                <w:color w:val="000000"/>
                <w:sz w:val="16"/>
                <w:szCs w:val="16"/>
              </w:rPr>
            </w:pPr>
            <w:r>
              <w:rPr>
                <w:sz w:val="16"/>
                <w:szCs w:val="16"/>
              </w:rPr>
              <w:t>Grau-Perez et al. 2018</w:t>
            </w:r>
          </w:p>
        </w:tc>
      </w:tr>
      <w:tr w:rsidR="00CB0062" w14:paraId="000B4E21"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7C8B9E9" w14:textId="77777777" w:rsidR="00CB0062" w:rsidRDefault="00CB0062" w:rsidP="00223E56">
            <w:pPr>
              <w:rPr>
                <w:i/>
                <w:color w:val="000000"/>
                <w:sz w:val="16"/>
                <w:szCs w:val="16"/>
              </w:rPr>
            </w:pPr>
            <w:r>
              <w:rPr>
                <w:i/>
                <w:color w:val="000000"/>
                <w:sz w:val="16"/>
                <w:szCs w:val="16"/>
              </w:rPr>
              <w:t>FTO</w:t>
            </w:r>
          </w:p>
          <w:p w14:paraId="1A911536"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AE76BDE" w14:textId="77777777" w:rsidR="00CB0062" w:rsidRDefault="00CB0062" w:rsidP="00223E56">
            <w:pPr>
              <w:rPr>
                <w:color w:val="000000"/>
                <w:sz w:val="16"/>
                <w:szCs w:val="16"/>
              </w:rPr>
            </w:pPr>
            <w:r>
              <w:rPr>
                <w:color w:val="000000"/>
                <w:sz w:val="16"/>
                <w:szCs w:val="16"/>
              </w:rPr>
              <w:t>Fat Mass and Obesity-related transcript</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2B2206C8" w14:textId="77777777" w:rsidR="00CB0062" w:rsidRDefault="00CB0062" w:rsidP="00223E56">
            <w:pPr>
              <w:rPr>
                <w:color w:val="000000"/>
                <w:sz w:val="16"/>
                <w:szCs w:val="16"/>
              </w:rPr>
            </w:pPr>
            <w:r>
              <w:rPr>
                <w:color w:val="000000"/>
                <w:sz w:val="16"/>
                <w:szCs w:val="16"/>
              </w:rPr>
              <w:t>rs1121980</w:t>
            </w:r>
          </w:p>
        </w:tc>
        <w:tc>
          <w:tcPr>
            <w:tcW w:w="851" w:type="dxa"/>
            <w:tcBorders>
              <w:top w:val="single" w:sz="4" w:space="0" w:color="000000"/>
              <w:bottom w:val="single" w:sz="4" w:space="0" w:color="D0CECE"/>
            </w:tcBorders>
            <w:tcMar>
              <w:top w:w="-113" w:type="dxa"/>
              <w:left w:w="-113" w:type="dxa"/>
              <w:bottom w:w="-113" w:type="dxa"/>
              <w:right w:w="-113" w:type="dxa"/>
            </w:tcMar>
          </w:tcPr>
          <w:p w14:paraId="536AE60B" w14:textId="77777777" w:rsidR="00CB0062" w:rsidRDefault="00CB0062" w:rsidP="00223E56">
            <w:pPr>
              <w:rPr>
                <w:color w:val="000000"/>
                <w:sz w:val="16"/>
                <w:szCs w:val="16"/>
              </w:rPr>
            </w:pPr>
            <w:r>
              <w:rPr>
                <w:color w:val="000000"/>
                <w:sz w:val="16"/>
                <w:szCs w:val="16"/>
              </w:rPr>
              <w:t>G&gt;</w:t>
            </w:r>
            <w:proofErr w:type="gramStart"/>
            <w:r>
              <w:rPr>
                <w:color w:val="000000"/>
                <w:sz w:val="16"/>
                <w:szCs w:val="16"/>
              </w:rPr>
              <w:t>A,C</w:t>
            </w:r>
            <w:proofErr w:type="gramEnd"/>
          </w:p>
        </w:tc>
        <w:tc>
          <w:tcPr>
            <w:tcW w:w="1701" w:type="dxa"/>
            <w:tcBorders>
              <w:top w:val="single" w:sz="4" w:space="0" w:color="000000"/>
              <w:bottom w:val="single" w:sz="4" w:space="0" w:color="D0CECE"/>
            </w:tcBorders>
            <w:tcMar>
              <w:top w:w="-113" w:type="dxa"/>
              <w:left w:w="-113" w:type="dxa"/>
              <w:bottom w:w="-113" w:type="dxa"/>
              <w:right w:w="-113" w:type="dxa"/>
            </w:tcMar>
          </w:tcPr>
          <w:p w14:paraId="47082776" w14:textId="77777777" w:rsidR="00CB0062" w:rsidRDefault="00CB0062" w:rsidP="00223E56">
            <w:pPr>
              <w:rPr>
                <w:color w:val="000000"/>
                <w:sz w:val="16"/>
                <w:szCs w:val="16"/>
              </w:rPr>
            </w:pPr>
            <w:r>
              <w:rPr>
                <w:color w:val="000000"/>
                <w:sz w:val="16"/>
                <w:szCs w:val="16"/>
              </w:rPr>
              <w:t>Intron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1EDEB030" w14:textId="77777777" w:rsidR="00CB0062" w:rsidRDefault="00CB0062" w:rsidP="00223E56">
            <w:pPr>
              <w:rPr>
                <w:sz w:val="16"/>
                <w:szCs w:val="16"/>
              </w:rPr>
            </w:pPr>
            <w:r>
              <w:rPr>
                <w:color w:val="000000"/>
                <w:sz w:val="16"/>
                <w:szCs w:val="16"/>
              </w:rPr>
              <w:t>T2DM</w:t>
            </w:r>
          </w:p>
          <w:p w14:paraId="6019DE81" w14:textId="77777777" w:rsidR="00CB0062" w:rsidRDefault="00CB0062" w:rsidP="00223E56">
            <w:pPr>
              <w:rPr>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B79D620" w14:textId="77777777" w:rsidR="00CB0062" w:rsidRDefault="00CB0062" w:rsidP="00223E56">
            <w:pPr>
              <w:rPr>
                <w:color w:val="000000"/>
                <w:sz w:val="16"/>
                <w:szCs w:val="16"/>
              </w:rPr>
            </w:pPr>
            <w:r>
              <w:rPr>
                <w:sz w:val="16"/>
                <w:szCs w:val="16"/>
              </w:rPr>
              <w:t>Grau-Perez et al. 2018</w:t>
            </w:r>
          </w:p>
          <w:p w14:paraId="6C186C9A" w14:textId="77777777" w:rsidR="00CB0062" w:rsidRDefault="00CB0062" w:rsidP="00223E56">
            <w:pPr>
              <w:rPr>
                <w:color w:val="000000"/>
                <w:sz w:val="16"/>
                <w:szCs w:val="16"/>
              </w:rPr>
            </w:pPr>
          </w:p>
        </w:tc>
      </w:tr>
      <w:tr w:rsidR="00CB0062" w14:paraId="5EE590C1"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CC0F6F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1CF5DA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2B491482" w14:textId="77777777" w:rsidR="00CB0062" w:rsidRDefault="00CB0062" w:rsidP="00223E56">
            <w:pPr>
              <w:rPr>
                <w:color w:val="000000"/>
                <w:sz w:val="16"/>
                <w:szCs w:val="16"/>
              </w:rPr>
            </w:pPr>
            <w:r>
              <w:rPr>
                <w:color w:val="000000"/>
                <w:sz w:val="16"/>
                <w:szCs w:val="16"/>
              </w:rPr>
              <w:t>rs1421085</w:t>
            </w:r>
          </w:p>
        </w:tc>
        <w:tc>
          <w:tcPr>
            <w:tcW w:w="851" w:type="dxa"/>
            <w:tcBorders>
              <w:top w:val="single" w:sz="4" w:space="0" w:color="D0CECE"/>
              <w:bottom w:val="single" w:sz="4" w:space="0" w:color="D0CECE"/>
            </w:tcBorders>
            <w:tcMar>
              <w:top w:w="-113" w:type="dxa"/>
              <w:left w:w="-113" w:type="dxa"/>
              <w:bottom w:w="-113" w:type="dxa"/>
              <w:right w:w="-113" w:type="dxa"/>
            </w:tcMar>
          </w:tcPr>
          <w:p w14:paraId="2DA47939" w14:textId="77777777" w:rsidR="00CB0062" w:rsidRDefault="00CB0062" w:rsidP="00223E56">
            <w:pPr>
              <w:rPr>
                <w:color w:val="000000"/>
                <w:sz w:val="16"/>
                <w:szCs w:val="16"/>
              </w:rPr>
            </w:pPr>
            <w:r>
              <w:rPr>
                <w:color w:val="000000"/>
                <w:sz w:val="16"/>
                <w:szCs w:val="16"/>
              </w:rPr>
              <w:t>T&gt;C</w:t>
            </w:r>
          </w:p>
        </w:tc>
        <w:tc>
          <w:tcPr>
            <w:tcW w:w="1701" w:type="dxa"/>
            <w:tcBorders>
              <w:top w:val="single" w:sz="4" w:space="0" w:color="D0CECE"/>
              <w:bottom w:val="single" w:sz="4" w:space="0" w:color="D0CECE"/>
            </w:tcBorders>
            <w:tcMar>
              <w:top w:w="-113" w:type="dxa"/>
              <w:left w:w="-113" w:type="dxa"/>
              <w:bottom w:w="-113" w:type="dxa"/>
              <w:right w:w="-113" w:type="dxa"/>
            </w:tcMar>
          </w:tcPr>
          <w:p w14:paraId="19CB49D0"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26DB7CB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4D4B5AC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798233F5"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7EF128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9A5C94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826E67C" w14:textId="77777777" w:rsidR="00CB0062" w:rsidRDefault="00CB0062" w:rsidP="00223E56">
            <w:pPr>
              <w:rPr>
                <w:color w:val="000000"/>
                <w:sz w:val="16"/>
                <w:szCs w:val="16"/>
              </w:rPr>
            </w:pPr>
            <w:r>
              <w:rPr>
                <w:color w:val="000000"/>
                <w:sz w:val="16"/>
                <w:szCs w:val="16"/>
              </w:rPr>
              <w:t>rs3751812</w:t>
            </w:r>
          </w:p>
        </w:tc>
        <w:tc>
          <w:tcPr>
            <w:tcW w:w="851" w:type="dxa"/>
            <w:tcBorders>
              <w:top w:val="single" w:sz="4" w:space="0" w:color="D0CECE"/>
              <w:bottom w:val="single" w:sz="4" w:space="0" w:color="D0CECE"/>
            </w:tcBorders>
            <w:tcMar>
              <w:top w:w="-113" w:type="dxa"/>
              <w:left w:w="-113" w:type="dxa"/>
              <w:bottom w:w="-113" w:type="dxa"/>
              <w:right w:w="-113" w:type="dxa"/>
            </w:tcMar>
          </w:tcPr>
          <w:p w14:paraId="5764E00A" w14:textId="77777777" w:rsidR="00CB0062" w:rsidRDefault="00CB0062" w:rsidP="00223E56">
            <w:pPr>
              <w:rPr>
                <w:color w:val="000000"/>
                <w:sz w:val="16"/>
                <w:szCs w:val="16"/>
              </w:rPr>
            </w:pPr>
            <w:r>
              <w:rPr>
                <w:color w:val="000000"/>
                <w:sz w:val="16"/>
                <w:szCs w:val="16"/>
              </w:rPr>
              <w:t>G&gt;T</w:t>
            </w:r>
          </w:p>
        </w:tc>
        <w:tc>
          <w:tcPr>
            <w:tcW w:w="1701" w:type="dxa"/>
            <w:tcBorders>
              <w:top w:val="single" w:sz="4" w:space="0" w:color="D0CECE"/>
              <w:bottom w:val="single" w:sz="4" w:space="0" w:color="D0CECE"/>
            </w:tcBorders>
            <w:tcMar>
              <w:top w:w="-113" w:type="dxa"/>
              <w:left w:w="-113" w:type="dxa"/>
              <w:bottom w:w="-113" w:type="dxa"/>
              <w:right w:w="-113" w:type="dxa"/>
            </w:tcMar>
          </w:tcPr>
          <w:p w14:paraId="53F3B3ED"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474A723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0E0BE5F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4C0EAB63"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310282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DE22F0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1932C981" w14:textId="77777777" w:rsidR="00CB0062" w:rsidRDefault="00CB0062" w:rsidP="00223E56">
            <w:pPr>
              <w:rPr>
                <w:color w:val="000000"/>
                <w:sz w:val="16"/>
                <w:szCs w:val="16"/>
              </w:rPr>
            </w:pPr>
            <w:r>
              <w:rPr>
                <w:color w:val="000000"/>
                <w:sz w:val="16"/>
                <w:szCs w:val="16"/>
              </w:rPr>
              <w:t>rs6499640</w:t>
            </w:r>
          </w:p>
        </w:tc>
        <w:tc>
          <w:tcPr>
            <w:tcW w:w="851" w:type="dxa"/>
            <w:tcBorders>
              <w:top w:val="single" w:sz="4" w:space="0" w:color="D0CECE"/>
              <w:bottom w:val="single" w:sz="4" w:space="0" w:color="D0CECE"/>
            </w:tcBorders>
            <w:tcMar>
              <w:top w:w="-113" w:type="dxa"/>
              <w:left w:w="-113" w:type="dxa"/>
              <w:bottom w:w="-113" w:type="dxa"/>
              <w:right w:w="-113" w:type="dxa"/>
            </w:tcMar>
          </w:tcPr>
          <w:p w14:paraId="4C6928EA" w14:textId="77777777" w:rsidR="00CB0062" w:rsidRDefault="00CB0062" w:rsidP="00223E56">
            <w:pPr>
              <w:rPr>
                <w:color w:val="000000"/>
                <w:sz w:val="16"/>
                <w:szCs w:val="16"/>
              </w:rPr>
            </w:pPr>
            <w:r>
              <w:rPr>
                <w:color w:val="000000"/>
                <w:sz w:val="16"/>
                <w:szCs w:val="16"/>
              </w:rPr>
              <w:t>G&gt;A</w:t>
            </w:r>
          </w:p>
        </w:tc>
        <w:tc>
          <w:tcPr>
            <w:tcW w:w="1701" w:type="dxa"/>
            <w:tcBorders>
              <w:top w:val="single" w:sz="4" w:space="0" w:color="D0CECE"/>
              <w:bottom w:val="single" w:sz="4" w:space="0" w:color="D0CECE"/>
            </w:tcBorders>
            <w:tcMar>
              <w:top w:w="-113" w:type="dxa"/>
              <w:left w:w="-113" w:type="dxa"/>
              <w:bottom w:w="-113" w:type="dxa"/>
              <w:right w:w="-113" w:type="dxa"/>
            </w:tcMar>
          </w:tcPr>
          <w:p w14:paraId="795364AF"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0F4A78F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370EC0F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680C7B39"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9D1CA0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03F8EC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1155899E" w14:textId="77777777" w:rsidR="00CB0062" w:rsidRDefault="00CB0062" w:rsidP="00223E56">
            <w:pPr>
              <w:rPr>
                <w:color w:val="000000"/>
                <w:sz w:val="16"/>
                <w:szCs w:val="16"/>
              </w:rPr>
            </w:pPr>
            <w:r>
              <w:rPr>
                <w:color w:val="000000"/>
                <w:sz w:val="16"/>
                <w:szCs w:val="16"/>
              </w:rPr>
              <w:t>rs7190492</w:t>
            </w:r>
          </w:p>
        </w:tc>
        <w:tc>
          <w:tcPr>
            <w:tcW w:w="851" w:type="dxa"/>
            <w:tcBorders>
              <w:top w:val="single" w:sz="4" w:space="0" w:color="D0CECE"/>
              <w:bottom w:val="single" w:sz="4" w:space="0" w:color="D0CECE"/>
            </w:tcBorders>
            <w:tcMar>
              <w:top w:w="-113" w:type="dxa"/>
              <w:left w:w="-113" w:type="dxa"/>
              <w:bottom w:w="-113" w:type="dxa"/>
              <w:right w:w="-113" w:type="dxa"/>
            </w:tcMar>
          </w:tcPr>
          <w:p w14:paraId="198D28A6" w14:textId="77777777" w:rsidR="00CB0062" w:rsidRDefault="00CB0062" w:rsidP="00223E56">
            <w:pPr>
              <w:rPr>
                <w:color w:val="000000"/>
                <w:sz w:val="16"/>
                <w:szCs w:val="16"/>
              </w:rPr>
            </w:pPr>
            <w:r>
              <w:rPr>
                <w:color w:val="000000"/>
                <w:sz w:val="16"/>
                <w:szCs w:val="16"/>
              </w:rPr>
              <w:t>A&gt;</w:t>
            </w:r>
            <w:proofErr w:type="gramStart"/>
            <w:r>
              <w:rPr>
                <w:color w:val="000000"/>
                <w:sz w:val="16"/>
                <w:szCs w:val="16"/>
              </w:rPr>
              <w:t>G,T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575D2F43"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2CEAF7B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4D2D907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095AC5C0"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1E030E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0C180D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2A7866F0" w14:textId="77777777" w:rsidR="00CB0062" w:rsidRDefault="00CB0062" w:rsidP="00223E56">
            <w:pPr>
              <w:rPr>
                <w:color w:val="000000"/>
                <w:sz w:val="16"/>
                <w:szCs w:val="16"/>
              </w:rPr>
            </w:pPr>
            <w:r>
              <w:rPr>
                <w:color w:val="000000"/>
                <w:sz w:val="16"/>
                <w:szCs w:val="16"/>
              </w:rPr>
              <w:t>rs8044769</w:t>
            </w:r>
          </w:p>
        </w:tc>
        <w:tc>
          <w:tcPr>
            <w:tcW w:w="851" w:type="dxa"/>
            <w:tcBorders>
              <w:top w:val="single" w:sz="4" w:space="0" w:color="D0CECE"/>
              <w:bottom w:val="single" w:sz="4" w:space="0" w:color="D0CECE"/>
            </w:tcBorders>
            <w:tcMar>
              <w:top w:w="-113" w:type="dxa"/>
              <w:left w:w="-113" w:type="dxa"/>
              <w:bottom w:w="-113" w:type="dxa"/>
              <w:right w:w="-113" w:type="dxa"/>
            </w:tcMar>
          </w:tcPr>
          <w:p w14:paraId="6811CCD1" w14:textId="77777777" w:rsidR="00CB0062" w:rsidRDefault="00CB0062" w:rsidP="00223E56">
            <w:pPr>
              <w:rPr>
                <w:color w:val="000000"/>
                <w:sz w:val="16"/>
                <w:szCs w:val="16"/>
              </w:rPr>
            </w:pPr>
            <w:r>
              <w:rPr>
                <w:color w:val="000000"/>
                <w:sz w:val="16"/>
                <w:szCs w:val="16"/>
              </w:rPr>
              <w:t>T&gt;</w:t>
            </w:r>
            <w:proofErr w:type="gramStart"/>
            <w:r>
              <w:rPr>
                <w:color w:val="000000"/>
                <w:sz w:val="16"/>
                <w:szCs w:val="16"/>
              </w:rPr>
              <w:t>A,C</w:t>
            </w:r>
            <w:proofErr w:type="gramEnd"/>
            <w:r>
              <w:rPr>
                <w:color w:val="000000"/>
                <w:sz w:val="16"/>
                <w:szCs w:val="16"/>
              </w:rPr>
              <w:t>,G</w:t>
            </w:r>
          </w:p>
        </w:tc>
        <w:tc>
          <w:tcPr>
            <w:tcW w:w="1701" w:type="dxa"/>
            <w:tcBorders>
              <w:top w:val="single" w:sz="4" w:space="0" w:color="D0CECE"/>
              <w:bottom w:val="single" w:sz="4" w:space="0" w:color="D0CECE"/>
            </w:tcBorders>
            <w:tcMar>
              <w:top w:w="-113" w:type="dxa"/>
              <w:left w:w="-113" w:type="dxa"/>
              <w:bottom w:w="-113" w:type="dxa"/>
              <w:right w:w="-113" w:type="dxa"/>
            </w:tcMar>
          </w:tcPr>
          <w:p w14:paraId="0DEB60A5"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19E750F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A18ED7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3897AB41"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A61103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8B81A6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9D97DAA" w14:textId="77777777" w:rsidR="00CB0062" w:rsidRDefault="00CB0062" w:rsidP="00223E56">
            <w:pPr>
              <w:rPr>
                <w:color w:val="000000"/>
                <w:sz w:val="16"/>
                <w:szCs w:val="16"/>
              </w:rPr>
            </w:pPr>
            <w:r>
              <w:rPr>
                <w:color w:val="000000"/>
                <w:sz w:val="16"/>
                <w:szCs w:val="16"/>
              </w:rPr>
              <w:t>rs8050136</w:t>
            </w:r>
          </w:p>
        </w:tc>
        <w:tc>
          <w:tcPr>
            <w:tcW w:w="851" w:type="dxa"/>
            <w:tcBorders>
              <w:top w:val="single" w:sz="4" w:space="0" w:color="D0CECE"/>
              <w:bottom w:val="single" w:sz="4" w:space="0" w:color="D0CECE"/>
            </w:tcBorders>
            <w:tcMar>
              <w:top w:w="-113" w:type="dxa"/>
              <w:left w:w="-113" w:type="dxa"/>
              <w:bottom w:w="-113" w:type="dxa"/>
              <w:right w:w="-113" w:type="dxa"/>
            </w:tcMar>
          </w:tcPr>
          <w:p w14:paraId="37B6CF08" w14:textId="77777777" w:rsidR="00CB0062" w:rsidRDefault="00CB0062" w:rsidP="00223E56">
            <w:pPr>
              <w:rPr>
                <w:color w:val="000000"/>
                <w:sz w:val="16"/>
                <w:szCs w:val="16"/>
              </w:rPr>
            </w:pPr>
            <w:r>
              <w:rPr>
                <w:color w:val="000000"/>
                <w:sz w:val="16"/>
                <w:szCs w:val="16"/>
              </w:rPr>
              <w:t>C&gt;A</w:t>
            </w:r>
          </w:p>
        </w:tc>
        <w:tc>
          <w:tcPr>
            <w:tcW w:w="1701" w:type="dxa"/>
            <w:tcBorders>
              <w:top w:val="single" w:sz="4" w:space="0" w:color="D0CECE"/>
              <w:bottom w:val="single" w:sz="4" w:space="0" w:color="D0CECE"/>
            </w:tcBorders>
            <w:tcMar>
              <w:top w:w="-113" w:type="dxa"/>
              <w:left w:w="-113" w:type="dxa"/>
              <w:bottom w:w="-113" w:type="dxa"/>
              <w:right w:w="-113" w:type="dxa"/>
            </w:tcMar>
          </w:tcPr>
          <w:p w14:paraId="7B312B70"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285C571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7986848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11BE884B"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D919F8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6A1B96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4551DF69" w14:textId="77777777" w:rsidR="00CB0062" w:rsidRDefault="00CB0062" w:rsidP="00223E56">
            <w:pPr>
              <w:rPr>
                <w:color w:val="000000"/>
                <w:sz w:val="16"/>
                <w:szCs w:val="16"/>
              </w:rPr>
            </w:pPr>
            <w:r>
              <w:rPr>
                <w:color w:val="000000"/>
                <w:sz w:val="16"/>
                <w:szCs w:val="16"/>
              </w:rPr>
              <w:t>rs9939609</w:t>
            </w:r>
          </w:p>
        </w:tc>
        <w:tc>
          <w:tcPr>
            <w:tcW w:w="851" w:type="dxa"/>
            <w:tcBorders>
              <w:top w:val="single" w:sz="4" w:space="0" w:color="D0CECE"/>
              <w:bottom w:val="single" w:sz="4" w:space="0" w:color="000000"/>
            </w:tcBorders>
            <w:tcMar>
              <w:top w:w="-113" w:type="dxa"/>
              <w:left w:w="-113" w:type="dxa"/>
              <w:bottom w:w="-113" w:type="dxa"/>
              <w:right w:w="-113" w:type="dxa"/>
            </w:tcMar>
          </w:tcPr>
          <w:p w14:paraId="70F48DD1" w14:textId="77777777" w:rsidR="00CB0062" w:rsidRDefault="00CB0062" w:rsidP="00223E56">
            <w:pPr>
              <w:rPr>
                <w:color w:val="000000"/>
                <w:sz w:val="16"/>
                <w:szCs w:val="16"/>
              </w:rPr>
            </w:pPr>
            <w:r>
              <w:rPr>
                <w:color w:val="000000"/>
                <w:sz w:val="16"/>
                <w:szCs w:val="16"/>
              </w:rPr>
              <w:t>T&gt;A</w:t>
            </w:r>
          </w:p>
        </w:tc>
        <w:tc>
          <w:tcPr>
            <w:tcW w:w="1701" w:type="dxa"/>
            <w:tcBorders>
              <w:top w:val="single" w:sz="4" w:space="0" w:color="D0CECE"/>
              <w:bottom w:val="single" w:sz="4" w:space="0" w:color="000000"/>
            </w:tcBorders>
            <w:tcMar>
              <w:top w:w="-113" w:type="dxa"/>
              <w:left w:w="-113" w:type="dxa"/>
              <w:bottom w:w="-113" w:type="dxa"/>
              <w:right w:w="-113" w:type="dxa"/>
            </w:tcMar>
          </w:tcPr>
          <w:p w14:paraId="70F1807C"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7BDB151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1EC54A4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37BB8BD4"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57F4F34" w14:textId="77777777" w:rsidR="00CB0062" w:rsidRDefault="00CB0062" w:rsidP="00223E56">
            <w:pPr>
              <w:rPr>
                <w:i/>
                <w:color w:val="000000"/>
                <w:sz w:val="16"/>
                <w:szCs w:val="16"/>
              </w:rPr>
            </w:pPr>
            <w:r>
              <w:rPr>
                <w:i/>
                <w:color w:val="000000"/>
                <w:sz w:val="16"/>
                <w:szCs w:val="16"/>
              </w:rPr>
              <w:t>GCLC</w:t>
            </w:r>
          </w:p>
          <w:p w14:paraId="100E734E"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56A4304" w14:textId="77777777" w:rsidR="00CB0062" w:rsidRDefault="00CB0062" w:rsidP="00223E56">
            <w:pPr>
              <w:rPr>
                <w:sz w:val="16"/>
                <w:szCs w:val="16"/>
              </w:rPr>
            </w:pPr>
            <w:r>
              <w:rPr>
                <w:sz w:val="16"/>
                <w:szCs w:val="16"/>
              </w:rPr>
              <w:t>Glutamate—cysteine ligase catalytic subunit</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2899B577" w14:textId="77777777" w:rsidR="00CB0062" w:rsidRDefault="00CB0062" w:rsidP="00223E56">
            <w:pPr>
              <w:rPr>
                <w:color w:val="000000"/>
                <w:sz w:val="16"/>
                <w:szCs w:val="16"/>
              </w:rPr>
            </w:pPr>
            <w:r>
              <w:rPr>
                <w:color w:val="000000"/>
                <w:sz w:val="16"/>
                <w:szCs w:val="16"/>
              </w:rPr>
              <w:t>rs11415624</w:t>
            </w:r>
          </w:p>
        </w:tc>
        <w:tc>
          <w:tcPr>
            <w:tcW w:w="851" w:type="dxa"/>
            <w:tcBorders>
              <w:top w:val="single" w:sz="4" w:space="0" w:color="000000"/>
              <w:bottom w:val="single" w:sz="4" w:space="0" w:color="D0CECE"/>
            </w:tcBorders>
            <w:tcMar>
              <w:top w:w="-113" w:type="dxa"/>
              <w:left w:w="-113" w:type="dxa"/>
              <w:bottom w:w="-113" w:type="dxa"/>
              <w:right w:w="-113" w:type="dxa"/>
            </w:tcMar>
          </w:tcPr>
          <w:p w14:paraId="2BD354DF" w14:textId="77777777" w:rsidR="00CB0062" w:rsidRDefault="00CB0062" w:rsidP="00223E56">
            <w:pPr>
              <w:rPr>
                <w:color w:val="000000"/>
                <w:sz w:val="16"/>
                <w:szCs w:val="16"/>
              </w:rPr>
            </w:pPr>
            <w:r>
              <w:rPr>
                <w:color w:val="000000"/>
                <w:sz w:val="16"/>
                <w:szCs w:val="16"/>
              </w:rPr>
              <w:t>-&gt;A</w:t>
            </w:r>
          </w:p>
        </w:tc>
        <w:tc>
          <w:tcPr>
            <w:tcW w:w="1701" w:type="dxa"/>
            <w:tcBorders>
              <w:top w:val="single" w:sz="4" w:space="0" w:color="000000"/>
              <w:bottom w:val="single" w:sz="4" w:space="0" w:color="D0CECE"/>
            </w:tcBorders>
            <w:tcMar>
              <w:top w:w="-113" w:type="dxa"/>
              <w:left w:w="-113" w:type="dxa"/>
              <w:bottom w:w="-113" w:type="dxa"/>
              <w:right w:w="-113" w:type="dxa"/>
            </w:tcMar>
          </w:tcPr>
          <w:p w14:paraId="656BC327" w14:textId="77777777" w:rsidR="00CB0062" w:rsidRDefault="00CB0062" w:rsidP="00223E56">
            <w:pPr>
              <w:rPr>
                <w:color w:val="000000"/>
                <w:sz w:val="16"/>
                <w:szCs w:val="16"/>
              </w:rPr>
            </w:pPr>
            <w:r>
              <w:rPr>
                <w:sz w:val="16"/>
                <w:szCs w:val="16"/>
              </w:rPr>
              <w:t>3 Prime UTR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722AAEB1" w14:textId="77777777" w:rsidR="00CB0062" w:rsidRDefault="00CB0062" w:rsidP="00223E56">
            <w:pPr>
              <w:rPr>
                <w:sz w:val="16"/>
                <w:szCs w:val="16"/>
              </w:rPr>
            </w:pPr>
            <w:r>
              <w:rPr>
                <w:color w:val="000000"/>
                <w:sz w:val="16"/>
                <w:szCs w:val="16"/>
              </w:rPr>
              <w:t>T2DM</w:t>
            </w:r>
          </w:p>
          <w:p w14:paraId="6A7CC258" w14:textId="77777777" w:rsidR="00CB0062" w:rsidRDefault="00CB0062" w:rsidP="00223E56">
            <w:pPr>
              <w:rPr>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4F38A886" w14:textId="77777777" w:rsidR="00CB0062" w:rsidRDefault="00CB0062" w:rsidP="00223E56">
            <w:pPr>
              <w:rPr>
                <w:color w:val="000000"/>
                <w:sz w:val="16"/>
                <w:szCs w:val="16"/>
              </w:rPr>
            </w:pPr>
            <w:r>
              <w:rPr>
                <w:sz w:val="16"/>
                <w:szCs w:val="16"/>
              </w:rPr>
              <w:t>Grau-Perez et al. 2018</w:t>
            </w:r>
          </w:p>
          <w:p w14:paraId="4BA5EE80" w14:textId="77777777" w:rsidR="00CB0062" w:rsidRDefault="00CB0062" w:rsidP="00223E56">
            <w:pPr>
              <w:rPr>
                <w:color w:val="000000"/>
                <w:sz w:val="16"/>
                <w:szCs w:val="16"/>
              </w:rPr>
            </w:pPr>
          </w:p>
        </w:tc>
      </w:tr>
      <w:tr w:rsidR="00CB0062" w14:paraId="476B8507"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0F00A0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3BC6E8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6EE80FCB" w14:textId="77777777" w:rsidR="00CB0062" w:rsidRDefault="00CB0062" w:rsidP="00223E56">
            <w:pPr>
              <w:rPr>
                <w:color w:val="000000"/>
                <w:sz w:val="16"/>
                <w:szCs w:val="16"/>
              </w:rPr>
            </w:pPr>
            <w:r>
              <w:rPr>
                <w:color w:val="000000"/>
                <w:sz w:val="16"/>
                <w:szCs w:val="16"/>
              </w:rPr>
              <w:t>rs2066511</w:t>
            </w:r>
          </w:p>
        </w:tc>
        <w:tc>
          <w:tcPr>
            <w:tcW w:w="851" w:type="dxa"/>
            <w:tcBorders>
              <w:top w:val="single" w:sz="4" w:space="0" w:color="D0CECE"/>
              <w:bottom w:val="single" w:sz="4" w:space="0" w:color="D0CECE"/>
            </w:tcBorders>
            <w:tcMar>
              <w:top w:w="-113" w:type="dxa"/>
              <w:left w:w="-113" w:type="dxa"/>
              <w:bottom w:w="-113" w:type="dxa"/>
              <w:right w:w="-113" w:type="dxa"/>
            </w:tcMar>
          </w:tcPr>
          <w:p w14:paraId="57B2E325" w14:textId="77777777" w:rsidR="00CB0062" w:rsidRDefault="00CB0062" w:rsidP="00223E56">
            <w:pPr>
              <w:rPr>
                <w:color w:val="000000"/>
                <w:sz w:val="16"/>
                <w:szCs w:val="16"/>
              </w:rPr>
            </w:pPr>
            <w:r>
              <w:rPr>
                <w:color w:val="000000"/>
                <w:sz w:val="16"/>
                <w:szCs w:val="16"/>
              </w:rPr>
              <w:t>C&gt;</w:t>
            </w:r>
            <w:proofErr w:type="gramStart"/>
            <w:r>
              <w:rPr>
                <w:color w:val="000000"/>
                <w:sz w:val="16"/>
                <w:szCs w:val="16"/>
              </w:rPr>
              <w:t>G,T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04C0DAC9"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75960A6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181A639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15EF537E"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2DB29F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CE5F36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0CB85865" w14:textId="77777777" w:rsidR="00CB0062" w:rsidRDefault="00CB0062" w:rsidP="00223E56">
            <w:pPr>
              <w:rPr>
                <w:color w:val="000000"/>
                <w:sz w:val="16"/>
                <w:szCs w:val="16"/>
              </w:rPr>
            </w:pPr>
            <w:r>
              <w:rPr>
                <w:color w:val="000000"/>
                <w:sz w:val="16"/>
                <w:szCs w:val="16"/>
              </w:rPr>
              <w:t>rs3736729</w:t>
            </w:r>
          </w:p>
        </w:tc>
        <w:tc>
          <w:tcPr>
            <w:tcW w:w="851" w:type="dxa"/>
            <w:tcBorders>
              <w:top w:val="single" w:sz="4" w:space="0" w:color="D0CECE"/>
              <w:bottom w:val="single" w:sz="4" w:space="0" w:color="000000"/>
            </w:tcBorders>
            <w:tcMar>
              <w:top w:w="-113" w:type="dxa"/>
              <w:left w:w="-113" w:type="dxa"/>
              <w:bottom w:w="-113" w:type="dxa"/>
              <w:right w:w="-113" w:type="dxa"/>
            </w:tcMar>
          </w:tcPr>
          <w:p w14:paraId="1723E33A" w14:textId="77777777" w:rsidR="00CB0062" w:rsidRDefault="00CB0062" w:rsidP="00223E56">
            <w:pPr>
              <w:rPr>
                <w:color w:val="000000"/>
                <w:sz w:val="16"/>
                <w:szCs w:val="16"/>
              </w:rPr>
            </w:pPr>
            <w:r>
              <w:rPr>
                <w:color w:val="000000"/>
                <w:sz w:val="16"/>
                <w:szCs w:val="16"/>
              </w:rPr>
              <w:t>A&gt;C</w:t>
            </w:r>
          </w:p>
        </w:tc>
        <w:tc>
          <w:tcPr>
            <w:tcW w:w="1701" w:type="dxa"/>
            <w:tcBorders>
              <w:top w:val="single" w:sz="4" w:space="0" w:color="D0CECE"/>
              <w:bottom w:val="single" w:sz="4" w:space="0" w:color="000000"/>
            </w:tcBorders>
            <w:tcMar>
              <w:top w:w="-113" w:type="dxa"/>
              <w:left w:w="-113" w:type="dxa"/>
              <w:bottom w:w="-113" w:type="dxa"/>
              <w:right w:w="-113" w:type="dxa"/>
            </w:tcMar>
          </w:tcPr>
          <w:p w14:paraId="56D0D4F4"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248666E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326E36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0CE57C40"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962D787" w14:textId="77777777" w:rsidR="00CB0062" w:rsidRDefault="00CB0062" w:rsidP="00223E56">
            <w:pPr>
              <w:rPr>
                <w:i/>
                <w:color w:val="000000"/>
                <w:sz w:val="16"/>
                <w:szCs w:val="16"/>
              </w:rPr>
            </w:pPr>
            <w:r>
              <w:rPr>
                <w:i/>
                <w:color w:val="000000"/>
                <w:sz w:val="16"/>
                <w:szCs w:val="16"/>
              </w:rPr>
              <w:t>GCLM</w:t>
            </w:r>
          </w:p>
          <w:p w14:paraId="7FF305D8"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9342B54" w14:textId="77777777" w:rsidR="00CB0062" w:rsidRDefault="00CB0062" w:rsidP="00223E56">
            <w:pPr>
              <w:rPr>
                <w:color w:val="000000"/>
                <w:sz w:val="16"/>
                <w:szCs w:val="16"/>
              </w:rPr>
            </w:pPr>
            <w:r>
              <w:rPr>
                <w:color w:val="000000"/>
                <w:sz w:val="16"/>
                <w:szCs w:val="16"/>
              </w:rPr>
              <w:t>Glutamate-Cysteine Ligase Modifier Subunit</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516EF2BB" w14:textId="77777777" w:rsidR="00CB0062" w:rsidRDefault="00CB0062" w:rsidP="00223E56">
            <w:pPr>
              <w:rPr>
                <w:color w:val="000000"/>
                <w:sz w:val="16"/>
                <w:szCs w:val="16"/>
              </w:rPr>
            </w:pPr>
            <w:r>
              <w:rPr>
                <w:color w:val="000000"/>
                <w:sz w:val="16"/>
                <w:szCs w:val="16"/>
              </w:rPr>
              <w:t>rs7515191</w:t>
            </w:r>
          </w:p>
        </w:tc>
        <w:tc>
          <w:tcPr>
            <w:tcW w:w="851" w:type="dxa"/>
            <w:tcBorders>
              <w:top w:val="single" w:sz="4" w:space="0" w:color="000000"/>
              <w:bottom w:val="single" w:sz="4" w:space="0" w:color="D0CECE"/>
            </w:tcBorders>
            <w:tcMar>
              <w:top w:w="-113" w:type="dxa"/>
              <w:left w:w="-113" w:type="dxa"/>
              <w:bottom w:w="-113" w:type="dxa"/>
              <w:right w:w="-113" w:type="dxa"/>
            </w:tcMar>
          </w:tcPr>
          <w:p w14:paraId="2862D922" w14:textId="77777777" w:rsidR="00CB0062" w:rsidRDefault="00CB0062" w:rsidP="00223E56">
            <w:pPr>
              <w:rPr>
                <w:color w:val="000000"/>
                <w:sz w:val="16"/>
                <w:szCs w:val="16"/>
              </w:rPr>
            </w:pPr>
            <w:r>
              <w:rPr>
                <w:color w:val="000000"/>
                <w:sz w:val="16"/>
                <w:szCs w:val="16"/>
              </w:rPr>
              <w:t>G&gt;A</w:t>
            </w:r>
          </w:p>
        </w:tc>
        <w:tc>
          <w:tcPr>
            <w:tcW w:w="1701" w:type="dxa"/>
            <w:tcBorders>
              <w:top w:val="single" w:sz="4" w:space="0" w:color="000000"/>
              <w:bottom w:val="single" w:sz="4" w:space="0" w:color="D0CECE"/>
            </w:tcBorders>
            <w:tcMar>
              <w:top w:w="-113" w:type="dxa"/>
              <w:left w:w="-113" w:type="dxa"/>
              <w:bottom w:w="-113" w:type="dxa"/>
              <w:right w:w="-113" w:type="dxa"/>
            </w:tcMar>
          </w:tcPr>
          <w:p w14:paraId="7330C816" w14:textId="77777777" w:rsidR="00CB0062" w:rsidRDefault="00CB0062" w:rsidP="00223E56">
            <w:pPr>
              <w:rPr>
                <w:color w:val="000000"/>
                <w:sz w:val="16"/>
                <w:szCs w:val="16"/>
              </w:rPr>
            </w:pPr>
            <w:r>
              <w:rPr>
                <w:color w:val="000000"/>
                <w:sz w:val="16"/>
                <w:szCs w:val="16"/>
              </w:rPr>
              <w:t>Intron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3178F2EC" w14:textId="77777777" w:rsidR="00CB0062" w:rsidRDefault="00CB0062" w:rsidP="00223E56">
            <w:pPr>
              <w:rPr>
                <w:sz w:val="16"/>
                <w:szCs w:val="16"/>
              </w:rPr>
            </w:pPr>
            <w:r>
              <w:rPr>
                <w:color w:val="000000"/>
                <w:sz w:val="16"/>
                <w:szCs w:val="16"/>
              </w:rPr>
              <w:t>T2DM</w:t>
            </w:r>
          </w:p>
          <w:p w14:paraId="080C160A" w14:textId="77777777" w:rsidR="00CB0062" w:rsidRDefault="00CB0062" w:rsidP="00223E56">
            <w:pPr>
              <w:rPr>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2B629FD" w14:textId="77777777" w:rsidR="00CB0062" w:rsidRDefault="00CB0062" w:rsidP="00223E56">
            <w:pPr>
              <w:rPr>
                <w:color w:val="000000"/>
                <w:sz w:val="16"/>
                <w:szCs w:val="16"/>
              </w:rPr>
            </w:pPr>
            <w:r>
              <w:rPr>
                <w:sz w:val="16"/>
                <w:szCs w:val="16"/>
              </w:rPr>
              <w:t>Grau-Perez et al. 2018</w:t>
            </w:r>
          </w:p>
          <w:p w14:paraId="3175BD22" w14:textId="77777777" w:rsidR="00CB0062" w:rsidRDefault="00CB0062" w:rsidP="00223E56">
            <w:pPr>
              <w:rPr>
                <w:color w:val="000000"/>
                <w:sz w:val="16"/>
                <w:szCs w:val="16"/>
              </w:rPr>
            </w:pPr>
          </w:p>
        </w:tc>
      </w:tr>
      <w:tr w:rsidR="00CB0062" w14:paraId="48D365A1"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ADC4DE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0A4BE8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5B2D27D0" w14:textId="77777777" w:rsidR="00CB0062" w:rsidRDefault="00CB0062" w:rsidP="00223E56">
            <w:pPr>
              <w:rPr>
                <w:color w:val="000000"/>
                <w:sz w:val="16"/>
                <w:szCs w:val="16"/>
              </w:rPr>
            </w:pPr>
            <w:r>
              <w:rPr>
                <w:color w:val="000000"/>
                <w:sz w:val="16"/>
                <w:szCs w:val="16"/>
              </w:rPr>
              <w:t>rs769211</w:t>
            </w:r>
          </w:p>
        </w:tc>
        <w:tc>
          <w:tcPr>
            <w:tcW w:w="851" w:type="dxa"/>
            <w:tcBorders>
              <w:top w:val="single" w:sz="4" w:space="0" w:color="D0CECE"/>
              <w:bottom w:val="single" w:sz="4" w:space="0" w:color="000000"/>
            </w:tcBorders>
            <w:tcMar>
              <w:top w:w="-113" w:type="dxa"/>
              <w:left w:w="-113" w:type="dxa"/>
              <w:bottom w:w="-113" w:type="dxa"/>
              <w:right w:w="-113" w:type="dxa"/>
            </w:tcMar>
          </w:tcPr>
          <w:p w14:paraId="6E5D454E" w14:textId="77777777" w:rsidR="00CB0062" w:rsidRDefault="00CB0062" w:rsidP="00223E56">
            <w:pPr>
              <w:rPr>
                <w:color w:val="000000"/>
                <w:sz w:val="16"/>
                <w:szCs w:val="16"/>
              </w:rPr>
            </w:pPr>
            <w:r>
              <w:rPr>
                <w:color w:val="000000"/>
                <w:sz w:val="16"/>
                <w:szCs w:val="16"/>
              </w:rPr>
              <w:t>C&gt;A</w:t>
            </w:r>
          </w:p>
        </w:tc>
        <w:tc>
          <w:tcPr>
            <w:tcW w:w="1701" w:type="dxa"/>
            <w:tcBorders>
              <w:top w:val="single" w:sz="4" w:space="0" w:color="D0CECE"/>
              <w:bottom w:val="single" w:sz="4" w:space="0" w:color="000000"/>
            </w:tcBorders>
            <w:tcMar>
              <w:top w:w="-113" w:type="dxa"/>
              <w:left w:w="-113" w:type="dxa"/>
              <w:bottom w:w="-113" w:type="dxa"/>
              <w:right w:w="-113" w:type="dxa"/>
            </w:tcMar>
          </w:tcPr>
          <w:p w14:paraId="0B38AD03"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1852005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1CE2EE0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0555B072"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0EEA375" w14:textId="77777777" w:rsidR="00CB0062" w:rsidRDefault="00CB0062" w:rsidP="00223E56">
            <w:pPr>
              <w:rPr>
                <w:i/>
                <w:color w:val="000000"/>
                <w:sz w:val="16"/>
                <w:szCs w:val="16"/>
              </w:rPr>
            </w:pPr>
            <w:r>
              <w:rPr>
                <w:i/>
                <w:color w:val="000000"/>
                <w:sz w:val="16"/>
                <w:szCs w:val="16"/>
              </w:rPr>
              <w:t>GDF9</w:t>
            </w:r>
          </w:p>
          <w:p w14:paraId="0E01B4C5"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280A761" w14:textId="77777777" w:rsidR="00CB0062" w:rsidRDefault="00CB0062" w:rsidP="00223E56">
            <w:pPr>
              <w:rPr>
                <w:color w:val="000000"/>
                <w:sz w:val="16"/>
                <w:szCs w:val="16"/>
              </w:rPr>
            </w:pPr>
            <w:r>
              <w:rPr>
                <w:color w:val="000000"/>
                <w:sz w:val="16"/>
                <w:szCs w:val="16"/>
              </w:rPr>
              <w:t>Growth Differentiation Factor 9</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4CA22ED2" w14:textId="77777777" w:rsidR="00CB0062" w:rsidRDefault="00CB0062" w:rsidP="00223E56">
            <w:pPr>
              <w:rPr>
                <w:color w:val="000000"/>
                <w:sz w:val="16"/>
                <w:szCs w:val="16"/>
              </w:rPr>
            </w:pPr>
            <w:r>
              <w:rPr>
                <w:color w:val="000000"/>
                <w:sz w:val="16"/>
                <w:szCs w:val="16"/>
              </w:rPr>
              <w:t>rs30177</w:t>
            </w:r>
          </w:p>
        </w:tc>
        <w:tc>
          <w:tcPr>
            <w:tcW w:w="851" w:type="dxa"/>
            <w:tcBorders>
              <w:top w:val="single" w:sz="4" w:space="0" w:color="000000"/>
              <w:bottom w:val="single" w:sz="4" w:space="0" w:color="D0CECE"/>
            </w:tcBorders>
            <w:tcMar>
              <w:top w:w="-113" w:type="dxa"/>
              <w:left w:w="-113" w:type="dxa"/>
              <w:bottom w:w="-113" w:type="dxa"/>
              <w:right w:w="-113" w:type="dxa"/>
            </w:tcMar>
          </w:tcPr>
          <w:p w14:paraId="04EB0E6D" w14:textId="77777777" w:rsidR="00CB0062" w:rsidRDefault="00CB0062" w:rsidP="00223E56">
            <w:pPr>
              <w:rPr>
                <w:color w:val="000000"/>
                <w:sz w:val="16"/>
                <w:szCs w:val="16"/>
              </w:rPr>
            </w:pPr>
            <w:r>
              <w:rPr>
                <w:color w:val="000000"/>
                <w:sz w:val="16"/>
                <w:szCs w:val="16"/>
              </w:rPr>
              <w:t>C&gt;G</w:t>
            </w:r>
          </w:p>
        </w:tc>
        <w:tc>
          <w:tcPr>
            <w:tcW w:w="1701" w:type="dxa"/>
            <w:tcBorders>
              <w:top w:val="single" w:sz="4" w:space="0" w:color="000000"/>
              <w:bottom w:val="single" w:sz="4" w:space="0" w:color="D0CECE"/>
            </w:tcBorders>
            <w:tcMar>
              <w:top w:w="-113" w:type="dxa"/>
              <w:left w:w="-113" w:type="dxa"/>
              <w:bottom w:w="-113" w:type="dxa"/>
              <w:right w:w="-113" w:type="dxa"/>
            </w:tcMar>
          </w:tcPr>
          <w:p w14:paraId="489520CC" w14:textId="77777777" w:rsidR="00CB0062" w:rsidRDefault="00CB0062" w:rsidP="00223E56">
            <w:pPr>
              <w:rPr>
                <w:color w:val="000000"/>
                <w:sz w:val="16"/>
                <w:szCs w:val="16"/>
              </w:rPr>
            </w:pPr>
            <w:r>
              <w:rPr>
                <w:sz w:val="16"/>
                <w:szCs w:val="16"/>
              </w:rPr>
              <w:t>2KB Upstream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1C180A9A" w14:textId="77777777" w:rsidR="00CB0062" w:rsidRDefault="00CB0062" w:rsidP="00223E56">
            <w:pPr>
              <w:rPr>
                <w:sz w:val="16"/>
                <w:szCs w:val="16"/>
              </w:rPr>
            </w:pPr>
            <w:r>
              <w:rPr>
                <w:color w:val="000000"/>
                <w:sz w:val="16"/>
                <w:szCs w:val="16"/>
              </w:rPr>
              <w:t>T2DM</w:t>
            </w:r>
          </w:p>
          <w:p w14:paraId="615B7D46" w14:textId="77777777" w:rsidR="00CB0062" w:rsidRDefault="00CB0062" w:rsidP="00223E56">
            <w:pPr>
              <w:rPr>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0DE1E3A3" w14:textId="77777777" w:rsidR="00CB0062" w:rsidRDefault="00CB0062" w:rsidP="00223E56">
            <w:pPr>
              <w:rPr>
                <w:color w:val="000000"/>
                <w:sz w:val="16"/>
                <w:szCs w:val="16"/>
              </w:rPr>
            </w:pPr>
            <w:r>
              <w:rPr>
                <w:sz w:val="16"/>
                <w:szCs w:val="16"/>
              </w:rPr>
              <w:t>Grau-Perez et al. 2018</w:t>
            </w:r>
          </w:p>
          <w:p w14:paraId="2DE6ABB3" w14:textId="77777777" w:rsidR="00CB0062" w:rsidRDefault="00CB0062" w:rsidP="00223E56">
            <w:pPr>
              <w:rPr>
                <w:color w:val="000000"/>
                <w:sz w:val="16"/>
                <w:szCs w:val="16"/>
              </w:rPr>
            </w:pPr>
          </w:p>
        </w:tc>
      </w:tr>
      <w:tr w:rsidR="00CB0062" w14:paraId="1A60C10A"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35EC4A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5AB203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0FEFCBA" w14:textId="77777777" w:rsidR="00CB0062" w:rsidRDefault="00CB0062" w:rsidP="00223E56">
            <w:pPr>
              <w:rPr>
                <w:color w:val="000000"/>
                <w:sz w:val="16"/>
                <w:szCs w:val="16"/>
              </w:rPr>
            </w:pPr>
            <w:r>
              <w:rPr>
                <w:color w:val="000000"/>
                <w:sz w:val="16"/>
                <w:szCs w:val="16"/>
              </w:rPr>
              <w:t>rs39830</w:t>
            </w:r>
          </w:p>
        </w:tc>
        <w:tc>
          <w:tcPr>
            <w:tcW w:w="851" w:type="dxa"/>
            <w:tcBorders>
              <w:top w:val="single" w:sz="4" w:space="0" w:color="D0CECE"/>
              <w:bottom w:val="single" w:sz="4" w:space="0" w:color="D0CECE"/>
            </w:tcBorders>
            <w:tcMar>
              <w:top w:w="-113" w:type="dxa"/>
              <w:left w:w="-113" w:type="dxa"/>
              <w:bottom w:w="-113" w:type="dxa"/>
              <w:right w:w="-113" w:type="dxa"/>
            </w:tcMar>
          </w:tcPr>
          <w:p w14:paraId="413227E3" w14:textId="77777777" w:rsidR="00CB0062" w:rsidRDefault="00CB0062" w:rsidP="00223E56">
            <w:pPr>
              <w:rPr>
                <w:color w:val="000000"/>
                <w:sz w:val="16"/>
                <w:szCs w:val="16"/>
              </w:rPr>
            </w:pPr>
            <w:r>
              <w:rPr>
                <w:color w:val="000000"/>
                <w:sz w:val="16"/>
                <w:szCs w:val="16"/>
              </w:rPr>
              <w:t>G&gt;</w:t>
            </w:r>
            <w:proofErr w:type="gramStart"/>
            <w:r>
              <w:rPr>
                <w:color w:val="000000"/>
                <w:sz w:val="16"/>
                <w:szCs w:val="16"/>
              </w:rPr>
              <w:t>A,C</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3C3111C5"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4183986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707A2EC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1AC5E767" w14:textId="77777777" w:rsidTr="00923C73">
        <w:trPr>
          <w:trHeight w:val="61"/>
        </w:trPr>
        <w:tc>
          <w:tcPr>
            <w:tcW w:w="993" w:type="dxa"/>
            <w:tcBorders>
              <w:top w:val="single" w:sz="4" w:space="0" w:color="D0CECE"/>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0CDA5A27" w14:textId="77777777" w:rsidR="00CB0062" w:rsidRDefault="00CB0062" w:rsidP="00223E56">
            <w:pPr>
              <w:rPr>
                <w:i/>
                <w:color w:val="000000"/>
                <w:sz w:val="16"/>
                <w:szCs w:val="16"/>
              </w:rPr>
            </w:pPr>
            <w:r>
              <w:rPr>
                <w:i/>
                <w:color w:val="000000"/>
                <w:sz w:val="16"/>
                <w:szCs w:val="16"/>
              </w:rPr>
              <w:t>GNPDA2</w:t>
            </w:r>
          </w:p>
        </w:tc>
        <w:tc>
          <w:tcPr>
            <w:tcW w:w="3402" w:type="dxa"/>
            <w:tcBorders>
              <w:top w:val="single" w:sz="4" w:space="0" w:color="D0CECE"/>
              <w:left w:val="nil"/>
              <w:bottom w:val="single" w:sz="4" w:space="0" w:color="000000"/>
              <w:right w:val="nil"/>
            </w:tcBorders>
            <w:shd w:val="clear" w:color="auto" w:fill="auto"/>
            <w:tcMar>
              <w:top w:w="-113" w:type="dxa"/>
              <w:left w:w="-113" w:type="dxa"/>
              <w:bottom w:w="-113" w:type="dxa"/>
              <w:right w:w="-113" w:type="dxa"/>
            </w:tcMar>
          </w:tcPr>
          <w:p w14:paraId="2FC14284" w14:textId="77777777" w:rsidR="00CB0062" w:rsidRDefault="00CB0062" w:rsidP="00223E56">
            <w:pPr>
              <w:rPr>
                <w:color w:val="000000"/>
                <w:sz w:val="16"/>
                <w:szCs w:val="16"/>
              </w:rPr>
            </w:pPr>
            <w:r>
              <w:rPr>
                <w:color w:val="000000"/>
                <w:sz w:val="16"/>
                <w:szCs w:val="16"/>
              </w:rPr>
              <w:t>Glucosamine-6-Phosphate Deaminase 2</w:t>
            </w: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24218C36" w14:textId="77777777" w:rsidR="00CB0062" w:rsidRDefault="00CB0062" w:rsidP="00223E56">
            <w:pPr>
              <w:rPr>
                <w:color w:val="000000"/>
                <w:sz w:val="16"/>
                <w:szCs w:val="16"/>
              </w:rPr>
            </w:pPr>
            <w:r>
              <w:rPr>
                <w:color w:val="000000"/>
                <w:sz w:val="16"/>
                <w:szCs w:val="16"/>
              </w:rPr>
              <w:t>rs10938397</w:t>
            </w:r>
          </w:p>
        </w:tc>
        <w:tc>
          <w:tcPr>
            <w:tcW w:w="851" w:type="dxa"/>
            <w:tcBorders>
              <w:top w:val="single" w:sz="4" w:space="0" w:color="D0CECE"/>
              <w:bottom w:val="single" w:sz="4" w:space="0" w:color="000000"/>
            </w:tcBorders>
            <w:tcMar>
              <w:top w:w="-113" w:type="dxa"/>
              <w:left w:w="-113" w:type="dxa"/>
              <w:bottom w:w="-113" w:type="dxa"/>
              <w:right w:w="-113" w:type="dxa"/>
            </w:tcMar>
          </w:tcPr>
          <w:p w14:paraId="360CA752" w14:textId="77777777" w:rsidR="00CB0062" w:rsidRDefault="00CB0062" w:rsidP="00223E56">
            <w:pPr>
              <w:rPr>
                <w:color w:val="000000"/>
                <w:sz w:val="16"/>
                <w:szCs w:val="16"/>
              </w:rPr>
            </w:pPr>
            <w:r>
              <w:rPr>
                <w:color w:val="000000"/>
                <w:sz w:val="16"/>
                <w:szCs w:val="16"/>
              </w:rPr>
              <w:t>A&gt;G</w:t>
            </w:r>
          </w:p>
        </w:tc>
        <w:tc>
          <w:tcPr>
            <w:tcW w:w="1701" w:type="dxa"/>
            <w:tcBorders>
              <w:top w:val="single" w:sz="4" w:space="0" w:color="D0CECE"/>
              <w:bottom w:val="single" w:sz="4" w:space="0" w:color="000000"/>
            </w:tcBorders>
            <w:tcMar>
              <w:top w:w="-113" w:type="dxa"/>
              <w:left w:w="-113" w:type="dxa"/>
              <w:bottom w:w="-113" w:type="dxa"/>
              <w:right w:w="-113" w:type="dxa"/>
            </w:tcMar>
          </w:tcPr>
          <w:p w14:paraId="1E7BB501" w14:textId="77777777" w:rsidR="00CB0062" w:rsidRDefault="00CB0062" w:rsidP="00223E56">
            <w:pPr>
              <w:rPr>
                <w:color w:val="000000"/>
                <w:sz w:val="16"/>
                <w:szCs w:val="16"/>
              </w:rPr>
            </w:pPr>
            <w:r>
              <w:rPr>
                <w:color w:val="000000"/>
                <w:sz w:val="16"/>
                <w:szCs w:val="16"/>
              </w:rPr>
              <w:t>None</w:t>
            </w:r>
          </w:p>
        </w:tc>
        <w:tc>
          <w:tcPr>
            <w:tcW w:w="708" w:type="dxa"/>
            <w:tcBorders>
              <w:top w:val="single" w:sz="4" w:space="0" w:color="D0CECE"/>
              <w:bottom w:val="single" w:sz="4" w:space="0" w:color="000000"/>
            </w:tcBorders>
            <w:tcMar>
              <w:top w:w="-113" w:type="dxa"/>
              <w:left w:w="-113" w:type="dxa"/>
              <w:bottom w:w="-113" w:type="dxa"/>
              <w:right w:w="-113" w:type="dxa"/>
            </w:tcMar>
          </w:tcPr>
          <w:p w14:paraId="0ADBB465" w14:textId="77777777" w:rsidR="00CB0062" w:rsidRDefault="00CB0062" w:rsidP="00223E56">
            <w:pPr>
              <w:rPr>
                <w:color w:val="000000"/>
                <w:sz w:val="16"/>
                <w:szCs w:val="16"/>
              </w:rPr>
            </w:pPr>
            <w:r>
              <w:rPr>
                <w:color w:val="000000"/>
                <w:sz w:val="16"/>
                <w:szCs w:val="16"/>
              </w:rPr>
              <w:t>T2DM</w:t>
            </w:r>
          </w:p>
        </w:tc>
        <w:tc>
          <w:tcPr>
            <w:tcW w:w="1838" w:type="dxa"/>
            <w:tcBorders>
              <w:top w:val="single" w:sz="4" w:space="0" w:color="D0CECE"/>
              <w:bottom w:val="single" w:sz="4" w:space="0" w:color="000000"/>
              <w:right w:val="single" w:sz="4" w:space="0" w:color="000000" w:themeColor="text1"/>
            </w:tcBorders>
            <w:tcMar>
              <w:top w:w="-113" w:type="dxa"/>
              <w:left w:w="-113" w:type="dxa"/>
              <w:bottom w:w="-113" w:type="dxa"/>
              <w:right w:w="-113" w:type="dxa"/>
            </w:tcMar>
          </w:tcPr>
          <w:p w14:paraId="29A42FAE" w14:textId="77777777" w:rsidR="00CB0062" w:rsidRDefault="00CB0062" w:rsidP="00223E56">
            <w:pPr>
              <w:rPr>
                <w:color w:val="000000"/>
                <w:sz w:val="16"/>
                <w:szCs w:val="16"/>
              </w:rPr>
            </w:pPr>
            <w:r>
              <w:rPr>
                <w:sz w:val="16"/>
                <w:szCs w:val="16"/>
              </w:rPr>
              <w:t>Grau-Perez et al. 2018</w:t>
            </w:r>
          </w:p>
        </w:tc>
      </w:tr>
      <w:tr w:rsidR="00CB0062" w14:paraId="1CBD711E"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354B0EF2" w14:textId="77777777" w:rsidR="00CB0062" w:rsidRDefault="00CB0062" w:rsidP="00223E56">
            <w:pPr>
              <w:rPr>
                <w:i/>
                <w:color w:val="000000"/>
                <w:sz w:val="16"/>
                <w:szCs w:val="16"/>
              </w:rPr>
            </w:pPr>
            <w:r>
              <w:rPr>
                <w:i/>
                <w:color w:val="000000"/>
                <w:sz w:val="16"/>
                <w:szCs w:val="16"/>
              </w:rPr>
              <w:t>GPX4</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1B891A0E" w14:textId="77777777" w:rsidR="00CB0062" w:rsidRDefault="00CB0062" w:rsidP="00223E56">
            <w:pPr>
              <w:rPr>
                <w:color w:val="000000"/>
                <w:sz w:val="16"/>
                <w:szCs w:val="16"/>
              </w:rPr>
            </w:pPr>
            <w:r>
              <w:rPr>
                <w:color w:val="000000"/>
                <w:sz w:val="16"/>
                <w:szCs w:val="16"/>
              </w:rPr>
              <w:t>Glutathione Peroxidase 4</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75B95124" w14:textId="77777777" w:rsidR="00CB0062" w:rsidRDefault="00CB0062" w:rsidP="00223E56">
            <w:pPr>
              <w:rPr>
                <w:color w:val="000000"/>
                <w:sz w:val="16"/>
                <w:szCs w:val="16"/>
              </w:rPr>
            </w:pPr>
            <w:r>
              <w:rPr>
                <w:color w:val="000000"/>
                <w:sz w:val="16"/>
                <w:szCs w:val="16"/>
              </w:rPr>
              <w:t>rs757228</w:t>
            </w:r>
          </w:p>
        </w:tc>
        <w:tc>
          <w:tcPr>
            <w:tcW w:w="851" w:type="dxa"/>
            <w:tcBorders>
              <w:top w:val="single" w:sz="4" w:space="0" w:color="000000"/>
              <w:bottom w:val="single" w:sz="4" w:space="0" w:color="000000"/>
            </w:tcBorders>
            <w:tcMar>
              <w:top w:w="-113" w:type="dxa"/>
              <w:left w:w="-113" w:type="dxa"/>
              <w:bottom w:w="-113" w:type="dxa"/>
              <w:right w:w="-113" w:type="dxa"/>
            </w:tcMar>
          </w:tcPr>
          <w:p w14:paraId="616ACBE9" w14:textId="77777777" w:rsidR="00CB0062" w:rsidRDefault="00CB0062" w:rsidP="00223E56">
            <w:pPr>
              <w:rPr>
                <w:color w:val="000000"/>
                <w:sz w:val="16"/>
                <w:szCs w:val="16"/>
              </w:rPr>
            </w:pPr>
            <w:r>
              <w:rPr>
                <w:color w:val="000000"/>
                <w:sz w:val="16"/>
                <w:szCs w:val="16"/>
              </w:rPr>
              <w:t>A&gt;</w:t>
            </w:r>
            <w:proofErr w:type="gramStart"/>
            <w:r>
              <w:rPr>
                <w:color w:val="000000"/>
                <w:sz w:val="16"/>
                <w:szCs w:val="16"/>
              </w:rPr>
              <w:t>C,G</w:t>
            </w:r>
            <w:proofErr w:type="gramEnd"/>
            <w:r>
              <w:rPr>
                <w:color w:val="000000"/>
                <w:sz w:val="16"/>
                <w:szCs w:val="16"/>
              </w:rPr>
              <w:t>,T</w:t>
            </w:r>
          </w:p>
        </w:tc>
        <w:tc>
          <w:tcPr>
            <w:tcW w:w="1701" w:type="dxa"/>
            <w:tcBorders>
              <w:top w:val="single" w:sz="4" w:space="0" w:color="000000"/>
              <w:bottom w:val="single" w:sz="4" w:space="0" w:color="000000"/>
            </w:tcBorders>
            <w:tcMar>
              <w:top w:w="-113" w:type="dxa"/>
              <w:left w:w="-113" w:type="dxa"/>
              <w:bottom w:w="-113" w:type="dxa"/>
              <w:right w:w="-113" w:type="dxa"/>
            </w:tcMar>
          </w:tcPr>
          <w:p w14:paraId="591D90D2" w14:textId="77777777" w:rsidR="00CB0062" w:rsidRDefault="00CB0062" w:rsidP="00223E56">
            <w:pPr>
              <w:rPr>
                <w:color w:val="000000"/>
                <w:sz w:val="16"/>
                <w:szCs w:val="16"/>
              </w:rPr>
            </w:pPr>
            <w:r>
              <w:rPr>
                <w:color w:val="000000"/>
                <w:sz w:val="16"/>
                <w:szCs w:val="16"/>
              </w:rPr>
              <w:t>None</w:t>
            </w:r>
          </w:p>
        </w:tc>
        <w:tc>
          <w:tcPr>
            <w:tcW w:w="708" w:type="dxa"/>
            <w:tcBorders>
              <w:top w:val="single" w:sz="4" w:space="0" w:color="000000"/>
              <w:bottom w:val="single" w:sz="4" w:space="0" w:color="000000"/>
            </w:tcBorders>
            <w:tcMar>
              <w:top w:w="-113" w:type="dxa"/>
              <w:left w:w="-113" w:type="dxa"/>
              <w:bottom w:w="-113" w:type="dxa"/>
              <w:right w:w="-113" w:type="dxa"/>
            </w:tcMar>
          </w:tcPr>
          <w:p w14:paraId="5E49A6B2" w14:textId="77777777" w:rsidR="00CB0062" w:rsidRDefault="00CB0062" w:rsidP="00223E56">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4A8CF5C5" w14:textId="77777777" w:rsidR="00CB0062" w:rsidRDefault="00CB0062" w:rsidP="00223E56">
            <w:pPr>
              <w:rPr>
                <w:color w:val="000000"/>
                <w:sz w:val="16"/>
                <w:szCs w:val="16"/>
              </w:rPr>
            </w:pPr>
            <w:r>
              <w:rPr>
                <w:sz w:val="16"/>
                <w:szCs w:val="16"/>
              </w:rPr>
              <w:t>Grau-Perez et al. 2018</w:t>
            </w:r>
          </w:p>
        </w:tc>
      </w:tr>
      <w:tr w:rsidR="00CB0062" w14:paraId="1F9052C0"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2AA94A9D" w14:textId="77777777" w:rsidR="00CB0062" w:rsidRDefault="00CB0062" w:rsidP="00223E56">
            <w:pPr>
              <w:rPr>
                <w:i/>
                <w:color w:val="000000"/>
                <w:sz w:val="16"/>
                <w:szCs w:val="16"/>
              </w:rPr>
            </w:pPr>
            <w:r>
              <w:rPr>
                <w:i/>
                <w:color w:val="000000"/>
                <w:sz w:val="16"/>
                <w:szCs w:val="16"/>
              </w:rPr>
              <w:t>GPX6</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3BA04426" w14:textId="77777777" w:rsidR="00CB0062" w:rsidRDefault="00CB0062" w:rsidP="00223E56">
            <w:pPr>
              <w:rPr>
                <w:color w:val="000000"/>
                <w:sz w:val="16"/>
                <w:szCs w:val="16"/>
              </w:rPr>
            </w:pPr>
            <w:r>
              <w:rPr>
                <w:color w:val="000000"/>
                <w:sz w:val="16"/>
                <w:szCs w:val="16"/>
              </w:rPr>
              <w:t>Glutathione Peroxidase 6</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0E633ADA" w14:textId="77777777" w:rsidR="00CB0062" w:rsidRDefault="00CB0062" w:rsidP="00223E56">
            <w:pPr>
              <w:rPr>
                <w:color w:val="000000"/>
                <w:sz w:val="16"/>
                <w:szCs w:val="16"/>
              </w:rPr>
            </w:pPr>
            <w:r>
              <w:rPr>
                <w:color w:val="000000"/>
                <w:sz w:val="16"/>
                <w:szCs w:val="16"/>
              </w:rPr>
              <w:t>rs406113</w:t>
            </w:r>
          </w:p>
        </w:tc>
        <w:tc>
          <w:tcPr>
            <w:tcW w:w="851" w:type="dxa"/>
            <w:tcBorders>
              <w:top w:val="single" w:sz="4" w:space="0" w:color="000000"/>
              <w:bottom w:val="single" w:sz="4" w:space="0" w:color="000000"/>
            </w:tcBorders>
            <w:tcMar>
              <w:top w:w="-113" w:type="dxa"/>
              <w:left w:w="-113" w:type="dxa"/>
              <w:bottom w:w="-113" w:type="dxa"/>
              <w:right w:w="-113" w:type="dxa"/>
            </w:tcMar>
          </w:tcPr>
          <w:p w14:paraId="0FD576E5" w14:textId="77777777" w:rsidR="00CB0062" w:rsidRDefault="00CB0062" w:rsidP="00223E56">
            <w:pPr>
              <w:rPr>
                <w:color w:val="000000"/>
                <w:sz w:val="16"/>
                <w:szCs w:val="16"/>
              </w:rPr>
            </w:pPr>
            <w:r>
              <w:rPr>
                <w:color w:val="000000"/>
                <w:sz w:val="16"/>
                <w:szCs w:val="16"/>
              </w:rPr>
              <w:t>A&gt;C</w:t>
            </w:r>
          </w:p>
        </w:tc>
        <w:tc>
          <w:tcPr>
            <w:tcW w:w="1701" w:type="dxa"/>
            <w:tcBorders>
              <w:top w:val="single" w:sz="4" w:space="0" w:color="000000"/>
              <w:bottom w:val="single" w:sz="4" w:space="0" w:color="000000"/>
            </w:tcBorders>
            <w:tcMar>
              <w:top w:w="-113" w:type="dxa"/>
              <w:left w:w="-113" w:type="dxa"/>
              <w:bottom w:w="-113" w:type="dxa"/>
              <w:right w:w="-113" w:type="dxa"/>
            </w:tcMar>
          </w:tcPr>
          <w:p w14:paraId="0B3EDD6D" w14:textId="77777777" w:rsidR="00CB0062" w:rsidRDefault="00CB0062" w:rsidP="00223E56">
            <w:pPr>
              <w:rPr>
                <w:color w:val="000000"/>
                <w:sz w:val="16"/>
                <w:szCs w:val="16"/>
              </w:rPr>
            </w:pPr>
            <w:r>
              <w:rPr>
                <w:color w:val="000000"/>
                <w:sz w:val="16"/>
                <w:szCs w:val="16"/>
              </w:rPr>
              <w:t>Missense variant</w:t>
            </w:r>
          </w:p>
        </w:tc>
        <w:tc>
          <w:tcPr>
            <w:tcW w:w="708" w:type="dxa"/>
            <w:tcBorders>
              <w:top w:val="single" w:sz="4" w:space="0" w:color="000000"/>
              <w:bottom w:val="single" w:sz="4" w:space="0" w:color="000000"/>
            </w:tcBorders>
            <w:tcMar>
              <w:top w:w="-113" w:type="dxa"/>
              <w:left w:w="-113" w:type="dxa"/>
              <w:bottom w:w="-113" w:type="dxa"/>
              <w:right w:w="-113" w:type="dxa"/>
            </w:tcMar>
          </w:tcPr>
          <w:p w14:paraId="05C154DA" w14:textId="77777777" w:rsidR="00CB0062" w:rsidRDefault="00CB0062" w:rsidP="00223E56">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64E0CFCA" w14:textId="77777777" w:rsidR="00CB0062" w:rsidRDefault="00CB0062" w:rsidP="00223E56">
            <w:pPr>
              <w:rPr>
                <w:color w:val="000000"/>
                <w:sz w:val="16"/>
                <w:szCs w:val="16"/>
              </w:rPr>
            </w:pPr>
            <w:r>
              <w:rPr>
                <w:sz w:val="16"/>
                <w:szCs w:val="16"/>
              </w:rPr>
              <w:t>Grau-Perez et al. 2018</w:t>
            </w:r>
          </w:p>
        </w:tc>
      </w:tr>
      <w:tr w:rsidR="00CB0062" w14:paraId="70208E41" w14:textId="77777777" w:rsidTr="00923C73">
        <w:trPr>
          <w:trHeight w:val="61"/>
        </w:trPr>
        <w:tc>
          <w:tcPr>
            <w:tcW w:w="993" w:type="dxa"/>
            <w:vMerge w:val="restart"/>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7EC34578" w14:textId="77777777" w:rsidR="00CB0062" w:rsidRDefault="00CB0062" w:rsidP="00223E56">
            <w:pPr>
              <w:rPr>
                <w:i/>
                <w:color w:val="000000"/>
                <w:sz w:val="16"/>
                <w:szCs w:val="16"/>
              </w:rPr>
            </w:pPr>
            <w:r>
              <w:rPr>
                <w:i/>
                <w:color w:val="000000"/>
                <w:sz w:val="16"/>
                <w:szCs w:val="16"/>
              </w:rPr>
              <w:t>GSR</w:t>
            </w:r>
          </w:p>
          <w:p w14:paraId="244D15DD"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3C4C9022" w14:textId="77777777" w:rsidR="00CB0062" w:rsidRDefault="00CB0062" w:rsidP="00223E56">
            <w:pPr>
              <w:rPr>
                <w:color w:val="000000"/>
                <w:sz w:val="16"/>
                <w:szCs w:val="16"/>
              </w:rPr>
            </w:pPr>
            <w:r>
              <w:rPr>
                <w:color w:val="000000"/>
                <w:sz w:val="16"/>
                <w:szCs w:val="16"/>
              </w:rPr>
              <w:t>Glutathione-Disulfide Reductase</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604241D0" w14:textId="77777777" w:rsidR="00CB0062" w:rsidRDefault="00CB0062" w:rsidP="00223E56">
            <w:pPr>
              <w:rPr>
                <w:color w:val="000000"/>
                <w:sz w:val="16"/>
                <w:szCs w:val="16"/>
              </w:rPr>
            </w:pPr>
            <w:r>
              <w:rPr>
                <w:color w:val="000000"/>
                <w:sz w:val="16"/>
                <w:szCs w:val="16"/>
              </w:rPr>
              <w:t>rs2911678</w:t>
            </w:r>
          </w:p>
        </w:tc>
        <w:tc>
          <w:tcPr>
            <w:tcW w:w="851" w:type="dxa"/>
            <w:tcBorders>
              <w:top w:val="single" w:sz="4" w:space="0" w:color="000000"/>
              <w:bottom w:val="single" w:sz="4" w:space="0" w:color="000000"/>
            </w:tcBorders>
            <w:tcMar>
              <w:top w:w="-113" w:type="dxa"/>
              <w:left w:w="-113" w:type="dxa"/>
              <w:bottom w:w="-113" w:type="dxa"/>
              <w:right w:w="-113" w:type="dxa"/>
            </w:tcMar>
          </w:tcPr>
          <w:p w14:paraId="68E3C41E" w14:textId="77777777" w:rsidR="00CB0062" w:rsidRDefault="00CB0062" w:rsidP="00223E56">
            <w:pPr>
              <w:rPr>
                <w:color w:val="000000"/>
                <w:sz w:val="16"/>
                <w:szCs w:val="16"/>
              </w:rPr>
            </w:pPr>
            <w:r>
              <w:rPr>
                <w:color w:val="000000"/>
                <w:sz w:val="16"/>
                <w:szCs w:val="16"/>
              </w:rPr>
              <w:t>A&gt;</w:t>
            </w:r>
            <w:proofErr w:type="gramStart"/>
            <w:r>
              <w:rPr>
                <w:color w:val="000000"/>
                <w:sz w:val="16"/>
                <w:szCs w:val="16"/>
              </w:rPr>
              <w:t>C,G</w:t>
            </w:r>
            <w:proofErr w:type="gramEnd"/>
            <w:r>
              <w:rPr>
                <w:color w:val="000000"/>
                <w:sz w:val="16"/>
                <w:szCs w:val="16"/>
              </w:rPr>
              <w:t>,T</w:t>
            </w:r>
          </w:p>
        </w:tc>
        <w:tc>
          <w:tcPr>
            <w:tcW w:w="1701" w:type="dxa"/>
            <w:tcBorders>
              <w:top w:val="single" w:sz="4" w:space="0" w:color="000000"/>
              <w:bottom w:val="single" w:sz="4" w:space="0" w:color="000000"/>
            </w:tcBorders>
            <w:tcMar>
              <w:top w:w="-113" w:type="dxa"/>
              <w:left w:w="-113" w:type="dxa"/>
              <w:bottom w:w="-113" w:type="dxa"/>
              <w:right w:w="-113" w:type="dxa"/>
            </w:tcMar>
          </w:tcPr>
          <w:p w14:paraId="04E7A0E6" w14:textId="77777777" w:rsidR="00CB0062" w:rsidRDefault="00CB0062" w:rsidP="00223E56">
            <w:pPr>
              <w:rPr>
                <w:color w:val="000000"/>
                <w:sz w:val="16"/>
                <w:szCs w:val="16"/>
              </w:rPr>
            </w:pPr>
            <w:r>
              <w:rPr>
                <w:color w:val="000000"/>
                <w:sz w:val="16"/>
                <w:szCs w:val="16"/>
              </w:rPr>
              <w:t>Intron variant</w:t>
            </w:r>
          </w:p>
        </w:tc>
        <w:tc>
          <w:tcPr>
            <w:tcW w:w="708" w:type="dxa"/>
            <w:tcBorders>
              <w:top w:val="single" w:sz="4" w:space="0" w:color="000000"/>
              <w:bottom w:val="single" w:sz="4" w:space="0" w:color="000000"/>
            </w:tcBorders>
            <w:tcMar>
              <w:top w:w="-113" w:type="dxa"/>
              <w:left w:w="-113" w:type="dxa"/>
              <w:bottom w:w="-113" w:type="dxa"/>
              <w:right w:w="-113" w:type="dxa"/>
            </w:tcMar>
          </w:tcPr>
          <w:p w14:paraId="45143D8B" w14:textId="77777777" w:rsidR="00CB0062" w:rsidRDefault="00CB0062" w:rsidP="00223E56">
            <w:pPr>
              <w:rPr>
                <w:color w:val="000000"/>
                <w:sz w:val="16"/>
                <w:szCs w:val="16"/>
              </w:rPr>
            </w:pPr>
            <w:r>
              <w:rPr>
                <w:color w:val="000000"/>
                <w:sz w:val="16"/>
                <w:szCs w:val="16"/>
              </w:rPr>
              <w:t>T2DM</w:t>
            </w:r>
          </w:p>
        </w:tc>
        <w:tc>
          <w:tcPr>
            <w:tcW w:w="1838" w:type="dxa"/>
            <w:vMerge w:val="restart"/>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3489DADC" w14:textId="77777777" w:rsidR="00CB0062" w:rsidRDefault="00CB0062" w:rsidP="00223E56">
            <w:pPr>
              <w:rPr>
                <w:color w:val="000000"/>
                <w:sz w:val="16"/>
                <w:szCs w:val="16"/>
              </w:rPr>
            </w:pPr>
            <w:r>
              <w:rPr>
                <w:sz w:val="16"/>
                <w:szCs w:val="16"/>
              </w:rPr>
              <w:t>Grau-Perez et al. 2018</w:t>
            </w:r>
          </w:p>
          <w:p w14:paraId="279DE9D6" w14:textId="77777777" w:rsidR="00CB0062" w:rsidRDefault="00CB0062" w:rsidP="00223E56">
            <w:pPr>
              <w:rPr>
                <w:color w:val="000000"/>
                <w:sz w:val="16"/>
                <w:szCs w:val="16"/>
              </w:rPr>
            </w:pPr>
          </w:p>
        </w:tc>
      </w:tr>
      <w:tr w:rsidR="00CB0062" w14:paraId="4328366D" w14:textId="77777777" w:rsidTr="00923C73">
        <w:trPr>
          <w:trHeight w:val="61"/>
        </w:trPr>
        <w:tc>
          <w:tcPr>
            <w:tcW w:w="993" w:type="dxa"/>
            <w:vMerge/>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2BFE59D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57C8405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3858A019" w14:textId="77777777" w:rsidR="00CB0062" w:rsidRDefault="00CB0062" w:rsidP="00223E56">
            <w:pPr>
              <w:rPr>
                <w:color w:val="000000"/>
                <w:sz w:val="16"/>
                <w:szCs w:val="16"/>
              </w:rPr>
            </w:pPr>
            <w:r>
              <w:rPr>
                <w:color w:val="000000"/>
                <w:sz w:val="16"/>
                <w:szCs w:val="16"/>
              </w:rPr>
              <w:t>rs2978663</w:t>
            </w:r>
          </w:p>
        </w:tc>
        <w:tc>
          <w:tcPr>
            <w:tcW w:w="851" w:type="dxa"/>
            <w:tcBorders>
              <w:top w:val="single" w:sz="4" w:space="0" w:color="000000"/>
              <w:bottom w:val="single" w:sz="4" w:space="0" w:color="D0CECE"/>
            </w:tcBorders>
            <w:tcMar>
              <w:top w:w="-113" w:type="dxa"/>
              <w:left w:w="-113" w:type="dxa"/>
              <w:bottom w:w="-113" w:type="dxa"/>
              <w:right w:w="-113" w:type="dxa"/>
            </w:tcMar>
          </w:tcPr>
          <w:p w14:paraId="3B02A0CB" w14:textId="77777777" w:rsidR="00CB0062" w:rsidRDefault="00CB0062" w:rsidP="00223E56">
            <w:pPr>
              <w:rPr>
                <w:color w:val="000000"/>
                <w:sz w:val="16"/>
                <w:szCs w:val="16"/>
              </w:rPr>
            </w:pPr>
            <w:r>
              <w:rPr>
                <w:color w:val="000000"/>
                <w:sz w:val="16"/>
                <w:szCs w:val="16"/>
              </w:rPr>
              <w:t>C&gt;T</w:t>
            </w:r>
          </w:p>
        </w:tc>
        <w:tc>
          <w:tcPr>
            <w:tcW w:w="1701" w:type="dxa"/>
            <w:tcBorders>
              <w:top w:val="single" w:sz="4" w:space="0" w:color="000000"/>
              <w:bottom w:val="single" w:sz="4" w:space="0" w:color="D0CECE"/>
            </w:tcBorders>
            <w:tcMar>
              <w:top w:w="-113" w:type="dxa"/>
              <w:left w:w="-113" w:type="dxa"/>
              <w:bottom w:w="-113" w:type="dxa"/>
              <w:right w:w="-113" w:type="dxa"/>
            </w:tcMar>
          </w:tcPr>
          <w:p w14:paraId="6EDF710C" w14:textId="77777777" w:rsidR="00CB0062" w:rsidRDefault="00CB0062" w:rsidP="00223E56">
            <w:pPr>
              <w:rPr>
                <w:color w:val="000000"/>
                <w:sz w:val="16"/>
                <w:szCs w:val="16"/>
              </w:rPr>
            </w:pPr>
            <w:r>
              <w:rPr>
                <w:color w:val="000000"/>
                <w:sz w:val="16"/>
                <w:szCs w:val="16"/>
              </w:rPr>
              <w:t>Intron variant</w:t>
            </w:r>
          </w:p>
        </w:tc>
        <w:tc>
          <w:tcPr>
            <w:tcW w:w="708" w:type="dxa"/>
            <w:tcBorders>
              <w:top w:val="single" w:sz="4" w:space="0" w:color="000000"/>
              <w:bottom w:val="single" w:sz="4" w:space="0" w:color="D0CECE"/>
            </w:tcBorders>
            <w:tcMar>
              <w:top w:w="-113" w:type="dxa"/>
              <w:left w:w="-113" w:type="dxa"/>
              <w:bottom w:w="-113" w:type="dxa"/>
              <w:right w:w="-113" w:type="dxa"/>
            </w:tcMar>
          </w:tcPr>
          <w:p w14:paraId="0D00C961" w14:textId="77777777" w:rsidR="00CB0062" w:rsidRDefault="00CB0062" w:rsidP="00223E56">
            <w:pPr>
              <w:rPr>
                <w:color w:val="000000"/>
                <w:sz w:val="16"/>
                <w:szCs w:val="16"/>
              </w:rPr>
            </w:pPr>
            <w:r>
              <w:rPr>
                <w:color w:val="000000"/>
                <w:sz w:val="16"/>
                <w:szCs w:val="16"/>
              </w:rPr>
              <w:t>T2DM</w:t>
            </w:r>
          </w:p>
        </w:tc>
        <w:tc>
          <w:tcPr>
            <w:tcW w:w="1838" w:type="dxa"/>
            <w:vMerge/>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723A56F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3529C16B" w14:textId="77777777" w:rsidTr="00923C73">
        <w:trPr>
          <w:trHeight w:val="61"/>
        </w:trPr>
        <w:tc>
          <w:tcPr>
            <w:tcW w:w="993" w:type="dxa"/>
            <w:vMerge/>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78BCB98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7B2575C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672382E5" w14:textId="77777777" w:rsidR="00CB0062" w:rsidRDefault="00CB0062" w:rsidP="00223E56">
            <w:pPr>
              <w:rPr>
                <w:color w:val="000000"/>
                <w:sz w:val="16"/>
                <w:szCs w:val="16"/>
              </w:rPr>
            </w:pPr>
            <w:r>
              <w:rPr>
                <w:color w:val="000000"/>
                <w:sz w:val="16"/>
                <w:szCs w:val="16"/>
              </w:rPr>
              <w:t>rs4628224</w:t>
            </w:r>
          </w:p>
        </w:tc>
        <w:tc>
          <w:tcPr>
            <w:tcW w:w="851" w:type="dxa"/>
            <w:tcBorders>
              <w:top w:val="single" w:sz="4" w:space="0" w:color="D0CECE"/>
              <w:bottom w:val="single" w:sz="4" w:space="0" w:color="000000"/>
            </w:tcBorders>
            <w:tcMar>
              <w:top w:w="-113" w:type="dxa"/>
              <w:left w:w="-113" w:type="dxa"/>
              <w:bottom w:w="-113" w:type="dxa"/>
              <w:right w:w="-113" w:type="dxa"/>
            </w:tcMar>
          </w:tcPr>
          <w:p w14:paraId="586168ED" w14:textId="77777777" w:rsidR="00CB0062" w:rsidRDefault="00CB0062" w:rsidP="00223E56">
            <w:pPr>
              <w:rPr>
                <w:color w:val="000000"/>
                <w:sz w:val="16"/>
                <w:szCs w:val="16"/>
              </w:rPr>
            </w:pPr>
            <w:r>
              <w:rPr>
                <w:color w:val="000000"/>
                <w:sz w:val="16"/>
                <w:szCs w:val="16"/>
              </w:rPr>
              <w:t>A&gt;</w:t>
            </w:r>
            <w:proofErr w:type="gramStart"/>
            <w:r>
              <w:rPr>
                <w:color w:val="000000"/>
                <w:sz w:val="16"/>
                <w:szCs w:val="16"/>
              </w:rPr>
              <w:t>G,T</w:t>
            </w:r>
            <w:proofErr w:type="gramEnd"/>
          </w:p>
        </w:tc>
        <w:tc>
          <w:tcPr>
            <w:tcW w:w="1701" w:type="dxa"/>
            <w:tcBorders>
              <w:top w:val="single" w:sz="4" w:space="0" w:color="D0CECE"/>
              <w:bottom w:val="single" w:sz="4" w:space="0" w:color="000000"/>
            </w:tcBorders>
            <w:tcMar>
              <w:top w:w="-113" w:type="dxa"/>
              <w:left w:w="-113" w:type="dxa"/>
              <w:bottom w:w="-113" w:type="dxa"/>
              <w:right w:w="-113" w:type="dxa"/>
            </w:tcMar>
          </w:tcPr>
          <w:p w14:paraId="2C032EDB" w14:textId="77777777" w:rsidR="00CB0062" w:rsidRDefault="00CB0062" w:rsidP="00223E56">
            <w:pPr>
              <w:rPr>
                <w:color w:val="000000"/>
                <w:sz w:val="16"/>
                <w:szCs w:val="16"/>
              </w:rPr>
            </w:pPr>
            <w:r>
              <w:rPr>
                <w:color w:val="000000"/>
                <w:sz w:val="16"/>
                <w:szCs w:val="16"/>
              </w:rPr>
              <w:t>Intron variant</w:t>
            </w:r>
          </w:p>
        </w:tc>
        <w:tc>
          <w:tcPr>
            <w:tcW w:w="708" w:type="dxa"/>
            <w:tcBorders>
              <w:top w:val="single" w:sz="4" w:space="0" w:color="D0CECE"/>
              <w:bottom w:val="single" w:sz="4" w:space="0" w:color="000000"/>
            </w:tcBorders>
            <w:tcMar>
              <w:top w:w="-113" w:type="dxa"/>
              <w:left w:w="-113" w:type="dxa"/>
              <w:bottom w:w="-113" w:type="dxa"/>
              <w:right w:w="-113" w:type="dxa"/>
            </w:tcMar>
          </w:tcPr>
          <w:p w14:paraId="11294A79" w14:textId="77777777" w:rsidR="00CB0062" w:rsidRDefault="00CB0062" w:rsidP="00223E56">
            <w:pPr>
              <w:rPr>
                <w:color w:val="000000"/>
                <w:sz w:val="16"/>
                <w:szCs w:val="16"/>
              </w:rPr>
            </w:pPr>
            <w:r>
              <w:rPr>
                <w:color w:val="000000"/>
                <w:sz w:val="16"/>
                <w:szCs w:val="16"/>
              </w:rPr>
              <w:t>T2DM</w:t>
            </w:r>
          </w:p>
        </w:tc>
        <w:tc>
          <w:tcPr>
            <w:tcW w:w="1838" w:type="dxa"/>
            <w:vMerge/>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781ABF4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2EDA827B" w14:textId="77777777" w:rsidTr="00923C73">
        <w:trPr>
          <w:trHeight w:val="61"/>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DEDF4A0" w14:textId="77777777" w:rsidR="00CB0062" w:rsidRDefault="00CB0062" w:rsidP="00223E56">
            <w:pPr>
              <w:rPr>
                <w:i/>
                <w:color w:val="000000"/>
                <w:sz w:val="16"/>
                <w:szCs w:val="16"/>
              </w:rPr>
            </w:pPr>
            <w:r>
              <w:rPr>
                <w:i/>
                <w:color w:val="000000"/>
                <w:sz w:val="16"/>
                <w:szCs w:val="16"/>
              </w:rPr>
              <w:t>GSS</w:t>
            </w:r>
          </w:p>
          <w:p w14:paraId="4CCE4DEE"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19078F5" w14:textId="77777777" w:rsidR="00CB0062" w:rsidRDefault="00CB0062" w:rsidP="00223E56">
            <w:pPr>
              <w:rPr>
                <w:color w:val="000000"/>
                <w:sz w:val="16"/>
                <w:szCs w:val="16"/>
              </w:rPr>
            </w:pPr>
            <w:r>
              <w:rPr>
                <w:color w:val="000000"/>
                <w:sz w:val="16"/>
                <w:szCs w:val="16"/>
              </w:rPr>
              <w:t>Glutathione Synthetase</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3E7D0C25" w14:textId="77777777" w:rsidR="00CB0062" w:rsidRDefault="00CB0062" w:rsidP="00223E56">
            <w:pPr>
              <w:rPr>
                <w:color w:val="000000"/>
                <w:sz w:val="16"/>
                <w:szCs w:val="16"/>
              </w:rPr>
            </w:pPr>
            <w:r>
              <w:rPr>
                <w:color w:val="000000"/>
                <w:sz w:val="16"/>
                <w:szCs w:val="16"/>
              </w:rPr>
              <w:t>rs2273684</w:t>
            </w:r>
          </w:p>
        </w:tc>
        <w:tc>
          <w:tcPr>
            <w:tcW w:w="851" w:type="dxa"/>
            <w:tcBorders>
              <w:top w:val="single" w:sz="4" w:space="0" w:color="000000"/>
              <w:bottom w:val="single" w:sz="4" w:space="0" w:color="D0CECE"/>
            </w:tcBorders>
            <w:tcMar>
              <w:top w:w="-113" w:type="dxa"/>
              <w:left w:w="-113" w:type="dxa"/>
              <w:bottom w:w="-113" w:type="dxa"/>
              <w:right w:w="-113" w:type="dxa"/>
            </w:tcMar>
          </w:tcPr>
          <w:p w14:paraId="5E47C9AC" w14:textId="77777777" w:rsidR="00CB0062" w:rsidRDefault="00CB0062" w:rsidP="00223E56">
            <w:pPr>
              <w:rPr>
                <w:color w:val="000000"/>
                <w:sz w:val="16"/>
                <w:szCs w:val="16"/>
              </w:rPr>
            </w:pPr>
            <w:r>
              <w:rPr>
                <w:color w:val="000000"/>
                <w:sz w:val="16"/>
                <w:szCs w:val="16"/>
              </w:rPr>
              <w:t>T&gt;G</w:t>
            </w:r>
          </w:p>
        </w:tc>
        <w:tc>
          <w:tcPr>
            <w:tcW w:w="1701" w:type="dxa"/>
            <w:tcBorders>
              <w:top w:val="single" w:sz="4" w:space="0" w:color="000000"/>
              <w:bottom w:val="single" w:sz="4" w:space="0" w:color="D0CECE"/>
            </w:tcBorders>
            <w:tcMar>
              <w:top w:w="-113" w:type="dxa"/>
              <w:left w:w="-113" w:type="dxa"/>
              <w:bottom w:w="-113" w:type="dxa"/>
              <w:right w:w="-113" w:type="dxa"/>
            </w:tcMar>
          </w:tcPr>
          <w:p w14:paraId="0310AA59" w14:textId="77777777" w:rsidR="00CB0062" w:rsidRDefault="00CB0062" w:rsidP="00223E56">
            <w:pPr>
              <w:rPr>
                <w:color w:val="000000"/>
                <w:sz w:val="16"/>
                <w:szCs w:val="16"/>
              </w:rPr>
            </w:pPr>
            <w:r>
              <w:rPr>
                <w:color w:val="000000"/>
                <w:sz w:val="16"/>
                <w:szCs w:val="16"/>
              </w:rPr>
              <w:t>Intron variant</w:t>
            </w:r>
          </w:p>
        </w:tc>
        <w:tc>
          <w:tcPr>
            <w:tcW w:w="708" w:type="dxa"/>
            <w:tcBorders>
              <w:top w:val="single" w:sz="4" w:space="0" w:color="000000"/>
              <w:bottom w:val="single" w:sz="4" w:space="0" w:color="D0CECE"/>
            </w:tcBorders>
            <w:tcMar>
              <w:top w:w="-113" w:type="dxa"/>
              <w:left w:w="-113" w:type="dxa"/>
              <w:bottom w:w="-113" w:type="dxa"/>
              <w:right w:w="-113" w:type="dxa"/>
            </w:tcMar>
          </w:tcPr>
          <w:p w14:paraId="3163CA29" w14:textId="77777777" w:rsidR="00CB0062" w:rsidRDefault="00CB0062" w:rsidP="00223E56">
            <w:pPr>
              <w:rPr>
                <w:color w:val="000000"/>
                <w:sz w:val="16"/>
                <w:szCs w:val="16"/>
              </w:rPr>
            </w:pPr>
            <w:r>
              <w:rPr>
                <w:color w:val="000000"/>
                <w:sz w:val="16"/>
                <w:szCs w:val="16"/>
              </w:rPr>
              <w:t>T2DM</w:t>
            </w: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C4F58B8" w14:textId="77777777" w:rsidR="00CB0062" w:rsidRDefault="00CB0062" w:rsidP="00223E56">
            <w:pPr>
              <w:rPr>
                <w:color w:val="000000"/>
                <w:sz w:val="16"/>
                <w:szCs w:val="16"/>
              </w:rPr>
            </w:pPr>
            <w:r>
              <w:rPr>
                <w:sz w:val="16"/>
                <w:szCs w:val="16"/>
              </w:rPr>
              <w:t>Grau-Perez et al. 2018</w:t>
            </w:r>
          </w:p>
          <w:p w14:paraId="6B0B62CF" w14:textId="77777777" w:rsidR="00CB0062" w:rsidRDefault="00CB0062" w:rsidP="00223E56">
            <w:pPr>
              <w:rPr>
                <w:color w:val="000000"/>
                <w:sz w:val="16"/>
                <w:szCs w:val="16"/>
              </w:rPr>
            </w:pPr>
          </w:p>
        </w:tc>
      </w:tr>
      <w:tr w:rsidR="00CB0062" w14:paraId="4ED41B3D" w14:textId="77777777" w:rsidTr="00923C73">
        <w:trPr>
          <w:trHeight w:val="61"/>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FCC761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1DAF5D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38154C3C" w14:textId="77777777" w:rsidR="00CB0062" w:rsidRDefault="00CB0062" w:rsidP="00223E56">
            <w:pPr>
              <w:rPr>
                <w:color w:val="000000"/>
                <w:sz w:val="16"/>
                <w:szCs w:val="16"/>
              </w:rPr>
            </w:pPr>
            <w:r>
              <w:rPr>
                <w:color w:val="000000"/>
                <w:sz w:val="16"/>
                <w:szCs w:val="16"/>
              </w:rPr>
              <w:t>rs3761144</w:t>
            </w:r>
          </w:p>
        </w:tc>
        <w:tc>
          <w:tcPr>
            <w:tcW w:w="851" w:type="dxa"/>
            <w:tcBorders>
              <w:top w:val="single" w:sz="4" w:space="0" w:color="D0CECE"/>
              <w:bottom w:val="single" w:sz="4" w:space="0" w:color="000000"/>
            </w:tcBorders>
            <w:tcMar>
              <w:top w:w="-113" w:type="dxa"/>
              <w:left w:w="-113" w:type="dxa"/>
              <w:bottom w:w="-113" w:type="dxa"/>
              <w:right w:w="-113" w:type="dxa"/>
            </w:tcMar>
          </w:tcPr>
          <w:p w14:paraId="241A768F" w14:textId="77777777" w:rsidR="00CB0062" w:rsidRDefault="00CB0062" w:rsidP="00223E56">
            <w:pPr>
              <w:rPr>
                <w:color w:val="000000"/>
                <w:sz w:val="16"/>
                <w:szCs w:val="16"/>
              </w:rPr>
            </w:pPr>
            <w:r>
              <w:rPr>
                <w:color w:val="000000"/>
                <w:sz w:val="16"/>
                <w:szCs w:val="16"/>
              </w:rPr>
              <w:t>C&gt;</w:t>
            </w:r>
            <w:proofErr w:type="gramStart"/>
            <w:r>
              <w:rPr>
                <w:color w:val="000000"/>
                <w:sz w:val="16"/>
                <w:szCs w:val="16"/>
              </w:rPr>
              <w:t>G,T</w:t>
            </w:r>
            <w:proofErr w:type="gramEnd"/>
          </w:p>
        </w:tc>
        <w:tc>
          <w:tcPr>
            <w:tcW w:w="1701" w:type="dxa"/>
            <w:tcBorders>
              <w:top w:val="single" w:sz="4" w:space="0" w:color="D0CECE"/>
              <w:bottom w:val="single" w:sz="4" w:space="0" w:color="000000"/>
            </w:tcBorders>
            <w:tcMar>
              <w:top w:w="-113" w:type="dxa"/>
              <w:left w:w="-113" w:type="dxa"/>
              <w:bottom w:w="-113" w:type="dxa"/>
              <w:right w:w="-113" w:type="dxa"/>
            </w:tcMar>
          </w:tcPr>
          <w:p w14:paraId="264320D8" w14:textId="77777777" w:rsidR="00CB0062" w:rsidRDefault="00CB0062" w:rsidP="00223E56">
            <w:pPr>
              <w:rPr>
                <w:color w:val="000000"/>
                <w:sz w:val="16"/>
                <w:szCs w:val="16"/>
              </w:rPr>
            </w:pPr>
            <w:r>
              <w:rPr>
                <w:color w:val="000000"/>
                <w:sz w:val="16"/>
                <w:szCs w:val="16"/>
              </w:rPr>
              <w:t>Intron variant</w:t>
            </w:r>
          </w:p>
        </w:tc>
        <w:tc>
          <w:tcPr>
            <w:tcW w:w="708" w:type="dxa"/>
            <w:tcBorders>
              <w:top w:val="single" w:sz="4" w:space="0" w:color="D0CECE"/>
              <w:bottom w:val="single" w:sz="4" w:space="0" w:color="000000"/>
            </w:tcBorders>
            <w:tcMar>
              <w:top w:w="-113" w:type="dxa"/>
              <w:left w:w="-113" w:type="dxa"/>
              <w:bottom w:w="-113" w:type="dxa"/>
              <w:right w:w="-113" w:type="dxa"/>
            </w:tcMar>
          </w:tcPr>
          <w:p w14:paraId="784FD096" w14:textId="77777777" w:rsidR="00CB0062" w:rsidRDefault="00CB0062" w:rsidP="00223E56">
            <w:pPr>
              <w:rPr>
                <w:color w:val="000000"/>
                <w:sz w:val="16"/>
                <w:szCs w:val="16"/>
              </w:rPr>
            </w:pPr>
            <w:r>
              <w:rPr>
                <w:color w:val="000000"/>
                <w:sz w:val="16"/>
                <w:szCs w:val="16"/>
              </w:rPr>
              <w:t>T2DM</w:t>
            </w: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29020DB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7A325890" w14:textId="77777777" w:rsidTr="00923C73">
        <w:trPr>
          <w:trHeight w:val="61"/>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A25C821" w14:textId="77777777" w:rsidR="00CB0062" w:rsidRDefault="00CB0062" w:rsidP="00223E56">
            <w:pPr>
              <w:rPr>
                <w:i/>
                <w:color w:val="000000"/>
                <w:sz w:val="16"/>
                <w:szCs w:val="16"/>
              </w:rPr>
            </w:pPr>
            <w:r>
              <w:rPr>
                <w:i/>
                <w:color w:val="000000"/>
                <w:sz w:val="16"/>
                <w:szCs w:val="16"/>
              </w:rPr>
              <w:t>GSTM1</w:t>
            </w:r>
          </w:p>
          <w:p w14:paraId="567B7314"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8FA9EFB" w14:textId="77777777" w:rsidR="00CB0062" w:rsidRDefault="00CB0062" w:rsidP="00223E56">
            <w:pPr>
              <w:rPr>
                <w:color w:val="000000"/>
                <w:sz w:val="16"/>
                <w:szCs w:val="16"/>
              </w:rPr>
            </w:pPr>
            <w:r>
              <w:rPr>
                <w:color w:val="000000"/>
                <w:sz w:val="16"/>
                <w:szCs w:val="16"/>
              </w:rPr>
              <w:t>Glutathione S-Transferase Mu 1</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21B1DF6C" w14:textId="77777777" w:rsidR="00CB0062" w:rsidRDefault="00CB0062" w:rsidP="00223E56">
            <w:pPr>
              <w:rPr>
                <w:color w:val="000000"/>
                <w:sz w:val="16"/>
                <w:szCs w:val="16"/>
              </w:rPr>
            </w:pPr>
            <w:r>
              <w:rPr>
                <w:color w:val="000000"/>
                <w:sz w:val="16"/>
                <w:szCs w:val="16"/>
              </w:rPr>
              <w:t>--</w:t>
            </w:r>
          </w:p>
        </w:tc>
        <w:tc>
          <w:tcPr>
            <w:tcW w:w="851" w:type="dxa"/>
            <w:tcBorders>
              <w:top w:val="single" w:sz="4" w:space="0" w:color="000000"/>
              <w:bottom w:val="single" w:sz="4" w:space="0" w:color="D0CECE"/>
            </w:tcBorders>
            <w:tcMar>
              <w:top w:w="-113" w:type="dxa"/>
              <w:left w:w="-113" w:type="dxa"/>
              <w:bottom w:w="-113" w:type="dxa"/>
              <w:right w:w="-113" w:type="dxa"/>
            </w:tcMar>
          </w:tcPr>
          <w:p w14:paraId="3FD4FCB7" w14:textId="77777777" w:rsidR="00CB0062" w:rsidRDefault="00CB0062" w:rsidP="00223E56">
            <w:pPr>
              <w:rPr>
                <w:color w:val="000000"/>
                <w:sz w:val="16"/>
                <w:szCs w:val="16"/>
              </w:rPr>
            </w:pPr>
          </w:p>
        </w:tc>
        <w:tc>
          <w:tcPr>
            <w:tcW w:w="1701" w:type="dxa"/>
            <w:tcBorders>
              <w:top w:val="single" w:sz="4" w:space="0" w:color="000000"/>
              <w:bottom w:val="single" w:sz="4" w:space="0" w:color="D0CECE"/>
            </w:tcBorders>
            <w:tcMar>
              <w:top w:w="-113" w:type="dxa"/>
              <w:left w:w="-113" w:type="dxa"/>
              <w:bottom w:w="-113" w:type="dxa"/>
              <w:right w:w="-113" w:type="dxa"/>
            </w:tcMar>
          </w:tcPr>
          <w:p w14:paraId="68EFC115" w14:textId="77777777" w:rsidR="00CB0062" w:rsidRDefault="00CB0062" w:rsidP="00223E56">
            <w:pPr>
              <w:rPr>
                <w:color w:val="000000"/>
                <w:sz w:val="16"/>
                <w:szCs w:val="16"/>
              </w:rPr>
            </w:pPr>
            <w:r>
              <w:rPr>
                <w:color w:val="000000"/>
                <w:sz w:val="16"/>
                <w:szCs w:val="16"/>
              </w:rPr>
              <w:t>Gene deletion</w:t>
            </w:r>
          </w:p>
        </w:tc>
        <w:tc>
          <w:tcPr>
            <w:tcW w:w="708" w:type="dxa"/>
            <w:tcBorders>
              <w:top w:val="single" w:sz="4" w:space="0" w:color="000000"/>
              <w:bottom w:val="single" w:sz="4" w:space="0" w:color="D0CECE"/>
            </w:tcBorders>
            <w:tcMar>
              <w:top w:w="-113" w:type="dxa"/>
              <w:left w:w="-113" w:type="dxa"/>
              <w:bottom w:w="-113" w:type="dxa"/>
              <w:right w:w="-113" w:type="dxa"/>
            </w:tcMar>
          </w:tcPr>
          <w:p w14:paraId="50CF4335" w14:textId="77777777" w:rsidR="00CB0062" w:rsidRDefault="00CB0062" w:rsidP="00223E56">
            <w:pPr>
              <w:rPr>
                <w:color w:val="000000"/>
                <w:sz w:val="16"/>
                <w:szCs w:val="16"/>
              </w:rPr>
            </w:pPr>
            <w:r>
              <w:rPr>
                <w:color w:val="000000"/>
                <w:sz w:val="16"/>
                <w:szCs w:val="16"/>
              </w:rPr>
              <w:t>CA</w:t>
            </w:r>
          </w:p>
        </w:tc>
        <w:tc>
          <w:tcPr>
            <w:tcW w:w="1838" w:type="dxa"/>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3A521668" w14:textId="77777777" w:rsidR="00CB0062" w:rsidRDefault="00CB0062" w:rsidP="00223E56">
            <w:pPr>
              <w:rPr>
                <w:color w:val="000000"/>
                <w:sz w:val="16"/>
                <w:szCs w:val="16"/>
              </w:rPr>
            </w:pPr>
            <w:r>
              <w:rPr>
                <w:sz w:val="16"/>
                <w:szCs w:val="16"/>
              </w:rPr>
              <w:t xml:space="preserve">Wang </w:t>
            </w:r>
            <w:r>
              <w:rPr>
                <w:i/>
                <w:sz w:val="16"/>
                <w:szCs w:val="16"/>
              </w:rPr>
              <w:t>et al</w:t>
            </w:r>
            <w:r>
              <w:rPr>
                <w:sz w:val="16"/>
                <w:szCs w:val="16"/>
              </w:rPr>
              <w:t>. 2007</w:t>
            </w:r>
          </w:p>
        </w:tc>
      </w:tr>
      <w:tr w:rsidR="00CB0062" w:rsidRPr="0030321B" w14:paraId="1F9FB874" w14:textId="77777777" w:rsidTr="00923C73">
        <w:trPr>
          <w:trHeight w:val="61"/>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87C82C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BB1C68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E196EAC" w14:textId="77777777" w:rsidR="00CB0062" w:rsidRDefault="00CB0062" w:rsidP="00223E56">
            <w:pPr>
              <w:rPr>
                <w:color w:val="000000"/>
                <w:sz w:val="16"/>
                <w:szCs w:val="16"/>
              </w:rPr>
            </w:pPr>
            <w:r>
              <w:rPr>
                <w:color w:val="000000"/>
                <w:sz w:val="16"/>
                <w:szCs w:val="16"/>
              </w:rPr>
              <w:t>rs1634252</w:t>
            </w:r>
          </w:p>
        </w:tc>
        <w:tc>
          <w:tcPr>
            <w:tcW w:w="851" w:type="dxa"/>
            <w:tcBorders>
              <w:top w:val="single" w:sz="4" w:space="0" w:color="D0CECE"/>
              <w:bottom w:val="single" w:sz="4" w:space="0" w:color="D0CECE"/>
            </w:tcBorders>
            <w:tcMar>
              <w:top w:w="-113" w:type="dxa"/>
              <w:left w:w="-113" w:type="dxa"/>
              <w:bottom w:w="-113" w:type="dxa"/>
              <w:right w:w="-113" w:type="dxa"/>
            </w:tcMar>
          </w:tcPr>
          <w:p w14:paraId="40B7A995" w14:textId="77777777" w:rsidR="00CB0062" w:rsidRDefault="00CB0062" w:rsidP="00223E56">
            <w:pPr>
              <w:rPr>
                <w:color w:val="000000"/>
                <w:sz w:val="16"/>
                <w:szCs w:val="16"/>
              </w:rPr>
            </w:pPr>
            <w:r>
              <w:rPr>
                <w:color w:val="000000"/>
                <w:sz w:val="16"/>
                <w:szCs w:val="16"/>
              </w:rPr>
              <w:t>T&gt;C</w:t>
            </w:r>
          </w:p>
        </w:tc>
        <w:tc>
          <w:tcPr>
            <w:tcW w:w="1701" w:type="dxa"/>
            <w:tcBorders>
              <w:top w:val="single" w:sz="4" w:space="0" w:color="D0CECE"/>
              <w:bottom w:val="single" w:sz="4" w:space="0" w:color="D0CECE"/>
            </w:tcBorders>
            <w:tcMar>
              <w:top w:w="-113" w:type="dxa"/>
              <w:left w:w="-113" w:type="dxa"/>
              <w:bottom w:w="-113" w:type="dxa"/>
              <w:right w:w="-113" w:type="dxa"/>
            </w:tcMar>
          </w:tcPr>
          <w:p w14:paraId="60F17E96" w14:textId="77777777" w:rsidR="00CB0062" w:rsidRDefault="00CB0062" w:rsidP="00223E56">
            <w:pPr>
              <w:rPr>
                <w:color w:val="000000"/>
                <w:sz w:val="16"/>
                <w:szCs w:val="16"/>
              </w:rPr>
            </w:pPr>
            <w:r>
              <w:rPr>
                <w:sz w:val="16"/>
                <w:szCs w:val="16"/>
              </w:rPr>
              <w:t>2KB Upstream variant</w:t>
            </w:r>
          </w:p>
        </w:tc>
        <w:tc>
          <w:tcPr>
            <w:tcW w:w="708" w:type="dxa"/>
            <w:vMerge w:val="restart"/>
            <w:tcBorders>
              <w:top w:val="single" w:sz="4" w:space="0" w:color="D0CECE"/>
              <w:bottom w:val="single" w:sz="4" w:space="0" w:color="D0CECE"/>
            </w:tcBorders>
            <w:tcMar>
              <w:top w:w="-113" w:type="dxa"/>
              <w:left w:w="-113" w:type="dxa"/>
              <w:bottom w:w="-113" w:type="dxa"/>
              <w:right w:w="-113" w:type="dxa"/>
            </w:tcMar>
          </w:tcPr>
          <w:p w14:paraId="2B9228F2" w14:textId="77777777" w:rsidR="00CB0062" w:rsidRDefault="00CB0062" w:rsidP="00223E56">
            <w:pPr>
              <w:rPr>
                <w:color w:val="000000"/>
                <w:sz w:val="16"/>
                <w:szCs w:val="16"/>
              </w:rPr>
            </w:pPr>
            <w:r>
              <w:rPr>
                <w:color w:val="000000"/>
                <w:sz w:val="16"/>
                <w:szCs w:val="16"/>
              </w:rPr>
              <w:t>CVD</w:t>
            </w:r>
          </w:p>
          <w:p w14:paraId="21398756" w14:textId="77777777" w:rsidR="00CB0062" w:rsidRDefault="00CB0062" w:rsidP="00223E56">
            <w:pPr>
              <w:rPr>
                <w:sz w:val="16"/>
                <w:szCs w:val="16"/>
              </w:rPr>
            </w:pPr>
            <w:r>
              <w:rPr>
                <w:sz w:val="16"/>
                <w:szCs w:val="16"/>
              </w:rPr>
              <w:t>CIMT</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3709A34B"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07CA3ECE"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p w14:paraId="74D80E0B" w14:textId="77777777" w:rsidR="00CB0062" w:rsidRPr="00641BD3" w:rsidRDefault="00CB0062" w:rsidP="00223E56">
            <w:pPr>
              <w:rPr>
                <w:color w:val="000000"/>
                <w:sz w:val="16"/>
                <w:szCs w:val="16"/>
                <w:lang w:val="es-ES"/>
              </w:rPr>
            </w:pPr>
          </w:p>
        </w:tc>
      </w:tr>
      <w:tr w:rsidR="00CB0062" w14:paraId="4291CAE6" w14:textId="77777777" w:rsidTr="00923C73">
        <w:trPr>
          <w:trHeight w:val="61"/>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D7408BD"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7802940"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ABB805A" w14:textId="77777777" w:rsidR="00CB0062" w:rsidRDefault="00CB0062" w:rsidP="00223E56">
            <w:pPr>
              <w:rPr>
                <w:color w:val="000000"/>
                <w:sz w:val="16"/>
                <w:szCs w:val="16"/>
              </w:rPr>
            </w:pPr>
            <w:r>
              <w:rPr>
                <w:color w:val="000000"/>
                <w:sz w:val="16"/>
                <w:szCs w:val="16"/>
              </w:rPr>
              <w:t>rs2071487</w:t>
            </w:r>
          </w:p>
        </w:tc>
        <w:tc>
          <w:tcPr>
            <w:tcW w:w="851" w:type="dxa"/>
            <w:tcBorders>
              <w:top w:val="single" w:sz="4" w:space="0" w:color="D0CECE"/>
              <w:bottom w:val="single" w:sz="4" w:space="0" w:color="D0CECE"/>
            </w:tcBorders>
            <w:tcMar>
              <w:top w:w="-113" w:type="dxa"/>
              <w:left w:w="-113" w:type="dxa"/>
              <w:bottom w:w="-113" w:type="dxa"/>
              <w:right w:w="-113" w:type="dxa"/>
            </w:tcMar>
          </w:tcPr>
          <w:p w14:paraId="5637B929" w14:textId="77777777" w:rsidR="00CB0062" w:rsidRDefault="00CB0062" w:rsidP="00223E56">
            <w:pPr>
              <w:rPr>
                <w:color w:val="000000"/>
                <w:sz w:val="16"/>
                <w:szCs w:val="16"/>
              </w:rPr>
            </w:pPr>
            <w:r>
              <w:rPr>
                <w:color w:val="000000"/>
                <w:sz w:val="16"/>
                <w:szCs w:val="16"/>
              </w:rPr>
              <w:t>T&gt;C</w:t>
            </w:r>
          </w:p>
        </w:tc>
        <w:tc>
          <w:tcPr>
            <w:tcW w:w="1701" w:type="dxa"/>
            <w:tcBorders>
              <w:top w:val="single" w:sz="4" w:space="0" w:color="D0CECE"/>
              <w:bottom w:val="single" w:sz="4" w:space="0" w:color="D0CECE"/>
            </w:tcBorders>
            <w:tcMar>
              <w:top w:w="-113" w:type="dxa"/>
              <w:left w:w="-113" w:type="dxa"/>
              <w:bottom w:w="-113" w:type="dxa"/>
              <w:right w:w="-113" w:type="dxa"/>
            </w:tcMar>
          </w:tcPr>
          <w:p w14:paraId="32C74A23" w14:textId="77777777" w:rsidR="00CB0062" w:rsidRDefault="00CB0062" w:rsidP="00223E56">
            <w:pPr>
              <w:rPr>
                <w:color w:val="000000"/>
                <w:sz w:val="16"/>
                <w:szCs w:val="16"/>
              </w:rPr>
            </w:pPr>
            <w:r>
              <w:rPr>
                <w:color w:val="000000"/>
                <w:sz w:val="16"/>
                <w:szCs w:val="16"/>
              </w:rPr>
              <w:t>Synonymous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2273FE4D" w14:textId="77777777" w:rsidR="00CB0062" w:rsidRDefault="00CB0062" w:rsidP="00223E56">
            <w:pPr>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56EFA4C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4BC77E4B" w14:textId="77777777" w:rsidTr="00923C73">
        <w:trPr>
          <w:trHeight w:val="61"/>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E21BA8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EFD0F1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6D3843DC" w14:textId="77777777" w:rsidR="00CB0062" w:rsidRDefault="00CB0062" w:rsidP="00223E56">
            <w:pPr>
              <w:rPr>
                <w:color w:val="000000"/>
                <w:sz w:val="16"/>
                <w:szCs w:val="16"/>
              </w:rPr>
            </w:pPr>
            <w:r>
              <w:rPr>
                <w:color w:val="000000"/>
                <w:sz w:val="16"/>
                <w:szCs w:val="16"/>
              </w:rPr>
              <w:t>rs2239892</w:t>
            </w:r>
          </w:p>
        </w:tc>
        <w:tc>
          <w:tcPr>
            <w:tcW w:w="851" w:type="dxa"/>
            <w:tcBorders>
              <w:top w:val="single" w:sz="4" w:space="0" w:color="D0CECE"/>
              <w:bottom w:val="single" w:sz="4" w:space="0" w:color="D0CECE"/>
            </w:tcBorders>
            <w:tcMar>
              <w:top w:w="-113" w:type="dxa"/>
              <w:left w:w="-113" w:type="dxa"/>
              <w:bottom w:w="-113" w:type="dxa"/>
              <w:right w:w="-113" w:type="dxa"/>
            </w:tcMar>
          </w:tcPr>
          <w:p w14:paraId="229047B5" w14:textId="77777777" w:rsidR="00CB0062" w:rsidRDefault="00CB0062" w:rsidP="00223E56">
            <w:pPr>
              <w:rPr>
                <w:color w:val="000000"/>
                <w:sz w:val="16"/>
                <w:szCs w:val="16"/>
              </w:rPr>
            </w:pPr>
            <w:r>
              <w:rPr>
                <w:color w:val="000000"/>
                <w:sz w:val="16"/>
                <w:szCs w:val="16"/>
              </w:rPr>
              <w:t>A&gt;</w:t>
            </w:r>
            <w:proofErr w:type="gramStart"/>
            <w:r>
              <w:rPr>
                <w:color w:val="000000"/>
                <w:sz w:val="16"/>
                <w:szCs w:val="16"/>
              </w:rPr>
              <w:t>C,G</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141BBD1A"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073259D4" w14:textId="77777777" w:rsidR="00CB0062" w:rsidRDefault="00CB0062" w:rsidP="00223E56">
            <w:pPr>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31ACC32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35EF4198" w14:textId="77777777" w:rsidTr="00923C73">
        <w:trPr>
          <w:trHeight w:val="61"/>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F44D5E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ECE731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6121ABA4" w14:textId="77777777" w:rsidR="00CB0062" w:rsidRDefault="00CB0062" w:rsidP="00223E56">
            <w:pPr>
              <w:rPr>
                <w:color w:val="000000"/>
                <w:sz w:val="16"/>
                <w:szCs w:val="16"/>
              </w:rPr>
            </w:pPr>
            <w:r>
              <w:rPr>
                <w:color w:val="000000"/>
                <w:sz w:val="16"/>
                <w:szCs w:val="16"/>
              </w:rPr>
              <w:t>rs412543</w:t>
            </w:r>
          </w:p>
        </w:tc>
        <w:tc>
          <w:tcPr>
            <w:tcW w:w="851" w:type="dxa"/>
            <w:tcBorders>
              <w:top w:val="single" w:sz="4" w:space="0" w:color="D0CECE"/>
              <w:bottom w:val="single" w:sz="4" w:space="0" w:color="D0CECE"/>
            </w:tcBorders>
            <w:tcMar>
              <w:top w:w="-113" w:type="dxa"/>
              <w:left w:w="-113" w:type="dxa"/>
              <w:bottom w:w="-113" w:type="dxa"/>
              <w:right w:w="-113" w:type="dxa"/>
            </w:tcMar>
          </w:tcPr>
          <w:p w14:paraId="63C2A990" w14:textId="77777777" w:rsidR="00CB0062" w:rsidRDefault="00CB0062" w:rsidP="00223E56">
            <w:pPr>
              <w:rPr>
                <w:color w:val="000000"/>
                <w:sz w:val="16"/>
                <w:szCs w:val="16"/>
              </w:rPr>
            </w:pPr>
            <w:r>
              <w:rPr>
                <w:color w:val="000000"/>
                <w:sz w:val="16"/>
                <w:szCs w:val="16"/>
              </w:rPr>
              <w:t>G&gt;</w:t>
            </w:r>
            <w:proofErr w:type="gramStart"/>
            <w:r>
              <w:rPr>
                <w:color w:val="000000"/>
                <w:sz w:val="16"/>
                <w:szCs w:val="16"/>
              </w:rPr>
              <w:t>A,C</w:t>
            </w:r>
            <w:proofErr w:type="gramEnd"/>
            <w:r>
              <w:rPr>
                <w:color w:val="000000"/>
                <w:sz w:val="16"/>
                <w:szCs w:val="16"/>
              </w:rPr>
              <w:t>,T</w:t>
            </w:r>
          </w:p>
        </w:tc>
        <w:tc>
          <w:tcPr>
            <w:tcW w:w="1701" w:type="dxa"/>
            <w:tcBorders>
              <w:top w:val="single" w:sz="4" w:space="0" w:color="D0CECE"/>
              <w:bottom w:val="single" w:sz="4" w:space="0" w:color="D0CECE"/>
            </w:tcBorders>
            <w:tcMar>
              <w:top w:w="-113" w:type="dxa"/>
              <w:left w:w="-113" w:type="dxa"/>
              <w:bottom w:w="-113" w:type="dxa"/>
              <w:right w:w="-113" w:type="dxa"/>
            </w:tcMar>
          </w:tcPr>
          <w:p w14:paraId="3DEFE43C" w14:textId="77777777" w:rsidR="00CB0062" w:rsidRDefault="00CB0062" w:rsidP="00223E56">
            <w:pPr>
              <w:rPr>
                <w:color w:val="000000"/>
                <w:sz w:val="16"/>
                <w:szCs w:val="16"/>
              </w:rPr>
            </w:pPr>
            <w:r>
              <w:rPr>
                <w:sz w:val="16"/>
                <w:szCs w:val="16"/>
              </w:rPr>
              <w:t>2KB Upstream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3713B35B" w14:textId="77777777" w:rsidR="00CB0062" w:rsidRDefault="00CB0062" w:rsidP="00223E56">
            <w:pPr>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9D4709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53113953" w14:textId="77777777" w:rsidTr="00923C73">
        <w:trPr>
          <w:trHeight w:val="61"/>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6B432A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A08AAC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798C7A44" w14:textId="77777777" w:rsidR="00CB0062" w:rsidRDefault="00CB0062" w:rsidP="00223E56">
            <w:pPr>
              <w:rPr>
                <w:color w:val="000000"/>
                <w:sz w:val="16"/>
                <w:szCs w:val="16"/>
              </w:rPr>
            </w:pPr>
            <w:r>
              <w:rPr>
                <w:color w:val="000000"/>
                <w:sz w:val="16"/>
                <w:szCs w:val="16"/>
              </w:rPr>
              <w:t>rs4147563</w:t>
            </w:r>
          </w:p>
        </w:tc>
        <w:tc>
          <w:tcPr>
            <w:tcW w:w="851" w:type="dxa"/>
            <w:tcBorders>
              <w:top w:val="single" w:sz="4" w:space="0" w:color="D0CECE"/>
              <w:bottom w:val="single" w:sz="4" w:space="0" w:color="D0CECE"/>
            </w:tcBorders>
            <w:tcMar>
              <w:top w:w="-113" w:type="dxa"/>
              <w:left w:w="-113" w:type="dxa"/>
              <w:bottom w:w="-113" w:type="dxa"/>
              <w:right w:w="-113" w:type="dxa"/>
            </w:tcMar>
          </w:tcPr>
          <w:p w14:paraId="1D3B8B13" w14:textId="77777777" w:rsidR="00CB0062" w:rsidRDefault="00CB0062" w:rsidP="00223E56">
            <w:pPr>
              <w:rPr>
                <w:color w:val="000000"/>
                <w:sz w:val="16"/>
                <w:szCs w:val="16"/>
              </w:rPr>
            </w:pPr>
            <w:r>
              <w:rPr>
                <w:color w:val="000000"/>
                <w:sz w:val="16"/>
                <w:szCs w:val="16"/>
              </w:rPr>
              <w:t>C&gt;</w:t>
            </w:r>
            <w:proofErr w:type="gramStart"/>
            <w:r>
              <w:rPr>
                <w:color w:val="000000"/>
                <w:sz w:val="16"/>
                <w:szCs w:val="16"/>
              </w:rPr>
              <w:t>A,T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105321DC" w14:textId="77777777" w:rsidR="00CB0062" w:rsidRDefault="00CB0062" w:rsidP="00223E56">
            <w:pPr>
              <w:rPr>
                <w:color w:val="000000"/>
                <w:sz w:val="16"/>
                <w:szCs w:val="16"/>
              </w:rPr>
            </w:pPr>
            <w:r>
              <w:rPr>
                <w:sz w:val="16"/>
                <w:szCs w:val="16"/>
              </w:rPr>
              <w:t>2KB Upstream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6046B31C" w14:textId="77777777" w:rsidR="00CB0062" w:rsidRDefault="00CB0062" w:rsidP="00223E56">
            <w:pPr>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1352303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5E758494"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6D1029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B5D21B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2EE4230F" w14:textId="77777777" w:rsidR="00CB0062" w:rsidRDefault="00CB0062" w:rsidP="00223E56">
            <w:pPr>
              <w:rPr>
                <w:sz w:val="16"/>
                <w:szCs w:val="16"/>
              </w:rPr>
            </w:pPr>
            <w:r>
              <w:rPr>
                <w:color w:val="000000"/>
                <w:sz w:val="16"/>
                <w:szCs w:val="16"/>
              </w:rPr>
              <w:t>rs4147567</w:t>
            </w:r>
          </w:p>
          <w:p w14:paraId="0121B04C" w14:textId="77777777" w:rsidR="00CB0062" w:rsidRDefault="00CB0062" w:rsidP="00223E56">
            <w:pPr>
              <w:rPr>
                <w:sz w:val="16"/>
                <w:szCs w:val="16"/>
              </w:rPr>
            </w:pPr>
          </w:p>
        </w:tc>
        <w:tc>
          <w:tcPr>
            <w:tcW w:w="85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04750FC8" w14:textId="77777777" w:rsidR="00CB0062" w:rsidRDefault="00CB0062" w:rsidP="00223E56">
            <w:pPr>
              <w:rPr>
                <w:color w:val="000000"/>
                <w:sz w:val="16"/>
                <w:szCs w:val="16"/>
              </w:rPr>
            </w:pPr>
            <w:r>
              <w:rPr>
                <w:color w:val="000000"/>
                <w:sz w:val="16"/>
                <w:szCs w:val="16"/>
              </w:rPr>
              <w:t>A&gt;G</w:t>
            </w:r>
          </w:p>
        </w:tc>
        <w:tc>
          <w:tcPr>
            <w:tcW w:w="170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19EB19AB" w14:textId="77777777" w:rsidR="00CB0062" w:rsidRDefault="00CB0062" w:rsidP="00223E56">
            <w:pPr>
              <w:rPr>
                <w:color w:val="000000"/>
                <w:sz w:val="16"/>
                <w:szCs w:val="16"/>
              </w:rPr>
            </w:pPr>
            <w:r>
              <w:rPr>
                <w:color w:val="000000"/>
                <w:sz w:val="16"/>
                <w:szCs w:val="16"/>
              </w:rPr>
              <w:t>Intron variant</w:t>
            </w:r>
          </w:p>
        </w:tc>
        <w:tc>
          <w:tcPr>
            <w:tcW w:w="708" w:type="dxa"/>
            <w:tcBorders>
              <w:top w:val="single" w:sz="4" w:space="0" w:color="D0CECE"/>
              <w:bottom w:val="single" w:sz="4" w:space="0" w:color="D0CECE"/>
            </w:tcBorders>
            <w:shd w:val="clear" w:color="auto" w:fill="auto"/>
            <w:tcMar>
              <w:top w:w="-113" w:type="dxa"/>
              <w:left w:w="-113" w:type="dxa"/>
              <w:bottom w:w="-113" w:type="dxa"/>
              <w:right w:w="-113" w:type="dxa"/>
            </w:tcMar>
          </w:tcPr>
          <w:p w14:paraId="6B4461F7" w14:textId="77777777" w:rsidR="00CB0062" w:rsidRDefault="00CB0062" w:rsidP="00223E56">
            <w:pPr>
              <w:rPr>
                <w:color w:val="000000"/>
                <w:sz w:val="16"/>
                <w:szCs w:val="16"/>
              </w:rPr>
            </w:pPr>
            <w:r>
              <w:rPr>
                <w:color w:val="000000"/>
                <w:sz w:val="16"/>
                <w:szCs w:val="16"/>
              </w:rPr>
              <w:t>SBP</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396F22B3" w14:textId="77777777" w:rsidR="00CB0062" w:rsidRDefault="00CB0062" w:rsidP="00223E56">
            <w:pPr>
              <w:rPr>
                <w:color w:val="000000"/>
                <w:sz w:val="16"/>
                <w:szCs w:val="16"/>
              </w:rPr>
            </w:pPr>
            <w:r>
              <w:rPr>
                <w:sz w:val="16"/>
                <w:szCs w:val="16"/>
              </w:rPr>
              <w:t xml:space="preserve">Farzan </w:t>
            </w:r>
            <w:r>
              <w:rPr>
                <w:i/>
                <w:sz w:val="16"/>
                <w:szCs w:val="16"/>
              </w:rPr>
              <w:t>et al.</w:t>
            </w:r>
            <w:r>
              <w:rPr>
                <w:sz w:val="16"/>
                <w:szCs w:val="16"/>
              </w:rPr>
              <w:t xml:space="preserve"> 2016</w:t>
            </w:r>
          </w:p>
          <w:p w14:paraId="779306B7" w14:textId="77777777" w:rsidR="00CB0062" w:rsidRDefault="00CB0062" w:rsidP="00223E56">
            <w:pPr>
              <w:rPr>
                <w:color w:val="000000"/>
                <w:sz w:val="16"/>
                <w:szCs w:val="16"/>
              </w:rPr>
            </w:pPr>
          </w:p>
        </w:tc>
      </w:tr>
      <w:tr w:rsidR="00CB0062" w14:paraId="7706B255"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D6C036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3CB2D8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749E8D3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019BD2B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51EF939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tcBorders>
              <w:top w:val="single" w:sz="4" w:space="0" w:color="D0CECE"/>
              <w:bottom w:val="single" w:sz="4" w:space="0" w:color="D0CECE"/>
            </w:tcBorders>
            <w:shd w:val="clear" w:color="auto" w:fill="auto"/>
            <w:tcMar>
              <w:top w:w="-113" w:type="dxa"/>
              <w:left w:w="-113" w:type="dxa"/>
              <w:bottom w:w="-113" w:type="dxa"/>
              <w:right w:w="-113" w:type="dxa"/>
            </w:tcMar>
          </w:tcPr>
          <w:p w14:paraId="6EFEE5C5" w14:textId="77777777" w:rsidR="00CB0062" w:rsidRDefault="00CB0062" w:rsidP="00223E56">
            <w:pPr>
              <w:rPr>
                <w:color w:val="000000"/>
                <w:sz w:val="16"/>
                <w:szCs w:val="16"/>
              </w:rPr>
            </w:pPr>
            <w:r>
              <w:rPr>
                <w:color w:val="000000"/>
                <w:sz w:val="16"/>
                <w:szCs w:val="16"/>
              </w:rPr>
              <w:t>DBP</w:t>
            </w: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43C1A5E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0F44B3C6"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6F46D2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A0C37D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41C67E8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76F0076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715A0EB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tcBorders>
              <w:top w:val="single" w:sz="4" w:space="0" w:color="D0CECE"/>
              <w:bottom w:val="single" w:sz="4" w:space="0" w:color="D0CECE"/>
            </w:tcBorders>
            <w:tcMar>
              <w:top w:w="-113" w:type="dxa"/>
              <w:left w:w="-113" w:type="dxa"/>
              <w:bottom w:w="-113" w:type="dxa"/>
              <w:right w:w="-113" w:type="dxa"/>
            </w:tcMar>
          </w:tcPr>
          <w:p w14:paraId="26F3FADF" w14:textId="77777777" w:rsidR="00CB0062" w:rsidRDefault="00CB0062" w:rsidP="00223E56">
            <w:pPr>
              <w:rPr>
                <w:color w:val="000000"/>
                <w:sz w:val="16"/>
                <w:szCs w:val="16"/>
              </w:rPr>
            </w:pPr>
            <w:r>
              <w:rPr>
                <w:color w:val="000000"/>
                <w:sz w:val="16"/>
                <w:szCs w:val="16"/>
              </w:rPr>
              <w:t>BP</w:t>
            </w: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78EBF5E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rsidRPr="0030321B" w14:paraId="4EE75527" w14:textId="77777777" w:rsidTr="00923C73">
        <w:trPr>
          <w:trHeight w:val="212"/>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9B1702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72824A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2A12825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231E35F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590A1F9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vMerge w:val="restart"/>
            <w:tcBorders>
              <w:top w:val="single" w:sz="4" w:space="0" w:color="D0CECE"/>
              <w:bottom w:val="single" w:sz="4" w:space="0" w:color="D0CECE"/>
            </w:tcBorders>
            <w:tcMar>
              <w:top w:w="-113" w:type="dxa"/>
              <w:left w:w="-113" w:type="dxa"/>
              <w:bottom w:w="-113" w:type="dxa"/>
              <w:right w:w="-113" w:type="dxa"/>
            </w:tcMar>
          </w:tcPr>
          <w:p w14:paraId="746A1D1F" w14:textId="77777777" w:rsidR="00CB0062" w:rsidRDefault="00CB0062" w:rsidP="00223E56">
            <w:pPr>
              <w:rPr>
                <w:color w:val="000000"/>
                <w:sz w:val="16"/>
                <w:szCs w:val="16"/>
              </w:rPr>
            </w:pPr>
            <w:r>
              <w:rPr>
                <w:color w:val="000000"/>
                <w:sz w:val="16"/>
                <w:szCs w:val="16"/>
              </w:rPr>
              <w:t>CVD</w:t>
            </w:r>
          </w:p>
          <w:p w14:paraId="25EC1C7C" w14:textId="77777777" w:rsidR="00CB0062" w:rsidRDefault="00CB0062" w:rsidP="00223E56">
            <w:pPr>
              <w:rPr>
                <w:sz w:val="16"/>
                <w:szCs w:val="16"/>
              </w:rPr>
            </w:pPr>
            <w:r>
              <w:rPr>
                <w:sz w:val="16"/>
                <w:szCs w:val="16"/>
              </w:rPr>
              <w:t>CIMT</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6E0D7C03" w14:textId="77777777" w:rsidR="00CB0062" w:rsidRPr="00641BD3" w:rsidRDefault="00CB0062" w:rsidP="00223E56">
            <w:pPr>
              <w:rPr>
                <w:color w:val="000000"/>
                <w:sz w:val="16"/>
                <w:szCs w:val="16"/>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165B7D6C" w14:textId="77777777" w:rsidR="00CB0062" w:rsidRPr="00641BD3" w:rsidRDefault="00CB0062" w:rsidP="00223E56">
            <w:pPr>
              <w:rPr>
                <w:color w:val="000000"/>
                <w:sz w:val="16"/>
                <w:szCs w:val="16"/>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tc>
      </w:tr>
      <w:tr w:rsidR="00CB0062" w14:paraId="0F620C6A" w14:textId="77777777" w:rsidTr="00923C73">
        <w:trPr>
          <w:trHeight w:val="61"/>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BBA867F"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DC67AFF"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22695FB5" w14:textId="77777777" w:rsidR="00CB0062" w:rsidRDefault="00CB0062" w:rsidP="00223E56">
            <w:pPr>
              <w:rPr>
                <w:color w:val="000000"/>
                <w:sz w:val="16"/>
                <w:szCs w:val="16"/>
              </w:rPr>
            </w:pPr>
            <w:r>
              <w:rPr>
                <w:color w:val="000000"/>
                <w:sz w:val="16"/>
                <w:szCs w:val="16"/>
              </w:rPr>
              <w:t>rs737497</w:t>
            </w:r>
          </w:p>
        </w:tc>
        <w:tc>
          <w:tcPr>
            <w:tcW w:w="851" w:type="dxa"/>
            <w:tcBorders>
              <w:top w:val="single" w:sz="4" w:space="0" w:color="D0CECE"/>
              <w:bottom w:val="single" w:sz="4" w:space="0" w:color="000000"/>
            </w:tcBorders>
            <w:tcMar>
              <w:top w:w="-113" w:type="dxa"/>
              <w:left w:w="-113" w:type="dxa"/>
              <w:bottom w:w="-113" w:type="dxa"/>
              <w:right w:w="-113" w:type="dxa"/>
            </w:tcMar>
          </w:tcPr>
          <w:p w14:paraId="3F8958C7" w14:textId="77777777" w:rsidR="00CB0062" w:rsidRDefault="00CB0062" w:rsidP="00223E56">
            <w:pPr>
              <w:rPr>
                <w:color w:val="000000"/>
                <w:sz w:val="16"/>
                <w:szCs w:val="16"/>
              </w:rPr>
            </w:pPr>
            <w:r>
              <w:rPr>
                <w:color w:val="000000"/>
                <w:sz w:val="16"/>
                <w:szCs w:val="16"/>
              </w:rPr>
              <w:t>T&gt;C</w:t>
            </w:r>
          </w:p>
        </w:tc>
        <w:tc>
          <w:tcPr>
            <w:tcW w:w="1701" w:type="dxa"/>
            <w:tcBorders>
              <w:top w:val="single" w:sz="4" w:space="0" w:color="D0CECE"/>
              <w:bottom w:val="single" w:sz="4" w:space="0" w:color="000000"/>
            </w:tcBorders>
            <w:tcMar>
              <w:top w:w="-113" w:type="dxa"/>
              <w:left w:w="-113" w:type="dxa"/>
              <w:bottom w:w="-113" w:type="dxa"/>
              <w:right w:w="-113" w:type="dxa"/>
            </w:tcMar>
          </w:tcPr>
          <w:p w14:paraId="131FA2B6"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000000"/>
            </w:tcBorders>
            <w:tcMar>
              <w:top w:w="-113" w:type="dxa"/>
              <w:left w:w="-113" w:type="dxa"/>
              <w:bottom w:w="-113" w:type="dxa"/>
              <w:right w:w="-113" w:type="dxa"/>
            </w:tcMar>
          </w:tcPr>
          <w:p w14:paraId="3FB1E07B" w14:textId="77777777" w:rsidR="00CB0062" w:rsidRDefault="00CB0062" w:rsidP="00223E56">
            <w:pPr>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25FDA9A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rsidRPr="0030321B" w14:paraId="1BD665D2" w14:textId="77777777" w:rsidTr="00923C73">
        <w:trPr>
          <w:trHeight w:val="61"/>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F830072" w14:textId="77777777" w:rsidR="00CB0062" w:rsidRDefault="00CB0062" w:rsidP="00223E56">
            <w:pPr>
              <w:rPr>
                <w:i/>
                <w:color w:val="000000"/>
                <w:sz w:val="16"/>
                <w:szCs w:val="16"/>
              </w:rPr>
            </w:pPr>
            <w:r>
              <w:rPr>
                <w:i/>
                <w:color w:val="000000"/>
                <w:sz w:val="16"/>
                <w:szCs w:val="16"/>
              </w:rPr>
              <w:t>GSTO1</w:t>
            </w:r>
          </w:p>
          <w:p w14:paraId="1FB4E943"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A656CA1" w14:textId="77777777" w:rsidR="00CB0062" w:rsidRDefault="00CB0062" w:rsidP="00223E56">
            <w:pPr>
              <w:rPr>
                <w:color w:val="000000"/>
                <w:sz w:val="16"/>
                <w:szCs w:val="16"/>
              </w:rPr>
            </w:pPr>
            <w:r>
              <w:rPr>
                <w:color w:val="000000"/>
                <w:sz w:val="16"/>
                <w:szCs w:val="16"/>
              </w:rPr>
              <w:t>Glutathione S-transferase omega-1</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20054CA9" w14:textId="77777777" w:rsidR="00CB0062" w:rsidRDefault="00CB0062" w:rsidP="00223E56">
            <w:pPr>
              <w:rPr>
                <w:color w:val="000000"/>
                <w:sz w:val="16"/>
                <w:szCs w:val="16"/>
              </w:rPr>
            </w:pPr>
            <w:r>
              <w:rPr>
                <w:color w:val="000000"/>
                <w:sz w:val="16"/>
                <w:szCs w:val="16"/>
              </w:rPr>
              <w:t>rs1147611</w:t>
            </w:r>
          </w:p>
        </w:tc>
        <w:tc>
          <w:tcPr>
            <w:tcW w:w="851" w:type="dxa"/>
            <w:tcBorders>
              <w:top w:val="single" w:sz="4" w:space="0" w:color="000000"/>
              <w:bottom w:val="single" w:sz="4" w:space="0" w:color="D0CECE"/>
            </w:tcBorders>
            <w:tcMar>
              <w:top w:w="-113" w:type="dxa"/>
              <w:left w:w="-113" w:type="dxa"/>
              <w:bottom w:w="-113" w:type="dxa"/>
              <w:right w:w="-113" w:type="dxa"/>
            </w:tcMar>
          </w:tcPr>
          <w:p w14:paraId="065A9FBA" w14:textId="77777777" w:rsidR="00CB0062" w:rsidRDefault="00CB0062" w:rsidP="00223E56">
            <w:pPr>
              <w:rPr>
                <w:color w:val="000000"/>
                <w:sz w:val="16"/>
                <w:szCs w:val="16"/>
              </w:rPr>
            </w:pPr>
            <w:r>
              <w:rPr>
                <w:color w:val="000000"/>
                <w:sz w:val="16"/>
                <w:szCs w:val="16"/>
              </w:rPr>
              <w:t>G&gt;</w:t>
            </w:r>
            <w:proofErr w:type="gramStart"/>
            <w:r>
              <w:rPr>
                <w:color w:val="000000"/>
                <w:sz w:val="16"/>
                <w:szCs w:val="16"/>
              </w:rPr>
              <w:t>A,T</w:t>
            </w:r>
            <w:proofErr w:type="gramEnd"/>
          </w:p>
        </w:tc>
        <w:tc>
          <w:tcPr>
            <w:tcW w:w="1701" w:type="dxa"/>
            <w:tcBorders>
              <w:top w:val="single" w:sz="4" w:space="0" w:color="000000"/>
              <w:bottom w:val="single" w:sz="4" w:space="0" w:color="D0CECE"/>
            </w:tcBorders>
            <w:tcMar>
              <w:top w:w="-113" w:type="dxa"/>
              <w:left w:w="-113" w:type="dxa"/>
              <w:bottom w:w="-113" w:type="dxa"/>
              <w:right w:w="-113" w:type="dxa"/>
            </w:tcMar>
          </w:tcPr>
          <w:p w14:paraId="5DAE5C1D" w14:textId="77777777" w:rsidR="00CB0062" w:rsidRDefault="00CB0062" w:rsidP="00223E56">
            <w:pPr>
              <w:rPr>
                <w:color w:val="000000"/>
                <w:sz w:val="16"/>
                <w:szCs w:val="16"/>
              </w:rPr>
            </w:pPr>
            <w:r>
              <w:rPr>
                <w:color w:val="000000"/>
                <w:sz w:val="16"/>
                <w:szCs w:val="16"/>
              </w:rPr>
              <w:t>Intron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0510B18F" w14:textId="77777777" w:rsidR="00CB0062" w:rsidRDefault="00CB0062" w:rsidP="00223E56">
            <w:pPr>
              <w:rPr>
                <w:sz w:val="16"/>
                <w:szCs w:val="16"/>
              </w:rPr>
            </w:pPr>
            <w:r>
              <w:rPr>
                <w:sz w:val="16"/>
                <w:szCs w:val="16"/>
              </w:rPr>
              <w:t>CVD</w:t>
            </w:r>
          </w:p>
          <w:p w14:paraId="6C787970" w14:textId="77777777" w:rsidR="00CB0062" w:rsidRDefault="00CB0062" w:rsidP="00223E56">
            <w:pPr>
              <w:rPr>
                <w:sz w:val="16"/>
                <w:szCs w:val="16"/>
              </w:rPr>
            </w:pPr>
            <w:r>
              <w:rPr>
                <w:sz w:val="16"/>
                <w:szCs w:val="16"/>
              </w:rPr>
              <w:t>CIMT</w:t>
            </w: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64D7AA42"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40AB8775"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p w14:paraId="0F787969" w14:textId="77777777" w:rsidR="00CB0062" w:rsidRPr="00641BD3" w:rsidRDefault="00CB0062" w:rsidP="00223E56">
            <w:pPr>
              <w:rPr>
                <w:color w:val="000000"/>
                <w:sz w:val="16"/>
                <w:szCs w:val="16"/>
                <w:lang w:val="es-ES"/>
              </w:rPr>
            </w:pPr>
          </w:p>
        </w:tc>
      </w:tr>
      <w:tr w:rsidR="00CB0062" w14:paraId="1A27E164" w14:textId="77777777" w:rsidTr="00923C73">
        <w:trPr>
          <w:trHeight w:val="61"/>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B0CF75E"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B7A8EF8"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77CB6DF2" w14:textId="77777777" w:rsidR="00CB0062" w:rsidRDefault="00CB0062" w:rsidP="00223E56">
            <w:pPr>
              <w:rPr>
                <w:color w:val="000000"/>
                <w:sz w:val="16"/>
                <w:szCs w:val="16"/>
              </w:rPr>
            </w:pPr>
            <w:r>
              <w:rPr>
                <w:color w:val="000000"/>
                <w:sz w:val="16"/>
                <w:szCs w:val="16"/>
              </w:rPr>
              <w:t>rs11509438</w:t>
            </w:r>
          </w:p>
        </w:tc>
        <w:tc>
          <w:tcPr>
            <w:tcW w:w="851" w:type="dxa"/>
            <w:tcBorders>
              <w:top w:val="single" w:sz="4" w:space="0" w:color="D0CECE"/>
              <w:bottom w:val="single" w:sz="4" w:space="0" w:color="D0CECE"/>
            </w:tcBorders>
            <w:tcMar>
              <w:top w:w="-113" w:type="dxa"/>
              <w:left w:w="-113" w:type="dxa"/>
              <w:bottom w:w="-113" w:type="dxa"/>
              <w:right w:w="-113" w:type="dxa"/>
            </w:tcMar>
          </w:tcPr>
          <w:p w14:paraId="5245E369" w14:textId="77777777" w:rsidR="00CB0062" w:rsidRDefault="00CB0062" w:rsidP="00223E56">
            <w:pPr>
              <w:rPr>
                <w:color w:val="000000"/>
                <w:sz w:val="16"/>
                <w:szCs w:val="16"/>
              </w:rPr>
            </w:pPr>
            <w:r>
              <w:rPr>
                <w:color w:val="000000"/>
                <w:sz w:val="16"/>
                <w:szCs w:val="16"/>
              </w:rPr>
              <w:t>G&gt;A</w:t>
            </w:r>
          </w:p>
        </w:tc>
        <w:tc>
          <w:tcPr>
            <w:tcW w:w="1701" w:type="dxa"/>
            <w:tcBorders>
              <w:top w:val="single" w:sz="4" w:space="0" w:color="D0CECE"/>
              <w:bottom w:val="single" w:sz="4" w:space="0" w:color="D0CECE"/>
            </w:tcBorders>
            <w:tcMar>
              <w:top w:w="-113" w:type="dxa"/>
              <w:left w:w="-113" w:type="dxa"/>
              <w:bottom w:w="-113" w:type="dxa"/>
              <w:right w:w="-113" w:type="dxa"/>
            </w:tcMar>
          </w:tcPr>
          <w:p w14:paraId="5E320EC8" w14:textId="77777777" w:rsidR="00CB0062" w:rsidRDefault="00CB0062" w:rsidP="00223E56">
            <w:pPr>
              <w:rPr>
                <w:color w:val="000000"/>
                <w:sz w:val="16"/>
                <w:szCs w:val="16"/>
              </w:rPr>
            </w:pPr>
            <w:r>
              <w:rPr>
                <w:color w:val="000000"/>
                <w:sz w:val="16"/>
                <w:szCs w:val="16"/>
              </w:rPr>
              <w:t>Missense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416DEE1D" w14:textId="77777777" w:rsidR="00CB0062" w:rsidRDefault="00CB0062" w:rsidP="00223E56">
            <w:pPr>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3154B81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5D7C1EC1" w14:textId="77777777" w:rsidTr="00923C73">
        <w:trPr>
          <w:trHeight w:val="61"/>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6FE7D4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C19500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22211090" w14:textId="77777777" w:rsidR="00CB0062" w:rsidRDefault="00CB0062" w:rsidP="00223E56">
            <w:pPr>
              <w:rPr>
                <w:color w:val="000000"/>
                <w:sz w:val="16"/>
                <w:szCs w:val="16"/>
              </w:rPr>
            </w:pPr>
            <w:r>
              <w:rPr>
                <w:color w:val="000000"/>
                <w:sz w:val="16"/>
                <w:szCs w:val="16"/>
              </w:rPr>
              <w:t>rs17116736</w:t>
            </w:r>
          </w:p>
        </w:tc>
        <w:tc>
          <w:tcPr>
            <w:tcW w:w="851" w:type="dxa"/>
            <w:tcBorders>
              <w:top w:val="single" w:sz="4" w:space="0" w:color="D0CECE"/>
              <w:bottom w:val="single" w:sz="4" w:space="0" w:color="D0CECE"/>
            </w:tcBorders>
            <w:tcMar>
              <w:top w:w="-113" w:type="dxa"/>
              <w:left w:w="-113" w:type="dxa"/>
              <w:bottom w:w="-113" w:type="dxa"/>
              <w:right w:w="-113" w:type="dxa"/>
            </w:tcMar>
          </w:tcPr>
          <w:p w14:paraId="6985384E" w14:textId="77777777" w:rsidR="00CB0062" w:rsidRDefault="00CB0062" w:rsidP="00223E56">
            <w:pPr>
              <w:rPr>
                <w:color w:val="000000"/>
                <w:sz w:val="16"/>
                <w:szCs w:val="16"/>
              </w:rPr>
            </w:pPr>
            <w:r>
              <w:rPr>
                <w:color w:val="000000"/>
                <w:sz w:val="16"/>
                <w:szCs w:val="16"/>
              </w:rPr>
              <w:t>A&gt;</w:t>
            </w:r>
            <w:proofErr w:type="gramStart"/>
            <w:r>
              <w:rPr>
                <w:color w:val="000000"/>
                <w:sz w:val="16"/>
                <w:szCs w:val="16"/>
              </w:rPr>
              <w:t>G,T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36CDF9EE"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16F9E107" w14:textId="77777777" w:rsidR="00CB0062" w:rsidRDefault="00CB0062" w:rsidP="00223E56">
            <w:pPr>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0B3A7A8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4CF03F69" w14:textId="77777777" w:rsidTr="00923C73">
        <w:trPr>
          <w:trHeight w:val="61"/>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DB4C06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A463E0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13C59FAE" w14:textId="77777777" w:rsidR="00CB0062" w:rsidRDefault="00CB0062" w:rsidP="00223E56">
            <w:pPr>
              <w:rPr>
                <w:color w:val="000000"/>
                <w:sz w:val="16"/>
                <w:szCs w:val="16"/>
              </w:rPr>
            </w:pPr>
            <w:r>
              <w:rPr>
                <w:color w:val="000000"/>
                <w:sz w:val="16"/>
                <w:szCs w:val="16"/>
              </w:rPr>
              <w:t>rs2282326</w:t>
            </w:r>
          </w:p>
        </w:tc>
        <w:tc>
          <w:tcPr>
            <w:tcW w:w="851" w:type="dxa"/>
            <w:tcBorders>
              <w:top w:val="single" w:sz="4" w:space="0" w:color="D0CECE"/>
              <w:bottom w:val="single" w:sz="4" w:space="0" w:color="D0CECE"/>
            </w:tcBorders>
            <w:tcMar>
              <w:top w:w="-113" w:type="dxa"/>
              <w:left w:w="-113" w:type="dxa"/>
              <w:bottom w:w="-113" w:type="dxa"/>
              <w:right w:w="-113" w:type="dxa"/>
            </w:tcMar>
          </w:tcPr>
          <w:p w14:paraId="1F8B9E98" w14:textId="77777777" w:rsidR="00CB0062" w:rsidRDefault="00CB0062" w:rsidP="00223E56">
            <w:pPr>
              <w:rPr>
                <w:color w:val="000000"/>
                <w:sz w:val="16"/>
                <w:szCs w:val="16"/>
              </w:rPr>
            </w:pPr>
            <w:r>
              <w:rPr>
                <w:color w:val="000000"/>
                <w:sz w:val="16"/>
                <w:szCs w:val="16"/>
              </w:rPr>
              <w:t>A&gt;C</w:t>
            </w:r>
          </w:p>
        </w:tc>
        <w:tc>
          <w:tcPr>
            <w:tcW w:w="1701" w:type="dxa"/>
            <w:tcBorders>
              <w:top w:val="single" w:sz="4" w:space="0" w:color="D0CECE"/>
              <w:bottom w:val="single" w:sz="4" w:space="0" w:color="D0CECE"/>
            </w:tcBorders>
            <w:tcMar>
              <w:top w:w="-113" w:type="dxa"/>
              <w:left w:w="-113" w:type="dxa"/>
              <w:bottom w:w="-113" w:type="dxa"/>
              <w:right w:w="-113" w:type="dxa"/>
            </w:tcMar>
          </w:tcPr>
          <w:p w14:paraId="4A4FF287"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7817FF8E" w14:textId="77777777" w:rsidR="00CB0062" w:rsidRDefault="00CB0062" w:rsidP="00223E56">
            <w:pPr>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4BB3D49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4FB93858" w14:textId="77777777" w:rsidTr="00923C73">
        <w:trPr>
          <w:trHeight w:val="61"/>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7BD77B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AA64F6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59418E97" w14:textId="77777777" w:rsidR="00CB0062" w:rsidRDefault="00CB0062" w:rsidP="00223E56">
            <w:pPr>
              <w:rPr>
                <w:color w:val="000000"/>
                <w:sz w:val="16"/>
                <w:szCs w:val="16"/>
              </w:rPr>
            </w:pPr>
            <w:r>
              <w:rPr>
                <w:color w:val="000000"/>
                <w:sz w:val="16"/>
                <w:szCs w:val="16"/>
              </w:rPr>
              <w:t>rs4925</w:t>
            </w:r>
          </w:p>
          <w:p w14:paraId="43082513" w14:textId="77777777" w:rsidR="00CB0062" w:rsidRDefault="00CB0062" w:rsidP="00223E56">
            <w:pPr>
              <w:rPr>
                <w:color w:val="000000"/>
                <w:sz w:val="16"/>
                <w:szCs w:val="16"/>
              </w:rPr>
            </w:pPr>
          </w:p>
        </w:tc>
        <w:tc>
          <w:tcPr>
            <w:tcW w:w="851" w:type="dxa"/>
            <w:vMerge w:val="restart"/>
            <w:tcBorders>
              <w:top w:val="single" w:sz="4" w:space="0" w:color="D0CECE"/>
              <w:bottom w:val="single" w:sz="4" w:space="0" w:color="D0CECE"/>
            </w:tcBorders>
            <w:tcMar>
              <w:top w:w="-113" w:type="dxa"/>
              <w:left w:w="-113" w:type="dxa"/>
              <w:bottom w:w="-113" w:type="dxa"/>
              <w:right w:w="-113" w:type="dxa"/>
            </w:tcMar>
          </w:tcPr>
          <w:p w14:paraId="2A832B29" w14:textId="77777777" w:rsidR="00CB0062" w:rsidRDefault="00CB0062" w:rsidP="00223E56">
            <w:pPr>
              <w:rPr>
                <w:color w:val="000000"/>
                <w:sz w:val="16"/>
                <w:szCs w:val="16"/>
              </w:rPr>
            </w:pPr>
            <w:r>
              <w:rPr>
                <w:color w:val="000000"/>
                <w:sz w:val="16"/>
                <w:szCs w:val="16"/>
              </w:rPr>
              <w:t>C&gt;A</w:t>
            </w:r>
          </w:p>
        </w:tc>
        <w:tc>
          <w:tcPr>
            <w:tcW w:w="1701" w:type="dxa"/>
            <w:vMerge w:val="restart"/>
            <w:tcBorders>
              <w:top w:val="single" w:sz="4" w:space="0" w:color="D0CECE"/>
              <w:bottom w:val="single" w:sz="4" w:space="0" w:color="D0CECE"/>
            </w:tcBorders>
            <w:tcMar>
              <w:top w:w="-113" w:type="dxa"/>
              <w:left w:w="-113" w:type="dxa"/>
              <w:bottom w:w="-113" w:type="dxa"/>
              <w:right w:w="-113" w:type="dxa"/>
            </w:tcMar>
          </w:tcPr>
          <w:p w14:paraId="051B94E5" w14:textId="77777777" w:rsidR="00CB0062" w:rsidRDefault="00CB0062" w:rsidP="00223E56">
            <w:pPr>
              <w:rPr>
                <w:color w:val="000000"/>
                <w:sz w:val="16"/>
                <w:szCs w:val="16"/>
              </w:rPr>
            </w:pPr>
            <w:r>
              <w:rPr>
                <w:color w:val="000000"/>
                <w:sz w:val="16"/>
                <w:szCs w:val="16"/>
              </w:rPr>
              <w:t>Missense variant</w:t>
            </w:r>
          </w:p>
        </w:tc>
        <w:tc>
          <w:tcPr>
            <w:tcW w:w="708" w:type="dxa"/>
            <w:tcBorders>
              <w:top w:val="single" w:sz="4" w:space="0" w:color="D0CECE"/>
              <w:bottom w:val="single" w:sz="4" w:space="0" w:color="D0CECE"/>
            </w:tcBorders>
            <w:tcMar>
              <w:top w:w="-113" w:type="dxa"/>
              <w:left w:w="-113" w:type="dxa"/>
              <w:bottom w:w="-113" w:type="dxa"/>
              <w:right w:w="-113" w:type="dxa"/>
            </w:tcMar>
          </w:tcPr>
          <w:p w14:paraId="0E2BD63C" w14:textId="77777777" w:rsidR="00CB0062" w:rsidRDefault="00CB0062" w:rsidP="00223E56">
            <w:pPr>
              <w:rPr>
                <w:color w:val="000000"/>
                <w:sz w:val="16"/>
                <w:szCs w:val="16"/>
              </w:rPr>
            </w:pPr>
            <w:r>
              <w:rPr>
                <w:color w:val="000000"/>
                <w:sz w:val="16"/>
                <w:szCs w:val="16"/>
              </w:rPr>
              <w:t>CA</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42C66263" w14:textId="77777777" w:rsidR="00CB0062" w:rsidRDefault="00CB0062" w:rsidP="00223E56">
            <w:pPr>
              <w:rPr>
                <w:color w:val="000000"/>
                <w:sz w:val="16"/>
                <w:szCs w:val="16"/>
              </w:rPr>
            </w:pPr>
            <w:r>
              <w:rPr>
                <w:color w:val="000000"/>
                <w:sz w:val="16"/>
                <w:szCs w:val="16"/>
              </w:rPr>
              <w:t xml:space="preserve">Hsieh </w:t>
            </w:r>
            <w:r>
              <w:rPr>
                <w:i/>
                <w:color w:val="000000"/>
                <w:sz w:val="16"/>
                <w:szCs w:val="16"/>
              </w:rPr>
              <w:t xml:space="preserve">et al. </w:t>
            </w:r>
            <w:r>
              <w:rPr>
                <w:color w:val="000000"/>
                <w:sz w:val="16"/>
                <w:szCs w:val="16"/>
              </w:rPr>
              <w:t>2011</w:t>
            </w:r>
          </w:p>
        </w:tc>
      </w:tr>
      <w:tr w:rsidR="00CB0062" w14:paraId="5C89AF74" w14:textId="77777777" w:rsidTr="00923C73">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FB373A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268351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22C99D6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tcMar>
              <w:top w:w="-113" w:type="dxa"/>
              <w:left w:w="-113" w:type="dxa"/>
              <w:bottom w:w="-113" w:type="dxa"/>
              <w:right w:w="-113" w:type="dxa"/>
            </w:tcMar>
          </w:tcPr>
          <w:p w14:paraId="2BA76CF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tcMar>
              <w:top w:w="-113" w:type="dxa"/>
              <w:left w:w="-113" w:type="dxa"/>
              <w:bottom w:w="-113" w:type="dxa"/>
              <w:right w:w="-113" w:type="dxa"/>
            </w:tcMar>
          </w:tcPr>
          <w:p w14:paraId="510C8B6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tcBorders>
              <w:top w:val="single" w:sz="4" w:space="0" w:color="D0CECE"/>
              <w:bottom w:val="single" w:sz="4" w:space="0" w:color="D0CECE"/>
            </w:tcBorders>
            <w:tcMar>
              <w:top w:w="-113" w:type="dxa"/>
              <w:left w:w="-113" w:type="dxa"/>
              <w:bottom w:w="-113" w:type="dxa"/>
              <w:right w:w="-113" w:type="dxa"/>
            </w:tcMar>
          </w:tcPr>
          <w:p w14:paraId="694C2343" w14:textId="77777777" w:rsidR="00CB0062" w:rsidRDefault="00CB0062" w:rsidP="00223E56">
            <w:pPr>
              <w:rPr>
                <w:color w:val="000000"/>
                <w:sz w:val="16"/>
                <w:szCs w:val="16"/>
              </w:rPr>
            </w:pPr>
            <w:proofErr w:type="spellStart"/>
            <w:r>
              <w:rPr>
                <w:color w:val="000000"/>
                <w:sz w:val="16"/>
                <w:szCs w:val="16"/>
              </w:rPr>
              <w:t>MetS</w:t>
            </w:r>
            <w:proofErr w:type="spellEnd"/>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28F1BA6D" w14:textId="77777777" w:rsidR="00CB0062" w:rsidRDefault="00CB0062" w:rsidP="00223E56">
            <w:pPr>
              <w:rPr>
                <w:color w:val="000000"/>
                <w:sz w:val="16"/>
                <w:szCs w:val="16"/>
              </w:rPr>
            </w:pPr>
            <w:r>
              <w:rPr>
                <w:sz w:val="16"/>
                <w:szCs w:val="16"/>
              </w:rPr>
              <w:t xml:space="preserve">Chen </w:t>
            </w:r>
            <w:r>
              <w:rPr>
                <w:i/>
                <w:sz w:val="16"/>
                <w:szCs w:val="16"/>
              </w:rPr>
              <w:t xml:space="preserve">et al. </w:t>
            </w:r>
            <w:r>
              <w:rPr>
                <w:sz w:val="16"/>
                <w:szCs w:val="16"/>
              </w:rPr>
              <w:t>2012</w:t>
            </w:r>
          </w:p>
        </w:tc>
      </w:tr>
      <w:tr w:rsidR="00CB0062" w14:paraId="54BC7C62" w14:textId="77777777" w:rsidTr="00923C73">
        <w:trPr>
          <w:trHeight w:val="61"/>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91CD66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259D80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5BC2521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tcMar>
              <w:top w:w="-113" w:type="dxa"/>
              <w:left w:w="-113" w:type="dxa"/>
              <w:bottom w:w="-113" w:type="dxa"/>
              <w:right w:w="-113" w:type="dxa"/>
            </w:tcMar>
          </w:tcPr>
          <w:p w14:paraId="48D5629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tcMar>
              <w:top w:w="-113" w:type="dxa"/>
              <w:left w:w="-113" w:type="dxa"/>
              <w:bottom w:w="-113" w:type="dxa"/>
              <w:right w:w="-113" w:type="dxa"/>
            </w:tcMar>
          </w:tcPr>
          <w:p w14:paraId="3D33902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tcBorders>
              <w:top w:val="single" w:sz="4" w:space="0" w:color="D0CECE"/>
              <w:bottom w:val="single" w:sz="4" w:space="0" w:color="D0CECE"/>
            </w:tcBorders>
            <w:tcMar>
              <w:top w:w="-113" w:type="dxa"/>
              <w:left w:w="-113" w:type="dxa"/>
              <w:bottom w:w="-113" w:type="dxa"/>
              <w:right w:w="-113" w:type="dxa"/>
            </w:tcMar>
          </w:tcPr>
          <w:p w14:paraId="7E2DC71C" w14:textId="77777777" w:rsidR="00CB0062" w:rsidRDefault="00CB0062" w:rsidP="00223E56">
            <w:pPr>
              <w:rPr>
                <w:color w:val="000000"/>
                <w:sz w:val="16"/>
                <w:szCs w:val="16"/>
              </w:rPr>
            </w:pPr>
            <w:r>
              <w:rPr>
                <w:color w:val="000000"/>
                <w:sz w:val="16"/>
                <w:szCs w:val="16"/>
              </w:rPr>
              <w:t xml:space="preserve">ECG </w:t>
            </w:r>
            <w:proofErr w:type="spellStart"/>
            <w:r>
              <w:rPr>
                <w:color w:val="000000"/>
                <w:sz w:val="16"/>
                <w:szCs w:val="16"/>
              </w:rPr>
              <w:t>abnor</w:t>
            </w:r>
            <w:proofErr w:type="spellEnd"/>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3D3C7E0D" w14:textId="77777777" w:rsidR="00CB0062" w:rsidRDefault="00CB0062" w:rsidP="00223E56">
            <w:pPr>
              <w:rPr>
                <w:color w:val="000000"/>
                <w:sz w:val="16"/>
                <w:szCs w:val="16"/>
              </w:rPr>
            </w:pPr>
            <w:r>
              <w:rPr>
                <w:color w:val="000000"/>
                <w:sz w:val="16"/>
                <w:szCs w:val="16"/>
              </w:rPr>
              <w:t xml:space="preserve">Liao </w:t>
            </w:r>
            <w:r>
              <w:rPr>
                <w:i/>
                <w:color w:val="000000"/>
                <w:sz w:val="16"/>
                <w:szCs w:val="16"/>
              </w:rPr>
              <w:t>et al.</w:t>
            </w:r>
            <w:r>
              <w:rPr>
                <w:color w:val="000000"/>
                <w:sz w:val="16"/>
                <w:szCs w:val="16"/>
              </w:rPr>
              <w:t xml:space="preserve"> 2009</w:t>
            </w:r>
          </w:p>
        </w:tc>
      </w:tr>
      <w:tr w:rsidR="00CB0062" w:rsidRPr="0030321B" w14:paraId="3F3B2E15" w14:textId="77777777" w:rsidTr="00923C73">
        <w:trPr>
          <w:trHeight w:val="61"/>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DFC964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E1D804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0CCFDC6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tcMar>
              <w:top w:w="-113" w:type="dxa"/>
              <w:left w:w="-113" w:type="dxa"/>
              <w:bottom w:w="-113" w:type="dxa"/>
              <w:right w:w="-113" w:type="dxa"/>
            </w:tcMar>
          </w:tcPr>
          <w:p w14:paraId="1D46E10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tcMar>
              <w:top w:w="-113" w:type="dxa"/>
              <w:left w:w="-113" w:type="dxa"/>
              <w:bottom w:w="-113" w:type="dxa"/>
              <w:right w:w="-113" w:type="dxa"/>
            </w:tcMar>
          </w:tcPr>
          <w:p w14:paraId="4334080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tcBorders>
              <w:top w:val="single" w:sz="4" w:space="0" w:color="D0CECE"/>
              <w:bottom w:val="single" w:sz="4" w:space="0" w:color="000000"/>
            </w:tcBorders>
            <w:tcMar>
              <w:top w:w="-113" w:type="dxa"/>
              <w:left w:w="-113" w:type="dxa"/>
              <w:bottom w:w="-113" w:type="dxa"/>
              <w:right w:w="-113" w:type="dxa"/>
            </w:tcMar>
          </w:tcPr>
          <w:p w14:paraId="3E242A97" w14:textId="77777777" w:rsidR="00CB0062" w:rsidRDefault="00CB0062" w:rsidP="00223E56">
            <w:pPr>
              <w:rPr>
                <w:color w:val="000000"/>
                <w:sz w:val="16"/>
                <w:szCs w:val="16"/>
              </w:rPr>
            </w:pPr>
            <w:r>
              <w:rPr>
                <w:color w:val="000000"/>
                <w:sz w:val="16"/>
                <w:szCs w:val="16"/>
              </w:rPr>
              <w:t>CVD</w:t>
            </w:r>
          </w:p>
          <w:p w14:paraId="0C82B1FC" w14:textId="77777777" w:rsidR="00CB0062" w:rsidRDefault="00CB0062" w:rsidP="00223E56">
            <w:pPr>
              <w:rPr>
                <w:sz w:val="16"/>
                <w:szCs w:val="16"/>
              </w:rPr>
            </w:pPr>
            <w:r>
              <w:rPr>
                <w:sz w:val="16"/>
                <w:szCs w:val="16"/>
              </w:rPr>
              <w:t>CIMT</w:t>
            </w:r>
          </w:p>
        </w:tc>
        <w:tc>
          <w:tcPr>
            <w:tcW w:w="1838" w:type="dxa"/>
            <w:tcBorders>
              <w:top w:val="single" w:sz="4" w:space="0" w:color="D0CECE"/>
              <w:bottom w:val="single" w:sz="4" w:space="0" w:color="000000"/>
              <w:right w:val="single" w:sz="4" w:space="0" w:color="000000" w:themeColor="text1"/>
            </w:tcBorders>
            <w:tcMar>
              <w:top w:w="-113" w:type="dxa"/>
              <w:left w:w="-113" w:type="dxa"/>
              <w:bottom w:w="-113" w:type="dxa"/>
              <w:right w:w="-113" w:type="dxa"/>
            </w:tcMar>
          </w:tcPr>
          <w:p w14:paraId="0CF2BCD5"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5742F844"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tc>
      </w:tr>
      <w:tr w:rsidR="00CB0062" w14:paraId="621CD1AA" w14:textId="77777777" w:rsidTr="00923C73">
        <w:trPr>
          <w:trHeight w:val="61"/>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C63AC40" w14:textId="77777777" w:rsidR="00CB0062" w:rsidRDefault="00CB0062" w:rsidP="00223E56">
            <w:pPr>
              <w:rPr>
                <w:i/>
                <w:color w:val="000000"/>
                <w:sz w:val="16"/>
                <w:szCs w:val="16"/>
              </w:rPr>
            </w:pPr>
            <w:r>
              <w:rPr>
                <w:i/>
                <w:color w:val="000000"/>
                <w:sz w:val="16"/>
                <w:szCs w:val="16"/>
              </w:rPr>
              <w:t>GSTO2</w:t>
            </w:r>
          </w:p>
          <w:p w14:paraId="76D3FE2B"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DCABF8B" w14:textId="77777777" w:rsidR="00CB0062" w:rsidRDefault="00CB0062" w:rsidP="00223E56">
            <w:pPr>
              <w:rPr>
                <w:color w:val="000000"/>
                <w:sz w:val="16"/>
                <w:szCs w:val="16"/>
              </w:rPr>
            </w:pPr>
            <w:r>
              <w:rPr>
                <w:color w:val="000000"/>
                <w:sz w:val="16"/>
                <w:szCs w:val="16"/>
              </w:rPr>
              <w:t>Glutathione S-Transferase Omega 2</w:t>
            </w:r>
          </w:p>
        </w:tc>
        <w:tc>
          <w:tcPr>
            <w:tcW w:w="992" w:type="dxa"/>
            <w:vMerge w:val="restart"/>
            <w:tcBorders>
              <w:top w:val="single" w:sz="4" w:space="0" w:color="000000"/>
              <w:left w:val="nil"/>
              <w:bottom w:val="single" w:sz="4" w:space="0" w:color="D0CECE"/>
            </w:tcBorders>
            <w:shd w:val="clear" w:color="auto" w:fill="auto"/>
            <w:tcMar>
              <w:top w:w="-113" w:type="dxa"/>
              <w:left w:w="-113" w:type="dxa"/>
              <w:bottom w:w="-113" w:type="dxa"/>
              <w:right w:w="-113" w:type="dxa"/>
            </w:tcMar>
          </w:tcPr>
          <w:p w14:paraId="2622FE01" w14:textId="77777777" w:rsidR="00CB0062" w:rsidRDefault="00CB0062" w:rsidP="00223E56">
            <w:pPr>
              <w:rPr>
                <w:color w:val="000000"/>
                <w:sz w:val="16"/>
                <w:szCs w:val="16"/>
              </w:rPr>
            </w:pPr>
            <w:r>
              <w:rPr>
                <w:color w:val="000000"/>
                <w:sz w:val="16"/>
                <w:szCs w:val="16"/>
              </w:rPr>
              <w:t>rs156697</w:t>
            </w:r>
          </w:p>
          <w:p w14:paraId="27774348" w14:textId="77777777" w:rsidR="00CB0062" w:rsidRDefault="00CB0062" w:rsidP="00223E56">
            <w:pPr>
              <w:rPr>
                <w:color w:val="000000"/>
                <w:sz w:val="16"/>
                <w:szCs w:val="16"/>
              </w:rPr>
            </w:pPr>
          </w:p>
        </w:tc>
        <w:tc>
          <w:tcPr>
            <w:tcW w:w="851" w:type="dxa"/>
            <w:vMerge w:val="restart"/>
            <w:tcBorders>
              <w:top w:val="single" w:sz="4" w:space="0" w:color="000000"/>
              <w:bottom w:val="single" w:sz="4" w:space="0" w:color="D0CECE"/>
            </w:tcBorders>
            <w:tcMar>
              <w:top w:w="-113" w:type="dxa"/>
              <w:left w:w="-113" w:type="dxa"/>
              <w:bottom w:w="-113" w:type="dxa"/>
              <w:right w:w="-113" w:type="dxa"/>
            </w:tcMar>
          </w:tcPr>
          <w:p w14:paraId="255CEF9C" w14:textId="77777777" w:rsidR="00CB0062" w:rsidRDefault="00CB0062" w:rsidP="00223E56">
            <w:pPr>
              <w:rPr>
                <w:color w:val="000000"/>
                <w:sz w:val="16"/>
                <w:szCs w:val="16"/>
              </w:rPr>
            </w:pPr>
            <w:r>
              <w:rPr>
                <w:color w:val="000000"/>
                <w:sz w:val="16"/>
                <w:szCs w:val="16"/>
              </w:rPr>
              <w:t>A&gt;</w:t>
            </w:r>
            <w:proofErr w:type="gramStart"/>
            <w:r>
              <w:rPr>
                <w:color w:val="000000"/>
                <w:sz w:val="16"/>
                <w:szCs w:val="16"/>
              </w:rPr>
              <w:t>G,T</w:t>
            </w:r>
            <w:proofErr w:type="gramEnd"/>
          </w:p>
        </w:tc>
        <w:tc>
          <w:tcPr>
            <w:tcW w:w="1701" w:type="dxa"/>
            <w:vMerge w:val="restart"/>
            <w:tcBorders>
              <w:top w:val="single" w:sz="4" w:space="0" w:color="000000"/>
              <w:bottom w:val="single" w:sz="4" w:space="0" w:color="D0CECE"/>
            </w:tcBorders>
            <w:tcMar>
              <w:top w:w="-113" w:type="dxa"/>
              <w:left w:w="-113" w:type="dxa"/>
              <w:bottom w:w="-113" w:type="dxa"/>
              <w:right w:w="-113" w:type="dxa"/>
            </w:tcMar>
          </w:tcPr>
          <w:p w14:paraId="7960EDF7" w14:textId="77777777" w:rsidR="00CB0062" w:rsidRDefault="00CB0062" w:rsidP="00223E56">
            <w:pPr>
              <w:rPr>
                <w:color w:val="000000"/>
                <w:sz w:val="16"/>
                <w:szCs w:val="16"/>
              </w:rPr>
            </w:pPr>
            <w:r>
              <w:rPr>
                <w:color w:val="000000"/>
                <w:sz w:val="16"/>
                <w:szCs w:val="16"/>
              </w:rPr>
              <w:t>Missense variant</w:t>
            </w:r>
          </w:p>
        </w:tc>
        <w:tc>
          <w:tcPr>
            <w:tcW w:w="708" w:type="dxa"/>
            <w:tcBorders>
              <w:top w:val="single" w:sz="4" w:space="0" w:color="000000"/>
              <w:bottom w:val="single" w:sz="4" w:space="0" w:color="D0CECE"/>
            </w:tcBorders>
            <w:tcMar>
              <w:top w:w="-113" w:type="dxa"/>
              <w:left w:w="-113" w:type="dxa"/>
              <w:bottom w:w="-113" w:type="dxa"/>
              <w:right w:w="-113" w:type="dxa"/>
            </w:tcMar>
          </w:tcPr>
          <w:p w14:paraId="169602B6" w14:textId="77777777" w:rsidR="00CB0062" w:rsidRDefault="00CB0062" w:rsidP="00223E56">
            <w:pPr>
              <w:rPr>
                <w:color w:val="000000"/>
                <w:sz w:val="16"/>
                <w:szCs w:val="16"/>
              </w:rPr>
            </w:pPr>
            <w:r>
              <w:rPr>
                <w:color w:val="000000"/>
                <w:sz w:val="16"/>
                <w:szCs w:val="16"/>
              </w:rPr>
              <w:t>CA</w:t>
            </w:r>
          </w:p>
        </w:tc>
        <w:tc>
          <w:tcPr>
            <w:tcW w:w="1838" w:type="dxa"/>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13F2BBD7" w14:textId="77777777" w:rsidR="00CB0062" w:rsidRDefault="00CB0062" w:rsidP="00223E56">
            <w:pPr>
              <w:rPr>
                <w:color w:val="000000"/>
                <w:sz w:val="16"/>
                <w:szCs w:val="16"/>
              </w:rPr>
            </w:pPr>
            <w:r>
              <w:rPr>
                <w:color w:val="000000"/>
                <w:sz w:val="16"/>
                <w:szCs w:val="16"/>
              </w:rPr>
              <w:t xml:space="preserve">Hsieh </w:t>
            </w:r>
            <w:r>
              <w:rPr>
                <w:i/>
                <w:color w:val="000000"/>
                <w:sz w:val="16"/>
                <w:szCs w:val="16"/>
              </w:rPr>
              <w:t xml:space="preserve">et al. </w:t>
            </w:r>
            <w:r>
              <w:rPr>
                <w:color w:val="000000"/>
                <w:sz w:val="16"/>
                <w:szCs w:val="16"/>
              </w:rPr>
              <w:t>2011</w:t>
            </w:r>
          </w:p>
        </w:tc>
      </w:tr>
      <w:tr w:rsidR="00CB0062" w14:paraId="303C2231" w14:textId="77777777" w:rsidTr="00923C73">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6A4473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74BF3D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000000"/>
              <w:left w:val="nil"/>
              <w:bottom w:val="single" w:sz="4" w:space="0" w:color="D0CECE"/>
            </w:tcBorders>
            <w:shd w:val="clear" w:color="auto" w:fill="auto"/>
            <w:tcMar>
              <w:top w:w="-113" w:type="dxa"/>
              <w:left w:w="-113" w:type="dxa"/>
              <w:bottom w:w="-113" w:type="dxa"/>
              <w:right w:w="-113" w:type="dxa"/>
            </w:tcMar>
          </w:tcPr>
          <w:p w14:paraId="67D7A06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000000"/>
              <w:bottom w:val="single" w:sz="4" w:space="0" w:color="D0CECE"/>
            </w:tcBorders>
            <w:tcMar>
              <w:top w:w="-113" w:type="dxa"/>
              <w:left w:w="-113" w:type="dxa"/>
              <w:bottom w:w="-113" w:type="dxa"/>
              <w:right w:w="-113" w:type="dxa"/>
            </w:tcMar>
          </w:tcPr>
          <w:p w14:paraId="5630986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000000"/>
              <w:bottom w:val="single" w:sz="4" w:space="0" w:color="D0CECE"/>
            </w:tcBorders>
            <w:tcMar>
              <w:top w:w="-113" w:type="dxa"/>
              <w:left w:w="-113" w:type="dxa"/>
              <w:bottom w:w="-113" w:type="dxa"/>
              <w:right w:w="-113" w:type="dxa"/>
            </w:tcMar>
          </w:tcPr>
          <w:p w14:paraId="2154A31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tcBorders>
              <w:top w:val="single" w:sz="4" w:space="0" w:color="D0CECE"/>
              <w:bottom w:val="single" w:sz="4" w:space="0" w:color="D0CECE"/>
            </w:tcBorders>
            <w:tcMar>
              <w:top w:w="-113" w:type="dxa"/>
              <w:left w:w="-113" w:type="dxa"/>
              <w:bottom w:w="-113" w:type="dxa"/>
              <w:right w:w="-113" w:type="dxa"/>
            </w:tcMar>
          </w:tcPr>
          <w:p w14:paraId="47011E6A" w14:textId="77777777" w:rsidR="00CB0062" w:rsidRDefault="00CB0062" w:rsidP="00223E56">
            <w:pPr>
              <w:rPr>
                <w:color w:val="000000"/>
                <w:sz w:val="16"/>
                <w:szCs w:val="16"/>
              </w:rPr>
            </w:pPr>
            <w:proofErr w:type="spellStart"/>
            <w:r>
              <w:rPr>
                <w:color w:val="000000"/>
                <w:sz w:val="16"/>
                <w:szCs w:val="16"/>
              </w:rPr>
              <w:t>MetS</w:t>
            </w:r>
            <w:proofErr w:type="spellEnd"/>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10F8B4C8" w14:textId="77777777" w:rsidR="00CB0062" w:rsidRDefault="00CB0062" w:rsidP="00223E56">
            <w:pPr>
              <w:rPr>
                <w:color w:val="000000"/>
                <w:sz w:val="16"/>
                <w:szCs w:val="16"/>
              </w:rPr>
            </w:pPr>
            <w:r>
              <w:rPr>
                <w:sz w:val="16"/>
                <w:szCs w:val="16"/>
              </w:rPr>
              <w:t xml:space="preserve">Chen </w:t>
            </w:r>
            <w:r>
              <w:rPr>
                <w:i/>
                <w:sz w:val="16"/>
                <w:szCs w:val="16"/>
              </w:rPr>
              <w:t xml:space="preserve">et al. </w:t>
            </w:r>
            <w:r>
              <w:rPr>
                <w:sz w:val="16"/>
                <w:szCs w:val="16"/>
              </w:rPr>
              <w:t>2012</w:t>
            </w:r>
          </w:p>
        </w:tc>
      </w:tr>
      <w:tr w:rsidR="00CB0062" w14:paraId="1AB3EF16" w14:textId="77777777" w:rsidTr="00923C73">
        <w:trPr>
          <w:trHeight w:val="61"/>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DF87AD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08E013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000000"/>
              <w:left w:val="nil"/>
              <w:bottom w:val="single" w:sz="4" w:space="0" w:color="D0CECE"/>
            </w:tcBorders>
            <w:shd w:val="clear" w:color="auto" w:fill="auto"/>
            <w:tcMar>
              <w:top w:w="-113" w:type="dxa"/>
              <w:left w:w="-113" w:type="dxa"/>
              <w:bottom w:w="-113" w:type="dxa"/>
              <w:right w:w="-113" w:type="dxa"/>
            </w:tcMar>
          </w:tcPr>
          <w:p w14:paraId="32D19D2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000000"/>
              <w:bottom w:val="single" w:sz="4" w:space="0" w:color="D0CECE"/>
            </w:tcBorders>
            <w:tcMar>
              <w:top w:w="-113" w:type="dxa"/>
              <w:left w:w="-113" w:type="dxa"/>
              <w:bottom w:w="-113" w:type="dxa"/>
              <w:right w:w="-113" w:type="dxa"/>
            </w:tcMar>
          </w:tcPr>
          <w:p w14:paraId="2E85E86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000000"/>
              <w:bottom w:val="single" w:sz="4" w:space="0" w:color="D0CECE"/>
            </w:tcBorders>
            <w:tcMar>
              <w:top w:w="-113" w:type="dxa"/>
              <w:left w:w="-113" w:type="dxa"/>
              <w:bottom w:w="-113" w:type="dxa"/>
              <w:right w:w="-113" w:type="dxa"/>
            </w:tcMar>
          </w:tcPr>
          <w:p w14:paraId="6230D8E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tcBorders>
              <w:top w:val="single" w:sz="4" w:space="0" w:color="D0CECE"/>
              <w:bottom w:val="single" w:sz="4" w:space="0" w:color="D0CECE"/>
            </w:tcBorders>
            <w:tcMar>
              <w:top w:w="-113" w:type="dxa"/>
              <w:left w:w="-113" w:type="dxa"/>
              <w:bottom w:w="-113" w:type="dxa"/>
              <w:right w:w="-113" w:type="dxa"/>
            </w:tcMar>
          </w:tcPr>
          <w:p w14:paraId="06FF20CB" w14:textId="77777777" w:rsidR="00CB0062" w:rsidRDefault="00CB0062" w:rsidP="00223E56">
            <w:pPr>
              <w:rPr>
                <w:color w:val="000000"/>
                <w:sz w:val="16"/>
                <w:szCs w:val="16"/>
              </w:rPr>
            </w:pPr>
            <w:r>
              <w:rPr>
                <w:color w:val="000000"/>
                <w:sz w:val="16"/>
                <w:szCs w:val="16"/>
              </w:rPr>
              <w:t xml:space="preserve">ECG </w:t>
            </w:r>
            <w:proofErr w:type="spellStart"/>
            <w:r>
              <w:rPr>
                <w:color w:val="000000"/>
                <w:sz w:val="16"/>
                <w:szCs w:val="16"/>
              </w:rPr>
              <w:t>abnor</w:t>
            </w:r>
            <w:proofErr w:type="spellEnd"/>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499C8AB" w14:textId="77777777" w:rsidR="00CB0062" w:rsidRDefault="00CB0062" w:rsidP="00223E56">
            <w:pPr>
              <w:rPr>
                <w:color w:val="000000"/>
                <w:sz w:val="16"/>
                <w:szCs w:val="16"/>
              </w:rPr>
            </w:pPr>
            <w:r>
              <w:rPr>
                <w:color w:val="000000"/>
                <w:sz w:val="16"/>
                <w:szCs w:val="16"/>
              </w:rPr>
              <w:t xml:space="preserve">Liao </w:t>
            </w:r>
            <w:r>
              <w:rPr>
                <w:i/>
                <w:color w:val="000000"/>
                <w:sz w:val="16"/>
                <w:szCs w:val="16"/>
              </w:rPr>
              <w:t>et al.</w:t>
            </w:r>
            <w:r>
              <w:rPr>
                <w:color w:val="000000"/>
                <w:sz w:val="16"/>
                <w:szCs w:val="16"/>
              </w:rPr>
              <w:t xml:space="preserve"> 2009</w:t>
            </w:r>
          </w:p>
        </w:tc>
      </w:tr>
      <w:tr w:rsidR="00CB0062" w14:paraId="36BD06C8" w14:textId="77777777" w:rsidTr="00923C73">
        <w:trPr>
          <w:trHeight w:val="61"/>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3E7E3D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21CF94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5C935BBA" w14:textId="77777777" w:rsidR="00CB0062" w:rsidRDefault="00CB0062" w:rsidP="00223E56">
            <w:pPr>
              <w:rPr>
                <w:color w:val="000000"/>
                <w:sz w:val="16"/>
                <w:szCs w:val="16"/>
              </w:rPr>
            </w:pPr>
            <w:r>
              <w:rPr>
                <w:color w:val="000000"/>
                <w:sz w:val="16"/>
                <w:szCs w:val="16"/>
              </w:rPr>
              <w:t>rs2297235</w:t>
            </w:r>
          </w:p>
        </w:tc>
        <w:tc>
          <w:tcPr>
            <w:tcW w:w="851" w:type="dxa"/>
            <w:tcBorders>
              <w:top w:val="single" w:sz="4" w:space="0" w:color="D0CECE"/>
              <w:bottom w:val="single" w:sz="4" w:space="0" w:color="000000"/>
            </w:tcBorders>
            <w:tcMar>
              <w:top w:w="-113" w:type="dxa"/>
              <w:left w:w="-113" w:type="dxa"/>
              <w:bottom w:w="-113" w:type="dxa"/>
              <w:right w:w="-113" w:type="dxa"/>
            </w:tcMar>
          </w:tcPr>
          <w:p w14:paraId="1C32C710" w14:textId="77777777" w:rsidR="00CB0062" w:rsidRDefault="00CB0062" w:rsidP="00223E56">
            <w:pPr>
              <w:rPr>
                <w:color w:val="000000"/>
                <w:sz w:val="16"/>
                <w:szCs w:val="16"/>
              </w:rPr>
            </w:pPr>
            <w:r>
              <w:rPr>
                <w:color w:val="000000"/>
                <w:sz w:val="16"/>
                <w:szCs w:val="16"/>
              </w:rPr>
              <w:t>A&gt;G</w:t>
            </w:r>
          </w:p>
        </w:tc>
        <w:tc>
          <w:tcPr>
            <w:tcW w:w="1701" w:type="dxa"/>
            <w:tcBorders>
              <w:top w:val="single" w:sz="4" w:space="0" w:color="D0CECE"/>
              <w:bottom w:val="single" w:sz="4" w:space="0" w:color="000000"/>
            </w:tcBorders>
            <w:tcMar>
              <w:top w:w="-113" w:type="dxa"/>
              <w:left w:w="-113" w:type="dxa"/>
              <w:bottom w:w="-113" w:type="dxa"/>
              <w:right w:w="-113" w:type="dxa"/>
            </w:tcMar>
          </w:tcPr>
          <w:p w14:paraId="630B7824" w14:textId="77777777" w:rsidR="00CB0062" w:rsidRDefault="00CB0062" w:rsidP="00223E56">
            <w:pPr>
              <w:rPr>
                <w:color w:val="000000"/>
                <w:sz w:val="16"/>
                <w:szCs w:val="16"/>
              </w:rPr>
            </w:pPr>
            <w:r>
              <w:rPr>
                <w:sz w:val="16"/>
                <w:szCs w:val="16"/>
              </w:rPr>
              <w:t>5 Prime UTR variant</w:t>
            </w:r>
          </w:p>
        </w:tc>
        <w:tc>
          <w:tcPr>
            <w:tcW w:w="708" w:type="dxa"/>
            <w:tcBorders>
              <w:top w:val="single" w:sz="4" w:space="0" w:color="D0CECE"/>
              <w:bottom w:val="single" w:sz="4" w:space="0" w:color="000000"/>
            </w:tcBorders>
            <w:tcMar>
              <w:top w:w="-113" w:type="dxa"/>
              <w:left w:w="-113" w:type="dxa"/>
              <w:bottom w:w="-113" w:type="dxa"/>
              <w:right w:w="-113" w:type="dxa"/>
            </w:tcMar>
          </w:tcPr>
          <w:p w14:paraId="4A0CFA48" w14:textId="77777777" w:rsidR="00CB0062" w:rsidRDefault="00CB0062" w:rsidP="00223E56">
            <w:pPr>
              <w:rPr>
                <w:color w:val="000000"/>
                <w:sz w:val="16"/>
                <w:szCs w:val="16"/>
              </w:rPr>
            </w:pPr>
            <w:r>
              <w:rPr>
                <w:color w:val="000000"/>
                <w:sz w:val="16"/>
                <w:szCs w:val="16"/>
              </w:rPr>
              <w:t>CA</w:t>
            </w:r>
          </w:p>
        </w:tc>
        <w:tc>
          <w:tcPr>
            <w:tcW w:w="1838" w:type="dxa"/>
            <w:tcBorders>
              <w:top w:val="single" w:sz="4" w:space="0" w:color="D0CECE"/>
              <w:bottom w:val="single" w:sz="4" w:space="0" w:color="000000"/>
              <w:right w:val="single" w:sz="4" w:space="0" w:color="000000" w:themeColor="text1"/>
            </w:tcBorders>
            <w:tcMar>
              <w:top w:w="-113" w:type="dxa"/>
              <w:left w:w="-113" w:type="dxa"/>
              <w:bottom w:w="-113" w:type="dxa"/>
              <w:right w:w="-113" w:type="dxa"/>
            </w:tcMar>
          </w:tcPr>
          <w:p w14:paraId="6EEA8A00" w14:textId="77777777" w:rsidR="00CB0062" w:rsidRDefault="00CB0062" w:rsidP="00223E56">
            <w:pPr>
              <w:rPr>
                <w:color w:val="000000"/>
                <w:sz w:val="16"/>
                <w:szCs w:val="16"/>
              </w:rPr>
            </w:pPr>
            <w:r>
              <w:rPr>
                <w:color w:val="000000"/>
                <w:sz w:val="16"/>
                <w:szCs w:val="16"/>
              </w:rPr>
              <w:t xml:space="preserve">Hsieh </w:t>
            </w:r>
            <w:r>
              <w:rPr>
                <w:i/>
                <w:color w:val="000000"/>
                <w:sz w:val="16"/>
                <w:szCs w:val="16"/>
              </w:rPr>
              <w:t xml:space="preserve">et al. </w:t>
            </w:r>
            <w:r>
              <w:rPr>
                <w:color w:val="000000"/>
                <w:sz w:val="16"/>
                <w:szCs w:val="16"/>
              </w:rPr>
              <w:t>2011</w:t>
            </w:r>
          </w:p>
        </w:tc>
      </w:tr>
      <w:tr w:rsidR="00CB0062" w14:paraId="30A5A61D" w14:textId="77777777" w:rsidTr="00923C73">
        <w:trPr>
          <w:trHeight w:val="61"/>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CB9E5F9" w14:textId="77777777" w:rsidR="00CB0062" w:rsidRDefault="00CB0062" w:rsidP="00223E56">
            <w:pPr>
              <w:rPr>
                <w:i/>
                <w:color w:val="000000"/>
                <w:sz w:val="16"/>
                <w:szCs w:val="16"/>
              </w:rPr>
            </w:pPr>
            <w:r>
              <w:rPr>
                <w:i/>
                <w:color w:val="000000"/>
                <w:sz w:val="16"/>
                <w:szCs w:val="16"/>
              </w:rPr>
              <w:t>GSTP1</w:t>
            </w:r>
          </w:p>
          <w:p w14:paraId="52B84797"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29F464C" w14:textId="77777777" w:rsidR="00CB0062" w:rsidRDefault="00CB0062" w:rsidP="00223E56">
            <w:pPr>
              <w:rPr>
                <w:color w:val="000000"/>
                <w:sz w:val="16"/>
                <w:szCs w:val="16"/>
              </w:rPr>
            </w:pPr>
            <w:r>
              <w:rPr>
                <w:color w:val="000000"/>
                <w:sz w:val="16"/>
                <w:szCs w:val="16"/>
              </w:rPr>
              <w:t>Glutathione S-transferase P</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33588E4D" w14:textId="77777777" w:rsidR="00CB0062" w:rsidRDefault="00CB0062" w:rsidP="00223E56">
            <w:pPr>
              <w:rPr>
                <w:color w:val="000000"/>
                <w:sz w:val="16"/>
                <w:szCs w:val="16"/>
              </w:rPr>
            </w:pPr>
            <w:r>
              <w:rPr>
                <w:color w:val="000000"/>
                <w:sz w:val="16"/>
                <w:szCs w:val="16"/>
              </w:rPr>
              <w:t>rs1138272</w:t>
            </w:r>
          </w:p>
        </w:tc>
        <w:tc>
          <w:tcPr>
            <w:tcW w:w="851" w:type="dxa"/>
            <w:tcBorders>
              <w:top w:val="single" w:sz="4" w:space="0" w:color="000000"/>
              <w:bottom w:val="single" w:sz="4" w:space="0" w:color="D0CECE"/>
            </w:tcBorders>
            <w:tcMar>
              <w:top w:w="-113" w:type="dxa"/>
              <w:left w:w="-113" w:type="dxa"/>
              <w:bottom w:w="-113" w:type="dxa"/>
              <w:right w:w="-113" w:type="dxa"/>
            </w:tcMar>
          </w:tcPr>
          <w:p w14:paraId="6757FEC2" w14:textId="77777777" w:rsidR="00CB0062" w:rsidRDefault="00CB0062" w:rsidP="00223E56">
            <w:pPr>
              <w:rPr>
                <w:color w:val="000000"/>
                <w:sz w:val="16"/>
                <w:szCs w:val="16"/>
              </w:rPr>
            </w:pPr>
            <w:r>
              <w:rPr>
                <w:color w:val="000000"/>
                <w:sz w:val="16"/>
                <w:szCs w:val="16"/>
              </w:rPr>
              <w:t>C&gt;</w:t>
            </w:r>
            <w:proofErr w:type="gramStart"/>
            <w:r>
              <w:rPr>
                <w:color w:val="000000"/>
                <w:sz w:val="16"/>
                <w:szCs w:val="16"/>
              </w:rPr>
              <w:t>G,T</w:t>
            </w:r>
            <w:proofErr w:type="gramEnd"/>
          </w:p>
        </w:tc>
        <w:tc>
          <w:tcPr>
            <w:tcW w:w="1701" w:type="dxa"/>
            <w:tcBorders>
              <w:top w:val="single" w:sz="4" w:space="0" w:color="000000"/>
              <w:bottom w:val="single" w:sz="4" w:space="0" w:color="D0CECE"/>
            </w:tcBorders>
            <w:tcMar>
              <w:top w:w="-113" w:type="dxa"/>
              <w:left w:w="-113" w:type="dxa"/>
              <w:bottom w:w="-113" w:type="dxa"/>
              <w:right w:w="-113" w:type="dxa"/>
            </w:tcMar>
          </w:tcPr>
          <w:p w14:paraId="35D540B4" w14:textId="77777777" w:rsidR="00CB0062" w:rsidRDefault="00CB0062" w:rsidP="00223E56">
            <w:pPr>
              <w:rPr>
                <w:color w:val="000000"/>
                <w:sz w:val="16"/>
                <w:szCs w:val="16"/>
              </w:rPr>
            </w:pPr>
            <w:r>
              <w:rPr>
                <w:color w:val="000000"/>
                <w:sz w:val="16"/>
                <w:szCs w:val="16"/>
              </w:rPr>
              <w:t>Missense variant</w:t>
            </w:r>
          </w:p>
        </w:tc>
        <w:tc>
          <w:tcPr>
            <w:tcW w:w="708" w:type="dxa"/>
            <w:tcBorders>
              <w:top w:val="single" w:sz="4" w:space="0" w:color="000000"/>
              <w:bottom w:val="single" w:sz="4" w:space="0" w:color="D0CECE"/>
            </w:tcBorders>
            <w:tcMar>
              <w:top w:w="-113" w:type="dxa"/>
              <w:left w:w="-113" w:type="dxa"/>
              <w:bottom w:w="-113" w:type="dxa"/>
              <w:right w:w="-113" w:type="dxa"/>
            </w:tcMar>
          </w:tcPr>
          <w:p w14:paraId="51200644" w14:textId="77777777" w:rsidR="00CB0062" w:rsidRDefault="00CB0062" w:rsidP="00223E56">
            <w:pPr>
              <w:rPr>
                <w:color w:val="000000"/>
                <w:sz w:val="16"/>
                <w:szCs w:val="16"/>
              </w:rPr>
            </w:pPr>
            <w:r>
              <w:rPr>
                <w:color w:val="000000"/>
                <w:sz w:val="16"/>
                <w:szCs w:val="16"/>
              </w:rPr>
              <w:t>CVD</w:t>
            </w:r>
          </w:p>
        </w:tc>
        <w:tc>
          <w:tcPr>
            <w:tcW w:w="1838" w:type="dxa"/>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49D467A" w14:textId="77777777" w:rsidR="00CB0062" w:rsidRDefault="00CB0062" w:rsidP="00223E56">
            <w:pPr>
              <w:rPr>
                <w:color w:val="000000"/>
                <w:sz w:val="16"/>
                <w:szCs w:val="16"/>
              </w:rPr>
            </w:pPr>
            <w:r>
              <w:rPr>
                <w:sz w:val="16"/>
                <w:szCs w:val="16"/>
              </w:rPr>
              <w:t xml:space="preserve">Wu </w:t>
            </w:r>
            <w:r>
              <w:rPr>
                <w:i/>
                <w:sz w:val="16"/>
                <w:szCs w:val="16"/>
              </w:rPr>
              <w:t>et al.</w:t>
            </w:r>
            <w:r>
              <w:rPr>
                <w:sz w:val="16"/>
                <w:szCs w:val="16"/>
              </w:rPr>
              <w:t xml:space="preserve"> 2015</w:t>
            </w:r>
          </w:p>
        </w:tc>
      </w:tr>
      <w:tr w:rsidR="00CB0062" w14:paraId="3BEE6845"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DE280A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56F340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262BDFD0" w14:textId="77777777" w:rsidR="00CB0062" w:rsidRDefault="00CB0062" w:rsidP="00223E56">
            <w:pPr>
              <w:rPr>
                <w:sz w:val="16"/>
                <w:szCs w:val="16"/>
              </w:rPr>
            </w:pPr>
            <w:r>
              <w:rPr>
                <w:color w:val="000000"/>
                <w:sz w:val="16"/>
                <w:szCs w:val="16"/>
              </w:rPr>
              <w:t>rs1695</w:t>
            </w:r>
          </w:p>
          <w:p w14:paraId="7C35FE48" w14:textId="77777777" w:rsidR="00CB0062" w:rsidRDefault="00CB0062" w:rsidP="00223E56">
            <w:pPr>
              <w:rPr>
                <w:sz w:val="16"/>
                <w:szCs w:val="16"/>
              </w:rPr>
            </w:pPr>
          </w:p>
        </w:tc>
        <w:tc>
          <w:tcPr>
            <w:tcW w:w="85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3E691A8D" w14:textId="77777777" w:rsidR="00CB0062" w:rsidRDefault="00CB0062" w:rsidP="00223E56">
            <w:pPr>
              <w:rPr>
                <w:color w:val="000000"/>
                <w:sz w:val="16"/>
                <w:szCs w:val="16"/>
              </w:rPr>
            </w:pPr>
            <w:r>
              <w:rPr>
                <w:color w:val="000000"/>
                <w:sz w:val="16"/>
                <w:szCs w:val="16"/>
              </w:rPr>
              <w:t>A&gt;G</w:t>
            </w:r>
          </w:p>
        </w:tc>
        <w:tc>
          <w:tcPr>
            <w:tcW w:w="170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612C5994" w14:textId="77777777" w:rsidR="00CB0062" w:rsidRDefault="00CB0062" w:rsidP="00223E56">
            <w:pPr>
              <w:rPr>
                <w:color w:val="000000"/>
                <w:sz w:val="16"/>
                <w:szCs w:val="16"/>
              </w:rPr>
            </w:pPr>
            <w:r>
              <w:rPr>
                <w:sz w:val="16"/>
                <w:szCs w:val="16"/>
              </w:rPr>
              <w:t>2KB Upstream variant</w:t>
            </w:r>
          </w:p>
        </w:tc>
        <w:tc>
          <w:tcPr>
            <w:tcW w:w="708" w:type="dxa"/>
            <w:tcBorders>
              <w:top w:val="single" w:sz="4" w:space="0" w:color="D0CECE"/>
              <w:bottom w:val="single" w:sz="4" w:space="0" w:color="D0CECE"/>
            </w:tcBorders>
            <w:shd w:val="clear" w:color="auto" w:fill="auto"/>
            <w:tcMar>
              <w:top w:w="-113" w:type="dxa"/>
              <w:left w:w="-113" w:type="dxa"/>
              <w:bottom w:w="-113" w:type="dxa"/>
              <w:right w:w="-113" w:type="dxa"/>
            </w:tcMar>
          </w:tcPr>
          <w:p w14:paraId="7D75721B" w14:textId="77777777" w:rsidR="00CB0062" w:rsidRDefault="00CB0062" w:rsidP="00223E56">
            <w:pPr>
              <w:rPr>
                <w:color w:val="000000"/>
                <w:sz w:val="16"/>
                <w:szCs w:val="16"/>
              </w:rPr>
            </w:pPr>
            <w:r>
              <w:rPr>
                <w:color w:val="000000"/>
                <w:sz w:val="16"/>
                <w:szCs w:val="16"/>
              </w:rPr>
              <w:t>SBP</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1DA772DE" w14:textId="77777777" w:rsidR="00CB0062" w:rsidRDefault="00CB0062" w:rsidP="00223E56">
            <w:pPr>
              <w:rPr>
                <w:color w:val="000000"/>
                <w:sz w:val="16"/>
                <w:szCs w:val="16"/>
              </w:rPr>
            </w:pPr>
            <w:r>
              <w:rPr>
                <w:sz w:val="16"/>
                <w:szCs w:val="16"/>
              </w:rPr>
              <w:t xml:space="preserve">Farzan </w:t>
            </w:r>
            <w:r>
              <w:rPr>
                <w:i/>
                <w:sz w:val="16"/>
                <w:szCs w:val="16"/>
              </w:rPr>
              <w:t>et al.</w:t>
            </w:r>
            <w:r>
              <w:rPr>
                <w:sz w:val="16"/>
                <w:szCs w:val="16"/>
              </w:rPr>
              <w:t xml:space="preserve"> 2016</w:t>
            </w:r>
          </w:p>
        </w:tc>
      </w:tr>
      <w:tr w:rsidR="00CB0062" w14:paraId="0CA5F5D8"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422ECB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ADF230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2D4FD6D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6AF2471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6B9DBAF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tcBorders>
              <w:top w:val="single" w:sz="4" w:space="0" w:color="D0CECE"/>
              <w:bottom w:val="single" w:sz="4" w:space="0" w:color="D0CECE"/>
            </w:tcBorders>
            <w:tcMar>
              <w:top w:w="-113" w:type="dxa"/>
              <w:left w:w="-113" w:type="dxa"/>
              <w:bottom w:w="-113" w:type="dxa"/>
              <w:right w:w="-113" w:type="dxa"/>
            </w:tcMar>
          </w:tcPr>
          <w:p w14:paraId="1D1A2A0A" w14:textId="77777777" w:rsidR="00CB0062" w:rsidRDefault="00CB0062" w:rsidP="00223E56">
            <w:pPr>
              <w:rPr>
                <w:color w:val="000000"/>
                <w:sz w:val="16"/>
                <w:szCs w:val="16"/>
              </w:rPr>
            </w:pPr>
            <w:r>
              <w:rPr>
                <w:color w:val="000000"/>
                <w:sz w:val="16"/>
                <w:szCs w:val="16"/>
              </w:rPr>
              <w:t>CA</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FCB7DCE" w14:textId="77777777" w:rsidR="00CB0062" w:rsidRDefault="00CB0062" w:rsidP="00223E56">
            <w:pPr>
              <w:rPr>
                <w:color w:val="000000"/>
                <w:sz w:val="16"/>
                <w:szCs w:val="16"/>
              </w:rPr>
            </w:pPr>
            <w:r>
              <w:rPr>
                <w:sz w:val="16"/>
                <w:szCs w:val="16"/>
              </w:rPr>
              <w:t xml:space="preserve">Wang </w:t>
            </w:r>
            <w:r>
              <w:rPr>
                <w:i/>
                <w:sz w:val="16"/>
                <w:szCs w:val="16"/>
              </w:rPr>
              <w:t>et al</w:t>
            </w:r>
            <w:r>
              <w:rPr>
                <w:sz w:val="16"/>
                <w:szCs w:val="16"/>
              </w:rPr>
              <w:t>. 2007</w:t>
            </w:r>
          </w:p>
        </w:tc>
      </w:tr>
      <w:tr w:rsidR="00CB0062" w:rsidRPr="0030321B" w14:paraId="398C2A0C" w14:textId="77777777" w:rsidTr="00923C73">
        <w:trPr>
          <w:trHeight w:val="212"/>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5D5272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D4CBCA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33EEC55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6A16412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72CE29C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vMerge w:val="restart"/>
            <w:tcBorders>
              <w:top w:val="single" w:sz="4" w:space="0" w:color="D0CECE"/>
              <w:bottom w:val="single" w:sz="4" w:space="0" w:color="D0CECE"/>
            </w:tcBorders>
            <w:tcMar>
              <w:top w:w="-113" w:type="dxa"/>
              <w:left w:w="-113" w:type="dxa"/>
              <w:bottom w:w="-113" w:type="dxa"/>
              <w:right w:w="-113" w:type="dxa"/>
            </w:tcMar>
          </w:tcPr>
          <w:p w14:paraId="6A2531AC" w14:textId="77777777" w:rsidR="00CB0062" w:rsidRDefault="00CB0062" w:rsidP="00223E56">
            <w:pPr>
              <w:rPr>
                <w:sz w:val="16"/>
                <w:szCs w:val="16"/>
              </w:rPr>
            </w:pPr>
            <w:r>
              <w:rPr>
                <w:sz w:val="16"/>
                <w:szCs w:val="16"/>
              </w:rPr>
              <w:t>CVD</w:t>
            </w:r>
          </w:p>
          <w:p w14:paraId="2FEF7BDC" w14:textId="77777777" w:rsidR="00CB0062" w:rsidRDefault="00CB0062" w:rsidP="00223E56">
            <w:pPr>
              <w:rPr>
                <w:sz w:val="16"/>
                <w:szCs w:val="16"/>
              </w:rPr>
            </w:pPr>
            <w:r>
              <w:rPr>
                <w:sz w:val="16"/>
                <w:szCs w:val="16"/>
              </w:rPr>
              <w:t>CIMT</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116F81BD"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7DD0E8D4"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p w14:paraId="5280FD8F" w14:textId="77777777" w:rsidR="00CB0062" w:rsidRPr="00641BD3" w:rsidRDefault="00CB0062" w:rsidP="00223E56">
            <w:pPr>
              <w:rPr>
                <w:sz w:val="16"/>
                <w:szCs w:val="16"/>
                <w:lang w:val="es-ES"/>
              </w:rPr>
            </w:pPr>
          </w:p>
        </w:tc>
      </w:tr>
      <w:tr w:rsidR="00CB0062" w14:paraId="02621619"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135D2B1" w14:textId="77777777" w:rsidR="00CB0062" w:rsidRPr="00641BD3" w:rsidRDefault="00CB0062" w:rsidP="00223E56">
            <w:pPr>
              <w:widowControl w:val="0"/>
              <w:pBdr>
                <w:top w:val="nil"/>
                <w:left w:val="nil"/>
                <w:bottom w:val="nil"/>
                <w:right w:val="nil"/>
                <w:between w:val="nil"/>
              </w:pBdr>
              <w:spacing w:line="276" w:lineRule="auto"/>
              <w:rPr>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8E0C352" w14:textId="77777777" w:rsidR="00CB0062" w:rsidRPr="00641BD3" w:rsidRDefault="00CB0062" w:rsidP="00223E56">
            <w:pPr>
              <w:widowControl w:val="0"/>
              <w:pBdr>
                <w:top w:val="nil"/>
                <w:left w:val="nil"/>
                <w:bottom w:val="nil"/>
                <w:right w:val="nil"/>
                <w:between w:val="nil"/>
              </w:pBdr>
              <w:spacing w:line="276" w:lineRule="auto"/>
              <w:rPr>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1B1CD4D" w14:textId="77777777" w:rsidR="00CB0062" w:rsidRDefault="00CB0062" w:rsidP="00223E56">
            <w:pPr>
              <w:rPr>
                <w:color w:val="000000"/>
                <w:sz w:val="16"/>
                <w:szCs w:val="16"/>
              </w:rPr>
            </w:pPr>
            <w:r>
              <w:rPr>
                <w:color w:val="000000"/>
                <w:sz w:val="16"/>
                <w:szCs w:val="16"/>
              </w:rPr>
              <w:t>rs4147581</w:t>
            </w:r>
          </w:p>
        </w:tc>
        <w:tc>
          <w:tcPr>
            <w:tcW w:w="851" w:type="dxa"/>
            <w:tcBorders>
              <w:top w:val="single" w:sz="4" w:space="0" w:color="D0CECE"/>
              <w:bottom w:val="single" w:sz="4" w:space="0" w:color="D0CECE"/>
            </w:tcBorders>
            <w:tcMar>
              <w:top w:w="-113" w:type="dxa"/>
              <w:left w:w="-113" w:type="dxa"/>
              <w:bottom w:w="-113" w:type="dxa"/>
              <w:right w:w="-113" w:type="dxa"/>
            </w:tcMar>
          </w:tcPr>
          <w:p w14:paraId="1D1DB268" w14:textId="77777777" w:rsidR="00CB0062" w:rsidRDefault="00CB0062" w:rsidP="00223E56">
            <w:pPr>
              <w:rPr>
                <w:color w:val="000000"/>
                <w:sz w:val="16"/>
                <w:szCs w:val="16"/>
              </w:rPr>
            </w:pPr>
            <w:r>
              <w:rPr>
                <w:color w:val="000000"/>
                <w:sz w:val="16"/>
                <w:szCs w:val="16"/>
              </w:rPr>
              <w:t>C&gt;G</w:t>
            </w:r>
          </w:p>
        </w:tc>
        <w:tc>
          <w:tcPr>
            <w:tcW w:w="1701" w:type="dxa"/>
            <w:tcBorders>
              <w:top w:val="single" w:sz="4" w:space="0" w:color="D0CECE"/>
              <w:bottom w:val="single" w:sz="4" w:space="0" w:color="D0CECE"/>
            </w:tcBorders>
            <w:tcMar>
              <w:top w:w="-113" w:type="dxa"/>
              <w:left w:w="-113" w:type="dxa"/>
              <w:bottom w:w="-113" w:type="dxa"/>
              <w:right w:w="-113" w:type="dxa"/>
            </w:tcMar>
          </w:tcPr>
          <w:p w14:paraId="1751F270"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3DCE7513" w14:textId="77777777" w:rsidR="00CB0062" w:rsidRDefault="00CB0062" w:rsidP="00223E56">
            <w:pPr>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346E313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538A3F0E"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7F662C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238076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A817B44" w14:textId="77777777" w:rsidR="00CB0062" w:rsidRDefault="00CB0062" w:rsidP="00223E56">
            <w:pPr>
              <w:rPr>
                <w:color w:val="000000"/>
                <w:sz w:val="16"/>
                <w:szCs w:val="16"/>
              </w:rPr>
            </w:pPr>
            <w:r>
              <w:rPr>
                <w:color w:val="000000"/>
                <w:sz w:val="16"/>
                <w:szCs w:val="16"/>
              </w:rPr>
              <w:t>rs5031031</w:t>
            </w:r>
          </w:p>
        </w:tc>
        <w:tc>
          <w:tcPr>
            <w:tcW w:w="851" w:type="dxa"/>
            <w:tcBorders>
              <w:top w:val="single" w:sz="4" w:space="0" w:color="D0CECE"/>
              <w:bottom w:val="single" w:sz="4" w:space="0" w:color="D0CECE"/>
            </w:tcBorders>
            <w:tcMar>
              <w:top w:w="-113" w:type="dxa"/>
              <w:left w:w="-113" w:type="dxa"/>
              <w:bottom w:w="-113" w:type="dxa"/>
              <w:right w:w="-113" w:type="dxa"/>
            </w:tcMar>
          </w:tcPr>
          <w:p w14:paraId="24629D69" w14:textId="77777777" w:rsidR="00CB0062" w:rsidRDefault="00CB0062" w:rsidP="00223E56">
            <w:pPr>
              <w:rPr>
                <w:color w:val="000000"/>
                <w:sz w:val="16"/>
                <w:szCs w:val="16"/>
              </w:rPr>
            </w:pPr>
            <w:r>
              <w:rPr>
                <w:color w:val="000000"/>
                <w:sz w:val="16"/>
                <w:szCs w:val="16"/>
              </w:rPr>
              <w:t>A&gt;G</w:t>
            </w:r>
          </w:p>
        </w:tc>
        <w:tc>
          <w:tcPr>
            <w:tcW w:w="1701" w:type="dxa"/>
            <w:tcBorders>
              <w:top w:val="single" w:sz="4" w:space="0" w:color="D0CECE"/>
              <w:bottom w:val="single" w:sz="4" w:space="0" w:color="D0CECE"/>
            </w:tcBorders>
            <w:tcMar>
              <w:top w:w="-113" w:type="dxa"/>
              <w:left w:w="-113" w:type="dxa"/>
              <w:bottom w:w="-113" w:type="dxa"/>
              <w:right w:w="-113" w:type="dxa"/>
            </w:tcMar>
          </w:tcPr>
          <w:p w14:paraId="763D7BBA" w14:textId="77777777" w:rsidR="00CB0062" w:rsidRDefault="00CB0062" w:rsidP="00223E56">
            <w:pPr>
              <w:rPr>
                <w:color w:val="000000"/>
                <w:sz w:val="16"/>
                <w:szCs w:val="16"/>
              </w:rPr>
            </w:pPr>
            <w:r>
              <w:rPr>
                <w:sz w:val="16"/>
                <w:szCs w:val="16"/>
              </w:rPr>
              <w:t>3 Prime UTR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2FC08811" w14:textId="77777777" w:rsidR="00CB0062" w:rsidRDefault="00CB0062" w:rsidP="00223E56">
            <w:pPr>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830CF3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2DCE0673"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9A1E04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22564E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7F9D91DD" w14:textId="77777777" w:rsidR="00CB0062" w:rsidRDefault="00CB0062" w:rsidP="00223E56">
            <w:pPr>
              <w:rPr>
                <w:sz w:val="16"/>
                <w:szCs w:val="16"/>
              </w:rPr>
            </w:pPr>
            <w:r>
              <w:rPr>
                <w:color w:val="000000"/>
                <w:sz w:val="16"/>
                <w:szCs w:val="16"/>
              </w:rPr>
              <w:t>rs6591256</w:t>
            </w:r>
          </w:p>
          <w:p w14:paraId="5AF1CD36" w14:textId="77777777" w:rsidR="00CB0062" w:rsidRDefault="00CB0062" w:rsidP="00223E56">
            <w:pPr>
              <w:rPr>
                <w:sz w:val="16"/>
                <w:szCs w:val="16"/>
              </w:rPr>
            </w:pPr>
          </w:p>
        </w:tc>
        <w:tc>
          <w:tcPr>
            <w:tcW w:w="85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095A691C" w14:textId="77777777" w:rsidR="00CB0062" w:rsidRDefault="00CB0062" w:rsidP="00223E56">
            <w:pPr>
              <w:rPr>
                <w:color w:val="000000"/>
                <w:sz w:val="16"/>
                <w:szCs w:val="16"/>
              </w:rPr>
            </w:pPr>
            <w:r>
              <w:rPr>
                <w:color w:val="000000"/>
                <w:sz w:val="16"/>
                <w:szCs w:val="16"/>
              </w:rPr>
              <w:t>A&gt;G</w:t>
            </w:r>
          </w:p>
        </w:tc>
        <w:tc>
          <w:tcPr>
            <w:tcW w:w="170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6C7F1E80" w14:textId="77777777" w:rsidR="00CB0062" w:rsidRDefault="00CB0062" w:rsidP="00223E56">
            <w:pPr>
              <w:rPr>
                <w:color w:val="000000"/>
                <w:sz w:val="16"/>
                <w:szCs w:val="16"/>
              </w:rPr>
            </w:pPr>
            <w:r>
              <w:rPr>
                <w:sz w:val="16"/>
                <w:szCs w:val="16"/>
              </w:rPr>
              <w:t>2KB Upstream variant</w:t>
            </w:r>
          </w:p>
        </w:tc>
        <w:tc>
          <w:tcPr>
            <w:tcW w:w="708" w:type="dxa"/>
            <w:tcBorders>
              <w:top w:val="single" w:sz="4" w:space="0" w:color="D0CECE"/>
              <w:bottom w:val="single" w:sz="4" w:space="0" w:color="D0CECE"/>
            </w:tcBorders>
            <w:shd w:val="clear" w:color="auto" w:fill="auto"/>
            <w:tcMar>
              <w:top w:w="-113" w:type="dxa"/>
              <w:left w:w="-113" w:type="dxa"/>
              <w:bottom w:w="-113" w:type="dxa"/>
              <w:right w:w="-113" w:type="dxa"/>
            </w:tcMar>
          </w:tcPr>
          <w:p w14:paraId="63C211B4" w14:textId="77777777" w:rsidR="00CB0062" w:rsidRDefault="00CB0062" w:rsidP="00223E56">
            <w:pPr>
              <w:rPr>
                <w:color w:val="000000"/>
                <w:sz w:val="16"/>
                <w:szCs w:val="16"/>
              </w:rPr>
            </w:pPr>
            <w:r>
              <w:rPr>
                <w:color w:val="000000"/>
                <w:sz w:val="16"/>
                <w:szCs w:val="16"/>
              </w:rPr>
              <w:t>SBP</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272E1450" w14:textId="77777777" w:rsidR="00CB0062" w:rsidRDefault="00CB0062" w:rsidP="00223E56">
            <w:pPr>
              <w:rPr>
                <w:color w:val="000000"/>
                <w:sz w:val="16"/>
                <w:szCs w:val="16"/>
              </w:rPr>
            </w:pPr>
            <w:r>
              <w:rPr>
                <w:sz w:val="16"/>
                <w:szCs w:val="16"/>
              </w:rPr>
              <w:t xml:space="preserve">Farzan </w:t>
            </w:r>
            <w:r>
              <w:rPr>
                <w:i/>
                <w:sz w:val="16"/>
                <w:szCs w:val="16"/>
              </w:rPr>
              <w:t>et al.</w:t>
            </w:r>
            <w:r>
              <w:rPr>
                <w:sz w:val="16"/>
                <w:szCs w:val="16"/>
              </w:rPr>
              <w:t xml:space="preserve"> 2016</w:t>
            </w:r>
          </w:p>
        </w:tc>
      </w:tr>
      <w:tr w:rsidR="00CB0062" w:rsidRPr="0030321B" w14:paraId="11306E11"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3DA24E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2C64B1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3C3BB2C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59458AA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5BE4074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tcBorders>
              <w:top w:val="single" w:sz="4" w:space="0" w:color="D0CECE"/>
              <w:bottom w:val="single" w:sz="4" w:space="0" w:color="D0CECE"/>
            </w:tcBorders>
            <w:tcMar>
              <w:top w:w="-113" w:type="dxa"/>
              <w:left w:w="-113" w:type="dxa"/>
              <w:bottom w:w="-113" w:type="dxa"/>
              <w:right w:w="-113" w:type="dxa"/>
            </w:tcMar>
          </w:tcPr>
          <w:p w14:paraId="55F7D887" w14:textId="77777777" w:rsidR="00CB0062" w:rsidRDefault="00CB0062" w:rsidP="00223E56">
            <w:pPr>
              <w:rPr>
                <w:color w:val="000000"/>
                <w:sz w:val="16"/>
                <w:szCs w:val="16"/>
              </w:rPr>
            </w:pPr>
            <w:r>
              <w:rPr>
                <w:color w:val="000000"/>
                <w:sz w:val="16"/>
                <w:szCs w:val="16"/>
              </w:rPr>
              <w:t>CVD</w:t>
            </w:r>
          </w:p>
          <w:p w14:paraId="203A938E" w14:textId="77777777" w:rsidR="00CB0062" w:rsidRDefault="00CB0062" w:rsidP="00223E56">
            <w:pPr>
              <w:rPr>
                <w:sz w:val="16"/>
                <w:szCs w:val="16"/>
              </w:rPr>
            </w:pPr>
            <w:r>
              <w:rPr>
                <w:sz w:val="16"/>
                <w:szCs w:val="16"/>
              </w:rPr>
              <w:t>CIMT</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23B6044"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3AE8D497"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tc>
      </w:tr>
      <w:tr w:rsidR="00CB0062" w14:paraId="6D427A94"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9FB380E"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5A21535"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3614347F" w14:textId="77777777" w:rsidR="00CB0062" w:rsidRDefault="00CB0062" w:rsidP="00223E56">
            <w:pPr>
              <w:rPr>
                <w:sz w:val="16"/>
                <w:szCs w:val="16"/>
              </w:rPr>
            </w:pPr>
            <w:r>
              <w:rPr>
                <w:color w:val="000000"/>
                <w:sz w:val="16"/>
                <w:szCs w:val="16"/>
              </w:rPr>
              <w:t>rs749174</w:t>
            </w:r>
          </w:p>
          <w:p w14:paraId="402EC65A" w14:textId="77777777" w:rsidR="00CB0062" w:rsidRDefault="00CB0062" w:rsidP="00223E56">
            <w:pPr>
              <w:rPr>
                <w:sz w:val="16"/>
                <w:szCs w:val="16"/>
              </w:rPr>
            </w:pPr>
          </w:p>
        </w:tc>
        <w:tc>
          <w:tcPr>
            <w:tcW w:w="85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5D7C38D8" w14:textId="77777777" w:rsidR="00CB0062" w:rsidRDefault="00CB0062" w:rsidP="00223E56">
            <w:pPr>
              <w:rPr>
                <w:color w:val="000000"/>
                <w:sz w:val="16"/>
                <w:szCs w:val="16"/>
              </w:rPr>
            </w:pPr>
            <w:r>
              <w:rPr>
                <w:color w:val="000000"/>
                <w:sz w:val="16"/>
                <w:szCs w:val="16"/>
              </w:rPr>
              <w:t>G&gt;A</w:t>
            </w:r>
          </w:p>
        </w:tc>
        <w:tc>
          <w:tcPr>
            <w:tcW w:w="170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019DA19F" w14:textId="77777777" w:rsidR="00CB0062" w:rsidRDefault="00CB0062" w:rsidP="00223E56">
            <w:pPr>
              <w:rPr>
                <w:color w:val="000000"/>
                <w:sz w:val="16"/>
                <w:szCs w:val="16"/>
              </w:rPr>
            </w:pPr>
            <w:r>
              <w:rPr>
                <w:color w:val="000000"/>
                <w:sz w:val="16"/>
                <w:szCs w:val="16"/>
              </w:rPr>
              <w:t>Intron variant</w:t>
            </w:r>
          </w:p>
        </w:tc>
        <w:tc>
          <w:tcPr>
            <w:tcW w:w="708" w:type="dxa"/>
            <w:tcBorders>
              <w:top w:val="single" w:sz="4" w:space="0" w:color="D0CECE"/>
              <w:bottom w:val="single" w:sz="4" w:space="0" w:color="D0CECE"/>
            </w:tcBorders>
            <w:shd w:val="clear" w:color="auto" w:fill="auto"/>
            <w:tcMar>
              <w:top w:w="-113" w:type="dxa"/>
              <w:left w:w="-113" w:type="dxa"/>
              <w:bottom w:w="-113" w:type="dxa"/>
              <w:right w:w="-113" w:type="dxa"/>
            </w:tcMar>
          </w:tcPr>
          <w:p w14:paraId="174DFA80" w14:textId="77777777" w:rsidR="00CB0062" w:rsidRDefault="00CB0062" w:rsidP="00223E56">
            <w:pPr>
              <w:rPr>
                <w:color w:val="000000"/>
                <w:sz w:val="16"/>
                <w:szCs w:val="16"/>
              </w:rPr>
            </w:pPr>
            <w:r>
              <w:rPr>
                <w:color w:val="000000"/>
                <w:sz w:val="16"/>
                <w:szCs w:val="16"/>
              </w:rPr>
              <w:t>DBP</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258FBAA6" w14:textId="77777777" w:rsidR="00CB0062" w:rsidRDefault="00CB0062" w:rsidP="00223E56">
            <w:pPr>
              <w:rPr>
                <w:sz w:val="16"/>
                <w:szCs w:val="16"/>
              </w:rPr>
            </w:pPr>
            <w:r>
              <w:rPr>
                <w:sz w:val="16"/>
                <w:szCs w:val="16"/>
              </w:rPr>
              <w:t xml:space="preserve">Farzan </w:t>
            </w:r>
            <w:r>
              <w:rPr>
                <w:i/>
                <w:sz w:val="16"/>
                <w:szCs w:val="16"/>
              </w:rPr>
              <w:t>et al.</w:t>
            </w:r>
            <w:r>
              <w:rPr>
                <w:sz w:val="16"/>
                <w:szCs w:val="16"/>
              </w:rPr>
              <w:t xml:space="preserve"> 2016</w:t>
            </w:r>
          </w:p>
          <w:p w14:paraId="15F82F7D" w14:textId="77777777" w:rsidR="00CB0062" w:rsidRDefault="00CB0062" w:rsidP="00223E56">
            <w:pPr>
              <w:rPr>
                <w:sz w:val="16"/>
                <w:szCs w:val="16"/>
              </w:rPr>
            </w:pPr>
          </w:p>
        </w:tc>
      </w:tr>
      <w:tr w:rsidR="00CB0062" w14:paraId="6277F6B0"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A656FBF" w14:textId="77777777" w:rsidR="00CB0062" w:rsidRDefault="00CB0062" w:rsidP="00223E56">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07CCABB" w14:textId="77777777" w:rsidR="00CB0062" w:rsidRDefault="00CB0062" w:rsidP="00223E56">
            <w:pPr>
              <w:widowControl w:val="0"/>
              <w:pBdr>
                <w:top w:val="nil"/>
                <w:left w:val="nil"/>
                <w:bottom w:val="nil"/>
                <w:right w:val="nil"/>
                <w:between w:val="nil"/>
              </w:pBdr>
              <w:spacing w:line="276" w:lineRule="auto"/>
              <w:rPr>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1E7A2155" w14:textId="77777777" w:rsidR="00CB0062" w:rsidRDefault="00CB0062" w:rsidP="00223E56">
            <w:pPr>
              <w:widowControl w:val="0"/>
              <w:pBdr>
                <w:top w:val="nil"/>
                <w:left w:val="nil"/>
                <w:bottom w:val="nil"/>
                <w:right w:val="nil"/>
                <w:between w:val="nil"/>
              </w:pBdr>
              <w:spacing w:line="276" w:lineRule="auto"/>
              <w:rPr>
                <w:sz w:val="16"/>
                <w:szCs w:val="16"/>
              </w:rPr>
            </w:pPr>
          </w:p>
        </w:tc>
        <w:tc>
          <w:tcPr>
            <w:tcW w:w="85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4E5D7299" w14:textId="77777777" w:rsidR="00CB0062" w:rsidRDefault="00CB0062" w:rsidP="00223E56">
            <w:pPr>
              <w:widowControl w:val="0"/>
              <w:pBdr>
                <w:top w:val="nil"/>
                <w:left w:val="nil"/>
                <w:bottom w:val="nil"/>
                <w:right w:val="nil"/>
                <w:between w:val="nil"/>
              </w:pBdr>
              <w:spacing w:line="276" w:lineRule="auto"/>
              <w:rPr>
                <w:sz w:val="16"/>
                <w:szCs w:val="16"/>
              </w:rPr>
            </w:pPr>
          </w:p>
        </w:tc>
        <w:tc>
          <w:tcPr>
            <w:tcW w:w="170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720244AD" w14:textId="77777777" w:rsidR="00CB0062" w:rsidRDefault="00CB0062" w:rsidP="00223E56">
            <w:pPr>
              <w:widowControl w:val="0"/>
              <w:pBdr>
                <w:top w:val="nil"/>
                <w:left w:val="nil"/>
                <w:bottom w:val="nil"/>
                <w:right w:val="nil"/>
                <w:between w:val="nil"/>
              </w:pBdr>
              <w:spacing w:line="276" w:lineRule="auto"/>
              <w:rPr>
                <w:sz w:val="16"/>
                <w:szCs w:val="16"/>
              </w:rPr>
            </w:pPr>
          </w:p>
        </w:tc>
        <w:tc>
          <w:tcPr>
            <w:tcW w:w="708" w:type="dxa"/>
            <w:tcBorders>
              <w:top w:val="single" w:sz="4" w:space="0" w:color="D0CECE"/>
              <w:bottom w:val="single" w:sz="4" w:space="0" w:color="D0CECE"/>
            </w:tcBorders>
            <w:tcMar>
              <w:top w:w="-113" w:type="dxa"/>
              <w:left w:w="-113" w:type="dxa"/>
              <w:bottom w:w="-113" w:type="dxa"/>
              <w:right w:w="-113" w:type="dxa"/>
            </w:tcMar>
          </w:tcPr>
          <w:p w14:paraId="5C118CAB" w14:textId="77777777" w:rsidR="00CB0062" w:rsidRDefault="00CB0062" w:rsidP="00223E56">
            <w:pPr>
              <w:rPr>
                <w:color w:val="000000"/>
                <w:sz w:val="16"/>
                <w:szCs w:val="16"/>
              </w:rPr>
            </w:pPr>
            <w:r>
              <w:rPr>
                <w:color w:val="000000"/>
                <w:sz w:val="16"/>
                <w:szCs w:val="16"/>
              </w:rPr>
              <w:t>BP</w:t>
            </w: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284E64A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rsidRPr="0030321B" w14:paraId="207E6418" w14:textId="77777777" w:rsidTr="00923C73">
        <w:trPr>
          <w:trHeight w:val="212"/>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F3FBB9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B0C812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69C35AD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06816B6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2E026B8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vMerge w:val="restart"/>
            <w:tcBorders>
              <w:top w:val="single" w:sz="4" w:space="0" w:color="D0CECE"/>
              <w:bottom w:val="single" w:sz="4" w:space="0" w:color="D0CECE"/>
            </w:tcBorders>
            <w:tcMar>
              <w:top w:w="-113" w:type="dxa"/>
              <w:left w:w="-113" w:type="dxa"/>
              <w:bottom w:w="-113" w:type="dxa"/>
              <w:right w:w="-113" w:type="dxa"/>
            </w:tcMar>
          </w:tcPr>
          <w:p w14:paraId="2DE48984" w14:textId="77777777" w:rsidR="00CB0062" w:rsidRDefault="00CB0062" w:rsidP="00223E56">
            <w:pPr>
              <w:rPr>
                <w:sz w:val="16"/>
                <w:szCs w:val="16"/>
              </w:rPr>
            </w:pPr>
            <w:r>
              <w:rPr>
                <w:sz w:val="16"/>
                <w:szCs w:val="16"/>
              </w:rPr>
              <w:t>CVD</w:t>
            </w:r>
          </w:p>
          <w:p w14:paraId="337C5483" w14:textId="77777777" w:rsidR="00CB0062" w:rsidRDefault="00CB0062" w:rsidP="00223E56">
            <w:pPr>
              <w:rPr>
                <w:sz w:val="16"/>
                <w:szCs w:val="16"/>
              </w:rPr>
            </w:pPr>
            <w:r>
              <w:rPr>
                <w:sz w:val="16"/>
                <w:szCs w:val="16"/>
              </w:rPr>
              <w:t>CIMT</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43C2EAF9" w14:textId="77777777" w:rsidR="00CB0062" w:rsidRPr="00641BD3" w:rsidRDefault="00CB0062" w:rsidP="00223E56">
            <w:pPr>
              <w:rPr>
                <w:sz w:val="16"/>
                <w:szCs w:val="16"/>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27BD33F1" w14:textId="77777777" w:rsidR="00CB0062" w:rsidRPr="00641BD3" w:rsidRDefault="00CB0062" w:rsidP="00223E56">
            <w:pPr>
              <w:rPr>
                <w:sz w:val="16"/>
                <w:szCs w:val="16"/>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tc>
      </w:tr>
      <w:tr w:rsidR="00CB0062" w14:paraId="3DA18E47"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BD2A165" w14:textId="77777777" w:rsidR="00CB0062" w:rsidRPr="00641BD3" w:rsidRDefault="00CB0062" w:rsidP="00223E56">
            <w:pPr>
              <w:widowControl w:val="0"/>
              <w:pBdr>
                <w:top w:val="nil"/>
                <w:left w:val="nil"/>
                <w:bottom w:val="nil"/>
                <w:right w:val="nil"/>
                <w:between w:val="nil"/>
              </w:pBdr>
              <w:spacing w:line="276" w:lineRule="auto"/>
              <w:rPr>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A866DC4" w14:textId="77777777" w:rsidR="00CB0062" w:rsidRPr="00641BD3" w:rsidRDefault="00CB0062" w:rsidP="00223E56">
            <w:pPr>
              <w:widowControl w:val="0"/>
              <w:pBdr>
                <w:top w:val="nil"/>
                <w:left w:val="nil"/>
                <w:bottom w:val="nil"/>
                <w:right w:val="nil"/>
                <w:between w:val="nil"/>
              </w:pBdr>
              <w:spacing w:line="276" w:lineRule="auto"/>
              <w:rPr>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222DDC62" w14:textId="77777777" w:rsidR="00CB0062" w:rsidRDefault="00CB0062" w:rsidP="00223E56">
            <w:pPr>
              <w:rPr>
                <w:color w:val="000000"/>
                <w:sz w:val="16"/>
                <w:szCs w:val="16"/>
              </w:rPr>
            </w:pPr>
            <w:r>
              <w:rPr>
                <w:color w:val="000000"/>
                <w:sz w:val="16"/>
                <w:szCs w:val="16"/>
              </w:rPr>
              <w:t>rs8191431</w:t>
            </w:r>
          </w:p>
        </w:tc>
        <w:tc>
          <w:tcPr>
            <w:tcW w:w="851" w:type="dxa"/>
            <w:tcBorders>
              <w:top w:val="single" w:sz="4" w:space="0" w:color="D0CECE"/>
              <w:bottom w:val="single" w:sz="4" w:space="0" w:color="D0CECE"/>
            </w:tcBorders>
            <w:tcMar>
              <w:top w:w="-113" w:type="dxa"/>
              <w:left w:w="-113" w:type="dxa"/>
              <w:bottom w:w="-113" w:type="dxa"/>
              <w:right w:w="-113" w:type="dxa"/>
            </w:tcMar>
          </w:tcPr>
          <w:p w14:paraId="546C6FD2" w14:textId="77777777" w:rsidR="00CB0062" w:rsidRDefault="00CB0062" w:rsidP="00223E56">
            <w:pPr>
              <w:rPr>
                <w:color w:val="000000"/>
                <w:sz w:val="16"/>
                <w:szCs w:val="16"/>
              </w:rPr>
            </w:pPr>
            <w:r>
              <w:rPr>
                <w:color w:val="000000"/>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5F0AAB6C" w14:textId="77777777" w:rsidR="00CB0062" w:rsidRDefault="00CB0062" w:rsidP="00223E56">
            <w:pPr>
              <w:rPr>
                <w:color w:val="000000"/>
                <w:sz w:val="16"/>
                <w:szCs w:val="16"/>
              </w:rPr>
            </w:pPr>
            <w:r>
              <w:rPr>
                <w:sz w:val="16"/>
                <w:szCs w:val="16"/>
              </w:rPr>
              <w:t>2KB Upstream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375F29CC" w14:textId="77777777" w:rsidR="00CB0062" w:rsidRDefault="00CB0062" w:rsidP="00223E56">
            <w:pPr>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58D34F9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4B99C2D8"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9DC10A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A7704B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12FC0572" w14:textId="77777777" w:rsidR="00CB0062" w:rsidRDefault="00CB0062" w:rsidP="00223E56">
            <w:pPr>
              <w:rPr>
                <w:color w:val="000000"/>
                <w:sz w:val="16"/>
                <w:szCs w:val="16"/>
              </w:rPr>
            </w:pPr>
            <w:r>
              <w:rPr>
                <w:color w:val="000000"/>
                <w:sz w:val="16"/>
                <w:szCs w:val="16"/>
              </w:rPr>
              <w:t>rs8191439</w:t>
            </w:r>
          </w:p>
        </w:tc>
        <w:tc>
          <w:tcPr>
            <w:tcW w:w="851" w:type="dxa"/>
            <w:tcBorders>
              <w:top w:val="single" w:sz="4" w:space="0" w:color="D0CECE"/>
              <w:bottom w:val="single" w:sz="4" w:space="0" w:color="D0CECE"/>
            </w:tcBorders>
            <w:tcMar>
              <w:top w:w="-113" w:type="dxa"/>
              <w:left w:w="-113" w:type="dxa"/>
              <w:bottom w:w="-113" w:type="dxa"/>
              <w:right w:w="-113" w:type="dxa"/>
            </w:tcMar>
          </w:tcPr>
          <w:p w14:paraId="6969A5A7" w14:textId="77777777" w:rsidR="00CB0062" w:rsidRDefault="00CB0062" w:rsidP="00223E56">
            <w:pPr>
              <w:rPr>
                <w:color w:val="000000"/>
                <w:sz w:val="16"/>
                <w:szCs w:val="16"/>
              </w:rPr>
            </w:pPr>
            <w:r>
              <w:rPr>
                <w:color w:val="000000"/>
                <w:sz w:val="16"/>
                <w:szCs w:val="16"/>
              </w:rPr>
              <w:t>G&gt;A</w:t>
            </w:r>
          </w:p>
        </w:tc>
        <w:tc>
          <w:tcPr>
            <w:tcW w:w="1701" w:type="dxa"/>
            <w:tcBorders>
              <w:top w:val="single" w:sz="4" w:space="0" w:color="D0CECE"/>
              <w:bottom w:val="single" w:sz="4" w:space="0" w:color="D0CECE"/>
            </w:tcBorders>
            <w:tcMar>
              <w:top w:w="-113" w:type="dxa"/>
              <w:left w:w="-113" w:type="dxa"/>
              <w:bottom w:w="-113" w:type="dxa"/>
              <w:right w:w="-113" w:type="dxa"/>
            </w:tcMar>
          </w:tcPr>
          <w:p w14:paraId="1504DD33" w14:textId="77777777" w:rsidR="00CB0062" w:rsidRDefault="00CB0062" w:rsidP="00223E56">
            <w:pPr>
              <w:rPr>
                <w:color w:val="000000"/>
                <w:sz w:val="16"/>
                <w:szCs w:val="16"/>
              </w:rPr>
            </w:pPr>
            <w:r>
              <w:rPr>
                <w:sz w:val="16"/>
                <w:szCs w:val="16"/>
              </w:rPr>
              <w:t>5 Prime UTR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76A6A5B8" w14:textId="77777777" w:rsidR="00CB0062" w:rsidRDefault="00CB0062" w:rsidP="00223E56">
            <w:pPr>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72308CE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0A76C16F"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4D4C55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1A3718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646F022" w14:textId="77777777" w:rsidR="00CB0062" w:rsidRDefault="00CB0062" w:rsidP="00223E56">
            <w:pPr>
              <w:rPr>
                <w:color w:val="000000"/>
                <w:sz w:val="16"/>
                <w:szCs w:val="16"/>
              </w:rPr>
            </w:pPr>
            <w:r>
              <w:rPr>
                <w:color w:val="000000"/>
                <w:sz w:val="16"/>
                <w:szCs w:val="16"/>
              </w:rPr>
              <w:t>rs8191446</w:t>
            </w:r>
          </w:p>
        </w:tc>
        <w:tc>
          <w:tcPr>
            <w:tcW w:w="851" w:type="dxa"/>
            <w:tcBorders>
              <w:top w:val="single" w:sz="4" w:space="0" w:color="D0CECE"/>
              <w:bottom w:val="single" w:sz="4" w:space="0" w:color="D0CECE"/>
            </w:tcBorders>
            <w:tcMar>
              <w:top w:w="-113" w:type="dxa"/>
              <w:left w:w="-113" w:type="dxa"/>
              <w:bottom w:w="-113" w:type="dxa"/>
              <w:right w:w="-113" w:type="dxa"/>
            </w:tcMar>
          </w:tcPr>
          <w:p w14:paraId="6A7702A5" w14:textId="77777777" w:rsidR="00CB0062" w:rsidRDefault="00CB0062" w:rsidP="00223E56">
            <w:pPr>
              <w:rPr>
                <w:color w:val="000000"/>
                <w:sz w:val="16"/>
                <w:szCs w:val="16"/>
              </w:rPr>
            </w:pPr>
            <w:r>
              <w:rPr>
                <w:color w:val="000000"/>
                <w:sz w:val="16"/>
                <w:szCs w:val="16"/>
              </w:rPr>
              <w:t>G&gt;C</w:t>
            </w:r>
          </w:p>
        </w:tc>
        <w:tc>
          <w:tcPr>
            <w:tcW w:w="1701" w:type="dxa"/>
            <w:tcBorders>
              <w:top w:val="single" w:sz="4" w:space="0" w:color="D0CECE"/>
              <w:bottom w:val="single" w:sz="4" w:space="0" w:color="D0CECE"/>
            </w:tcBorders>
            <w:tcMar>
              <w:top w:w="-113" w:type="dxa"/>
              <w:left w:w="-113" w:type="dxa"/>
              <w:bottom w:w="-113" w:type="dxa"/>
              <w:right w:w="-113" w:type="dxa"/>
            </w:tcMar>
          </w:tcPr>
          <w:p w14:paraId="72AD59EB" w14:textId="77777777" w:rsidR="00CB0062" w:rsidRDefault="00CB0062" w:rsidP="00223E56">
            <w:pPr>
              <w:rPr>
                <w:color w:val="000000"/>
                <w:sz w:val="16"/>
                <w:szCs w:val="16"/>
              </w:rPr>
            </w:pPr>
            <w:r>
              <w:rPr>
                <w:sz w:val="16"/>
                <w:szCs w:val="16"/>
              </w:rPr>
              <w:t>500B Downstream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7F5F6E60" w14:textId="77777777" w:rsidR="00CB0062" w:rsidRDefault="00CB0062" w:rsidP="00223E56">
            <w:pPr>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B1A493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3C134474"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8E770A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1D897E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5D480A00" w14:textId="77777777" w:rsidR="00CB0062" w:rsidRDefault="00CB0062" w:rsidP="00223E56">
            <w:pPr>
              <w:rPr>
                <w:color w:val="000000"/>
                <w:sz w:val="16"/>
                <w:szCs w:val="16"/>
              </w:rPr>
            </w:pPr>
            <w:r>
              <w:rPr>
                <w:color w:val="000000"/>
                <w:sz w:val="16"/>
                <w:szCs w:val="16"/>
              </w:rPr>
              <w:t>rs8191449</w:t>
            </w:r>
          </w:p>
        </w:tc>
        <w:tc>
          <w:tcPr>
            <w:tcW w:w="851" w:type="dxa"/>
            <w:tcBorders>
              <w:top w:val="single" w:sz="4" w:space="0" w:color="D0CECE"/>
              <w:bottom w:val="single" w:sz="4" w:space="0" w:color="D0CECE"/>
            </w:tcBorders>
            <w:tcMar>
              <w:top w:w="-113" w:type="dxa"/>
              <w:left w:w="-113" w:type="dxa"/>
              <w:bottom w:w="-113" w:type="dxa"/>
              <w:right w:w="-113" w:type="dxa"/>
            </w:tcMar>
          </w:tcPr>
          <w:p w14:paraId="2FB48BBA" w14:textId="77777777" w:rsidR="00CB0062" w:rsidRDefault="00CB0062" w:rsidP="00223E56">
            <w:pPr>
              <w:rPr>
                <w:color w:val="000000"/>
                <w:sz w:val="16"/>
                <w:szCs w:val="16"/>
              </w:rPr>
            </w:pPr>
            <w:r>
              <w:rPr>
                <w:color w:val="000000"/>
                <w:sz w:val="16"/>
                <w:szCs w:val="16"/>
              </w:rPr>
              <w:t>G&gt;A</w:t>
            </w:r>
          </w:p>
        </w:tc>
        <w:tc>
          <w:tcPr>
            <w:tcW w:w="1701" w:type="dxa"/>
            <w:tcBorders>
              <w:top w:val="single" w:sz="4" w:space="0" w:color="D0CECE"/>
              <w:bottom w:val="single" w:sz="4" w:space="0" w:color="D0CECE"/>
            </w:tcBorders>
            <w:tcMar>
              <w:top w:w="-113" w:type="dxa"/>
              <w:left w:w="-113" w:type="dxa"/>
              <w:bottom w:w="-113" w:type="dxa"/>
              <w:right w:w="-113" w:type="dxa"/>
            </w:tcMar>
          </w:tcPr>
          <w:p w14:paraId="3C611D5C"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74B03480" w14:textId="77777777" w:rsidR="00CB0062" w:rsidRDefault="00CB0062" w:rsidP="00223E56">
            <w:pPr>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26DB09C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69540415"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A35E73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0F3F0F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7970E2BD" w14:textId="77777777" w:rsidR="00CB0062" w:rsidRDefault="00CB0062" w:rsidP="00223E56">
            <w:pPr>
              <w:rPr>
                <w:color w:val="000000"/>
                <w:sz w:val="16"/>
                <w:szCs w:val="16"/>
              </w:rPr>
            </w:pPr>
            <w:r>
              <w:rPr>
                <w:color w:val="000000"/>
                <w:sz w:val="16"/>
                <w:szCs w:val="16"/>
              </w:rPr>
              <w:t>rs947895</w:t>
            </w:r>
          </w:p>
        </w:tc>
        <w:tc>
          <w:tcPr>
            <w:tcW w:w="851" w:type="dxa"/>
            <w:tcBorders>
              <w:top w:val="single" w:sz="4" w:space="0" w:color="D0CECE"/>
              <w:bottom w:val="single" w:sz="4" w:space="0" w:color="000000"/>
            </w:tcBorders>
            <w:tcMar>
              <w:top w:w="-113" w:type="dxa"/>
              <w:left w:w="-113" w:type="dxa"/>
              <w:bottom w:w="-113" w:type="dxa"/>
              <w:right w:w="-113" w:type="dxa"/>
            </w:tcMar>
          </w:tcPr>
          <w:p w14:paraId="7AB75BC7" w14:textId="77777777" w:rsidR="00CB0062" w:rsidRDefault="00CB0062" w:rsidP="00223E56">
            <w:pPr>
              <w:rPr>
                <w:color w:val="000000"/>
                <w:sz w:val="16"/>
                <w:szCs w:val="16"/>
              </w:rPr>
            </w:pPr>
            <w:r>
              <w:rPr>
                <w:color w:val="000000"/>
                <w:sz w:val="16"/>
                <w:szCs w:val="16"/>
              </w:rPr>
              <w:t>C&gt;</w:t>
            </w:r>
            <w:proofErr w:type="gramStart"/>
            <w:r>
              <w:rPr>
                <w:color w:val="000000"/>
                <w:sz w:val="16"/>
                <w:szCs w:val="16"/>
              </w:rPr>
              <w:t>A,T</w:t>
            </w:r>
            <w:proofErr w:type="gramEnd"/>
          </w:p>
        </w:tc>
        <w:tc>
          <w:tcPr>
            <w:tcW w:w="1701" w:type="dxa"/>
            <w:tcBorders>
              <w:top w:val="single" w:sz="4" w:space="0" w:color="D0CECE"/>
              <w:bottom w:val="single" w:sz="4" w:space="0" w:color="000000"/>
            </w:tcBorders>
            <w:tcMar>
              <w:top w:w="-113" w:type="dxa"/>
              <w:left w:w="-113" w:type="dxa"/>
              <w:bottom w:w="-113" w:type="dxa"/>
              <w:right w:w="-113" w:type="dxa"/>
            </w:tcMar>
          </w:tcPr>
          <w:p w14:paraId="6748C984" w14:textId="77777777" w:rsidR="00CB0062" w:rsidRDefault="00CB0062" w:rsidP="00223E56">
            <w:pPr>
              <w:rPr>
                <w:color w:val="000000"/>
                <w:sz w:val="16"/>
                <w:szCs w:val="16"/>
              </w:rPr>
            </w:pPr>
            <w:r>
              <w:rPr>
                <w:sz w:val="16"/>
                <w:szCs w:val="16"/>
              </w:rPr>
              <w:t>500B Downstream variant</w:t>
            </w:r>
          </w:p>
        </w:tc>
        <w:tc>
          <w:tcPr>
            <w:tcW w:w="708" w:type="dxa"/>
            <w:vMerge/>
            <w:tcBorders>
              <w:top w:val="single" w:sz="4" w:space="0" w:color="D0CECE"/>
              <w:bottom w:val="single" w:sz="4" w:space="0" w:color="000000"/>
            </w:tcBorders>
            <w:tcMar>
              <w:top w:w="-113" w:type="dxa"/>
              <w:left w:w="-113" w:type="dxa"/>
              <w:bottom w:w="-113" w:type="dxa"/>
              <w:right w:w="-113" w:type="dxa"/>
            </w:tcMar>
          </w:tcPr>
          <w:p w14:paraId="6E67C044" w14:textId="77777777" w:rsidR="00CB0062" w:rsidRDefault="00CB0062" w:rsidP="00223E56">
            <w:pPr>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1D47DF7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4B1BB974" w14:textId="77777777" w:rsidTr="00923C73">
        <w:trPr>
          <w:trHeight w:val="61"/>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72D9A81" w14:textId="77777777" w:rsidR="00CB0062" w:rsidRDefault="00CB0062" w:rsidP="00223E56">
            <w:pPr>
              <w:rPr>
                <w:i/>
                <w:color w:val="000000"/>
                <w:sz w:val="16"/>
                <w:szCs w:val="16"/>
              </w:rPr>
            </w:pPr>
            <w:r>
              <w:rPr>
                <w:i/>
                <w:color w:val="000000"/>
                <w:sz w:val="16"/>
                <w:szCs w:val="16"/>
              </w:rPr>
              <w:t>GSTT1</w:t>
            </w:r>
          </w:p>
          <w:p w14:paraId="0B8D30E4"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2994F21" w14:textId="77777777" w:rsidR="00CB0062" w:rsidRDefault="00CB0062" w:rsidP="00223E56">
            <w:pPr>
              <w:rPr>
                <w:color w:val="000000"/>
                <w:sz w:val="16"/>
                <w:szCs w:val="16"/>
              </w:rPr>
            </w:pPr>
            <w:r>
              <w:rPr>
                <w:color w:val="000000"/>
                <w:sz w:val="16"/>
                <w:szCs w:val="16"/>
              </w:rPr>
              <w:t>Glutathione S-transferase theta-1</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0E7D7697" w14:textId="77777777" w:rsidR="00CB0062" w:rsidRDefault="00CB0062" w:rsidP="00223E56">
            <w:pPr>
              <w:rPr>
                <w:color w:val="000000"/>
                <w:sz w:val="16"/>
                <w:szCs w:val="16"/>
              </w:rPr>
            </w:pPr>
            <w:r>
              <w:rPr>
                <w:sz w:val="16"/>
                <w:szCs w:val="16"/>
              </w:rPr>
              <w:t>rs1695</w:t>
            </w:r>
          </w:p>
        </w:tc>
        <w:tc>
          <w:tcPr>
            <w:tcW w:w="851" w:type="dxa"/>
            <w:tcBorders>
              <w:top w:val="single" w:sz="4" w:space="0" w:color="000000"/>
              <w:bottom w:val="single" w:sz="4" w:space="0" w:color="D0CECE"/>
            </w:tcBorders>
            <w:tcMar>
              <w:top w:w="-113" w:type="dxa"/>
              <w:left w:w="-113" w:type="dxa"/>
              <w:bottom w:w="-113" w:type="dxa"/>
              <w:right w:w="-113" w:type="dxa"/>
            </w:tcMar>
          </w:tcPr>
          <w:p w14:paraId="7E3B2AE9" w14:textId="77777777" w:rsidR="00CB0062" w:rsidRDefault="00CB0062" w:rsidP="00223E56">
            <w:pPr>
              <w:rPr>
                <w:color w:val="000000"/>
                <w:sz w:val="16"/>
                <w:szCs w:val="16"/>
              </w:rPr>
            </w:pPr>
            <w:r>
              <w:rPr>
                <w:color w:val="000000"/>
                <w:sz w:val="16"/>
                <w:szCs w:val="16"/>
              </w:rPr>
              <w:t>A&gt;</w:t>
            </w:r>
            <w:proofErr w:type="gramStart"/>
            <w:r>
              <w:rPr>
                <w:color w:val="000000"/>
                <w:sz w:val="16"/>
                <w:szCs w:val="16"/>
              </w:rPr>
              <w:t>G,T</w:t>
            </w:r>
            <w:proofErr w:type="gramEnd"/>
          </w:p>
        </w:tc>
        <w:tc>
          <w:tcPr>
            <w:tcW w:w="1701" w:type="dxa"/>
            <w:tcBorders>
              <w:top w:val="single" w:sz="4" w:space="0" w:color="000000"/>
              <w:bottom w:val="single" w:sz="4" w:space="0" w:color="D0CECE"/>
            </w:tcBorders>
            <w:tcMar>
              <w:top w:w="-113" w:type="dxa"/>
              <w:left w:w="-113" w:type="dxa"/>
              <w:bottom w:w="-113" w:type="dxa"/>
              <w:right w:w="-113" w:type="dxa"/>
            </w:tcMar>
          </w:tcPr>
          <w:p w14:paraId="3EEA255B" w14:textId="77777777" w:rsidR="00CB0062" w:rsidRDefault="00CB0062" w:rsidP="00223E56">
            <w:pPr>
              <w:rPr>
                <w:color w:val="000000"/>
                <w:sz w:val="16"/>
                <w:szCs w:val="16"/>
              </w:rPr>
            </w:pPr>
            <w:r>
              <w:rPr>
                <w:color w:val="000000"/>
                <w:sz w:val="16"/>
                <w:szCs w:val="16"/>
              </w:rPr>
              <w:t>Missense variant</w:t>
            </w:r>
          </w:p>
        </w:tc>
        <w:tc>
          <w:tcPr>
            <w:tcW w:w="708" w:type="dxa"/>
            <w:tcBorders>
              <w:top w:val="single" w:sz="4" w:space="0" w:color="000000"/>
              <w:bottom w:val="single" w:sz="4" w:space="0" w:color="D0CECE"/>
            </w:tcBorders>
            <w:tcMar>
              <w:top w:w="-113" w:type="dxa"/>
              <w:left w:w="-113" w:type="dxa"/>
              <w:bottom w:w="-113" w:type="dxa"/>
              <w:right w:w="-113" w:type="dxa"/>
            </w:tcMar>
          </w:tcPr>
          <w:p w14:paraId="37A7DF83" w14:textId="77777777" w:rsidR="00CB0062" w:rsidRDefault="00CB0062" w:rsidP="00223E56">
            <w:pPr>
              <w:rPr>
                <w:color w:val="000000"/>
                <w:sz w:val="16"/>
                <w:szCs w:val="16"/>
              </w:rPr>
            </w:pPr>
            <w:r>
              <w:rPr>
                <w:color w:val="000000"/>
                <w:sz w:val="16"/>
                <w:szCs w:val="16"/>
              </w:rPr>
              <w:t>CA</w:t>
            </w:r>
          </w:p>
        </w:tc>
        <w:tc>
          <w:tcPr>
            <w:tcW w:w="1838" w:type="dxa"/>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3E367B0F" w14:textId="77777777" w:rsidR="00CB0062" w:rsidRDefault="00CB0062" w:rsidP="00223E56">
            <w:pPr>
              <w:rPr>
                <w:color w:val="000000"/>
                <w:sz w:val="16"/>
                <w:szCs w:val="16"/>
              </w:rPr>
            </w:pPr>
            <w:r>
              <w:rPr>
                <w:sz w:val="16"/>
                <w:szCs w:val="16"/>
              </w:rPr>
              <w:t xml:space="preserve">Wang </w:t>
            </w:r>
            <w:r>
              <w:rPr>
                <w:i/>
                <w:sz w:val="16"/>
                <w:szCs w:val="16"/>
              </w:rPr>
              <w:t>et al</w:t>
            </w:r>
            <w:r>
              <w:rPr>
                <w:sz w:val="16"/>
                <w:szCs w:val="16"/>
              </w:rPr>
              <w:t>. 2007</w:t>
            </w:r>
          </w:p>
        </w:tc>
      </w:tr>
      <w:tr w:rsidR="00CB0062" w:rsidRPr="0030321B" w14:paraId="0CA90CE4"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1A66A2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8438A9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229ECE7" w14:textId="77777777" w:rsidR="00CB0062" w:rsidRDefault="00CB0062" w:rsidP="00223E56">
            <w:pPr>
              <w:rPr>
                <w:color w:val="000000"/>
                <w:sz w:val="16"/>
                <w:szCs w:val="16"/>
              </w:rPr>
            </w:pPr>
            <w:r>
              <w:rPr>
                <w:color w:val="000000"/>
                <w:sz w:val="16"/>
                <w:szCs w:val="16"/>
              </w:rPr>
              <w:t>rs2234953</w:t>
            </w:r>
          </w:p>
        </w:tc>
        <w:tc>
          <w:tcPr>
            <w:tcW w:w="851" w:type="dxa"/>
            <w:tcBorders>
              <w:top w:val="single" w:sz="4" w:space="0" w:color="D0CECE"/>
              <w:bottom w:val="single" w:sz="4" w:space="0" w:color="D0CECE"/>
            </w:tcBorders>
            <w:tcMar>
              <w:top w:w="-113" w:type="dxa"/>
              <w:left w:w="-113" w:type="dxa"/>
              <w:bottom w:w="-113" w:type="dxa"/>
              <w:right w:w="-113" w:type="dxa"/>
            </w:tcMar>
          </w:tcPr>
          <w:p w14:paraId="1D721184" w14:textId="77777777" w:rsidR="00CB0062" w:rsidRDefault="00CB0062" w:rsidP="00223E56">
            <w:pPr>
              <w:rPr>
                <w:color w:val="000000"/>
                <w:sz w:val="16"/>
                <w:szCs w:val="16"/>
              </w:rPr>
            </w:pPr>
            <w:r>
              <w:rPr>
                <w:color w:val="000000"/>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3C16C641" w14:textId="77777777" w:rsidR="00CB0062" w:rsidRDefault="00CB0062" w:rsidP="00223E56">
            <w:pPr>
              <w:rPr>
                <w:color w:val="000000"/>
                <w:sz w:val="16"/>
                <w:szCs w:val="16"/>
              </w:rPr>
            </w:pPr>
            <w:r>
              <w:rPr>
                <w:color w:val="000000"/>
                <w:sz w:val="16"/>
                <w:szCs w:val="16"/>
              </w:rPr>
              <w:t>--</w:t>
            </w:r>
          </w:p>
        </w:tc>
        <w:tc>
          <w:tcPr>
            <w:tcW w:w="708" w:type="dxa"/>
            <w:vMerge w:val="restart"/>
            <w:tcBorders>
              <w:top w:val="single" w:sz="4" w:space="0" w:color="D0CECE"/>
              <w:bottom w:val="single" w:sz="4" w:space="0" w:color="D0CECE"/>
            </w:tcBorders>
            <w:tcMar>
              <w:top w:w="-113" w:type="dxa"/>
              <w:left w:w="-113" w:type="dxa"/>
              <w:bottom w:w="-113" w:type="dxa"/>
              <w:right w:w="-113" w:type="dxa"/>
            </w:tcMar>
          </w:tcPr>
          <w:p w14:paraId="50C0792A" w14:textId="77777777" w:rsidR="00CB0062" w:rsidRDefault="00CB0062" w:rsidP="00223E56">
            <w:pPr>
              <w:rPr>
                <w:sz w:val="16"/>
                <w:szCs w:val="16"/>
              </w:rPr>
            </w:pPr>
            <w:r>
              <w:rPr>
                <w:sz w:val="16"/>
                <w:szCs w:val="16"/>
              </w:rPr>
              <w:t>CVD</w:t>
            </w:r>
          </w:p>
          <w:p w14:paraId="02F51A07" w14:textId="77777777" w:rsidR="00CB0062" w:rsidRDefault="00CB0062" w:rsidP="00223E56">
            <w:pPr>
              <w:rPr>
                <w:sz w:val="16"/>
                <w:szCs w:val="16"/>
              </w:rPr>
            </w:pPr>
            <w:r>
              <w:rPr>
                <w:sz w:val="16"/>
                <w:szCs w:val="16"/>
              </w:rPr>
              <w:t>CIMT</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FF422E3" w14:textId="77777777" w:rsidR="00CB0062" w:rsidRPr="00641BD3" w:rsidRDefault="00CB0062" w:rsidP="00223E56">
            <w:pPr>
              <w:rPr>
                <w:sz w:val="16"/>
                <w:szCs w:val="16"/>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23EB159E" w14:textId="77777777" w:rsidR="00CB0062" w:rsidRPr="00641BD3" w:rsidRDefault="00CB0062" w:rsidP="00223E56">
            <w:pPr>
              <w:rPr>
                <w:sz w:val="16"/>
                <w:szCs w:val="16"/>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tc>
      </w:tr>
      <w:tr w:rsidR="00CB0062" w14:paraId="306B3058"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C604D09" w14:textId="77777777" w:rsidR="00CB0062" w:rsidRPr="00641BD3" w:rsidRDefault="00CB0062" w:rsidP="00223E56">
            <w:pPr>
              <w:widowControl w:val="0"/>
              <w:pBdr>
                <w:top w:val="nil"/>
                <w:left w:val="nil"/>
                <w:bottom w:val="nil"/>
                <w:right w:val="nil"/>
                <w:between w:val="nil"/>
              </w:pBdr>
              <w:spacing w:line="276" w:lineRule="auto"/>
              <w:rPr>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57833AE" w14:textId="77777777" w:rsidR="00CB0062" w:rsidRPr="00641BD3" w:rsidRDefault="00CB0062" w:rsidP="00223E56">
            <w:pPr>
              <w:widowControl w:val="0"/>
              <w:pBdr>
                <w:top w:val="nil"/>
                <w:left w:val="nil"/>
                <w:bottom w:val="nil"/>
                <w:right w:val="nil"/>
                <w:between w:val="nil"/>
              </w:pBdr>
              <w:spacing w:line="276" w:lineRule="auto"/>
              <w:rPr>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F6352C9" w14:textId="77777777" w:rsidR="00CB0062" w:rsidRDefault="00CB0062" w:rsidP="00223E56">
            <w:pPr>
              <w:rPr>
                <w:color w:val="000000"/>
                <w:sz w:val="16"/>
                <w:szCs w:val="16"/>
              </w:rPr>
            </w:pPr>
            <w:r>
              <w:rPr>
                <w:color w:val="000000"/>
                <w:sz w:val="16"/>
                <w:szCs w:val="16"/>
              </w:rPr>
              <w:t>rs2266635</w:t>
            </w:r>
          </w:p>
        </w:tc>
        <w:tc>
          <w:tcPr>
            <w:tcW w:w="851" w:type="dxa"/>
            <w:tcBorders>
              <w:top w:val="single" w:sz="4" w:space="0" w:color="D0CECE"/>
              <w:bottom w:val="single" w:sz="4" w:space="0" w:color="D0CECE"/>
            </w:tcBorders>
            <w:tcMar>
              <w:top w:w="-113" w:type="dxa"/>
              <w:left w:w="-113" w:type="dxa"/>
              <w:bottom w:w="-113" w:type="dxa"/>
              <w:right w:w="-113" w:type="dxa"/>
            </w:tcMar>
          </w:tcPr>
          <w:p w14:paraId="706BA1D0" w14:textId="77777777" w:rsidR="00CB0062" w:rsidRDefault="00CB0062" w:rsidP="00223E56">
            <w:pPr>
              <w:rPr>
                <w:color w:val="000000"/>
                <w:sz w:val="16"/>
                <w:szCs w:val="16"/>
              </w:rPr>
            </w:pPr>
            <w:r>
              <w:rPr>
                <w:color w:val="000000"/>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6C2B9CA0" w14:textId="77777777" w:rsidR="00CB0062" w:rsidRDefault="00CB0062" w:rsidP="00223E56">
            <w:pPr>
              <w:rPr>
                <w:color w:val="000000"/>
                <w:sz w:val="16"/>
                <w:szCs w:val="16"/>
              </w:rPr>
            </w:pPr>
            <w:r>
              <w:rPr>
                <w:color w:val="000000"/>
                <w:sz w:val="16"/>
                <w:szCs w:val="16"/>
              </w:rPr>
              <w:t>Missense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60248DE6" w14:textId="77777777" w:rsidR="00CB0062" w:rsidRDefault="00CB0062" w:rsidP="00223E56">
            <w:pPr>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7564A06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1BE5B3C4"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B2A630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425F33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7EEF44A3" w14:textId="77777777" w:rsidR="00CB0062" w:rsidRDefault="00CB0062" w:rsidP="00223E56">
            <w:pPr>
              <w:rPr>
                <w:sz w:val="16"/>
                <w:szCs w:val="16"/>
              </w:rPr>
            </w:pPr>
            <w:r>
              <w:rPr>
                <w:color w:val="000000"/>
                <w:sz w:val="16"/>
                <w:szCs w:val="16"/>
              </w:rPr>
              <w:t>rs4630</w:t>
            </w:r>
          </w:p>
        </w:tc>
        <w:tc>
          <w:tcPr>
            <w:tcW w:w="85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3C291701" w14:textId="77777777" w:rsidR="00CB0062" w:rsidRDefault="00CB0062" w:rsidP="00223E56">
            <w:pPr>
              <w:rPr>
                <w:color w:val="000000"/>
                <w:sz w:val="16"/>
                <w:szCs w:val="16"/>
              </w:rPr>
            </w:pPr>
            <w:r>
              <w:rPr>
                <w:color w:val="000000"/>
                <w:sz w:val="16"/>
                <w:szCs w:val="16"/>
              </w:rPr>
              <w:t>G&gt;A</w:t>
            </w:r>
          </w:p>
        </w:tc>
        <w:tc>
          <w:tcPr>
            <w:tcW w:w="170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0F644986" w14:textId="77777777" w:rsidR="00CB0062" w:rsidRDefault="00CB0062" w:rsidP="00223E56">
            <w:pPr>
              <w:rPr>
                <w:color w:val="000000"/>
                <w:sz w:val="16"/>
                <w:szCs w:val="16"/>
              </w:rPr>
            </w:pPr>
            <w:r>
              <w:rPr>
                <w:sz w:val="16"/>
                <w:szCs w:val="16"/>
              </w:rPr>
              <w:t>3 Prime UTR variant</w:t>
            </w:r>
          </w:p>
        </w:tc>
        <w:tc>
          <w:tcPr>
            <w:tcW w:w="708" w:type="dxa"/>
            <w:tcBorders>
              <w:top w:val="single" w:sz="4" w:space="0" w:color="D0CECE"/>
              <w:bottom w:val="single" w:sz="4" w:space="0" w:color="D0CECE"/>
            </w:tcBorders>
            <w:shd w:val="clear" w:color="auto" w:fill="auto"/>
            <w:tcMar>
              <w:top w:w="-113" w:type="dxa"/>
              <w:left w:w="-113" w:type="dxa"/>
              <w:bottom w:w="-113" w:type="dxa"/>
              <w:right w:w="-113" w:type="dxa"/>
            </w:tcMar>
          </w:tcPr>
          <w:p w14:paraId="15654A16" w14:textId="77777777" w:rsidR="00CB0062" w:rsidRDefault="00CB0062" w:rsidP="00223E56">
            <w:pPr>
              <w:rPr>
                <w:color w:val="000000"/>
                <w:sz w:val="16"/>
                <w:szCs w:val="16"/>
              </w:rPr>
            </w:pPr>
            <w:r>
              <w:rPr>
                <w:color w:val="000000"/>
                <w:sz w:val="16"/>
                <w:szCs w:val="16"/>
              </w:rPr>
              <w:t>DBP</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69D7EE81" w14:textId="77777777" w:rsidR="00CB0062" w:rsidRDefault="00CB0062" w:rsidP="00223E56">
            <w:pPr>
              <w:rPr>
                <w:color w:val="000000"/>
                <w:sz w:val="16"/>
                <w:szCs w:val="16"/>
              </w:rPr>
            </w:pPr>
            <w:r>
              <w:rPr>
                <w:sz w:val="16"/>
                <w:szCs w:val="16"/>
              </w:rPr>
              <w:t xml:space="preserve">Farzan </w:t>
            </w:r>
            <w:r>
              <w:rPr>
                <w:i/>
                <w:sz w:val="16"/>
                <w:szCs w:val="16"/>
              </w:rPr>
              <w:t>et al.</w:t>
            </w:r>
            <w:r>
              <w:rPr>
                <w:sz w:val="16"/>
                <w:szCs w:val="16"/>
              </w:rPr>
              <w:t xml:space="preserve"> 2016</w:t>
            </w:r>
          </w:p>
        </w:tc>
      </w:tr>
      <w:tr w:rsidR="00CB0062" w:rsidRPr="0030321B" w14:paraId="075B96FA"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62E251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350E63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119D0BE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50DD4AD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548C27D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tcBorders>
              <w:top w:val="single" w:sz="4" w:space="0" w:color="D0CECE"/>
              <w:bottom w:val="single" w:sz="4" w:space="0" w:color="000000"/>
            </w:tcBorders>
            <w:tcMar>
              <w:top w:w="-113" w:type="dxa"/>
              <w:left w:w="-113" w:type="dxa"/>
              <w:bottom w:w="-113" w:type="dxa"/>
              <w:right w:w="-113" w:type="dxa"/>
            </w:tcMar>
          </w:tcPr>
          <w:p w14:paraId="1FE13CDF" w14:textId="77777777" w:rsidR="00CB0062" w:rsidRDefault="00CB0062" w:rsidP="00223E56">
            <w:pPr>
              <w:rPr>
                <w:color w:val="000000"/>
                <w:sz w:val="16"/>
                <w:szCs w:val="16"/>
              </w:rPr>
            </w:pPr>
            <w:r>
              <w:rPr>
                <w:color w:val="000000"/>
                <w:sz w:val="16"/>
                <w:szCs w:val="16"/>
              </w:rPr>
              <w:t>CVD</w:t>
            </w:r>
          </w:p>
          <w:p w14:paraId="1EE901B8" w14:textId="77777777" w:rsidR="00CB0062" w:rsidRDefault="00CB0062" w:rsidP="00223E56">
            <w:pPr>
              <w:rPr>
                <w:sz w:val="16"/>
                <w:szCs w:val="16"/>
              </w:rPr>
            </w:pPr>
            <w:r>
              <w:rPr>
                <w:sz w:val="16"/>
                <w:szCs w:val="16"/>
              </w:rPr>
              <w:t>CIMT</w:t>
            </w:r>
          </w:p>
        </w:tc>
        <w:tc>
          <w:tcPr>
            <w:tcW w:w="1838" w:type="dxa"/>
            <w:tcBorders>
              <w:top w:val="single" w:sz="4" w:space="0" w:color="D0CECE"/>
              <w:bottom w:val="single" w:sz="4" w:space="0" w:color="000000"/>
              <w:right w:val="single" w:sz="4" w:space="0" w:color="000000" w:themeColor="text1"/>
            </w:tcBorders>
            <w:tcMar>
              <w:top w:w="-113" w:type="dxa"/>
              <w:left w:w="-113" w:type="dxa"/>
              <w:bottom w:w="-113" w:type="dxa"/>
              <w:right w:w="-113" w:type="dxa"/>
            </w:tcMar>
          </w:tcPr>
          <w:p w14:paraId="6BF3A6FD"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7D5A2C1F"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tc>
      </w:tr>
      <w:tr w:rsidR="00CB0062" w:rsidRPr="0030321B" w14:paraId="130C8D13"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FBBB615" w14:textId="77777777" w:rsidR="00CB0062" w:rsidRDefault="00CB0062" w:rsidP="00223E56">
            <w:pPr>
              <w:rPr>
                <w:i/>
                <w:color w:val="000000"/>
                <w:sz w:val="16"/>
                <w:szCs w:val="16"/>
              </w:rPr>
            </w:pPr>
            <w:r>
              <w:rPr>
                <w:i/>
                <w:color w:val="000000"/>
                <w:sz w:val="16"/>
                <w:szCs w:val="16"/>
              </w:rPr>
              <w:t>HMOX1</w:t>
            </w:r>
          </w:p>
          <w:p w14:paraId="3F45257C"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ABBE86D" w14:textId="77777777" w:rsidR="00CB0062" w:rsidRDefault="00CB0062" w:rsidP="00223E56">
            <w:pPr>
              <w:rPr>
                <w:color w:val="000000"/>
                <w:sz w:val="16"/>
                <w:szCs w:val="16"/>
              </w:rPr>
            </w:pPr>
            <w:proofErr w:type="spellStart"/>
            <w:r>
              <w:rPr>
                <w:color w:val="000000"/>
                <w:sz w:val="16"/>
                <w:szCs w:val="16"/>
              </w:rPr>
              <w:t>Heme</w:t>
            </w:r>
            <w:proofErr w:type="spellEnd"/>
            <w:r>
              <w:rPr>
                <w:color w:val="000000"/>
                <w:sz w:val="16"/>
                <w:szCs w:val="16"/>
              </w:rPr>
              <w:t xml:space="preserve"> Oxygenase 1</w:t>
            </w:r>
          </w:p>
          <w:p w14:paraId="75D08A64" w14:textId="77777777" w:rsidR="00CB0062" w:rsidRDefault="00CB0062" w:rsidP="00223E56">
            <w:pPr>
              <w:jc w:val="center"/>
              <w:rPr>
                <w:sz w:val="16"/>
                <w:szCs w:val="16"/>
              </w:rPr>
            </w:pP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5C5A14A3" w14:textId="77777777" w:rsidR="00CB0062" w:rsidRDefault="00CB0062" w:rsidP="00223E56">
            <w:pPr>
              <w:rPr>
                <w:color w:val="000000"/>
                <w:sz w:val="16"/>
                <w:szCs w:val="16"/>
              </w:rPr>
            </w:pPr>
            <w:r>
              <w:rPr>
                <w:color w:val="000000"/>
                <w:sz w:val="16"/>
                <w:szCs w:val="16"/>
              </w:rPr>
              <w:t>rs11555832</w:t>
            </w:r>
          </w:p>
        </w:tc>
        <w:tc>
          <w:tcPr>
            <w:tcW w:w="851" w:type="dxa"/>
            <w:tcBorders>
              <w:top w:val="single" w:sz="4" w:space="0" w:color="000000"/>
              <w:bottom w:val="single" w:sz="4" w:space="0" w:color="D0CECE"/>
            </w:tcBorders>
            <w:tcMar>
              <w:top w:w="-113" w:type="dxa"/>
              <w:left w:w="-113" w:type="dxa"/>
              <w:bottom w:w="-113" w:type="dxa"/>
              <w:right w:w="-113" w:type="dxa"/>
            </w:tcMar>
          </w:tcPr>
          <w:p w14:paraId="06D6AA3A" w14:textId="77777777" w:rsidR="00CB0062" w:rsidRDefault="00CB0062" w:rsidP="00223E56">
            <w:pPr>
              <w:rPr>
                <w:color w:val="000000"/>
                <w:sz w:val="16"/>
                <w:szCs w:val="16"/>
              </w:rPr>
            </w:pPr>
            <w:r>
              <w:rPr>
                <w:color w:val="000000"/>
                <w:sz w:val="16"/>
                <w:szCs w:val="16"/>
              </w:rPr>
              <w:t>A&gt;</w:t>
            </w:r>
            <w:proofErr w:type="gramStart"/>
            <w:r>
              <w:rPr>
                <w:color w:val="000000"/>
                <w:sz w:val="16"/>
                <w:szCs w:val="16"/>
              </w:rPr>
              <w:t>G,T</w:t>
            </w:r>
            <w:proofErr w:type="gramEnd"/>
          </w:p>
        </w:tc>
        <w:tc>
          <w:tcPr>
            <w:tcW w:w="1701" w:type="dxa"/>
            <w:tcBorders>
              <w:top w:val="single" w:sz="4" w:space="0" w:color="000000"/>
              <w:bottom w:val="single" w:sz="4" w:space="0" w:color="D0CECE"/>
            </w:tcBorders>
            <w:tcMar>
              <w:top w:w="-113" w:type="dxa"/>
              <w:left w:w="-113" w:type="dxa"/>
              <w:bottom w:w="-113" w:type="dxa"/>
              <w:right w:w="-113" w:type="dxa"/>
            </w:tcMar>
          </w:tcPr>
          <w:p w14:paraId="744D33F5" w14:textId="77777777" w:rsidR="00CB0062" w:rsidRDefault="00CB0062" w:rsidP="00223E56">
            <w:pPr>
              <w:rPr>
                <w:color w:val="000000"/>
                <w:sz w:val="16"/>
                <w:szCs w:val="16"/>
              </w:rPr>
            </w:pPr>
            <w:r>
              <w:rPr>
                <w:sz w:val="16"/>
                <w:szCs w:val="16"/>
              </w:rPr>
              <w:t>3 Prime UTR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50CF2362" w14:textId="77777777" w:rsidR="00CB0062" w:rsidRDefault="00CB0062" w:rsidP="00223E56">
            <w:pPr>
              <w:rPr>
                <w:sz w:val="16"/>
                <w:szCs w:val="16"/>
              </w:rPr>
            </w:pPr>
            <w:r>
              <w:rPr>
                <w:sz w:val="16"/>
                <w:szCs w:val="16"/>
              </w:rPr>
              <w:t xml:space="preserve">CVD </w:t>
            </w:r>
          </w:p>
          <w:p w14:paraId="358D374D" w14:textId="77777777" w:rsidR="00CB0062" w:rsidRDefault="00CB0062" w:rsidP="00223E56">
            <w:pPr>
              <w:rPr>
                <w:sz w:val="16"/>
                <w:szCs w:val="16"/>
              </w:rPr>
            </w:pPr>
            <w:r>
              <w:rPr>
                <w:sz w:val="16"/>
                <w:szCs w:val="16"/>
              </w:rPr>
              <w:t>CIMT</w:t>
            </w: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058F5081" w14:textId="77777777" w:rsidR="00CB0062" w:rsidRPr="00641BD3" w:rsidRDefault="00CB0062" w:rsidP="00223E56">
            <w:pPr>
              <w:rPr>
                <w:sz w:val="16"/>
                <w:szCs w:val="16"/>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66101BEF" w14:textId="77777777" w:rsidR="00CB0062" w:rsidRPr="00641BD3" w:rsidRDefault="00CB0062" w:rsidP="00223E56">
            <w:pPr>
              <w:rPr>
                <w:sz w:val="16"/>
                <w:szCs w:val="16"/>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tc>
      </w:tr>
      <w:tr w:rsidR="00CB0062" w14:paraId="77A135F9"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38CBEEF" w14:textId="77777777" w:rsidR="00CB0062" w:rsidRPr="00641BD3" w:rsidRDefault="00CB0062" w:rsidP="00223E56">
            <w:pPr>
              <w:widowControl w:val="0"/>
              <w:pBdr>
                <w:top w:val="nil"/>
                <w:left w:val="nil"/>
                <w:bottom w:val="nil"/>
                <w:right w:val="nil"/>
                <w:between w:val="nil"/>
              </w:pBdr>
              <w:spacing w:line="276" w:lineRule="auto"/>
              <w:rPr>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985B709" w14:textId="77777777" w:rsidR="00CB0062" w:rsidRPr="00641BD3" w:rsidRDefault="00CB0062" w:rsidP="00223E56">
            <w:pPr>
              <w:widowControl w:val="0"/>
              <w:pBdr>
                <w:top w:val="nil"/>
                <w:left w:val="nil"/>
                <w:bottom w:val="nil"/>
                <w:right w:val="nil"/>
                <w:between w:val="nil"/>
              </w:pBdr>
              <w:spacing w:line="276" w:lineRule="auto"/>
              <w:rPr>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9CB9071" w14:textId="77777777" w:rsidR="00CB0062" w:rsidRDefault="00CB0062" w:rsidP="00223E56">
            <w:pPr>
              <w:rPr>
                <w:color w:val="000000"/>
                <w:sz w:val="16"/>
                <w:szCs w:val="16"/>
              </w:rPr>
            </w:pPr>
            <w:r>
              <w:rPr>
                <w:color w:val="000000"/>
                <w:sz w:val="16"/>
                <w:szCs w:val="16"/>
              </w:rPr>
              <w:t>rs11912889</w:t>
            </w:r>
          </w:p>
        </w:tc>
        <w:tc>
          <w:tcPr>
            <w:tcW w:w="851" w:type="dxa"/>
            <w:tcBorders>
              <w:top w:val="single" w:sz="4" w:space="0" w:color="D0CECE"/>
              <w:bottom w:val="single" w:sz="4" w:space="0" w:color="D0CECE"/>
            </w:tcBorders>
            <w:tcMar>
              <w:top w:w="-113" w:type="dxa"/>
              <w:left w:w="-113" w:type="dxa"/>
              <w:bottom w:w="-113" w:type="dxa"/>
              <w:right w:w="-113" w:type="dxa"/>
            </w:tcMar>
          </w:tcPr>
          <w:p w14:paraId="6170ED0E" w14:textId="77777777" w:rsidR="00CB0062" w:rsidRDefault="00CB0062" w:rsidP="00223E56">
            <w:pPr>
              <w:rPr>
                <w:color w:val="000000"/>
                <w:sz w:val="16"/>
                <w:szCs w:val="16"/>
              </w:rPr>
            </w:pPr>
            <w:r>
              <w:rPr>
                <w:color w:val="000000"/>
                <w:sz w:val="16"/>
                <w:szCs w:val="16"/>
              </w:rPr>
              <w:t>G&gt;A</w:t>
            </w:r>
          </w:p>
        </w:tc>
        <w:tc>
          <w:tcPr>
            <w:tcW w:w="1701" w:type="dxa"/>
            <w:tcBorders>
              <w:top w:val="single" w:sz="4" w:space="0" w:color="D0CECE"/>
              <w:bottom w:val="single" w:sz="4" w:space="0" w:color="D0CECE"/>
            </w:tcBorders>
            <w:tcMar>
              <w:top w:w="-113" w:type="dxa"/>
              <w:left w:w="-113" w:type="dxa"/>
              <w:bottom w:w="-113" w:type="dxa"/>
              <w:right w:w="-113" w:type="dxa"/>
            </w:tcMar>
          </w:tcPr>
          <w:p w14:paraId="44432028"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5E3571DA" w14:textId="77777777" w:rsidR="00CB0062" w:rsidRDefault="00CB0062" w:rsidP="00223E56">
            <w:pPr>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435D916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48EAA376"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EA08BD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0209C3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2E164C0A" w14:textId="77777777" w:rsidR="00CB0062" w:rsidRDefault="00CB0062" w:rsidP="00223E56">
            <w:pPr>
              <w:rPr>
                <w:sz w:val="16"/>
                <w:szCs w:val="16"/>
              </w:rPr>
            </w:pPr>
            <w:r>
              <w:rPr>
                <w:color w:val="000000"/>
                <w:sz w:val="16"/>
                <w:szCs w:val="16"/>
              </w:rPr>
              <w:t>rs16995662</w:t>
            </w:r>
          </w:p>
          <w:p w14:paraId="286FF5EC" w14:textId="77777777" w:rsidR="00CB0062" w:rsidRDefault="00CB0062" w:rsidP="00223E56">
            <w:pPr>
              <w:rPr>
                <w:sz w:val="16"/>
                <w:szCs w:val="16"/>
              </w:rPr>
            </w:pPr>
          </w:p>
        </w:tc>
        <w:tc>
          <w:tcPr>
            <w:tcW w:w="85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6A3A33DA" w14:textId="77777777" w:rsidR="00CB0062" w:rsidRDefault="00CB0062" w:rsidP="00223E56">
            <w:pPr>
              <w:rPr>
                <w:color w:val="000000"/>
                <w:sz w:val="16"/>
                <w:szCs w:val="16"/>
              </w:rPr>
            </w:pPr>
            <w:r>
              <w:rPr>
                <w:color w:val="000000"/>
                <w:sz w:val="16"/>
                <w:szCs w:val="16"/>
              </w:rPr>
              <w:t>A&gt;G</w:t>
            </w:r>
          </w:p>
        </w:tc>
        <w:tc>
          <w:tcPr>
            <w:tcW w:w="170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55E41938" w14:textId="77777777" w:rsidR="00CB0062" w:rsidRDefault="00CB0062" w:rsidP="00223E56">
            <w:pPr>
              <w:rPr>
                <w:color w:val="000000"/>
                <w:sz w:val="16"/>
                <w:szCs w:val="16"/>
              </w:rPr>
            </w:pPr>
            <w:r>
              <w:rPr>
                <w:color w:val="000000"/>
                <w:sz w:val="16"/>
                <w:szCs w:val="16"/>
              </w:rPr>
              <w:t>Intron variant</w:t>
            </w:r>
          </w:p>
        </w:tc>
        <w:tc>
          <w:tcPr>
            <w:tcW w:w="708" w:type="dxa"/>
            <w:tcBorders>
              <w:top w:val="single" w:sz="4" w:space="0" w:color="D0CECE"/>
              <w:bottom w:val="single" w:sz="4" w:space="0" w:color="D0CECE"/>
            </w:tcBorders>
            <w:shd w:val="clear" w:color="auto" w:fill="auto"/>
            <w:tcMar>
              <w:top w:w="-113" w:type="dxa"/>
              <w:left w:w="-113" w:type="dxa"/>
              <w:bottom w:w="-113" w:type="dxa"/>
              <w:right w:w="-113" w:type="dxa"/>
            </w:tcMar>
          </w:tcPr>
          <w:p w14:paraId="2AA8702F" w14:textId="77777777" w:rsidR="00CB0062" w:rsidRDefault="00CB0062" w:rsidP="00223E56">
            <w:pPr>
              <w:rPr>
                <w:color w:val="000000"/>
                <w:sz w:val="16"/>
                <w:szCs w:val="16"/>
              </w:rPr>
            </w:pPr>
            <w:r>
              <w:rPr>
                <w:color w:val="000000"/>
                <w:sz w:val="16"/>
                <w:szCs w:val="16"/>
              </w:rPr>
              <w:t>SBP</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1AE471B3" w14:textId="77777777" w:rsidR="00CB0062" w:rsidRDefault="00CB0062" w:rsidP="00223E56">
            <w:pPr>
              <w:rPr>
                <w:color w:val="000000"/>
                <w:sz w:val="16"/>
                <w:szCs w:val="16"/>
              </w:rPr>
            </w:pPr>
            <w:r>
              <w:rPr>
                <w:sz w:val="16"/>
                <w:szCs w:val="16"/>
              </w:rPr>
              <w:t xml:space="preserve">Farzan </w:t>
            </w:r>
            <w:r>
              <w:rPr>
                <w:i/>
                <w:sz w:val="16"/>
                <w:szCs w:val="16"/>
              </w:rPr>
              <w:t>et al.</w:t>
            </w:r>
            <w:r>
              <w:rPr>
                <w:sz w:val="16"/>
                <w:szCs w:val="16"/>
              </w:rPr>
              <w:t xml:space="preserve"> 2016</w:t>
            </w:r>
          </w:p>
        </w:tc>
      </w:tr>
      <w:tr w:rsidR="00CB0062" w:rsidRPr="0030321B" w14:paraId="582E4C0E" w14:textId="77777777" w:rsidTr="00923C73">
        <w:trPr>
          <w:trHeight w:val="212"/>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C8DD1F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7BDB4D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63D0A04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55A2D39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629CEA8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vMerge w:val="restart"/>
            <w:tcBorders>
              <w:top w:val="single" w:sz="4" w:space="0" w:color="D0CECE"/>
              <w:bottom w:val="single" w:sz="4" w:space="0" w:color="D0CECE"/>
            </w:tcBorders>
            <w:tcMar>
              <w:top w:w="-113" w:type="dxa"/>
              <w:left w:w="-113" w:type="dxa"/>
              <w:bottom w:w="-113" w:type="dxa"/>
              <w:right w:w="-113" w:type="dxa"/>
            </w:tcMar>
          </w:tcPr>
          <w:p w14:paraId="38DD20BE" w14:textId="77777777" w:rsidR="00CB0062" w:rsidRDefault="00CB0062" w:rsidP="00223E56">
            <w:pPr>
              <w:rPr>
                <w:sz w:val="16"/>
                <w:szCs w:val="16"/>
              </w:rPr>
            </w:pPr>
            <w:r>
              <w:rPr>
                <w:sz w:val="16"/>
                <w:szCs w:val="16"/>
              </w:rPr>
              <w:t>CVD</w:t>
            </w:r>
          </w:p>
          <w:p w14:paraId="163DF69D" w14:textId="77777777" w:rsidR="00CB0062" w:rsidRDefault="00CB0062" w:rsidP="00223E56">
            <w:pPr>
              <w:rPr>
                <w:sz w:val="16"/>
                <w:szCs w:val="16"/>
              </w:rPr>
            </w:pPr>
            <w:r>
              <w:rPr>
                <w:sz w:val="16"/>
                <w:szCs w:val="16"/>
              </w:rPr>
              <w:t>CIMT</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622A937D" w14:textId="77777777" w:rsidR="00CB0062" w:rsidRPr="00641BD3" w:rsidRDefault="00CB0062" w:rsidP="00223E56">
            <w:pPr>
              <w:rPr>
                <w:sz w:val="16"/>
                <w:szCs w:val="16"/>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166913EE" w14:textId="77777777" w:rsidR="00CB0062" w:rsidRPr="00641BD3" w:rsidRDefault="00CB0062" w:rsidP="00223E56">
            <w:pPr>
              <w:rPr>
                <w:sz w:val="16"/>
                <w:szCs w:val="16"/>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tc>
      </w:tr>
      <w:tr w:rsidR="00CB0062" w14:paraId="58297489"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3289094" w14:textId="77777777" w:rsidR="00CB0062" w:rsidRPr="00641BD3" w:rsidRDefault="00CB0062" w:rsidP="00223E56">
            <w:pPr>
              <w:widowControl w:val="0"/>
              <w:pBdr>
                <w:top w:val="nil"/>
                <w:left w:val="nil"/>
                <w:bottom w:val="nil"/>
                <w:right w:val="nil"/>
                <w:between w:val="nil"/>
              </w:pBdr>
              <w:spacing w:line="276" w:lineRule="auto"/>
              <w:rPr>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63F28ED" w14:textId="77777777" w:rsidR="00CB0062" w:rsidRPr="00641BD3" w:rsidRDefault="00CB0062" w:rsidP="00223E56">
            <w:pPr>
              <w:widowControl w:val="0"/>
              <w:pBdr>
                <w:top w:val="nil"/>
                <w:left w:val="nil"/>
                <w:bottom w:val="nil"/>
                <w:right w:val="nil"/>
                <w:between w:val="nil"/>
              </w:pBdr>
              <w:spacing w:line="276" w:lineRule="auto"/>
              <w:rPr>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011D78F" w14:textId="77777777" w:rsidR="00CB0062" w:rsidRDefault="00CB0062" w:rsidP="00223E56">
            <w:pPr>
              <w:rPr>
                <w:color w:val="000000"/>
                <w:sz w:val="16"/>
                <w:szCs w:val="16"/>
              </w:rPr>
            </w:pPr>
            <w:r>
              <w:rPr>
                <w:color w:val="000000"/>
                <w:sz w:val="16"/>
                <w:szCs w:val="16"/>
              </w:rPr>
              <w:t>rs17879606</w:t>
            </w:r>
          </w:p>
        </w:tc>
        <w:tc>
          <w:tcPr>
            <w:tcW w:w="851" w:type="dxa"/>
            <w:tcBorders>
              <w:top w:val="single" w:sz="4" w:space="0" w:color="D0CECE"/>
              <w:bottom w:val="single" w:sz="4" w:space="0" w:color="D0CECE"/>
            </w:tcBorders>
            <w:tcMar>
              <w:top w:w="-113" w:type="dxa"/>
              <w:left w:w="-113" w:type="dxa"/>
              <w:bottom w:w="-113" w:type="dxa"/>
              <w:right w:w="-113" w:type="dxa"/>
            </w:tcMar>
          </w:tcPr>
          <w:p w14:paraId="478729B1" w14:textId="77777777" w:rsidR="00CB0062" w:rsidRDefault="00CB0062" w:rsidP="00223E56">
            <w:pPr>
              <w:rPr>
                <w:color w:val="000000"/>
                <w:sz w:val="16"/>
                <w:szCs w:val="16"/>
              </w:rPr>
            </w:pPr>
            <w:r>
              <w:rPr>
                <w:color w:val="000000"/>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2757539B"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5C2F1C6D" w14:textId="77777777" w:rsidR="00CB0062" w:rsidRDefault="00CB0062" w:rsidP="00223E56">
            <w:pPr>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1662678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017DF2C7"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968A03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DD6F56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A92778B" w14:textId="77777777" w:rsidR="00CB0062" w:rsidRDefault="00CB0062" w:rsidP="00223E56">
            <w:pPr>
              <w:rPr>
                <w:color w:val="000000"/>
                <w:sz w:val="16"/>
                <w:szCs w:val="16"/>
              </w:rPr>
            </w:pPr>
            <w:r>
              <w:rPr>
                <w:color w:val="000000"/>
                <w:sz w:val="16"/>
                <w:szCs w:val="16"/>
              </w:rPr>
              <w:t>rs17880294</w:t>
            </w:r>
          </w:p>
        </w:tc>
        <w:tc>
          <w:tcPr>
            <w:tcW w:w="851" w:type="dxa"/>
            <w:tcBorders>
              <w:top w:val="single" w:sz="4" w:space="0" w:color="D0CECE"/>
              <w:bottom w:val="single" w:sz="4" w:space="0" w:color="D0CECE"/>
            </w:tcBorders>
            <w:tcMar>
              <w:top w:w="-113" w:type="dxa"/>
              <w:left w:w="-113" w:type="dxa"/>
              <w:bottom w:w="-113" w:type="dxa"/>
              <w:right w:w="-113" w:type="dxa"/>
            </w:tcMar>
          </w:tcPr>
          <w:p w14:paraId="7000EFA0" w14:textId="77777777" w:rsidR="00CB0062" w:rsidRDefault="00CB0062" w:rsidP="00223E56">
            <w:pPr>
              <w:rPr>
                <w:color w:val="000000"/>
                <w:sz w:val="16"/>
                <w:szCs w:val="16"/>
              </w:rPr>
            </w:pPr>
            <w:r>
              <w:rPr>
                <w:color w:val="000000"/>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6EF5CF0C"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6714FE36" w14:textId="77777777" w:rsidR="00CB0062" w:rsidRDefault="00CB0062" w:rsidP="00223E56">
            <w:pPr>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2B694B6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4E95ACDD"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7D77FA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1490ED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6ACA7BD5" w14:textId="77777777" w:rsidR="00CB0062" w:rsidRDefault="00CB0062" w:rsidP="00223E56">
            <w:pPr>
              <w:rPr>
                <w:color w:val="000000"/>
                <w:sz w:val="16"/>
                <w:szCs w:val="16"/>
              </w:rPr>
            </w:pPr>
            <w:r>
              <w:rPr>
                <w:color w:val="000000"/>
                <w:sz w:val="16"/>
                <w:szCs w:val="16"/>
              </w:rPr>
              <w:t>rs17882597</w:t>
            </w:r>
          </w:p>
        </w:tc>
        <w:tc>
          <w:tcPr>
            <w:tcW w:w="851" w:type="dxa"/>
            <w:tcBorders>
              <w:top w:val="single" w:sz="4" w:space="0" w:color="D0CECE"/>
              <w:bottom w:val="single" w:sz="4" w:space="0" w:color="D0CECE"/>
            </w:tcBorders>
            <w:tcMar>
              <w:top w:w="-113" w:type="dxa"/>
              <w:left w:w="-113" w:type="dxa"/>
              <w:bottom w:w="-113" w:type="dxa"/>
              <w:right w:w="-113" w:type="dxa"/>
            </w:tcMar>
          </w:tcPr>
          <w:p w14:paraId="74FD89A5" w14:textId="77777777" w:rsidR="00CB0062" w:rsidRDefault="00CB0062" w:rsidP="00223E56">
            <w:pPr>
              <w:rPr>
                <w:color w:val="000000"/>
                <w:sz w:val="16"/>
                <w:szCs w:val="16"/>
              </w:rPr>
            </w:pPr>
            <w:r>
              <w:rPr>
                <w:color w:val="000000"/>
                <w:sz w:val="16"/>
                <w:szCs w:val="16"/>
              </w:rPr>
              <w:t>T&gt;-</w:t>
            </w:r>
          </w:p>
        </w:tc>
        <w:tc>
          <w:tcPr>
            <w:tcW w:w="1701" w:type="dxa"/>
            <w:tcBorders>
              <w:top w:val="single" w:sz="4" w:space="0" w:color="D0CECE"/>
              <w:bottom w:val="single" w:sz="4" w:space="0" w:color="D0CECE"/>
            </w:tcBorders>
            <w:tcMar>
              <w:top w:w="-113" w:type="dxa"/>
              <w:left w:w="-113" w:type="dxa"/>
              <w:bottom w:w="-113" w:type="dxa"/>
              <w:right w:w="-113" w:type="dxa"/>
            </w:tcMar>
          </w:tcPr>
          <w:p w14:paraId="3D96807E"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51CC3DDC" w14:textId="77777777" w:rsidR="00CB0062" w:rsidRDefault="00CB0062" w:rsidP="00223E56">
            <w:pPr>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236E03D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0186839F"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F1573B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50661F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70E8488B" w14:textId="77777777" w:rsidR="00CB0062" w:rsidRDefault="00CB0062" w:rsidP="00223E56">
            <w:pPr>
              <w:rPr>
                <w:color w:val="000000"/>
                <w:sz w:val="16"/>
                <w:szCs w:val="16"/>
              </w:rPr>
            </w:pPr>
            <w:r>
              <w:rPr>
                <w:color w:val="000000"/>
                <w:sz w:val="16"/>
                <w:szCs w:val="16"/>
              </w:rPr>
              <w:t>rs17885185</w:t>
            </w:r>
          </w:p>
        </w:tc>
        <w:tc>
          <w:tcPr>
            <w:tcW w:w="851" w:type="dxa"/>
            <w:tcBorders>
              <w:top w:val="single" w:sz="4" w:space="0" w:color="D0CECE"/>
              <w:bottom w:val="single" w:sz="4" w:space="0" w:color="D0CECE"/>
            </w:tcBorders>
            <w:tcMar>
              <w:top w:w="-113" w:type="dxa"/>
              <w:left w:w="-113" w:type="dxa"/>
              <w:bottom w:w="-113" w:type="dxa"/>
              <w:right w:w="-113" w:type="dxa"/>
            </w:tcMar>
          </w:tcPr>
          <w:p w14:paraId="1A33EF37" w14:textId="77777777" w:rsidR="00CB0062" w:rsidRDefault="00CB0062" w:rsidP="00223E56">
            <w:pPr>
              <w:rPr>
                <w:color w:val="000000"/>
                <w:sz w:val="16"/>
                <w:szCs w:val="16"/>
              </w:rPr>
            </w:pPr>
            <w:r>
              <w:rPr>
                <w:color w:val="000000"/>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556CC80D"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494387F8" w14:textId="77777777" w:rsidR="00CB0062" w:rsidRDefault="00CB0062" w:rsidP="00223E56">
            <w:pPr>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3EC4087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58A3869F"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07426E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3064CD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3BE5A96" w14:textId="77777777" w:rsidR="00CB0062" w:rsidRDefault="00CB0062" w:rsidP="00223E56">
            <w:pPr>
              <w:rPr>
                <w:color w:val="000000"/>
                <w:sz w:val="16"/>
                <w:szCs w:val="16"/>
              </w:rPr>
            </w:pPr>
            <w:r>
              <w:rPr>
                <w:color w:val="000000"/>
                <w:sz w:val="16"/>
                <w:szCs w:val="16"/>
              </w:rPr>
              <w:t>rs17885522</w:t>
            </w:r>
          </w:p>
        </w:tc>
        <w:tc>
          <w:tcPr>
            <w:tcW w:w="851" w:type="dxa"/>
            <w:tcBorders>
              <w:top w:val="single" w:sz="4" w:space="0" w:color="D0CECE"/>
              <w:bottom w:val="single" w:sz="4" w:space="0" w:color="D0CECE"/>
            </w:tcBorders>
            <w:tcMar>
              <w:top w:w="-113" w:type="dxa"/>
              <w:left w:w="-113" w:type="dxa"/>
              <w:bottom w:w="-113" w:type="dxa"/>
              <w:right w:w="-113" w:type="dxa"/>
            </w:tcMar>
          </w:tcPr>
          <w:p w14:paraId="78A60E75" w14:textId="77777777" w:rsidR="00CB0062" w:rsidRDefault="00CB0062" w:rsidP="00223E56">
            <w:pPr>
              <w:rPr>
                <w:color w:val="000000"/>
                <w:sz w:val="16"/>
                <w:szCs w:val="16"/>
              </w:rPr>
            </w:pPr>
            <w:r>
              <w:rPr>
                <w:color w:val="000000"/>
                <w:sz w:val="16"/>
                <w:szCs w:val="16"/>
              </w:rPr>
              <w:t>C&gt;A</w:t>
            </w:r>
          </w:p>
        </w:tc>
        <w:tc>
          <w:tcPr>
            <w:tcW w:w="1701" w:type="dxa"/>
            <w:tcBorders>
              <w:top w:val="single" w:sz="4" w:space="0" w:color="D0CECE"/>
              <w:bottom w:val="single" w:sz="4" w:space="0" w:color="D0CECE"/>
            </w:tcBorders>
            <w:tcMar>
              <w:top w:w="-113" w:type="dxa"/>
              <w:left w:w="-113" w:type="dxa"/>
              <w:bottom w:w="-113" w:type="dxa"/>
              <w:right w:w="-113" w:type="dxa"/>
            </w:tcMar>
          </w:tcPr>
          <w:p w14:paraId="15859E8F"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422097C2" w14:textId="77777777" w:rsidR="00CB0062" w:rsidRDefault="00CB0062" w:rsidP="00223E56">
            <w:pPr>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776AD61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5D08C5CE"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470550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47A000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75EC469" w14:textId="77777777" w:rsidR="00CB0062" w:rsidRDefault="00CB0062" w:rsidP="00223E56">
            <w:pPr>
              <w:rPr>
                <w:color w:val="000000"/>
                <w:sz w:val="16"/>
                <w:szCs w:val="16"/>
              </w:rPr>
            </w:pPr>
            <w:r>
              <w:rPr>
                <w:color w:val="000000"/>
                <w:sz w:val="16"/>
                <w:szCs w:val="16"/>
              </w:rPr>
              <w:t>rs17885925</w:t>
            </w:r>
          </w:p>
        </w:tc>
        <w:tc>
          <w:tcPr>
            <w:tcW w:w="851" w:type="dxa"/>
            <w:tcBorders>
              <w:top w:val="single" w:sz="4" w:space="0" w:color="D0CECE"/>
              <w:bottom w:val="single" w:sz="4" w:space="0" w:color="D0CECE"/>
            </w:tcBorders>
            <w:tcMar>
              <w:top w:w="-113" w:type="dxa"/>
              <w:left w:w="-113" w:type="dxa"/>
              <w:bottom w:w="-113" w:type="dxa"/>
              <w:right w:w="-113" w:type="dxa"/>
            </w:tcMar>
          </w:tcPr>
          <w:p w14:paraId="19A1C3C4" w14:textId="77777777" w:rsidR="00CB0062" w:rsidRDefault="00CB0062" w:rsidP="00223E56">
            <w:pPr>
              <w:rPr>
                <w:color w:val="000000"/>
                <w:sz w:val="16"/>
                <w:szCs w:val="16"/>
              </w:rPr>
            </w:pPr>
            <w:r>
              <w:rPr>
                <w:color w:val="000000"/>
                <w:sz w:val="16"/>
                <w:szCs w:val="16"/>
              </w:rPr>
              <w:t>T&gt;</w:t>
            </w:r>
            <w:proofErr w:type="gramStart"/>
            <w:r>
              <w:rPr>
                <w:color w:val="000000"/>
                <w:sz w:val="16"/>
                <w:szCs w:val="16"/>
              </w:rPr>
              <w:t>A,C</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6DE004F3"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462ADACF" w14:textId="77777777" w:rsidR="00CB0062" w:rsidRDefault="00CB0062" w:rsidP="00223E56">
            <w:pPr>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75190CB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613C1A5A"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499521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8EE350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65757275" w14:textId="77777777" w:rsidR="00CB0062" w:rsidRDefault="00CB0062" w:rsidP="00223E56">
            <w:pPr>
              <w:rPr>
                <w:color w:val="000000"/>
                <w:sz w:val="16"/>
                <w:szCs w:val="16"/>
              </w:rPr>
            </w:pPr>
            <w:r>
              <w:rPr>
                <w:color w:val="000000"/>
                <w:sz w:val="16"/>
                <w:szCs w:val="16"/>
              </w:rPr>
              <w:t>rs17886055</w:t>
            </w:r>
          </w:p>
        </w:tc>
        <w:tc>
          <w:tcPr>
            <w:tcW w:w="851" w:type="dxa"/>
            <w:tcBorders>
              <w:top w:val="single" w:sz="4" w:space="0" w:color="D0CECE"/>
              <w:bottom w:val="single" w:sz="4" w:space="0" w:color="D0CECE"/>
            </w:tcBorders>
            <w:tcMar>
              <w:top w:w="-113" w:type="dxa"/>
              <w:left w:w="-113" w:type="dxa"/>
              <w:bottom w:w="-113" w:type="dxa"/>
              <w:right w:w="-113" w:type="dxa"/>
            </w:tcMar>
          </w:tcPr>
          <w:p w14:paraId="65B4EAC3" w14:textId="77777777" w:rsidR="00CB0062" w:rsidRDefault="00CB0062" w:rsidP="00223E56">
            <w:pPr>
              <w:rPr>
                <w:color w:val="000000"/>
                <w:sz w:val="16"/>
                <w:szCs w:val="16"/>
              </w:rPr>
            </w:pPr>
            <w:r>
              <w:rPr>
                <w:color w:val="000000"/>
                <w:sz w:val="16"/>
                <w:szCs w:val="16"/>
              </w:rPr>
              <w:t>T&gt;C</w:t>
            </w:r>
          </w:p>
        </w:tc>
        <w:tc>
          <w:tcPr>
            <w:tcW w:w="1701" w:type="dxa"/>
            <w:tcBorders>
              <w:top w:val="single" w:sz="4" w:space="0" w:color="D0CECE"/>
              <w:bottom w:val="single" w:sz="4" w:space="0" w:color="D0CECE"/>
            </w:tcBorders>
            <w:tcMar>
              <w:top w:w="-113" w:type="dxa"/>
              <w:left w:w="-113" w:type="dxa"/>
              <w:bottom w:w="-113" w:type="dxa"/>
              <w:right w:w="-113" w:type="dxa"/>
            </w:tcMar>
          </w:tcPr>
          <w:p w14:paraId="689F2922"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3CF9E594" w14:textId="77777777" w:rsidR="00CB0062" w:rsidRDefault="00CB0062" w:rsidP="00223E56">
            <w:pPr>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59E92BA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38FAD21D"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9CBDE7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D233B8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BB05767" w14:textId="77777777" w:rsidR="00CB0062" w:rsidRDefault="00CB0062" w:rsidP="00223E56">
            <w:pPr>
              <w:rPr>
                <w:color w:val="000000"/>
                <w:sz w:val="16"/>
                <w:szCs w:val="16"/>
              </w:rPr>
            </w:pPr>
            <w:r>
              <w:rPr>
                <w:color w:val="000000"/>
                <w:sz w:val="16"/>
                <w:szCs w:val="16"/>
              </w:rPr>
              <w:t>rs2003038</w:t>
            </w:r>
          </w:p>
        </w:tc>
        <w:tc>
          <w:tcPr>
            <w:tcW w:w="851" w:type="dxa"/>
            <w:tcBorders>
              <w:top w:val="single" w:sz="4" w:space="0" w:color="D0CECE"/>
              <w:bottom w:val="single" w:sz="4" w:space="0" w:color="D0CECE"/>
            </w:tcBorders>
            <w:tcMar>
              <w:top w:w="-113" w:type="dxa"/>
              <w:left w:w="-113" w:type="dxa"/>
              <w:bottom w:w="-113" w:type="dxa"/>
              <w:right w:w="-113" w:type="dxa"/>
            </w:tcMar>
          </w:tcPr>
          <w:p w14:paraId="4715F9B0" w14:textId="77777777" w:rsidR="00CB0062" w:rsidRDefault="00CB0062" w:rsidP="00223E56">
            <w:pPr>
              <w:rPr>
                <w:color w:val="000000"/>
                <w:sz w:val="16"/>
                <w:szCs w:val="16"/>
              </w:rPr>
            </w:pPr>
            <w:r>
              <w:rPr>
                <w:color w:val="000000"/>
                <w:sz w:val="16"/>
                <w:szCs w:val="16"/>
              </w:rPr>
              <w:t>C&gt;</w:t>
            </w:r>
            <w:proofErr w:type="gramStart"/>
            <w:r>
              <w:rPr>
                <w:color w:val="000000"/>
                <w:sz w:val="16"/>
                <w:szCs w:val="16"/>
              </w:rPr>
              <w:t>A,G</w:t>
            </w:r>
            <w:proofErr w:type="gramEnd"/>
            <w:r>
              <w:rPr>
                <w:color w:val="000000"/>
                <w:sz w:val="16"/>
                <w:szCs w:val="16"/>
              </w:rPr>
              <w:t>,T</w:t>
            </w:r>
          </w:p>
        </w:tc>
        <w:tc>
          <w:tcPr>
            <w:tcW w:w="1701" w:type="dxa"/>
            <w:tcBorders>
              <w:top w:val="single" w:sz="4" w:space="0" w:color="D0CECE"/>
              <w:bottom w:val="single" w:sz="4" w:space="0" w:color="D0CECE"/>
            </w:tcBorders>
            <w:tcMar>
              <w:top w:w="-113" w:type="dxa"/>
              <w:left w:w="-113" w:type="dxa"/>
              <w:bottom w:w="-113" w:type="dxa"/>
              <w:right w:w="-113" w:type="dxa"/>
            </w:tcMar>
          </w:tcPr>
          <w:p w14:paraId="3118A4AA"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1971CB6D" w14:textId="77777777" w:rsidR="00CB0062" w:rsidRDefault="00CB0062" w:rsidP="00223E56">
            <w:pPr>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3D95DAE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3CEB197C"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95B7D5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5E49ED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7EAF74D3" w14:textId="77777777" w:rsidR="00CB0062" w:rsidRDefault="00CB0062" w:rsidP="00223E56">
            <w:pPr>
              <w:rPr>
                <w:color w:val="000000"/>
                <w:sz w:val="16"/>
                <w:szCs w:val="16"/>
              </w:rPr>
            </w:pPr>
            <w:r>
              <w:rPr>
                <w:color w:val="000000"/>
                <w:sz w:val="16"/>
                <w:szCs w:val="16"/>
              </w:rPr>
              <w:t>rs2071748</w:t>
            </w:r>
          </w:p>
        </w:tc>
        <w:tc>
          <w:tcPr>
            <w:tcW w:w="851" w:type="dxa"/>
            <w:tcBorders>
              <w:top w:val="single" w:sz="4" w:space="0" w:color="D0CECE"/>
              <w:bottom w:val="single" w:sz="4" w:space="0" w:color="D0CECE"/>
            </w:tcBorders>
            <w:tcMar>
              <w:top w:w="-113" w:type="dxa"/>
              <w:left w:w="-113" w:type="dxa"/>
              <w:bottom w:w="-113" w:type="dxa"/>
              <w:right w:w="-113" w:type="dxa"/>
            </w:tcMar>
          </w:tcPr>
          <w:p w14:paraId="2C21BC1D" w14:textId="77777777" w:rsidR="00CB0062" w:rsidRDefault="00CB0062" w:rsidP="00223E56">
            <w:pPr>
              <w:rPr>
                <w:color w:val="000000"/>
                <w:sz w:val="16"/>
                <w:szCs w:val="16"/>
              </w:rPr>
            </w:pPr>
            <w:r>
              <w:rPr>
                <w:color w:val="000000"/>
                <w:sz w:val="16"/>
                <w:szCs w:val="16"/>
              </w:rPr>
              <w:t>G&gt;</w:t>
            </w:r>
            <w:proofErr w:type="gramStart"/>
            <w:r>
              <w:rPr>
                <w:color w:val="000000"/>
                <w:sz w:val="16"/>
                <w:szCs w:val="16"/>
              </w:rPr>
              <w:t>A,T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253A68F2"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4CD8DF89" w14:textId="77777777" w:rsidR="00CB0062" w:rsidRDefault="00CB0062" w:rsidP="00223E56">
            <w:pPr>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3704598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6FA1DE7C"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23D7F8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C52B4A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7BE8B371" w14:textId="77777777" w:rsidR="00CB0062" w:rsidRDefault="00CB0062" w:rsidP="00223E56">
            <w:pPr>
              <w:rPr>
                <w:color w:val="000000"/>
                <w:sz w:val="16"/>
                <w:szCs w:val="16"/>
              </w:rPr>
            </w:pPr>
            <w:r>
              <w:rPr>
                <w:color w:val="000000"/>
                <w:sz w:val="16"/>
                <w:szCs w:val="16"/>
              </w:rPr>
              <w:t>rs2071749</w:t>
            </w:r>
          </w:p>
        </w:tc>
        <w:tc>
          <w:tcPr>
            <w:tcW w:w="851" w:type="dxa"/>
            <w:tcBorders>
              <w:top w:val="single" w:sz="4" w:space="0" w:color="D0CECE"/>
              <w:bottom w:val="single" w:sz="4" w:space="0" w:color="D0CECE"/>
            </w:tcBorders>
            <w:tcMar>
              <w:top w:w="-113" w:type="dxa"/>
              <w:left w:w="-113" w:type="dxa"/>
              <w:bottom w:w="-113" w:type="dxa"/>
              <w:right w:w="-113" w:type="dxa"/>
            </w:tcMar>
          </w:tcPr>
          <w:p w14:paraId="2938FB46" w14:textId="77777777" w:rsidR="00CB0062" w:rsidRDefault="00CB0062" w:rsidP="00223E56">
            <w:pPr>
              <w:rPr>
                <w:color w:val="000000"/>
                <w:sz w:val="16"/>
                <w:szCs w:val="16"/>
              </w:rPr>
            </w:pPr>
            <w:r>
              <w:rPr>
                <w:color w:val="000000"/>
                <w:sz w:val="16"/>
                <w:szCs w:val="16"/>
              </w:rPr>
              <w:t>A&gt;</w:t>
            </w:r>
            <w:proofErr w:type="gramStart"/>
            <w:r>
              <w:rPr>
                <w:color w:val="000000"/>
                <w:sz w:val="16"/>
                <w:szCs w:val="16"/>
              </w:rPr>
              <w:t>C,G</w:t>
            </w:r>
            <w:proofErr w:type="gramEnd"/>
            <w:r>
              <w:rPr>
                <w:color w:val="000000"/>
                <w:sz w:val="16"/>
                <w:szCs w:val="16"/>
              </w:rPr>
              <w:t>,T</w:t>
            </w:r>
          </w:p>
        </w:tc>
        <w:tc>
          <w:tcPr>
            <w:tcW w:w="1701" w:type="dxa"/>
            <w:tcBorders>
              <w:top w:val="single" w:sz="4" w:space="0" w:color="D0CECE"/>
              <w:bottom w:val="single" w:sz="4" w:space="0" w:color="D0CECE"/>
            </w:tcBorders>
            <w:tcMar>
              <w:top w:w="-113" w:type="dxa"/>
              <w:left w:w="-113" w:type="dxa"/>
              <w:bottom w:w="-113" w:type="dxa"/>
              <w:right w:w="-113" w:type="dxa"/>
            </w:tcMar>
          </w:tcPr>
          <w:p w14:paraId="0A0C84A0"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1D489996" w14:textId="77777777" w:rsidR="00CB0062" w:rsidRDefault="00CB0062" w:rsidP="00223E56">
            <w:pPr>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538D07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4F07C3F4"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FE12DE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CAB2F0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7E379174" w14:textId="77777777" w:rsidR="00CB0062" w:rsidRDefault="00CB0062" w:rsidP="00223E56">
            <w:pPr>
              <w:rPr>
                <w:sz w:val="16"/>
                <w:szCs w:val="16"/>
              </w:rPr>
            </w:pPr>
            <w:r>
              <w:rPr>
                <w:color w:val="000000"/>
                <w:sz w:val="16"/>
                <w:szCs w:val="16"/>
              </w:rPr>
              <w:t>rs2269534</w:t>
            </w:r>
          </w:p>
          <w:p w14:paraId="34D409A6" w14:textId="77777777" w:rsidR="00CB0062" w:rsidRDefault="00CB0062" w:rsidP="00223E56">
            <w:pPr>
              <w:rPr>
                <w:sz w:val="16"/>
                <w:szCs w:val="16"/>
              </w:rPr>
            </w:pPr>
          </w:p>
        </w:tc>
        <w:tc>
          <w:tcPr>
            <w:tcW w:w="85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4582FE8B" w14:textId="77777777" w:rsidR="00CB0062" w:rsidRDefault="00CB0062" w:rsidP="00223E56">
            <w:pPr>
              <w:rPr>
                <w:color w:val="000000"/>
                <w:sz w:val="16"/>
                <w:szCs w:val="16"/>
              </w:rPr>
            </w:pPr>
            <w:r>
              <w:rPr>
                <w:color w:val="000000"/>
                <w:sz w:val="16"/>
                <w:szCs w:val="16"/>
              </w:rPr>
              <w:t>T&gt;</w:t>
            </w:r>
            <w:proofErr w:type="gramStart"/>
            <w:r>
              <w:rPr>
                <w:color w:val="000000"/>
                <w:sz w:val="16"/>
                <w:szCs w:val="16"/>
              </w:rPr>
              <w:t>A,C</w:t>
            </w:r>
            <w:proofErr w:type="gramEnd"/>
          </w:p>
        </w:tc>
        <w:tc>
          <w:tcPr>
            <w:tcW w:w="170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4D6C0126" w14:textId="77777777" w:rsidR="00CB0062" w:rsidRDefault="00CB0062" w:rsidP="00223E56">
            <w:pPr>
              <w:rPr>
                <w:color w:val="000000"/>
                <w:sz w:val="16"/>
                <w:szCs w:val="16"/>
              </w:rPr>
            </w:pPr>
            <w:r>
              <w:rPr>
                <w:color w:val="000000"/>
                <w:sz w:val="16"/>
                <w:szCs w:val="16"/>
              </w:rPr>
              <w:t>Intron variant</w:t>
            </w:r>
          </w:p>
        </w:tc>
        <w:tc>
          <w:tcPr>
            <w:tcW w:w="708" w:type="dxa"/>
            <w:tcBorders>
              <w:top w:val="single" w:sz="4" w:space="0" w:color="D0CECE"/>
              <w:bottom w:val="single" w:sz="4" w:space="0" w:color="D0CECE"/>
            </w:tcBorders>
            <w:shd w:val="clear" w:color="auto" w:fill="auto"/>
            <w:tcMar>
              <w:top w:w="-113" w:type="dxa"/>
              <w:left w:w="-113" w:type="dxa"/>
              <w:bottom w:w="-113" w:type="dxa"/>
              <w:right w:w="-113" w:type="dxa"/>
            </w:tcMar>
          </w:tcPr>
          <w:p w14:paraId="4374E2CD" w14:textId="77777777" w:rsidR="00CB0062" w:rsidRDefault="00CB0062" w:rsidP="00223E56">
            <w:pPr>
              <w:rPr>
                <w:color w:val="000000"/>
                <w:sz w:val="16"/>
                <w:szCs w:val="16"/>
              </w:rPr>
            </w:pPr>
            <w:r>
              <w:rPr>
                <w:color w:val="000000"/>
                <w:sz w:val="16"/>
                <w:szCs w:val="16"/>
              </w:rPr>
              <w:t>SBP</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762D9DB3" w14:textId="77777777" w:rsidR="00CB0062" w:rsidRDefault="00CB0062" w:rsidP="00223E56">
            <w:pPr>
              <w:rPr>
                <w:color w:val="000000"/>
                <w:sz w:val="16"/>
                <w:szCs w:val="16"/>
              </w:rPr>
            </w:pPr>
            <w:r>
              <w:rPr>
                <w:sz w:val="16"/>
                <w:szCs w:val="16"/>
              </w:rPr>
              <w:t xml:space="preserve">Farzan </w:t>
            </w:r>
            <w:r>
              <w:rPr>
                <w:i/>
                <w:sz w:val="16"/>
                <w:szCs w:val="16"/>
              </w:rPr>
              <w:t>et al.</w:t>
            </w:r>
            <w:r>
              <w:rPr>
                <w:sz w:val="16"/>
                <w:szCs w:val="16"/>
              </w:rPr>
              <w:t xml:space="preserve"> 2016</w:t>
            </w:r>
          </w:p>
        </w:tc>
      </w:tr>
      <w:tr w:rsidR="00CB0062" w:rsidRPr="0030321B" w14:paraId="33CFC699" w14:textId="77777777" w:rsidTr="00923C73">
        <w:trPr>
          <w:trHeight w:val="212"/>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7F53F1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681E17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0FB488F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1BF6948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5DAC554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vMerge w:val="restart"/>
            <w:tcBorders>
              <w:top w:val="single" w:sz="4" w:space="0" w:color="D0CECE"/>
              <w:bottom w:val="single" w:sz="4" w:space="0" w:color="D0CECE"/>
            </w:tcBorders>
            <w:tcMar>
              <w:top w:w="-113" w:type="dxa"/>
              <w:left w:w="-113" w:type="dxa"/>
              <w:bottom w:w="-113" w:type="dxa"/>
              <w:right w:w="-113" w:type="dxa"/>
            </w:tcMar>
          </w:tcPr>
          <w:p w14:paraId="37518ADF" w14:textId="77777777" w:rsidR="00CB0062" w:rsidRDefault="00CB0062" w:rsidP="00223E56">
            <w:pPr>
              <w:rPr>
                <w:color w:val="000000"/>
                <w:sz w:val="16"/>
                <w:szCs w:val="16"/>
              </w:rPr>
            </w:pPr>
            <w:r>
              <w:rPr>
                <w:color w:val="000000"/>
                <w:sz w:val="16"/>
                <w:szCs w:val="16"/>
              </w:rPr>
              <w:t>CVD</w:t>
            </w:r>
          </w:p>
          <w:p w14:paraId="4E495850" w14:textId="77777777" w:rsidR="00CB0062" w:rsidRDefault="00CB0062" w:rsidP="00223E56">
            <w:pPr>
              <w:rPr>
                <w:sz w:val="16"/>
                <w:szCs w:val="16"/>
              </w:rPr>
            </w:pPr>
            <w:r>
              <w:rPr>
                <w:sz w:val="16"/>
                <w:szCs w:val="16"/>
              </w:rPr>
              <w:t>CIMT</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6ECDE3F4" w14:textId="77777777" w:rsidR="00CB0062" w:rsidRPr="00641BD3" w:rsidRDefault="00CB0062" w:rsidP="00223E56">
            <w:pPr>
              <w:rPr>
                <w:sz w:val="16"/>
                <w:szCs w:val="16"/>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6BAF013F" w14:textId="77777777" w:rsidR="00CB0062" w:rsidRPr="00641BD3" w:rsidRDefault="00CB0062" w:rsidP="00223E56">
            <w:pPr>
              <w:rPr>
                <w:sz w:val="16"/>
                <w:szCs w:val="16"/>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tc>
      </w:tr>
      <w:tr w:rsidR="00CB0062" w14:paraId="7DAA1BEB"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502A709" w14:textId="77777777" w:rsidR="00CB0062" w:rsidRPr="00641BD3" w:rsidRDefault="00CB0062" w:rsidP="00223E56">
            <w:pPr>
              <w:widowControl w:val="0"/>
              <w:pBdr>
                <w:top w:val="nil"/>
                <w:left w:val="nil"/>
                <w:bottom w:val="nil"/>
                <w:right w:val="nil"/>
                <w:between w:val="nil"/>
              </w:pBdr>
              <w:spacing w:line="276" w:lineRule="auto"/>
              <w:rPr>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1CEDABD" w14:textId="77777777" w:rsidR="00CB0062" w:rsidRPr="00641BD3" w:rsidRDefault="00CB0062" w:rsidP="00223E56">
            <w:pPr>
              <w:widowControl w:val="0"/>
              <w:pBdr>
                <w:top w:val="nil"/>
                <w:left w:val="nil"/>
                <w:bottom w:val="nil"/>
                <w:right w:val="nil"/>
                <w:between w:val="nil"/>
              </w:pBdr>
              <w:spacing w:line="276" w:lineRule="auto"/>
              <w:rPr>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7AA4FAA" w14:textId="77777777" w:rsidR="00CB0062" w:rsidRDefault="00CB0062" w:rsidP="00223E56">
            <w:pPr>
              <w:rPr>
                <w:color w:val="000000"/>
                <w:sz w:val="16"/>
                <w:szCs w:val="16"/>
              </w:rPr>
            </w:pPr>
            <w:r>
              <w:rPr>
                <w:color w:val="000000"/>
                <w:sz w:val="16"/>
                <w:szCs w:val="16"/>
              </w:rPr>
              <w:t>rs2285112</w:t>
            </w:r>
          </w:p>
        </w:tc>
        <w:tc>
          <w:tcPr>
            <w:tcW w:w="851" w:type="dxa"/>
            <w:tcBorders>
              <w:top w:val="single" w:sz="4" w:space="0" w:color="D0CECE"/>
              <w:bottom w:val="single" w:sz="4" w:space="0" w:color="D0CECE"/>
            </w:tcBorders>
            <w:tcMar>
              <w:top w:w="-113" w:type="dxa"/>
              <w:left w:w="-113" w:type="dxa"/>
              <w:bottom w:w="-113" w:type="dxa"/>
              <w:right w:w="-113" w:type="dxa"/>
            </w:tcMar>
          </w:tcPr>
          <w:p w14:paraId="6BBEFFC7" w14:textId="77777777" w:rsidR="00CB0062" w:rsidRDefault="00CB0062" w:rsidP="00223E56">
            <w:pPr>
              <w:rPr>
                <w:color w:val="000000"/>
                <w:sz w:val="16"/>
                <w:szCs w:val="16"/>
              </w:rPr>
            </w:pPr>
            <w:r>
              <w:rPr>
                <w:color w:val="000000"/>
                <w:sz w:val="16"/>
                <w:szCs w:val="16"/>
              </w:rPr>
              <w:t>A&gt;</w:t>
            </w:r>
            <w:proofErr w:type="gramStart"/>
            <w:r>
              <w:rPr>
                <w:color w:val="000000"/>
                <w:sz w:val="16"/>
                <w:szCs w:val="16"/>
              </w:rPr>
              <w:t>G,T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19675906"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2CCF0C07" w14:textId="77777777" w:rsidR="00CB0062" w:rsidRDefault="00CB0062" w:rsidP="00223E56">
            <w:pPr>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1E0D420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2A8C6648"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1FDF45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694868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AF8B9DE" w14:textId="77777777" w:rsidR="00CB0062" w:rsidRDefault="00CB0062" w:rsidP="00223E56">
            <w:pPr>
              <w:rPr>
                <w:color w:val="000000"/>
                <w:sz w:val="16"/>
                <w:szCs w:val="16"/>
              </w:rPr>
            </w:pPr>
            <w:r>
              <w:rPr>
                <w:color w:val="000000"/>
                <w:sz w:val="16"/>
                <w:szCs w:val="16"/>
              </w:rPr>
              <w:t>rs4820192</w:t>
            </w:r>
          </w:p>
        </w:tc>
        <w:tc>
          <w:tcPr>
            <w:tcW w:w="851" w:type="dxa"/>
            <w:tcBorders>
              <w:top w:val="single" w:sz="4" w:space="0" w:color="D0CECE"/>
              <w:bottom w:val="single" w:sz="4" w:space="0" w:color="D0CECE"/>
            </w:tcBorders>
            <w:tcMar>
              <w:top w:w="-113" w:type="dxa"/>
              <w:left w:w="-113" w:type="dxa"/>
              <w:bottom w:w="-113" w:type="dxa"/>
              <w:right w:w="-113" w:type="dxa"/>
            </w:tcMar>
          </w:tcPr>
          <w:p w14:paraId="02FF2A34" w14:textId="77777777" w:rsidR="00CB0062" w:rsidRDefault="00CB0062" w:rsidP="00223E56">
            <w:pPr>
              <w:rPr>
                <w:color w:val="000000"/>
                <w:sz w:val="16"/>
                <w:szCs w:val="16"/>
              </w:rPr>
            </w:pPr>
            <w:r>
              <w:rPr>
                <w:color w:val="000000"/>
                <w:sz w:val="16"/>
                <w:szCs w:val="16"/>
              </w:rPr>
              <w:t>A&gt;</w:t>
            </w:r>
            <w:proofErr w:type="gramStart"/>
            <w:r>
              <w:rPr>
                <w:color w:val="000000"/>
                <w:sz w:val="16"/>
                <w:szCs w:val="16"/>
              </w:rPr>
              <w:t>C,T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1202AD5B"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0BC140A4" w14:textId="77777777" w:rsidR="00CB0062" w:rsidRDefault="00CB0062" w:rsidP="00223E56">
            <w:pPr>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FD99DE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31B9C867"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73CAFF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E3870C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764BB884" w14:textId="77777777" w:rsidR="00CB0062" w:rsidRDefault="00CB0062" w:rsidP="00223E56">
            <w:pPr>
              <w:rPr>
                <w:color w:val="000000"/>
                <w:sz w:val="16"/>
                <w:szCs w:val="16"/>
              </w:rPr>
            </w:pPr>
            <w:r>
              <w:rPr>
                <w:color w:val="000000"/>
                <w:sz w:val="16"/>
                <w:szCs w:val="16"/>
              </w:rPr>
              <w:t>rs5755713</w:t>
            </w:r>
          </w:p>
        </w:tc>
        <w:tc>
          <w:tcPr>
            <w:tcW w:w="851" w:type="dxa"/>
            <w:tcBorders>
              <w:top w:val="single" w:sz="4" w:space="0" w:color="D0CECE"/>
              <w:bottom w:val="single" w:sz="4" w:space="0" w:color="D0CECE"/>
            </w:tcBorders>
            <w:tcMar>
              <w:top w:w="-113" w:type="dxa"/>
              <w:left w:w="-113" w:type="dxa"/>
              <w:bottom w:w="-113" w:type="dxa"/>
              <w:right w:w="-113" w:type="dxa"/>
            </w:tcMar>
          </w:tcPr>
          <w:p w14:paraId="51F29690" w14:textId="77777777" w:rsidR="00CB0062" w:rsidRDefault="00CB0062" w:rsidP="00223E56">
            <w:pPr>
              <w:rPr>
                <w:color w:val="000000"/>
                <w:sz w:val="16"/>
                <w:szCs w:val="16"/>
              </w:rPr>
            </w:pPr>
            <w:r>
              <w:rPr>
                <w:color w:val="000000"/>
                <w:sz w:val="16"/>
                <w:szCs w:val="16"/>
              </w:rPr>
              <w:t>G&gt;C</w:t>
            </w:r>
          </w:p>
        </w:tc>
        <w:tc>
          <w:tcPr>
            <w:tcW w:w="1701" w:type="dxa"/>
            <w:tcBorders>
              <w:top w:val="single" w:sz="4" w:space="0" w:color="D0CECE"/>
              <w:bottom w:val="single" w:sz="4" w:space="0" w:color="D0CECE"/>
            </w:tcBorders>
            <w:tcMar>
              <w:top w:w="-113" w:type="dxa"/>
              <w:left w:w="-113" w:type="dxa"/>
              <w:bottom w:w="-113" w:type="dxa"/>
              <w:right w:w="-113" w:type="dxa"/>
            </w:tcMar>
          </w:tcPr>
          <w:p w14:paraId="628700D4" w14:textId="77777777" w:rsidR="00CB0062" w:rsidRDefault="00CB0062" w:rsidP="00223E56">
            <w:pPr>
              <w:rPr>
                <w:color w:val="000000"/>
                <w:sz w:val="16"/>
                <w:szCs w:val="16"/>
              </w:rPr>
            </w:pPr>
            <w:r>
              <w:rPr>
                <w:color w:val="000000"/>
                <w:sz w:val="16"/>
                <w:szCs w:val="16"/>
              </w:rPr>
              <w:t>Missense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7037C225" w14:textId="77777777" w:rsidR="00CB0062" w:rsidRDefault="00CB0062" w:rsidP="00223E56">
            <w:pPr>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261FEC5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142982FD"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F49DD4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FB9C52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64CE42E3" w14:textId="77777777" w:rsidR="00CB0062" w:rsidRDefault="00CB0062" w:rsidP="00223E56">
            <w:pPr>
              <w:rPr>
                <w:sz w:val="16"/>
                <w:szCs w:val="16"/>
              </w:rPr>
            </w:pPr>
            <w:r>
              <w:rPr>
                <w:color w:val="000000"/>
                <w:sz w:val="16"/>
                <w:szCs w:val="16"/>
              </w:rPr>
              <w:t>rs5755718</w:t>
            </w:r>
          </w:p>
          <w:p w14:paraId="57E8DBC0" w14:textId="77777777" w:rsidR="00CB0062" w:rsidRDefault="00CB0062" w:rsidP="00223E56">
            <w:pPr>
              <w:rPr>
                <w:sz w:val="16"/>
                <w:szCs w:val="16"/>
              </w:rPr>
            </w:pPr>
          </w:p>
        </w:tc>
        <w:tc>
          <w:tcPr>
            <w:tcW w:w="85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1B433410" w14:textId="77777777" w:rsidR="00CB0062" w:rsidRDefault="00CB0062" w:rsidP="00223E56">
            <w:pPr>
              <w:rPr>
                <w:color w:val="000000"/>
                <w:sz w:val="16"/>
                <w:szCs w:val="16"/>
              </w:rPr>
            </w:pPr>
            <w:r>
              <w:rPr>
                <w:color w:val="000000"/>
                <w:sz w:val="16"/>
                <w:szCs w:val="16"/>
              </w:rPr>
              <w:t>T&gt;C</w:t>
            </w:r>
          </w:p>
        </w:tc>
        <w:tc>
          <w:tcPr>
            <w:tcW w:w="170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7C30FF15" w14:textId="77777777" w:rsidR="00CB0062" w:rsidRDefault="00CB0062" w:rsidP="00223E56">
            <w:pPr>
              <w:rPr>
                <w:color w:val="000000"/>
                <w:sz w:val="16"/>
                <w:szCs w:val="16"/>
              </w:rPr>
            </w:pPr>
            <w:r>
              <w:rPr>
                <w:color w:val="000000"/>
                <w:sz w:val="16"/>
                <w:szCs w:val="16"/>
              </w:rPr>
              <w:t>Intron variant</w:t>
            </w:r>
          </w:p>
        </w:tc>
        <w:tc>
          <w:tcPr>
            <w:tcW w:w="708" w:type="dxa"/>
            <w:tcBorders>
              <w:top w:val="single" w:sz="4" w:space="0" w:color="D0CECE"/>
              <w:bottom w:val="single" w:sz="4" w:space="0" w:color="D0CECE"/>
            </w:tcBorders>
            <w:shd w:val="clear" w:color="auto" w:fill="auto"/>
            <w:tcMar>
              <w:top w:w="-113" w:type="dxa"/>
              <w:left w:w="-113" w:type="dxa"/>
              <w:bottom w:w="-113" w:type="dxa"/>
              <w:right w:w="-113" w:type="dxa"/>
            </w:tcMar>
          </w:tcPr>
          <w:p w14:paraId="7EB6CE73" w14:textId="77777777" w:rsidR="00CB0062" w:rsidRDefault="00CB0062" w:rsidP="00223E56">
            <w:pPr>
              <w:rPr>
                <w:color w:val="000000"/>
                <w:sz w:val="16"/>
                <w:szCs w:val="16"/>
              </w:rPr>
            </w:pPr>
            <w:r>
              <w:rPr>
                <w:color w:val="000000"/>
                <w:sz w:val="16"/>
                <w:szCs w:val="16"/>
              </w:rPr>
              <w:t>SBP</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461AFB5A" w14:textId="77777777" w:rsidR="00CB0062" w:rsidRDefault="00CB0062" w:rsidP="00223E56">
            <w:pPr>
              <w:rPr>
                <w:color w:val="000000"/>
                <w:sz w:val="16"/>
                <w:szCs w:val="16"/>
              </w:rPr>
            </w:pPr>
            <w:r>
              <w:rPr>
                <w:sz w:val="16"/>
                <w:szCs w:val="16"/>
              </w:rPr>
              <w:t xml:space="preserve">Farzan </w:t>
            </w:r>
            <w:r>
              <w:rPr>
                <w:i/>
                <w:sz w:val="16"/>
                <w:szCs w:val="16"/>
              </w:rPr>
              <w:t>et al.</w:t>
            </w:r>
            <w:r>
              <w:rPr>
                <w:sz w:val="16"/>
                <w:szCs w:val="16"/>
              </w:rPr>
              <w:t xml:space="preserve"> 2016</w:t>
            </w:r>
          </w:p>
        </w:tc>
      </w:tr>
      <w:tr w:rsidR="00CB0062" w:rsidRPr="0030321B" w14:paraId="0684259C" w14:textId="77777777" w:rsidTr="00923C73">
        <w:trPr>
          <w:trHeight w:val="212"/>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792EED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AE17A2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3718386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3737D80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74664E0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vMerge w:val="restart"/>
            <w:tcBorders>
              <w:top w:val="single" w:sz="4" w:space="0" w:color="D0CECE"/>
              <w:bottom w:val="single" w:sz="4" w:space="0" w:color="D0CECE"/>
            </w:tcBorders>
            <w:tcMar>
              <w:top w:w="-113" w:type="dxa"/>
              <w:left w:w="-113" w:type="dxa"/>
              <w:bottom w:w="-113" w:type="dxa"/>
              <w:right w:w="-113" w:type="dxa"/>
            </w:tcMar>
          </w:tcPr>
          <w:p w14:paraId="13CBDD60" w14:textId="77777777" w:rsidR="00CB0062" w:rsidRDefault="00CB0062" w:rsidP="00223E56">
            <w:pPr>
              <w:rPr>
                <w:sz w:val="16"/>
                <w:szCs w:val="16"/>
              </w:rPr>
            </w:pPr>
            <w:r>
              <w:rPr>
                <w:sz w:val="16"/>
                <w:szCs w:val="16"/>
              </w:rPr>
              <w:t>CVD</w:t>
            </w:r>
          </w:p>
          <w:p w14:paraId="0EF87156" w14:textId="77777777" w:rsidR="00CB0062" w:rsidRDefault="00CB0062" w:rsidP="00223E56">
            <w:pPr>
              <w:rPr>
                <w:sz w:val="16"/>
                <w:szCs w:val="16"/>
              </w:rPr>
            </w:pPr>
            <w:r>
              <w:rPr>
                <w:sz w:val="16"/>
                <w:szCs w:val="16"/>
              </w:rPr>
              <w:t>CIMT</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6C20B254"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3D66224C"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p w14:paraId="123E991A" w14:textId="77777777" w:rsidR="00CB0062" w:rsidRPr="00641BD3" w:rsidRDefault="00CB0062" w:rsidP="00223E56">
            <w:pPr>
              <w:rPr>
                <w:sz w:val="16"/>
                <w:szCs w:val="16"/>
                <w:lang w:val="es-ES"/>
              </w:rPr>
            </w:pPr>
          </w:p>
        </w:tc>
      </w:tr>
      <w:tr w:rsidR="00CB0062" w14:paraId="08AF224A"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6A376C4" w14:textId="77777777" w:rsidR="00CB0062" w:rsidRPr="00641BD3" w:rsidRDefault="00CB0062" w:rsidP="00223E56">
            <w:pPr>
              <w:widowControl w:val="0"/>
              <w:pBdr>
                <w:top w:val="nil"/>
                <w:left w:val="nil"/>
                <w:bottom w:val="nil"/>
                <w:right w:val="nil"/>
                <w:between w:val="nil"/>
              </w:pBdr>
              <w:spacing w:line="276" w:lineRule="auto"/>
              <w:rPr>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80FED4F" w14:textId="77777777" w:rsidR="00CB0062" w:rsidRPr="00641BD3" w:rsidRDefault="00CB0062" w:rsidP="00223E56">
            <w:pPr>
              <w:widowControl w:val="0"/>
              <w:pBdr>
                <w:top w:val="nil"/>
                <w:left w:val="nil"/>
                <w:bottom w:val="nil"/>
                <w:right w:val="nil"/>
                <w:between w:val="nil"/>
              </w:pBdr>
              <w:spacing w:line="276" w:lineRule="auto"/>
              <w:rPr>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60FBAB4" w14:textId="77777777" w:rsidR="00CB0062" w:rsidRDefault="00CB0062" w:rsidP="00223E56">
            <w:pPr>
              <w:rPr>
                <w:color w:val="000000"/>
                <w:sz w:val="16"/>
                <w:szCs w:val="16"/>
              </w:rPr>
            </w:pPr>
            <w:r>
              <w:rPr>
                <w:color w:val="000000"/>
                <w:sz w:val="16"/>
                <w:szCs w:val="16"/>
              </w:rPr>
              <w:t>rs5755720</w:t>
            </w:r>
          </w:p>
        </w:tc>
        <w:tc>
          <w:tcPr>
            <w:tcW w:w="851" w:type="dxa"/>
            <w:tcBorders>
              <w:top w:val="single" w:sz="4" w:space="0" w:color="D0CECE"/>
              <w:bottom w:val="single" w:sz="4" w:space="0" w:color="D0CECE"/>
            </w:tcBorders>
            <w:tcMar>
              <w:top w:w="-113" w:type="dxa"/>
              <w:left w:w="-113" w:type="dxa"/>
              <w:bottom w:w="-113" w:type="dxa"/>
              <w:right w:w="-113" w:type="dxa"/>
            </w:tcMar>
          </w:tcPr>
          <w:p w14:paraId="147A5E6A" w14:textId="77777777" w:rsidR="00CB0062" w:rsidRDefault="00CB0062" w:rsidP="00223E56">
            <w:pPr>
              <w:rPr>
                <w:color w:val="000000"/>
                <w:sz w:val="16"/>
                <w:szCs w:val="16"/>
              </w:rPr>
            </w:pPr>
            <w:r>
              <w:rPr>
                <w:color w:val="000000"/>
                <w:sz w:val="16"/>
                <w:szCs w:val="16"/>
              </w:rPr>
              <w:t>A&gt;G</w:t>
            </w:r>
          </w:p>
        </w:tc>
        <w:tc>
          <w:tcPr>
            <w:tcW w:w="1701" w:type="dxa"/>
            <w:tcBorders>
              <w:top w:val="single" w:sz="4" w:space="0" w:color="D0CECE"/>
              <w:bottom w:val="single" w:sz="4" w:space="0" w:color="D0CECE"/>
            </w:tcBorders>
            <w:tcMar>
              <w:top w:w="-113" w:type="dxa"/>
              <w:left w:w="-113" w:type="dxa"/>
              <w:bottom w:w="-113" w:type="dxa"/>
              <w:right w:w="-113" w:type="dxa"/>
            </w:tcMar>
          </w:tcPr>
          <w:p w14:paraId="3584C5E0"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41A7F326" w14:textId="77777777" w:rsidR="00CB0062" w:rsidRDefault="00CB0062" w:rsidP="00223E56">
            <w:pPr>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6327CB4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4FF5B805"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1C3382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94D8CF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2F25383F" w14:textId="77777777" w:rsidR="00CB0062" w:rsidRDefault="00CB0062" w:rsidP="00223E56">
            <w:pPr>
              <w:rPr>
                <w:color w:val="000000"/>
                <w:sz w:val="16"/>
                <w:szCs w:val="16"/>
              </w:rPr>
            </w:pPr>
            <w:r>
              <w:rPr>
                <w:color w:val="000000"/>
                <w:sz w:val="16"/>
                <w:szCs w:val="16"/>
              </w:rPr>
              <w:t>rs5995098</w:t>
            </w:r>
          </w:p>
        </w:tc>
        <w:tc>
          <w:tcPr>
            <w:tcW w:w="851" w:type="dxa"/>
            <w:tcBorders>
              <w:top w:val="single" w:sz="4" w:space="0" w:color="D0CECE"/>
              <w:bottom w:val="single" w:sz="4" w:space="0" w:color="D0CECE"/>
            </w:tcBorders>
            <w:tcMar>
              <w:top w:w="-113" w:type="dxa"/>
              <w:left w:w="-113" w:type="dxa"/>
              <w:bottom w:w="-113" w:type="dxa"/>
              <w:right w:w="-113" w:type="dxa"/>
            </w:tcMar>
          </w:tcPr>
          <w:p w14:paraId="41EB8701" w14:textId="77777777" w:rsidR="00CB0062" w:rsidRDefault="00CB0062" w:rsidP="00223E56">
            <w:pPr>
              <w:rPr>
                <w:color w:val="000000"/>
                <w:sz w:val="16"/>
                <w:szCs w:val="16"/>
              </w:rPr>
            </w:pPr>
            <w:r>
              <w:rPr>
                <w:color w:val="000000"/>
                <w:sz w:val="16"/>
                <w:szCs w:val="16"/>
              </w:rPr>
              <w:t>C&gt;</w:t>
            </w:r>
            <w:proofErr w:type="gramStart"/>
            <w:r>
              <w:rPr>
                <w:color w:val="000000"/>
                <w:sz w:val="16"/>
                <w:szCs w:val="16"/>
              </w:rPr>
              <w:t>A,G</w:t>
            </w:r>
            <w:proofErr w:type="gramEnd"/>
            <w:r>
              <w:rPr>
                <w:color w:val="000000"/>
                <w:sz w:val="16"/>
                <w:szCs w:val="16"/>
              </w:rPr>
              <w:t>,T</w:t>
            </w:r>
          </w:p>
        </w:tc>
        <w:tc>
          <w:tcPr>
            <w:tcW w:w="1701" w:type="dxa"/>
            <w:tcBorders>
              <w:top w:val="single" w:sz="4" w:space="0" w:color="D0CECE"/>
              <w:bottom w:val="single" w:sz="4" w:space="0" w:color="D0CECE"/>
            </w:tcBorders>
            <w:tcMar>
              <w:top w:w="-113" w:type="dxa"/>
              <w:left w:w="-113" w:type="dxa"/>
              <w:bottom w:w="-113" w:type="dxa"/>
              <w:right w:w="-113" w:type="dxa"/>
            </w:tcMar>
          </w:tcPr>
          <w:p w14:paraId="03A6FB19"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37FB975E" w14:textId="77777777" w:rsidR="00CB0062" w:rsidRDefault="00CB0062" w:rsidP="00223E56">
            <w:pPr>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49EACE3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7FD402A6"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0A17FD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EB1534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23D3FF1E" w14:textId="77777777" w:rsidR="00CB0062" w:rsidRDefault="00CB0062" w:rsidP="00223E56">
            <w:pPr>
              <w:rPr>
                <w:color w:val="000000"/>
                <w:sz w:val="16"/>
                <w:szCs w:val="16"/>
              </w:rPr>
            </w:pPr>
            <w:r>
              <w:rPr>
                <w:color w:val="000000"/>
                <w:sz w:val="16"/>
                <w:szCs w:val="16"/>
              </w:rPr>
              <w:t>rs5995099</w:t>
            </w:r>
          </w:p>
        </w:tc>
        <w:tc>
          <w:tcPr>
            <w:tcW w:w="851" w:type="dxa"/>
            <w:tcBorders>
              <w:top w:val="single" w:sz="4" w:space="0" w:color="D0CECE"/>
              <w:bottom w:val="single" w:sz="4" w:space="0" w:color="D0CECE"/>
            </w:tcBorders>
            <w:tcMar>
              <w:top w:w="-113" w:type="dxa"/>
              <w:left w:w="-113" w:type="dxa"/>
              <w:bottom w:w="-113" w:type="dxa"/>
              <w:right w:w="-113" w:type="dxa"/>
            </w:tcMar>
          </w:tcPr>
          <w:p w14:paraId="16EEEA35" w14:textId="77777777" w:rsidR="00CB0062" w:rsidRDefault="00CB0062" w:rsidP="00223E56">
            <w:pPr>
              <w:rPr>
                <w:color w:val="000000"/>
                <w:sz w:val="16"/>
                <w:szCs w:val="16"/>
              </w:rPr>
            </w:pPr>
            <w:r>
              <w:rPr>
                <w:color w:val="000000"/>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669BB198"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7DF8F2DA" w14:textId="77777777" w:rsidR="00CB0062" w:rsidRDefault="00CB0062" w:rsidP="00223E56">
            <w:pPr>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52897ED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6EE468D0"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376A6E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9EC898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26616E8" w14:textId="77777777" w:rsidR="00CB0062" w:rsidRDefault="00CB0062" w:rsidP="00223E56">
            <w:pPr>
              <w:rPr>
                <w:color w:val="000000"/>
                <w:sz w:val="16"/>
                <w:szCs w:val="16"/>
              </w:rPr>
            </w:pPr>
            <w:r>
              <w:rPr>
                <w:color w:val="000000"/>
                <w:sz w:val="16"/>
                <w:szCs w:val="16"/>
              </w:rPr>
              <w:t>rs6518952</w:t>
            </w:r>
          </w:p>
        </w:tc>
        <w:tc>
          <w:tcPr>
            <w:tcW w:w="851" w:type="dxa"/>
            <w:tcBorders>
              <w:top w:val="single" w:sz="4" w:space="0" w:color="D0CECE"/>
              <w:bottom w:val="single" w:sz="4" w:space="0" w:color="D0CECE"/>
            </w:tcBorders>
            <w:tcMar>
              <w:top w:w="-113" w:type="dxa"/>
              <w:left w:w="-113" w:type="dxa"/>
              <w:bottom w:w="-113" w:type="dxa"/>
              <w:right w:w="-113" w:type="dxa"/>
            </w:tcMar>
          </w:tcPr>
          <w:p w14:paraId="21898199" w14:textId="77777777" w:rsidR="00CB0062" w:rsidRDefault="00CB0062" w:rsidP="00223E56">
            <w:pPr>
              <w:rPr>
                <w:color w:val="000000"/>
                <w:sz w:val="16"/>
                <w:szCs w:val="16"/>
              </w:rPr>
            </w:pPr>
            <w:r>
              <w:rPr>
                <w:color w:val="000000"/>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333D90B8"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5BE5ADEC" w14:textId="77777777" w:rsidR="00CB0062" w:rsidRDefault="00CB0062" w:rsidP="00223E56">
            <w:pPr>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154E10B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21374857"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B95EB1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16806F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1EDF8A52" w14:textId="77777777" w:rsidR="00CB0062" w:rsidRDefault="00CB0062" w:rsidP="00223E56">
            <w:pPr>
              <w:rPr>
                <w:sz w:val="16"/>
                <w:szCs w:val="16"/>
              </w:rPr>
            </w:pPr>
            <w:r>
              <w:rPr>
                <w:color w:val="000000"/>
                <w:sz w:val="16"/>
                <w:szCs w:val="16"/>
              </w:rPr>
              <w:t>rs8139532</w:t>
            </w:r>
          </w:p>
          <w:p w14:paraId="00CA30CD" w14:textId="77777777" w:rsidR="00CB0062" w:rsidRDefault="00CB0062" w:rsidP="00223E56">
            <w:pPr>
              <w:rPr>
                <w:sz w:val="16"/>
                <w:szCs w:val="16"/>
              </w:rPr>
            </w:pPr>
          </w:p>
        </w:tc>
        <w:tc>
          <w:tcPr>
            <w:tcW w:w="85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67BEE71C" w14:textId="77777777" w:rsidR="00CB0062" w:rsidRDefault="00CB0062" w:rsidP="00223E56">
            <w:pPr>
              <w:rPr>
                <w:color w:val="000000"/>
                <w:sz w:val="16"/>
                <w:szCs w:val="16"/>
              </w:rPr>
            </w:pPr>
            <w:r>
              <w:rPr>
                <w:color w:val="000000"/>
                <w:sz w:val="16"/>
                <w:szCs w:val="16"/>
              </w:rPr>
              <w:t>G&gt;A</w:t>
            </w:r>
          </w:p>
        </w:tc>
        <w:tc>
          <w:tcPr>
            <w:tcW w:w="170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21B517AF" w14:textId="77777777" w:rsidR="00CB0062" w:rsidRDefault="00CB0062" w:rsidP="00223E56">
            <w:pPr>
              <w:rPr>
                <w:color w:val="000000"/>
                <w:sz w:val="16"/>
                <w:szCs w:val="16"/>
              </w:rPr>
            </w:pPr>
            <w:r>
              <w:rPr>
                <w:color w:val="000000"/>
                <w:sz w:val="16"/>
                <w:szCs w:val="16"/>
              </w:rPr>
              <w:t>Intron variant</w:t>
            </w:r>
          </w:p>
        </w:tc>
        <w:tc>
          <w:tcPr>
            <w:tcW w:w="708" w:type="dxa"/>
            <w:tcBorders>
              <w:top w:val="single" w:sz="4" w:space="0" w:color="D0CECE"/>
              <w:bottom w:val="single" w:sz="4" w:space="0" w:color="D0CECE"/>
            </w:tcBorders>
            <w:shd w:val="clear" w:color="auto" w:fill="auto"/>
            <w:tcMar>
              <w:top w:w="-113" w:type="dxa"/>
              <w:left w:w="-113" w:type="dxa"/>
              <w:bottom w:w="-113" w:type="dxa"/>
              <w:right w:w="-113" w:type="dxa"/>
            </w:tcMar>
          </w:tcPr>
          <w:p w14:paraId="3B5A52D7" w14:textId="77777777" w:rsidR="00CB0062" w:rsidRDefault="00CB0062" w:rsidP="00223E56">
            <w:pPr>
              <w:rPr>
                <w:color w:val="000000"/>
                <w:sz w:val="16"/>
                <w:szCs w:val="16"/>
              </w:rPr>
            </w:pPr>
            <w:r>
              <w:rPr>
                <w:color w:val="000000"/>
                <w:sz w:val="16"/>
                <w:szCs w:val="16"/>
              </w:rPr>
              <w:t>SBP</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1328D9C6" w14:textId="77777777" w:rsidR="00CB0062" w:rsidRDefault="00CB0062" w:rsidP="00223E56">
            <w:pPr>
              <w:rPr>
                <w:color w:val="000000"/>
                <w:sz w:val="16"/>
                <w:szCs w:val="16"/>
              </w:rPr>
            </w:pPr>
            <w:r>
              <w:rPr>
                <w:sz w:val="16"/>
                <w:szCs w:val="16"/>
              </w:rPr>
              <w:t xml:space="preserve">Farzan </w:t>
            </w:r>
            <w:r>
              <w:rPr>
                <w:i/>
                <w:sz w:val="16"/>
                <w:szCs w:val="16"/>
              </w:rPr>
              <w:t>et al.</w:t>
            </w:r>
            <w:r>
              <w:rPr>
                <w:sz w:val="16"/>
                <w:szCs w:val="16"/>
              </w:rPr>
              <w:t xml:space="preserve"> 2016</w:t>
            </w:r>
          </w:p>
        </w:tc>
      </w:tr>
      <w:tr w:rsidR="00CB0062" w:rsidRPr="0030321B" w14:paraId="3EE206AB" w14:textId="77777777" w:rsidTr="00923C73">
        <w:trPr>
          <w:trHeight w:val="212"/>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0DEE90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29F817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1C35D79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589BB7C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68E55E6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vMerge w:val="restart"/>
            <w:tcBorders>
              <w:top w:val="single" w:sz="4" w:space="0" w:color="D0CECE"/>
              <w:bottom w:val="single" w:sz="4" w:space="0" w:color="D0CECE"/>
            </w:tcBorders>
            <w:tcMar>
              <w:top w:w="-113" w:type="dxa"/>
              <w:left w:w="-113" w:type="dxa"/>
              <w:bottom w:w="-113" w:type="dxa"/>
              <w:right w:w="-113" w:type="dxa"/>
            </w:tcMar>
          </w:tcPr>
          <w:p w14:paraId="42634F7D" w14:textId="77777777" w:rsidR="00CB0062" w:rsidRDefault="00CB0062" w:rsidP="00223E56">
            <w:pPr>
              <w:rPr>
                <w:sz w:val="16"/>
                <w:szCs w:val="16"/>
              </w:rPr>
            </w:pPr>
            <w:r>
              <w:rPr>
                <w:sz w:val="16"/>
                <w:szCs w:val="16"/>
              </w:rPr>
              <w:t xml:space="preserve">CVD </w:t>
            </w:r>
          </w:p>
          <w:p w14:paraId="76ED3F7B" w14:textId="77777777" w:rsidR="00CB0062" w:rsidRDefault="00CB0062" w:rsidP="00223E56">
            <w:pPr>
              <w:rPr>
                <w:sz w:val="16"/>
                <w:szCs w:val="16"/>
              </w:rPr>
            </w:pPr>
            <w:r>
              <w:rPr>
                <w:sz w:val="16"/>
                <w:szCs w:val="16"/>
              </w:rPr>
              <w:t>CIMT</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6A9400F"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260B21FE"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p w14:paraId="1423DD00" w14:textId="77777777" w:rsidR="00CB0062" w:rsidRPr="00641BD3" w:rsidRDefault="00CB0062" w:rsidP="00223E56">
            <w:pPr>
              <w:rPr>
                <w:sz w:val="16"/>
                <w:szCs w:val="16"/>
                <w:lang w:val="es-ES"/>
              </w:rPr>
            </w:pPr>
          </w:p>
        </w:tc>
      </w:tr>
      <w:tr w:rsidR="00CB0062" w14:paraId="1D971881"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0269468" w14:textId="77777777" w:rsidR="00CB0062" w:rsidRPr="00641BD3" w:rsidRDefault="00CB0062" w:rsidP="00223E56">
            <w:pPr>
              <w:widowControl w:val="0"/>
              <w:pBdr>
                <w:top w:val="nil"/>
                <w:left w:val="nil"/>
                <w:bottom w:val="nil"/>
                <w:right w:val="nil"/>
                <w:between w:val="nil"/>
              </w:pBdr>
              <w:spacing w:line="276" w:lineRule="auto"/>
              <w:rPr>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3181BCB" w14:textId="77777777" w:rsidR="00CB0062" w:rsidRPr="00641BD3" w:rsidRDefault="00CB0062" w:rsidP="00223E56">
            <w:pPr>
              <w:widowControl w:val="0"/>
              <w:pBdr>
                <w:top w:val="nil"/>
                <w:left w:val="nil"/>
                <w:bottom w:val="nil"/>
                <w:right w:val="nil"/>
                <w:between w:val="nil"/>
              </w:pBdr>
              <w:spacing w:line="276" w:lineRule="auto"/>
              <w:rPr>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2EEF1590" w14:textId="77777777" w:rsidR="00CB0062" w:rsidRDefault="00CB0062" w:rsidP="00223E56">
            <w:pPr>
              <w:rPr>
                <w:color w:val="000000"/>
                <w:sz w:val="16"/>
                <w:szCs w:val="16"/>
              </w:rPr>
            </w:pPr>
            <w:r>
              <w:rPr>
                <w:color w:val="000000"/>
                <w:sz w:val="16"/>
                <w:szCs w:val="16"/>
              </w:rPr>
              <w:t>rs8140370</w:t>
            </w:r>
          </w:p>
        </w:tc>
        <w:tc>
          <w:tcPr>
            <w:tcW w:w="851" w:type="dxa"/>
            <w:tcBorders>
              <w:top w:val="single" w:sz="4" w:space="0" w:color="D0CECE"/>
              <w:bottom w:val="single" w:sz="4" w:space="0" w:color="D0CECE"/>
            </w:tcBorders>
            <w:tcMar>
              <w:top w:w="-113" w:type="dxa"/>
              <w:left w:w="-113" w:type="dxa"/>
              <w:bottom w:w="-113" w:type="dxa"/>
              <w:right w:w="-113" w:type="dxa"/>
            </w:tcMar>
          </w:tcPr>
          <w:p w14:paraId="251AFCDF" w14:textId="77777777" w:rsidR="00CB0062" w:rsidRDefault="00CB0062" w:rsidP="00223E56">
            <w:pPr>
              <w:rPr>
                <w:color w:val="000000"/>
                <w:sz w:val="16"/>
                <w:szCs w:val="16"/>
              </w:rPr>
            </w:pPr>
            <w:r>
              <w:rPr>
                <w:color w:val="000000"/>
                <w:sz w:val="16"/>
                <w:szCs w:val="16"/>
              </w:rPr>
              <w:t>T&gt;G</w:t>
            </w:r>
          </w:p>
        </w:tc>
        <w:tc>
          <w:tcPr>
            <w:tcW w:w="1701" w:type="dxa"/>
            <w:tcBorders>
              <w:top w:val="single" w:sz="4" w:space="0" w:color="D0CECE"/>
              <w:bottom w:val="single" w:sz="4" w:space="0" w:color="D0CECE"/>
            </w:tcBorders>
            <w:tcMar>
              <w:top w:w="-113" w:type="dxa"/>
              <w:left w:w="-113" w:type="dxa"/>
              <w:bottom w:w="-113" w:type="dxa"/>
              <w:right w:w="-113" w:type="dxa"/>
            </w:tcMar>
          </w:tcPr>
          <w:p w14:paraId="1763BC66"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683F502C" w14:textId="77777777" w:rsidR="00CB0062" w:rsidRDefault="00CB0062" w:rsidP="00223E56">
            <w:pPr>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5FF38DE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17A6993F"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893DAF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B430D5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664A35F" w14:textId="77777777" w:rsidR="00CB0062" w:rsidRDefault="00CB0062" w:rsidP="00223E56">
            <w:pPr>
              <w:rPr>
                <w:color w:val="000000"/>
                <w:sz w:val="16"/>
                <w:szCs w:val="16"/>
              </w:rPr>
            </w:pPr>
            <w:r>
              <w:rPr>
                <w:color w:val="000000"/>
                <w:sz w:val="16"/>
                <w:szCs w:val="16"/>
              </w:rPr>
              <w:t>rs8140669</w:t>
            </w:r>
          </w:p>
        </w:tc>
        <w:tc>
          <w:tcPr>
            <w:tcW w:w="851" w:type="dxa"/>
            <w:tcBorders>
              <w:top w:val="single" w:sz="4" w:space="0" w:color="D0CECE"/>
              <w:bottom w:val="single" w:sz="4" w:space="0" w:color="D0CECE"/>
            </w:tcBorders>
            <w:tcMar>
              <w:top w:w="-113" w:type="dxa"/>
              <w:left w:w="-113" w:type="dxa"/>
              <w:bottom w:w="-113" w:type="dxa"/>
              <w:right w:w="-113" w:type="dxa"/>
            </w:tcMar>
          </w:tcPr>
          <w:p w14:paraId="5DDC2D48" w14:textId="77777777" w:rsidR="00CB0062" w:rsidRDefault="00CB0062" w:rsidP="00223E56">
            <w:pPr>
              <w:rPr>
                <w:color w:val="000000"/>
                <w:sz w:val="16"/>
                <w:szCs w:val="16"/>
              </w:rPr>
            </w:pPr>
            <w:r>
              <w:rPr>
                <w:color w:val="000000"/>
                <w:sz w:val="16"/>
                <w:szCs w:val="16"/>
              </w:rPr>
              <w:t>T&gt;A</w:t>
            </w:r>
          </w:p>
        </w:tc>
        <w:tc>
          <w:tcPr>
            <w:tcW w:w="1701" w:type="dxa"/>
            <w:tcBorders>
              <w:top w:val="single" w:sz="4" w:space="0" w:color="D0CECE"/>
              <w:bottom w:val="single" w:sz="4" w:space="0" w:color="D0CECE"/>
            </w:tcBorders>
            <w:tcMar>
              <w:top w:w="-113" w:type="dxa"/>
              <w:left w:w="-113" w:type="dxa"/>
              <w:bottom w:w="-113" w:type="dxa"/>
              <w:right w:w="-113" w:type="dxa"/>
            </w:tcMar>
          </w:tcPr>
          <w:p w14:paraId="62C1FEB8"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4755B155" w14:textId="77777777" w:rsidR="00CB0062" w:rsidRDefault="00CB0062" w:rsidP="00223E56">
            <w:pPr>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3D80F79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35B889C8"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D51CD5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64073E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21AC30C7" w14:textId="77777777" w:rsidR="00CB0062" w:rsidRDefault="00CB0062" w:rsidP="00223E56">
            <w:pPr>
              <w:rPr>
                <w:color w:val="000000"/>
                <w:sz w:val="16"/>
                <w:szCs w:val="16"/>
              </w:rPr>
            </w:pPr>
            <w:r>
              <w:rPr>
                <w:color w:val="000000"/>
                <w:sz w:val="16"/>
                <w:szCs w:val="16"/>
              </w:rPr>
              <w:t>rs9607267</w:t>
            </w:r>
          </w:p>
        </w:tc>
        <w:tc>
          <w:tcPr>
            <w:tcW w:w="851" w:type="dxa"/>
            <w:tcBorders>
              <w:top w:val="single" w:sz="4" w:space="0" w:color="D0CECE"/>
              <w:bottom w:val="single" w:sz="4" w:space="0" w:color="D0CECE"/>
            </w:tcBorders>
            <w:tcMar>
              <w:top w:w="-113" w:type="dxa"/>
              <w:left w:w="-113" w:type="dxa"/>
              <w:bottom w:w="-113" w:type="dxa"/>
              <w:right w:w="-113" w:type="dxa"/>
            </w:tcMar>
          </w:tcPr>
          <w:p w14:paraId="65D80880" w14:textId="77777777" w:rsidR="00CB0062" w:rsidRDefault="00CB0062" w:rsidP="00223E56">
            <w:pPr>
              <w:rPr>
                <w:color w:val="000000"/>
                <w:sz w:val="16"/>
                <w:szCs w:val="16"/>
              </w:rPr>
            </w:pPr>
            <w:r>
              <w:rPr>
                <w:color w:val="000000"/>
                <w:sz w:val="16"/>
                <w:szCs w:val="16"/>
              </w:rPr>
              <w:t>T&gt;</w:t>
            </w:r>
            <w:proofErr w:type="gramStart"/>
            <w:r>
              <w:rPr>
                <w:color w:val="000000"/>
                <w:sz w:val="16"/>
                <w:szCs w:val="16"/>
              </w:rPr>
              <w:t>A,C</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2BCAF7E9"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24955E38" w14:textId="77777777" w:rsidR="00CB0062" w:rsidRDefault="00CB0062" w:rsidP="00223E56">
            <w:pPr>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114C432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1E88E9F9"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38A7EF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336BF1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164E0058" w14:textId="77777777" w:rsidR="00CB0062" w:rsidRDefault="00CB0062" w:rsidP="00223E56">
            <w:pPr>
              <w:rPr>
                <w:color w:val="000000"/>
                <w:sz w:val="16"/>
                <w:szCs w:val="16"/>
              </w:rPr>
            </w:pPr>
            <w:r>
              <w:rPr>
                <w:color w:val="000000"/>
                <w:sz w:val="16"/>
                <w:szCs w:val="16"/>
              </w:rPr>
              <w:t>rs9622194</w:t>
            </w:r>
          </w:p>
        </w:tc>
        <w:tc>
          <w:tcPr>
            <w:tcW w:w="851" w:type="dxa"/>
            <w:tcBorders>
              <w:top w:val="single" w:sz="4" w:space="0" w:color="D0CECE"/>
              <w:bottom w:val="single" w:sz="4" w:space="0" w:color="000000"/>
            </w:tcBorders>
            <w:tcMar>
              <w:top w:w="-113" w:type="dxa"/>
              <w:left w:w="-113" w:type="dxa"/>
              <w:bottom w:w="-113" w:type="dxa"/>
              <w:right w:w="-113" w:type="dxa"/>
            </w:tcMar>
          </w:tcPr>
          <w:p w14:paraId="496FF6C7" w14:textId="77777777" w:rsidR="00CB0062" w:rsidRDefault="00CB0062" w:rsidP="00223E56">
            <w:pPr>
              <w:rPr>
                <w:color w:val="000000"/>
                <w:sz w:val="16"/>
                <w:szCs w:val="16"/>
              </w:rPr>
            </w:pPr>
            <w:r>
              <w:rPr>
                <w:color w:val="000000"/>
                <w:sz w:val="16"/>
                <w:szCs w:val="16"/>
              </w:rPr>
              <w:t>G&gt;</w:t>
            </w:r>
            <w:proofErr w:type="gramStart"/>
            <w:r>
              <w:rPr>
                <w:color w:val="000000"/>
                <w:sz w:val="16"/>
                <w:szCs w:val="16"/>
              </w:rPr>
              <w:t>A,C</w:t>
            </w:r>
            <w:proofErr w:type="gramEnd"/>
          </w:p>
        </w:tc>
        <w:tc>
          <w:tcPr>
            <w:tcW w:w="1701" w:type="dxa"/>
            <w:tcBorders>
              <w:top w:val="single" w:sz="4" w:space="0" w:color="D0CECE"/>
              <w:bottom w:val="single" w:sz="4" w:space="0" w:color="000000"/>
            </w:tcBorders>
            <w:tcMar>
              <w:top w:w="-113" w:type="dxa"/>
              <w:left w:w="-113" w:type="dxa"/>
              <w:bottom w:w="-113" w:type="dxa"/>
              <w:right w:w="-113" w:type="dxa"/>
            </w:tcMar>
          </w:tcPr>
          <w:p w14:paraId="675AFCB8"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000000"/>
            </w:tcBorders>
            <w:tcMar>
              <w:top w:w="-113" w:type="dxa"/>
              <w:left w:w="-113" w:type="dxa"/>
              <w:bottom w:w="-113" w:type="dxa"/>
              <w:right w:w="-113" w:type="dxa"/>
            </w:tcMar>
          </w:tcPr>
          <w:p w14:paraId="289E032D" w14:textId="77777777" w:rsidR="00CB0062" w:rsidRDefault="00CB0062" w:rsidP="00223E56">
            <w:pPr>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50EC912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rsidRPr="0030321B" w14:paraId="40EDEB11"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584AB69" w14:textId="77777777" w:rsidR="00CB0062" w:rsidRDefault="00CB0062" w:rsidP="00223E56">
            <w:pPr>
              <w:rPr>
                <w:i/>
                <w:color w:val="000000"/>
                <w:sz w:val="16"/>
                <w:szCs w:val="16"/>
              </w:rPr>
            </w:pPr>
            <w:r>
              <w:rPr>
                <w:i/>
                <w:color w:val="000000"/>
                <w:sz w:val="16"/>
                <w:szCs w:val="16"/>
              </w:rPr>
              <w:t>ICAM1</w:t>
            </w:r>
          </w:p>
          <w:p w14:paraId="4DB0863A"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81A49EC" w14:textId="77777777" w:rsidR="00CB0062" w:rsidRDefault="00CB0062" w:rsidP="00223E56">
            <w:pPr>
              <w:rPr>
                <w:color w:val="000000"/>
                <w:sz w:val="16"/>
                <w:szCs w:val="16"/>
              </w:rPr>
            </w:pPr>
            <w:r>
              <w:rPr>
                <w:color w:val="000000"/>
                <w:sz w:val="16"/>
                <w:szCs w:val="16"/>
              </w:rPr>
              <w:t>Intercellular Adhesion Molecule 1</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739296F5" w14:textId="77777777" w:rsidR="00CB0062" w:rsidRDefault="00CB0062" w:rsidP="00223E56">
            <w:pPr>
              <w:rPr>
                <w:color w:val="000000"/>
                <w:sz w:val="16"/>
                <w:szCs w:val="16"/>
              </w:rPr>
            </w:pPr>
            <w:r>
              <w:rPr>
                <w:color w:val="000000"/>
                <w:sz w:val="16"/>
                <w:szCs w:val="16"/>
              </w:rPr>
              <w:t>rs281432</w:t>
            </w:r>
          </w:p>
        </w:tc>
        <w:tc>
          <w:tcPr>
            <w:tcW w:w="851" w:type="dxa"/>
            <w:tcBorders>
              <w:top w:val="single" w:sz="4" w:space="0" w:color="000000"/>
              <w:bottom w:val="single" w:sz="4" w:space="0" w:color="D0CECE"/>
            </w:tcBorders>
            <w:tcMar>
              <w:top w:w="-113" w:type="dxa"/>
              <w:left w:w="-113" w:type="dxa"/>
              <w:bottom w:w="-113" w:type="dxa"/>
              <w:right w:w="-113" w:type="dxa"/>
            </w:tcMar>
          </w:tcPr>
          <w:p w14:paraId="59B625FF" w14:textId="77777777" w:rsidR="00CB0062" w:rsidRDefault="00CB0062" w:rsidP="00223E56">
            <w:pPr>
              <w:rPr>
                <w:color w:val="000000"/>
                <w:sz w:val="16"/>
                <w:szCs w:val="16"/>
              </w:rPr>
            </w:pPr>
            <w:r>
              <w:rPr>
                <w:color w:val="000000"/>
                <w:sz w:val="16"/>
                <w:szCs w:val="16"/>
              </w:rPr>
              <w:t>C&gt;G</w:t>
            </w:r>
          </w:p>
        </w:tc>
        <w:tc>
          <w:tcPr>
            <w:tcW w:w="1701" w:type="dxa"/>
            <w:tcBorders>
              <w:top w:val="single" w:sz="4" w:space="0" w:color="000000"/>
              <w:bottom w:val="single" w:sz="4" w:space="0" w:color="D0CECE"/>
            </w:tcBorders>
            <w:tcMar>
              <w:top w:w="-113" w:type="dxa"/>
              <w:left w:w="-113" w:type="dxa"/>
              <w:bottom w:w="-113" w:type="dxa"/>
              <w:right w:w="-113" w:type="dxa"/>
            </w:tcMar>
          </w:tcPr>
          <w:p w14:paraId="3BDC7E2E" w14:textId="77777777" w:rsidR="00CB0062" w:rsidRDefault="00CB0062" w:rsidP="00223E56">
            <w:pPr>
              <w:rPr>
                <w:color w:val="000000"/>
                <w:sz w:val="16"/>
                <w:szCs w:val="16"/>
              </w:rPr>
            </w:pPr>
            <w:r>
              <w:rPr>
                <w:color w:val="000000"/>
                <w:sz w:val="16"/>
                <w:szCs w:val="16"/>
              </w:rPr>
              <w:t>Intron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14E17CAF" w14:textId="77777777" w:rsidR="00CB0062" w:rsidRDefault="00CB0062" w:rsidP="00223E56">
            <w:pPr>
              <w:rPr>
                <w:sz w:val="16"/>
                <w:szCs w:val="16"/>
              </w:rPr>
            </w:pPr>
            <w:r>
              <w:rPr>
                <w:sz w:val="16"/>
                <w:szCs w:val="16"/>
              </w:rPr>
              <w:t>CVD</w:t>
            </w:r>
          </w:p>
          <w:p w14:paraId="2979147A" w14:textId="77777777" w:rsidR="00CB0062" w:rsidRDefault="00CB0062" w:rsidP="00223E56">
            <w:pPr>
              <w:rPr>
                <w:sz w:val="16"/>
                <w:szCs w:val="16"/>
              </w:rPr>
            </w:pPr>
            <w:r>
              <w:rPr>
                <w:sz w:val="16"/>
                <w:szCs w:val="16"/>
              </w:rPr>
              <w:t>CIMT</w:t>
            </w: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25134A10" w14:textId="77777777" w:rsidR="00CB0062" w:rsidRPr="00641BD3" w:rsidRDefault="00CB0062" w:rsidP="00223E56">
            <w:pPr>
              <w:rPr>
                <w:sz w:val="16"/>
                <w:szCs w:val="16"/>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700D1510" w14:textId="77777777" w:rsidR="00CB0062" w:rsidRPr="00641BD3" w:rsidRDefault="00CB0062" w:rsidP="00223E56">
            <w:pPr>
              <w:rPr>
                <w:sz w:val="16"/>
                <w:szCs w:val="16"/>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tc>
      </w:tr>
      <w:tr w:rsidR="00CB0062" w14:paraId="7B4D3DC7"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25FC65E" w14:textId="77777777" w:rsidR="00CB0062" w:rsidRPr="00641BD3" w:rsidRDefault="00CB0062" w:rsidP="00223E56">
            <w:pPr>
              <w:widowControl w:val="0"/>
              <w:pBdr>
                <w:top w:val="nil"/>
                <w:left w:val="nil"/>
                <w:bottom w:val="nil"/>
                <w:right w:val="nil"/>
                <w:between w:val="nil"/>
              </w:pBdr>
              <w:spacing w:line="276" w:lineRule="auto"/>
              <w:rPr>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F49B9CC" w14:textId="77777777" w:rsidR="00CB0062" w:rsidRPr="00641BD3" w:rsidRDefault="00CB0062" w:rsidP="00223E56">
            <w:pPr>
              <w:widowControl w:val="0"/>
              <w:pBdr>
                <w:top w:val="nil"/>
                <w:left w:val="nil"/>
                <w:bottom w:val="nil"/>
                <w:right w:val="nil"/>
                <w:between w:val="nil"/>
              </w:pBdr>
              <w:spacing w:line="276" w:lineRule="auto"/>
              <w:rPr>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A69A30D" w14:textId="77777777" w:rsidR="00CB0062" w:rsidRDefault="00CB0062" w:rsidP="00223E56">
            <w:pPr>
              <w:rPr>
                <w:color w:val="000000"/>
                <w:sz w:val="16"/>
                <w:szCs w:val="16"/>
              </w:rPr>
            </w:pPr>
            <w:r>
              <w:rPr>
                <w:color w:val="000000"/>
                <w:sz w:val="16"/>
                <w:szCs w:val="16"/>
              </w:rPr>
              <w:t>rs281433</w:t>
            </w:r>
          </w:p>
        </w:tc>
        <w:tc>
          <w:tcPr>
            <w:tcW w:w="851" w:type="dxa"/>
            <w:tcBorders>
              <w:top w:val="single" w:sz="4" w:space="0" w:color="D0CECE"/>
              <w:bottom w:val="single" w:sz="4" w:space="0" w:color="D0CECE"/>
            </w:tcBorders>
            <w:tcMar>
              <w:top w:w="-113" w:type="dxa"/>
              <w:left w:w="-113" w:type="dxa"/>
              <w:bottom w:w="-113" w:type="dxa"/>
              <w:right w:w="-113" w:type="dxa"/>
            </w:tcMar>
          </w:tcPr>
          <w:p w14:paraId="01A0EF56" w14:textId="77777777" w:rsidR="00CB0062" w:rsidRDefault="00CB0062" w:rsidP="00223E56">
            <w:pPr>
              <w:rPr>
                <w:color w:val="000000"/>
                <w:sz w:val="16"/>
                <w:szCs w:val="16"/>
              </w:rPr>
            </w:pPr>
            <w:r>
              <w:rPr>
                <w:color w:val="000000"/>
                <w:sz w:val="16"/>
                <w:szCs w:val="16"/>
              </w:rPr>
              <w:t>A&gt;C</w:t>
            </w:r>
          </w:p>
        </w:tc>
        <w:tc>
          <w:tcPr>
            <w:tcW w:w="1701" w:type="dxa"/>
            <w:tcBorders>
              <w:top w:val="single" w:sz="4" w:space="0" w:color="D0CECE"/>
              <w:bottom w:val="single" w:sz="4" w:space="0" w:color="D0CECE"/>
            </w:tcBorders>
            <w:tcMar>
              <w:top w:w="-113" w:type="dxa"/>
              <w:left w:w="-113" w:type="dxa"/>
              <w:bottom w:w="-113" w:type="dxa"/>
              <w:right w:w="-113" w:type="dxa"/>
            </w:tcMar>
          </w:tcPr>
          <w:p w14:paraId="160A5FE8"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270DFA76" w14:textId="77777777" w:rsidR="00CB0062" w:rsidRDefault="00CB0062" w:rsidP="00223E56">
            <w:pPr>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E4E422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409DB7C4"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D47EED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BA23EA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A4ADF12" w14:textId="77777777" w:rsidR="00CB0062" w:rsidRDefault="00CB0062" w:rsidP="00223E56">
            <w:pPr>
              <w:rPr>
                <w:color w:val="000000"/>
                <w:sz w:val="16"/>
                <w:szCs w:val="16"/>
              </w:rPr>
            </w:pPr>
            <w:r>
              <w:rPr>
                <w:color w:val="000000"/>
                <w:sz w:val="16"/>
                <w:szCs w:val="16"/>
              </w:rPr>
              <w:t>rs3093032</w:t>
            </w:r>
          </w:p>
        </w:tc>
        <w:tc>
          <w:tcPr>
            <w:tcW w:w="851" w:type="dxa"/>
            <w:tcBorders>
              <w:top w:val="single" w:sz="4" w:space="0" w:color="D0CECE"/>
              <w:bottom w:val="single" w:sz="4" w:space="0" w:color="D0CECE"/>
            </w:tcBorders>
            <w:tcMar>
              <w:top w:w="-113" w:type="dxa"/>
              <w:left w:w="-113" w:type="dxa"/>
              <w:bottom w:w="-113" w:type="dxa"/>
              <w:right w:w="-113" w:type="dxa"/>
            </w:tcMar>
          </w:tcPr>
          <w:p w14:paraId="755C6ACF" w14:textId="77777777" w:rsidR="00CB0062" w:rsidRDefault="00CB0062" w:rsidP="00223E56">
            <w:pPr>
              <w:rPr>
                <w:color w:val="000000"/>
                <w:sz w:val="16"/>
                <w:szCs w:val="16"/>
              </w:rPr>
            </w:pPr>
            <w:r>
              <w:rPr>
                <w:color w:val="000000"/>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757A8D05" w14:textId="77777777" w:rsidR="00CB0062" w:rsidRDefault="00CB0062" w:rsidP="00223E56">
            <w:pPr>
              <w:rPr>
                <w:color w:val="000000"/>
                <w:sz w:val="16"/>
                <w:szCs w:val="16"/>
              </w:rPr>
            </w:pPr>
            <w:r>
              <w:rPr>
                <w:sz w:val="16"/>
                <w:szCs w:val="16"/>
              </w:rPr>
              <w:t>3 Prime UTR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7980E263" w14:textId="77777777" w:rsidR="00CB0062" w:rsidRDefault="00CB0062" w:rsidP="00223E56">
            <w:pPr>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6079ED9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598DF994"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D9FAD3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1C5476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8526489" w14:textId="77777777" w:rsidR="00CB0062" w:rsidRDefault="00CB0062" w:rsidP="00223E56">
            <w:pPr>
              <w:rPr>
                <w:color w:val="000000"/>
                <w:sz w:val="16"/>
                <w:szCs w:val="16"/>
              </w:rPr>
            </w:pPr>
            <w:r>
              <w:rPr>
                <w:color w:val="000000"/>
                <w:sz w:val="16"/>
                <w:szCs w:val="16"/>
              </w:rPr>
              <w:t>rs5030340</w:t>
            </w:r>
          </w:p>
        </w:tc>
        <w:tc>
          <w:tcPr>
            <w:tcW w:w="851" w:type="dxa"/>
            <w:tcBorders>
              <w:top w:val="single" w:sz="4" w:space="0" w:color="D0CECE"/>
              <w:bottom w:val="single" w:sz="4" w:space="0" w:color="D0CECE"/>
            </w:tcBorders>
            <w:tcMar>
              <w:top w:w="-113" w:type="dxa"/>
              <w:left w:w="-113" w:type="dxa"/>
              <w:bottom w:w="-113" w:type="dxa"/>
              <w:right w:w="-113" w:type="dxa"/>
            </w:tcMar>
          </w:tcPr>
          <w:p w14:paraId="4BE7B54F" w14:textId="77777777" w:rsidR="00CB0062" w:rsidRDefault="00CB0062" w:rsidP="00223E56">
            <w:pPr>
              <w:rPr>
                <w:color w:val="000000"/>
                <w:sz w:val="16"/>
                <w:szCs w:val="16"/>
              </w:rPr>
            </w:pPr>
            <w:r>
              <w:rPr>
                <w:color w:val="000000"/>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132373DD"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5220A8CB" w14:textId="77777777" w:rsidR="00CB0062" w:rsidRDefault="00CB0062" w:rsidP="00223E56">
            <w:pPr>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49F866D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5AB77EA2"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6AC9AC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6BB83D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2BE8383" w14:textId="77777777" w:rsidR="00CB0062" w:rsidRDefault="00CB0062" w:rsidP="00223E56">
            <w:pPr>
              <w:rPr>
                <w:color w:val="000000"/>
                <w:sz w:val="16"/>
                <w:szCs w:val="16"/>
              </w:rPr>
            </w:pPr>
            <w:r>
              <w:rPr>
                <w:color w:val="000000"/>
                <w:sz w:val="16"/>
                <w:szCs w:val="16"/>
              </w:rPr>
              <w:t>rs5030351</w:t>
            </w:r>
          </w:p>
        </w:tc>
        <w:tc>
          <w:tcPr>
            <w:tcW w:w="851" w:type="dxa"/>
            <w:tcBorders>
              <w:top w:val="single" w:sz="4" w:space="0" w:color="D0CECE"/>
              <w:bottom w:val="single" w:sz="4" w:space="0" w:color="D0CECE"/>
            </w:tcBorders>
            <w:tcMar>
              <w:top w:w="-113" w:type="dxa"/>
              <w:left w:w="-113" w:type="dxa"/>
              <w:bottom w:w="-113" w:type="dxa"/>
              <w:right w:w="-113" w:type="dxa"/>
            </w:tcMar>
          </w:tcPr>
          <w:p w14:paraId="51C80457" w14:textId="77777777" w:rsidR="00CB0062" w:rsidRDefault="00CB0062" w:rsidP="00223E56">
            <w:pPr>
              <w:rPr>
                <w:color w:val="000000"/>
                <w:sz w:val="16"/>
                <w:szCs w:val="16"/>
              </w:rPr>
            </w:pPr>
            <w:r>
              <w:rPr>
                <w:color w:val="000000"/>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015B6FF3"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2BE277CC" w14:textId="77777777" w:rsidR="00CB0062" w:rsidRDefault="00CB0062" w:rsidP="00223E56">
            <w:pPr>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2A1AA1A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753B959D"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C81E69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E77963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CCA2BF2" w14:textId="77777777" w:rsidR="00CB0062" w:rsidRDefault="00CB0062" w:rsidP="00223E56">
            <w:pPr>
              <w:rPr>
                <w:color w:val="000000"/>
                <w:sz w:val="16"/>
                <w:szCs w:val="16"/>
              </w:rPr>
            </w:pPr>
            <w:r>
              <w:rPr>
                <w:color w:val="000000"/>
                <w:sz w:val="16"/>
                <w:szCs w:val="16"/>
              </w:rPr>
              <w:t>rs5030354</w:t>
            </w:r>
          </w:p>
        </w:tc>
        <w:tc>
          <w:tcPr>
            <w:tcW w:w="851" w:type="dxa"/>
            <w:tcBorders>
              <w:top w:val="single" w:sz="4" w:space="0" w:color="D0CECE"/>
              <w:bottom w:val="single" w:sz="4" w:space="0" w:color="D0CECE"/>
            </w:tcBorders>
            <w:tcMar>
              <w:top w:w="-113" w:type="dxa"/>
              <w:left w:w="-113" w:type="dxa"/>
              <w:bottom w:w="-113" w:type="dxa"/>
              <w:right w:w="-113" w:type="dxa"/>
            </w:tcMar>
          </w:tcPr>
          <w:p w14:paraId="3304C1B3" w14:textId="77777777" w:rsidR="00CB0062" w:rsidRDefault="00CB0062" w:rsidP="00223E56">
            <w:pPr>
              <w:rPr>
                <w:color w:val="000000"/>
                <w:sz w:val="16"/>
                <w:szCs w:val="16"/>
              </w:rPr>
            </w:pPr>
            <w:r>
              <w:rPr>
                <w:color w:val="000000"/>
                <w:sz w:val="16"/>
                <w:szCs w:val="16"/>
              </w:rPr>
              <w:t>A&gt;C</w:t>
            </w:r>
          </w:p>
        </w:tc>
        <w:tc>
          <w:tcPr>
            <w:tcW w:w="1701" w:type="dxa"/>
            <w:tcBorders>
              <w:top w:val="single" w:sz="4" w:space="0" w:color="D0CECE"/>
              <w:bottom w:val="single" w:sz="4" w:space="0" w:color="D0CECE"/>
            </w:tcBorders>
            <w:tcMar>
              <w:top w:w="-113" w:type="dxa"/>
              <w:left w:w="-113" w:type="dxa"/>
              <w:bottom w:w="-113" w:type="dxa"/>
              <w:right w:w="-113" w:type="dxa"/>
            </w:tcMar>
          </w:tcPr>
          <w:p w14:paraId="5887C140"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6B0D8A31" w14:textId="77777777" w:rsidR="00CB0062" w:rsidRDefault="00CB0062" w:rsidP="00223E56">
            <w:pPr>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017B60C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05C7EABE"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9E7AF8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844DCD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24D87940" w14:textId="77777777" w:rsidR="00CB0062" w:rsidRDefault="00CB0062" w:rsidP="00223E56">
            <w:pPr>
              <w:rPr>
                <w:color w:val="000000"/>
                <w:sz w:val="16"/>
                <w:szCs w:val="16"/>
              </w:rPr>
            </w:pPr>
            <w:r>
              <w:rPr>
                <w:color w:val="000000"/>
                <w:sz w:val="16"/>
                <w:szCs w:val="16"/>
              </w:rPr>
              <w:t>rs5030362</w:t>
            </w:r>
          </w:p>
        </w:tc>
        <w:tc>
          <w:tcPr>
            <w:tcW w:w="851" w:type="dxa"/>
            <w:tcBorders>
              <w:top w:val="single" w:sz="4" w:space="0" w:color="D0CECE"/>
              <w:bottom w:val="single" w:sz="4" w:space="0" w:color="D0CECE"/>
            </w:tcBorders>
            <w:tcMar>
              <w:top w:w="-113" w:type="dxa"/>
              <w:left w:w="-113" w:type="dxa"/>
              <w:bottom w:w="-113" w:type="dxa"/>
              <w:right w:w="-113" w:type="dxa"/>
            </w:tcMar>
          </w:tcPr>
          <w:p w14:paraId="1FB043A0" w14:textId="77777777" w:rsidR="00CB0062" w:rsidRDefault="00CB0062" w:rsidP="00223E56">
            <w:pPr>
              <w:rPr>
                <w:color w:val="000000"/>
                <w:sz w:val="16"/>
                <w:szCs w:val="16"/>
              </w:rPr>
            </w:pPr>
            <w:r>
              <w:rPr>
                <w:color w:val="000000"/>
                <w:sz w:val="16"/>
                <w:szCs w:val="16"/>
              </w:rPr>
              <w:t>C&gt;A</w:t>
            </w:r>
          </w:p>
        </w:tc>
        <w:tc>
          <w:tcPr>
            <w:tcW w:w="1701" w:type="dxa"/>
            <w:tcBorders>
              <w:top w:val="single" w:sz="4" w:space="0" w:color="D0CECE"/>
              <w:bottom w:val="single" w:sz="4" w:space="0" w:color="D0CECE"/>
            </w:tcBorders>
            <w:tcMar>
              <w:top w:w="-113" w:type="dxa"/>
              <w:left w:w="-113" w:type="dxa"/>
              <w:bottom w:w="-113" w:type="dxa"/>
              <w:right w:w="-113" w:type="dxa"/>
            </w:tcMar>
          </w:tcPr>
          <w:p w14:paraId="481F0D84"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6A566A3A" w14:textId="77777777" w:rsidR="00CB0062" w:rsidRDefault="00CB0062" w:rsidP="00223E56">
            <w:pPr>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103614C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0316D85E"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185235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BA9697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D3EEDAA" w14:textId="77777777" w:rsidR="00CB0062" w:rsidRDefault="00CB0062" w:rsidP="00223E56">
            <w:pPr>
              <w:rPr>
                <w:color w:val="000000"/>
                <w:sz w:val="16"/>
                <w:szCs w:val="16"/>
              </w:rPr>
            </w:pPr>
            <w:r>
              <w:rPr>
                <w:color w:val="000000"/>
                <w:sz w:val="16"/>
                <w:szCs w:val="16"/>
              </w:rPr>
              <w:t>rs5490</w:t>
            </w:r>
          </w:p>
        </w:tc>
        <w:tc>
          <w:tcPr>
            <w:tcW w:w="851" w:type="dxa"/>
            <w:tcBorders>
              <w:top w:val="single" w:sz="4" w:space="0" w:color="D0CECE"/>
              <w:bottom w:val="single" w:sz="4" w:space="0" w:color="D0CECE"/>
            </w:tcBorders>
            <w:tcMar>
              <w:top w:w="-113" w:type="dxa"/>
              <w:left w:w="-113" w:type="dxa"/>
              <w:bottom w:w="-113" w:type="dxa"/>
              <w:right w:w="-113" w:type="dxa"/>
            </w:tcMar>
          </w:tcPr>
          <w:p w14:paraId="323075E4" w14:textId="77777777" w:rsidR="00CB0062" w:rsidRDefault="00CB0062" w:rsidP="00223E56">
            <w:pPr>
              <w:rPr>
                <w:color w:val="000000"/>
                <w:sz w:val="16"/>
                <w:szCs w:val="16"/>
              </w:rPr>
            </w:pPr>
            <w:r>
              <w:rPr>
                <w:color w:val="000000"/>
                <w:sz w:val="16"/>
                <w:szCs w:val="16"/>
              </w:rPr>
              <w:t>A&gt;C</w:t>
            </w:r>
          </w:p>
        </w:tc>
        <w:tc>
          <w:tcPr>
            <w:tcW w:w="1701" w:type="dxa"/>
            <w:tcBorders>
              <w:top w:val="single" w:sz="4" w:space="0" w:color="D0CECE"/>
              <w:bottom w:val="single" w:sz="4" w:space="0" w:color="D0CECE"/>
            </w:tcBorders>
            <w:tcMar>
              <w:top w:w="-113" w:type="dxa"/>
              <w:left w:w="-113" w:type="dxa"/>
              <w:bottom w:w="-113" w:type="dxa"/>
              <w:right w:w="-113" w:type="dxa"/>
            </w:tcMar>
          </w:tcPr>
          <w:p w14:paraId="08276B39" w14:textId="77777777" w:rsidR="00CB0062" w:rsidRDefault="00CB0062" w:rsidP="00223E56">
            <w:pPr>
              <w:rPr>
                <w:color w:val="000000"/>
                <w:sz w:val="16"/>
                <w:szCs w:val="16"/>
              </w:rPr>
            </w:pPr>
            <w:r>
              <w:rPr>
                <w:sz w:val="16"/>
                <w:szCs w:val="16"/>
              </w:rPr>
              <w:t>5 Prime UTR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6B491071" w14:textId="77777777" w:rsidR="00CB0062" w:rsidRDefault="00CB0062" w:rsidP="00223E56">
            <w:pPr>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6D08BBB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1D30616F"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E77432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056E63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0CA9052" w14:textId="77777777" w:rsidR="00CB0062" w:rsidRDefault="00CB0062" w:rsidP="00223E56">
            <w:pPr>
              <w:rPr>
                <w:color w:val="000000"/>
                <w:sz w:val="16"/>
                <w:szCs w:val="16"/>
              </w:rPr>
            </w:pPr>
            <w:r>
              <w:rPr>
                <w:color w:val="000000"/>
                <w:sz w:val="16"/>
                <w:szCs w:val="16"/>
              </w:rPr>
              <w:t>rs5493</w:t>
            </w:r>
          </w:p>
        </w:tc>
        <w:tc>
          <w:tcPr>
            <w:tcW w:w="851" w:type="dxa"/>
            <w:tcBorders>
              <w:top w:val="single" w:sz="4" w:space="0" w:color="D0CECE"/>
              <w:bottom w:val="single" w:sz="4" w:space="0" w:color="D0CECE"/>
            </w:tcBorders>
            <w:tcMar>
              <w:top w:w="-113" w:type="dxa"/>
              <w:left w:w="-113" w:type="dxa"/>
              <w:bottom w:w="-113" w:type="dxa"/>
              <w:right w:w="-113" w:type="dxa"/>
            </w:tcMar>
          </w:tcPr>
          <w:p w14:paraId="760F4013" w14:textId="77777777" w:rsidR="00CB0062" w:rsidRDefault="00CB0062" w:rsidP="00223E56">
            <w:pPr>
              <w:rPr>
                <w:color w:val="000000"/>
                <w:sz w:val="16"/>
                <w:szCs w:val="16"/>
              </w:rPr>
            </w:pPr>
            <w:r>
              <w:rPr>
                <w:color w:val="000000"/>
                <w:sz w:val="16"/>
                <w:szCs w:val="16"/>
              </w:rPr>
              <w:t>G&gt;T</w:t>
            </w:r>
          </w:p>
        </w:tc>
        <w:tc>
          <w:tcPr>
            <w:tcW w:w="1701" w:type="dxa"/>
            <w:tcBorders>
              <w:top w:val="single" w:sz="4" w:space="0" w:color="D0CECE"/>
              <w:bottom w:val="single" w:sz="4" w:space="0" w:color="D0CECE"/>
            </w:tcBorders>
            <w:tcMar>
              <w:top w:w="-113" w:type="dxa"/>
              <w:left w:w="-113" w:type="dxa"/>
              <w:bottom w:w="-113" w:type="dxa"/>
              <w:right w:w="-113" w:type="dxa"/>
            </w:tcMar>
          </w:tcPr>
          <w:p w14:paraId="421A1223" w14:textId="77777777" w:rsidR="00CB0062" w:rsidRDefault="00CB0062" w:rsidP="00223E56">
            <w:pPr>
              <w:rPr>
                <w:color w:val="000000"/>
                <w:sz w:val="16"/>
                <w:szCs w:val="16"/>
              </w:rPr>
            </w:pPr>
            <w:r>
              <w:rPr>
                <w:color w:val="000000"/>
                <w:sz w:val="16"/>
                <w:szCs w:val="16"/>
              </w:rPr>
              <w:t>Synonymous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7D36AA0B" w14:textId="77777777" w:rsidR="00CB0062" w:rsidRDefault="00CB0062" w:rsidP="00223E56">
            <w:pPr>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3526665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6AB785B1"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416ACA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4EA478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AC6DD1C" w14:textId="77777777" w:rsidR="00CB0062" w:rsidRDefault="00CB0062" w:rsidP="00223E56">
            <w:pPr>
              <w:rPr>
                <w:color w:val="000000"/>
                <w:sz w:val="16"/>
                <w:szCs w:val="16"/>
              </w:rPr>
            </w:pPr>
            <w:r>
              <w:rPr>
                <w:color w:val="000000"/>
                <w:sz w:val="16"/>
                <w:szCs w:val="16"/>
              </w:rPr>
              <w:t>rs5495</w:t>
            </w:r>
          </w:p>
        </w:tc>
        <w:tc>
          <w:tcPr>
            <w:tcW w:w="851" w:type="dxa"/>
            <w:tcBorders>
              <w:top w:val="single" w:sz="4" w:space="0" w:color="D0CECE"/>
              <w:bottom w:val="single" w:sz="4" w:space="0" w:color="D0CECE"/>
            </w:tcBorders>
            <w:tcMar>
              <w:top w:w="-113" w:type="dxa"/>
              <w:left w:w="-113" w:type="dxa"/>
              <w:bottom w:w="-113" w:type="dxa"/>
              <w:right w:w="-113" w:type="dxa"/>
            </w:tcMar>
          </w:tcPr>
          <w:p w14:paraId="7A1D578E" w14:textId="77777777" w:rsidR="00CB0062" w:rsidRDefault="00CB0062" w:rsidP="00223E56">
            <w:pPr>
              <w:rPr>
                <w:color w:val="000000"/>
                <w:sz w:val="16"/>
                <w:szCs w:val="16"/>
              </w:rPr>
            </w:pPr>
            <w:r>
              <w:rPr>
                <w:color w:val="000000"/>
                <w:sz w:val="16"/>
                <w:szCs w:val="16"/>
              </w:rPr>
              <w:t>G&gt;A</w:t>
            </w:r>
          </w:p>
        </w:tc>
        <w:tc>
          <w:tcPr>
            <w:tcW w:w="1701" w:type="dxa"/>
            <w:tcBorders>
              <w:top w:val="single" w:sz="4" w:space="0" w:color="D0CECE"/>
              <w:bottom w:val="single" w:sz="4" w:space="0" w:color="D0CECE"/>
            </w:tcBorders>
            <w:tcMar>
              <w:top w:w="-113" w:type="dxa"/>
              <w:left w:w="-113" w:type="dxa"/>
              <w:bottom w:w="-113" w:type="dxa"/>
              <w:right w:w="-113" w:type="dxa"/>
            </w:tcMar>
          </w:tcPr>
          <w:p w14:paraId="52B4E15D" w14:textId="77777777" w:rsidR="00CB0062" w:rsidRDefault="00CB0062" w:rsidP="00223E56">
            <w:pPr>
              <w:rPr>
                <w:color w:val="000000"/>
                <w:sz w:val="16"/>
                <w:szCs w:val="16"/>
              </w:rPr>
            </w:pPr>
            <w:r>
              <w:rPr>
                <w:color w:val="000000"/>
                <w:sz w:val="16"/>
                <w:szCs w:val="16"/>
              </w:rPr>
              <w:t>Missense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00369384" w14:textId="77777777" w:rsidR="00CB0062" w:rsidRDefault="00CB0062" w:rsidP="00223E56">
            <w:pPr>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48C5E38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260BE0C1"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D90CDF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73B31F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14F8760C" w14:textId="77777777" w:rsidR="00CB0062" w:rsidRDefault="00CB0062" w:rsidP="00223E56">
            <w:pPr>
              <w:rPr>
                <w:color w:val="000000"/>
                <w:sz w:val="16"/>
                <w:szCs w:val="16"/>
              </w:rPr>
            </w:pPr>
            <w:r>
              <w:rPr>
                <w:color w:val="000000"/>
                <w:sz w:val="16"/>
                <w:szCs w:val="16"/>
              </w:rPr>
              <w:t>rs5496</w:t>
            </w:r>
          </w:p>
        </w:tc>
        <w:tc>
          <w:tcPr>
            <w:tcW w:w="851" w:type="dxa"/>
            <w:tcBorders>
              <w:top w:val="single" w:sz="4" w:space="0" w:color="D0CECE"/>
              <w:bottom w:val="single" w:sz="4" w:space="0" w:color="D0CECE"/>
            </w:tcBorders>
            <w:tcMar>
              <w:top w:w="-113" w:type="dxa"/>
              <w:left w:w="-113" w:type="dxa"/>
              <w:bottom w:w="-113" w:type="dxa"/>
              <w:right w:w="-113" w:type="dxa"/>
            </w:tcMar>
          </w:tcPr>
          <w:p w14:paraId="1AD56F5F" w14:textId="77777777" w:rsidR="00CB0062" w:rsidRDefault="00CB0062" w:rsidP="00223E56">
            <w:pPr>
              <w:rPr>
                <w:color w:val="000000"/>
                <w:sz w:val="16"/>
                <w:szCs w:val="16"/>
              </w:rPr>
            </w:pPr>
            <w:r>
              <w:rPr>
                <w:color w:val="000000"/>
                <w:sz w:val="16"/>
                <w:szCs w:val="16"/>
              </w:rPr>
              <w:t>G&gt;A</w:t>
            </w:r>
          </w:p>
        </w:tc>
        <w:tc>
          <w:tcPr>
            <w:tcW w:w="1701" w:type="dxa"/>
            <w:tcBorders>
              <w:top w:val="single" w:sz="4" w:space="0" w:color="D0CECE"/>
              <w:bottom w:val="single" w:sz="4" w:space="0" w:color="D0CECE"/>
            </w:tcBorders>
            <w:tcMar>
              <w:top w:w="-113" w:type="dxa"/>
              <w:left w:w="-113" w:type="dxa"/>
              <w:bottom w:w="-113" w:type="dxa"/>
              <w:right w:w="-113" w:type="dxa"/>
            </w:tcMar>
          </w:tcPr>
          <w:p w14:paraId="091E4E28"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6AA9024F" w14:textId="77777777" w:rsidR="00CB0062" w:rsidRDefault="00CB0062" w:rsidP="00223E56">
            <w:pPr>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70CA903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6C33917B"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0BA244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00F962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210063DC" w14:textId="77777777" w:rsidR="00CB0062" w:rsidRDefault="00CB0062" w:rsidP="00223E56">
            <w:pPr>
              <w:rPr>
                <w:color w:val="000000"/>
                <w:sz w:val="16"/>
                <w:szCs w:val="16"/>
              </w:rPr>
            </w:pPr>
            <w:r>
              <w:rPr>
                <w:color w:val="000000"/>
                <w:sz w:val="16"/>
                <w:szCs w:val="16"/>
              </w:rPr>
              <w:t>rs5498</w:t>
            </w:r>
          </w:p>
        </w:tc>
        <w:tc>
          <w:tcPr>
            <w:tcW w:w="851" w:type="dxa"/>
            <w:tcBorders>
              <w:top w:val="single" w:sz="4" w:space="0" w:color="D0CECE"/>
              <w:bottom w:val="single" w:sz="4" w:space="0" w:color="000000"/>
            </w:tcBorders>
            <w:tcMar>
              <w:top w:w="-113" w:type="dxa"/>
              <w:left w:w="-113" w:type="dxa"/>
              <w:bottom w:w="-113" w:type="dxa"/>
              <w:right w:w="-113" w:type="dxa"/>
            </w:tcMar>
          </w:tcPr>
          <w:p w14:paraId="2703B4FB" w14:textId="77777777" w:rsidR="00CB0062" w:rsidRDefault="00CB0062" w:rsidP="00223E56">
            <w:pPr>
              <w:rPr>
                <w:color w:val="000000"/>
                <w:sz w:val="16"/>
                <w:szCs w:val="16"/>
              </w:rPr>
            </w:pPr>
            <w:r>
              <w:rPr>
                <w:color w:val="000000"/>
                <w:sz w:val="16"/>
                <w:szCs w:val="16"/>
              </w:rPr>
              <w:t>A&gt;G</w:t>
            </w:r>
          </w:p>
        </w:tc>
        <w:tc>
          <w:tcPr>
            <w:tcW w:w="1701" w:type="dxa"/>
            <w:tcBorders>
              <w:top w:val="single" w:sz="4" w:space="0" w:color="D0CECE"/>
              <w:bottom w:val="single" w:sz="4" w:space="0" w:color="000000"/>
            </w:tcBorders>
            <w:tcMar>
              <w:top w:w="-113" w:type="dxa"/>
              <w:left w:w="-113" w:type="dxa"/>
              <w:bottom w:w="-113" w:type="dxa"/>
              <w:right w:w="-113" w:type="dxa"/>
            </w:tcMar>
          </w:tcPr>
          <w:p w14:paraId="5442D4A7" w14:textId="77777777" w:rsidR="00CB0062" w:rsidRDefault="00CB0062" w:rsidP="00223E56">
            <w:pPr>
              <w:rPr>
                <w:color w:val="000000"/>
                <w:sz w:val="16"/>
                <w:szCs w:val="16"/>
              </w:rPr>
            </w:pPr>
            <w:r>
              <w:rPr>
                <w:color w:val="000000"/>
                <w:sz w:val="16"/>
                <w:szCs w:val="16"/>
              </w:rPr>
              <w:t>Missense variant</w:t>
            </w:r>
          </w:p>
        </w:tc>
        <w:tc>
          <w:tcPr>
            <w:tcW w:w="708" w:type="dxa"/>
            <w:vMerge/>
            <w:tcBorders>
              <w:top w:val="single" w:sz="4" w:space="0" w:color="D0CECE"/>
              <w:bottom w:val="single" w:sz="4" w:space="0" w:color="000000"/>
            </w:tcBorders>
            <w:tcMar>
              <w:top w:w="-113" w:type="dxa"/>
              <w:left w:w="-113" w:type="dxa"/>
              <w:bottom w:w="-113" w:type="dxa"/>
              <w:right w:w="-113" w:type="dxa"/>
            </w:tcMar>
          </w:tcPr>
          <w:p w14:paraId="22E4F1D9" w14:textId="77777777" w:rsidR="00CB0062" w:rsidRDefault="00CB0062" w:rsidP="00223E56">
            <w:pPr>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441EC9E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3FE30758"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1161063C" w14:textId="77777777" w:rsidR="00CB0062" w:rsidRDefault="00CB0062" w:rsidP="00223E56">
            <w:pPr>
              <w:rPr>
                <w:i/>
                <w:color w:val="000000"/>
                <w:sz w:val="16"/>
                <w:szCs w:val="16"/>
              </w:rPr>
            </w:pPr>
            <w:r>
              <w:rPr>
                <w:i/>
                <w:color w:val="000000"/>
                <w:sz w:val="16"/>
                <w:szCs w:val="16"/>
              </w:rPr>
              <w:t>IDE</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5238EA83" w14:textId="77777777" w:rsidR="00CB0062" w:rsidRDefault="00CB0062" w:rsidP="00223E56">
            <w:pPr>
              <w:rPr>
                <w:color w:val="000000"/>
                <w:sz w:val="16"/>
                <w:szCs w:val="16"/>
              </w:rPr>
            </w:pPr>
            <w:r>
              <w:rPr>
                <w:color w:val="000000"/>
                <w:sz w:val="16"/>
                <w:szCs w:val="16"/>
              </w:rPr>
              <w:t>Insulin Degrading Enzyme</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6C897EB3" w14:textId="77777777" w:rsidR="00CB0062" w:rsidRDefault="00CB0062" w:rsidP="00223E56">
            <w:pPr>
              <w:rPr>
                <w:color w:val="000000"/>
                <w:sz w:val="16"/>
                <w:szCs w:val="16"/>
              </w:rPr>
            </w:pPr>
            <w:r>
              <w:rPr>
                <w:color w:val="000000"/>
                <w:sz w:val="16"/>
                <w:szCs w:val="16"/>
              </w:rPr>
              <w:t>rs4646954</w:t>
            </w:r>
          </w:p>
        </w:tc>
        <w:tc>
          <w:tcPr>
            <w:tcW w:w="851" w:type="dxa"/>
            <w:tcBorders>
              <w:top w:val="single" w:sz="4" w:space="0" w:color="000000"/>
              <w:bottom w:val="single" w:sz="4" w:space="0" w:color="000000"/>
            </w:tcBorders>
            <w:tcMar>
              <w:top w:w="-113" w:type="dxa"/>
              <w:left w:w="-113" w:type="dxa"/>
              <w:bottom w:w="-113" w:type="dxa"/>
              <w:right w:w="-113" w:type="dxa"/>
            </w:tcMar>
          </w:tcPr>
          <w:p w14:paraId="71CE946E" w14:textId="77777777" w:rsidR="00CB0062" w:rsidRDefault="00CB0062" w:rsidP="00223E56">
            <w:pPr>
              <w:rPr>
                <w:color w:val="000000"/>
                <w:sz w:val="16"/>
                <w:szCs w:val="16"/>
              </w:rPr>
            </w:pPr>
            <w:r>
              <w:rPr>
                <w:color w:val="000000"/>
                <w:sz w:val="16"/>
                <w:szCs w:val="16"/>
              </w:rPr>
              <w:t>G&gt;</w:t>
            </w:r>
            <w:proofErr w:type="gramStart"/>
            <w:r>
              <w:rPr>
                <w:color w:val="000000"/>
                <w:sz w:val="16"/>
                <w:szCs w:val="16"/>
              </w:rPr>
              <w:t>A,C</w:t>
            </w:r>
            <w:proofErr w:type="gramEnd"/>
          </w:p>
        </w:tc>
        <w:tc>
          <w:tcPr>
            <w:tcW w:w="1701" w:type="dxa"/>
            <w:tcBorders>
              <w:top w:val="single" w:sz="4" w:space="0" w:color="000000"/>
              <w:bottom w:val="single" w:sz="4" w:space="0" w:color="000000"/>
            </w:tcBorders>
            <w:tcMar>
              <w:top w:w="-113" w:type="dxa"/>
              <w:left w:w="-113" w:type="dxa"/>
              <w:bottom w:w="-113" w:type="dxa"/>
              <w:right w:w="-113" w:type="dxa"/>
            </w:tcMar>
          </w:tcPr>
          <w:p w14:paraId="1D214676" w14:textId="77777777" w:rsidR="00CB0062" w:rsidRDefault="00CB0062" w:rsidP="00223E56">
            <w:pPr>
              <w:rPr>
                <w:color w:val="000000"/>
                <w:sz w:val="16"/>
                <w:szCs w:val="16"/>
              </w:rPr>
            </w:pPr>
            <w:r>
              <w:rPr>
                <w:color w:val="000000"/>
                <w:sz w:val="16"/>
                <w:szCs w:val="16"/>
              </w:rPr>
              <w:t>Noncoding transcript variant</w:t>
            </w:r>
          </w:p>
        </w:tc>
        <w:tc>
          <w:tcPr>
            <w:tcW w:w="708" w:type="dxa"/>
            <w:tcBorders>
              <w:top w:val="single" w:sz="4" w:space="0" w:color="000000"/>
              <w:bottom w:val="single" w:sz="4" w:space="0" w:color="000000"/>
            </w:tcBorders>
            <w:tcMar>
              <w:top w:w="-113" w:type="dxa"/>
              <w:left w:w="-113" w:type="dxa"/>
              <w:bottom w:w="-113" w:type="dxa"/>
              <w:right w:w="-113" w:type="dxa"/>
            </w:tcMar>
          </w:tcPr>
          <w:p w14:paraId="2098D225" w14:textId="77777777" w:rsidR="00CB0062" w:rsidRDefault="00CB0062" w:rsidP="00223E56">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21C28E8A" w14:textId="77777777" w:rsidR="00CB0062" w:rsidRDefault="00CB0062" w:rsidP="00223E56">
            <w:pPr>
              <w:rPr>
                <w:color w:val="000000"/>
                <w:sz w:val="16"/>
                <w:szCs w:val="16"/>
              </w:rPr>
            </w:pPr>
            <w:r>
              <w:rPr>
                <w:sz w:val="16"/>
                <w:szCs w:val="16"/>
              </w:rPr>
              <w:t xml:space="preserve">Pan </w:t>
            </w:r>
            <w:r>
              <w:rPr>
                <w:i/>
                <w:sz w:val="16"/>
                <w:szCs w:val="16"/>
              </w:rPr>
              <w:t>et al.</w:t>
            </w:r>
            <w:r>
              <w:rPr>
                <w:sz w:val="16"/>
                <w:szCs w:val="16"/>
              </w:rPr>
              <w:t xml:space="preserve"> 2013</w:t>
            </w:r>
          </w:p>
        </w:tc>
      </w:tr>
      <w:tr w:rsidR="00CB0062" w14:paraId="6883321C"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039D9230" w14:textId="77777777" w:rsidR="00CB0062" w:rsidRDefault="00CB0062" w:rsidP="00223E56">
            <w:pPr>
              <w:rPr>
                <w:i/>
                <w:color w:val="000000"/>
                <w:sz w:val="16"/>
                <w:szCs w:val="16"/>
              </w:rPr>
            </w:pPr>
            <w:r>
              <w:rPr>
                <w:i/>
                <w:color w:val="000000"/>
                <w:sz w:val="16"/>
                <w:szCs w:val="16"/>
              </w:rPr>
              <w:t>IGF2BP2</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4EFDFF66" w14:textId="77777777" w:rsidR="00CB0062" w:rsidRDefault="00CB0062" w:rsidP="00223E56">
            <w:pPr>
              <w:rPr>
                <w:color w:val="000000"/>
                <w:sz w:val="16"/>
                <w:szCs w:val="16"/>
              </w:rPr>
            </w:pPr>
            <w:r>
              <w:rPr>
                <w:color w:val="000000"/>
                <w:sz w:val="16"/>
                <w:szCs w:val="16"/>
              </w:rPr>
              <w:t>Insulin Like Growth Factor 2 MRNA Binding Protein 2</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013BBC3B" w14:textId="77777777" w:rsidR="00CB0062" w:rsidRDefault="00CB0062" w:rsidP="00223E56">
            <w:pPr>
              <w:rPr>
                <w:color w:val="000000"/>
                <w:sz w:val="16"/>
                <w:szCs w:val="16"/>
              </w:rPr>
            </w:pPr>
            <w:r>
              <w:rPr>
                <w:color w:val="000000"/>
                <w:sz w:val="16"/>
                <w:szCs w:val="16"/>
              </w:rPr>
              <w:t>rs4402960</w:t>
            </w:r>
          </w:p>
        </w:tc>
        <w:tc>
          <w:tcPr>
            <w:tcW w:w="851" w:type="dxa"/>
            <w:tcBorders>
              <w:top w:val="single" w:sz="4" w:space="0" w:color="000000"/>
              <w:bottom w:val="single" w:sz="4" w:space="0" w:color="000000"/>
            </w:tcBorders>
            <w:tcMar>
              <w:top w:w="-113" w:type="dxa"/>
              <w:left w:w="-113" w:type="dxa"/>
              <w:bottom w:w="-113" w:type="dxa"/>
              <w:right w:w="-113" w:type="dxa"/>
            </w:tcMar>
          </w:tcPr>
          <w:p w14:paraId="6BB0E48B" w14:textId="77777777" w:rsidR="00CB0062" w:rsidRDefault="00CB0062" w:rsidP="00223E56">
            <w:pPr>
              <w:rPr>
                <w:color w:val="000000"/>
                <w:sz w:val="16"/>
                <w:szCs w:val="16"/>
              </w:rPr>
            </w:pPr>
            <w:r>
              <w:rPr>
                <w:color w:val="000000"/>
                <w:sz w:val="16"/>
                <w:szCs w:val="16"/>
              </w:rPr>
              <w:t>G&gt;</w:t>
            </w:r>
            <w:proofErr w:type="gramStart"/>
            <w:r>
              <w:rPr>
                <w:color w:val="000000"/>
                <w:sz w:val="16"/>
                <w:szCs w:val="16"/>
              </w:rPr>
              <w:t>C,T</w:t>
            </w:r>
            <w:proofErr w:type="gramEnd"/>
          </w:p>
        </w:tc>
        <w:tc>
          <w:tcPr>
            <w:tcW w:w="1701" w:type="dxa"/>
            <w:tcBorders>
              <w:top w:val="single" w:sz="4" w:space="0" w:color="000000"/>
              <w:bottom w:val="single" w:sz="4" w:space="0" w:color="000000"/>
            </w:tcBorders>
            <w:tcMar>
              <w:top w:w="-113" w:type="dxa"/>
              <w:left w:w="-113" w:type="dxa"/>
              <w:bottom w:w="-113" w:type="dxa"/>
              <w:right w:w="-113" w:type="dxa"/>
            </w:tcMar>
          </w:tcPr>
          <w:p w14:paraId="7C3CA2C7" w14:textId="77777777" w:rsidR="00CB0062" w:rsidRDefault="00CB0062" w:rsidP="00223E56">
            <w:pPr>
              <w:rPr>
                <w:color w:val="000000"/>
                <w:sz w:val="16"/>
                <w:szCs w:val="16"/>
              </w:rPr>
            </w:pPr>
            <w:r>
              <w:rPr>
                <w:color w:val="000000"/>
                <w:sz w:val="16"/>
                <w:szCs w:val="16"/>
              </w:rPr>
              <w:t>Intron variant</w:t>
            </w:r>
          </w:p>
        </w:tc>
        <w:tc>
          <w:tcPr>
            <w:tcW w:w="708" w:type="dxa"/>
            <w:tcBorders>
              <w:top w:val="single" w:sz="4" w:space="0" w:color="000000"/>
              <w:bottom w:val="single" w:sz="4" w:space="0" w:color="000000"/>
            </w:tcBorders>
            <w:tcMar>
              <w:top w:w="-113" w:type="dxa"/>
              <w:left w:w="-113" w:type="dxa"/>
              <w:bottom w:w="-113" w:type="dxa"/>
              <w:right w:w="-113" w:type="dxa"/>
            </w:tcMar>
          </w:tcPr>
          <w:p w14:paraId="3D3DA275" w14:textId="77777777" w:rsidR="00CB0062" w:rsidRDefault="00CB0062" w:rsidP="00223E56">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008E2738" w14:textId="77777777" w:rsidR="00CB0062" w:rsidRDefault="00CB0062" w:rsidP="00223E56">
            <w:pPr>
              <w:rPr>
                <w:color w:val="000000"/>
                <w:sz w:val="16"/>
                <w:szCs w:val="16"/>
              </w:rPr>
            </w:pPr>
            <w:r>
              <w:rPr>
                <w:sz w:val="16"/>
                <w:szCs w:val="16"/>
              </w:rPr>
              <w:t>Grau-Perez et al. 2018</w:t>
            </w:r>
          </w:p>
        </w:tc>
      </w:tr>
      <w:tr w:rsidR="00CB0062" w14:paraId="4FC81AA6"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C2640CE" w14:textId="77777777" w:rsidR="00CB0062" w:rsidRDefault="00CB0062" w:rsidP="00223E56">
            <w:pPr>
              <w:rPr>
                <w:i/>
                <w:color w:val="000000"/>
                <w:sz w:val="16"/>
                <w:szCs w:val="16"/>
              </w:rPr>
            </w:pPr>
            <w:r>
              <w:rPr>
                <w:i/>
                <w:color w:val="000000"/>
                <w:sz w:val="16"/>
                <w:szCs w:val="16"/>
              </w:rPr>
              <w:t>IL10</w:t>
            </w:r>
          </w:p>
          <w:p w14:paraId="3290DB9B"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A4588B2" w14:textId="77777777" w:rsidR="00CB0062" w:rsidRDefault="00CB0062" w:rsidP="00223E56">
            <w:pPr>
              <w:rPr>
                <w:color w:val="000000"/>
                <w:sz w:val="16"/>
                <w:szCs w:val="16"/>
              </w:rPr>
            </w:pPr>
            <w:r>
              <w:rPr>
                <w:color w:val="000000"/>
                <w:sz w:val="16"/>
                <w:szCs w:val="16"/>
              </w:rPr>
              <w:t>Interleukin 10</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589A0821" w14:textId="77777777" w:rsidR="00CB0062" w:rsidRDefault="00CB0062" w:rsidP="00223E56">
            <w:pPr>
              <w:rPr>
                <w:color w:val="000000"/>
                <w:sz w:val="16"/>
                <w:szCs w:val="16"/>
              </w:rPr>
            </w:pPr>
            <w:r>
              <w:rPr>
                <w:color w:val="000000"/>
                <w:sz w:val="16"/>
                <w:szCs w:val="16"/>
              </w:rPr>
              <w:t>rs1800871</w:t>
            </w:r>
          </w:p>
        </w:tc>
        <w:tc>
          <w:tcPr>
            <w:tcW w:w="851" w:type="dxa"/>
            <w:tcBorders>
              <w:top w:val="single" w:sz="4" w:space="0" w:color="000000"/>
              <w:bottom w:val="single" w:sz="4" w:space="0" w:color="D0CECE"/>
            </w:tcBorders>
            <w:tcMar>
              <w:top w:w="-113" w:type="dxa"/>
              <w:left w:w="-113" w:type="dxa"/>
              <w:bottom w:w="-113" w:type="dxa"/>
              <w:right w:w="-113" w:type="dxa"/>
            </w:tcMar>
          </w:tcPr>
          <w:p w14:paraId="2836B062" w14:textId="77777777" w:rsidR="00CB0062" w:rsidRDefault="00CB0062" w:rsidP="00223E56">
            <w:pPr>
              <w:rPr>
                <w:color w:val="000000"/>
                <w:sz w:val="16"/>
                <w:szCs w:val="16"/>
              </w:rPr>
            </w:pPr>
            <w:r>
              <w:rPr>
                <w:color w:val="000000"/>
                <w:sz w:val="16"/>
                <w:szCs w:val="16"/>
              </w:rPr>
              <w:t>A&gt;G</w:t>
            </w:r>
          </w:p>
        </w:tc>
        <w:tc>
          <w:tcPr>
            <w:tcW w:w="1701" w:type="dxa"/>
            <w:tcBorders>
              <w:top w:val="single" w:sz="4" w:space="0" w:color="000000"/>
              <w:bottom w:val="single" w:sz="4" w:space="0" w:color="D0CECE"/>
            </w:tcBorders>
            <w:tcMar>
              <w:top w:w="-113" w:type="dxa"/>
              <w:left w:w="-113" w:type="dxa"/>
              <w:bottom w:w="-113" w:type="dxa"/>
              <w:right w:w="-113" w:type="dxa"/>
            </w:tcMar>
          </w:tcPr>
          <w:p w14:paraId="551963A3" w14:textId="77777777" w:rsidR="00CB0062" w:rsidRDefault="00CB0062" w:rsidP="00223E56">
            <w:pPr>
              <w:rPr>
                <w:color w:val="000000"/>
                <w:sz w:val="16"/>
                <w:szCs w:val="16"/>
              </w:rPr>
            </w:pPr>
            <w:r>
              <w:rPr>
                <w:color w:val="000000"/>
                <w:sz w:val="16"/>
                <w:szCs w:val="16"/>
              </w:rPr>
              <w:t>Intron variant</w:t>
            </w:r>
          </w:p>
        </w:tc>
        <w:tc>
          <w:tcPr>
            <w:tcW w:w="708" w:type="dxa"/>
            <w:tcBorders>
              <w:top w:val="single" w:sz="4" w:space="0" w:color="000000"/>
              <w:bottom w:val="single" w:sz="4" w:space="0" w:color="D0CECE"/>
            </w:tcBorders>
            <w:tcMar>
              <w:top w:w="-113" w:type="dxa"/>
              <w:left w:w="-113" w:type="dxa"/>
              <w:bottom w:w="-113" w:type="dxa"/>
              <w:right w:w="-113" w:type="dxa"/>
            </w:tcMar>
          </w:tcPr>
          <w:p w14:paraId="4A103B5B" w14:textId="77777777" w:rsidR="00CB0062" w:rsidRDefault="00CB0062" w:rsidP="00223E56">
            <w:pPr>
              <w:rPr>
                <w:color w:val="000000"/>
                <w:sz w:val="16"/>
                <w:szCs w:val="16"/>
              </w:rPr>
            </w:pPr>
            <w:r>
              <w:rPr>
                <w:color w:val="000000"/>
                <w:sz w:val="16"/>
                <w:szCs w:val="16"/>
              </w:rPr>
              <w:t>T2DM</w:t>
            </w: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6BC1F569" w14:textId="77777777" w:rsidR="00CB0062" w:rsidRDefault="00CB0062" w:rsidP="00223E56">
            <w:pPr>
              <w:rPr>
                <w:sz w:val="16"/>
                <w:szCs w:val="16"/>
              </w:rPr>
            </w:pPr>
            <w:r>
              <w:rPr>
                <w:sz w:val="16"/>
                <w:szCs w:val="16"/>
              </w:rPr>
              <w:t>Grau-Perez et al. 2018</w:t>
            </w:r>
          </w:p>
          <w:p w14:paraId="0AF0B7CE" w14:textId="77777777" w:rsidR="00CB0062" w:rsidRDefault="00CB0062" w:rsidP="00223E56">
            <w:pPr>
              <w:rPr>
                <w:sz w:val="16"/>
                <w:szCs w:val="16"/>
              </w:rPr>
            </w:pPr>
          </w:p>
        </w:tc>
      </w:tr>
      <w:tr w:rsidR="00CB0062" w14:paraId="277E6BC1"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AB330B7" w14:textId="77777777" w:rsidR="00CB0062" w:rsidRDefault="00CB0062" w:rsidP="00223E56">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760B139" w14:textId="77777777" w:rsidR="00CB0062" w:rsidRDefault="00CB0062" w:rsidP="00223E56">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37BC242" w14:textId="77777777" w:rsidR="00CB0062" w:rsidRDefault="00CB0062" w:rsidP="00223E56">
            <w:pPr>
              <w:rPr>
                <w:color w:val="000000"/>
                <w:sz w:val="16"/>
                <w:szCs w:val="16"/>
              </w:rPr>
            </w:pPr>
            <w:r>
              <w:rPr>
                <w:color w:val="000000"/>
                <w:sz w:val="16"/>
                <w:szCs w:val="16"/>
              </w:rPr>
              <w:t>rs1800896</w:t>
            </w:r>
          </w:p>
        </w:tc>
        <w:tc>
          <w:tcPr>
            <w:tcW w:w="851" w:type="dxa"/>
            <w:tcBorders>
              <w:top w:val="single" w:sz="4" w:space="0" w:color="D0CECE"/>
              <w:bottom w:val="single" w:sz="4" w:space="0" w:color="D0CECE"/>
            </w:tcBorders>
            <w:tcMar>
              <w:top w:w="-113" w:type="dxa"/>
              <w:left w:w="-113" w:type="dxa"/>
              <w:bottom w:w="-113" w:type="dxa"/>
              <w:right w:w="-113" w:type="dxa"/>
            </w:tcMar>
          </w:tcPr>
          <w:p w14:paraId="2DD81CB1" w14:textId="77777777" w:rsidR="00CB0062" w:rsidRDefault="00CB0062" w:rsidP="00223E56">
            <w:pPr>
              <w:rPr>
                <w:color w:val="000000"/>
                <w:sz w:val="16"/>
                <w:szCs w:val="16"/>
              </w:rPr>
            </w:pPr>
            <w:r>
              <w:rPr>
                <w:color w:val="000000"/>
                <w:sz w:val="16"/>
                <w:szCs w:val="16"/>
              </w:rPr>
              <w:t>T&gt;C</w:t>
            </w:r>
          </w:p>
        </w:tc>
        <w:tc>
          <w:tcPr>
            <w:tcW w:w="1701" w:type="dxa"/>
            <w:tcBorders>
              <w:top w:val="single" w:sz="4" w:space="0" w:color="D0CECE"/>
              <w:bottom w:val="single" w:sz="4" w:space="0" w:color="D0CECE"/>
            </w:tcBorders>
            <w:tcMar>
              <w:top w:w="-113" w:type="dxa"/>
              <w:left w:w="-113" w:type="dxa"/>
              <w:bottom w:w="-113" w:type="dxa"/>
              <w:right w:w="-113" w:type="dxa"/>
            </w:tcMar>
          </w:tcPr>
          <w:p w14:paraId="56D18D6A" w14:textId="77777777" w:rsidR="00CB0062" w:rsidRDefault="00CB0062" w:rsidP="00223E56">
            <w:pPr>
              <w:rPr>
                <w:color w:val="000000"/>
                <w:sz w:val="16"/>
                <w:szCs w:val="16"/>
              </w:rPr>
            </w:pPr>
            <w:r>
              <w:rPr>
                <w:sz w:val="16"/>
                <w:szCs w:val="16"/>
              </w:rPr>
              <w:t>2KB Upstream variant</w:t>
            </w:r>
          </w:p>
        </w:tc>
        <w:tc>
          <w:tcPr>
            <w:tcW w:w="708" w:type="dxa"/>
            <w:tcBorders>
              <w:top w:val="single" w:sz="4" w:space="0" w:color="D0CECE"/>
              <w:bottom w:val="single" w:sz="4" w:space="0" w:color="D0CECE"/>
            </w:tcBorders>
            <w:tcMar>
              <w:top w:w="-113" w:type="dxa"/>
              <w:left w:w="-113" w:type="dxa"/>
              <w:bottom w:w="-113" w:type="dxa"/>
              <w:right w:w="-113" w:type="dxa"/>
            </w:tcMar>
          </w:tcPr>
          <w:p w14:paraId="402AF08D" w14:textId="77777777" w:rsidR="00CB0062" w:rsidRDefault="00CB0062" w:rsidP="00223E56">
            <w:pPr>
              <w:rPr>
                <w:color w:val="000000"/>
                <w:sz w:val="16"/>
                <w:szCs w:val="16"/>
              </w:rPr>
            </w:pPr>
            <w:r>
              <w:rPr>
                <w:color w:val="000000"/>
                <w:sz w:val="16"/>
                <w:szCs w:val="16"/>
              </w:rPr>
              <w:t>T2DM</w:t>
            </w: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4A5B314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742726F2"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7F8815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38793B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133BBA64" w14:textId="77777777" w:rsidR="00CB0062" w:rsidRDefault="00CB0062" w:rsidP="00223E56">
            <w:pPr>
              <w:rPr>
                <w:color w:val="000000"/>
                <w:sz w:val="16"/>
                <w:szCs w:val="16"/>
              </w:rPr>
            </w:pPr>
            <w:r>
              <w:rPr>
                <w:color w:val="000000"/>
                <w:sz w:val="16"/>
                <w:szCs w:val="16"/>
              </w:rPr>
              <w:t>rs3024496</w:t>
            </w:r>
          </w:p>
        </w:tc>
        <w:tc>
          <w:tcPr>
            <w:tcW w:w="851" w:type="dxa"/>
            <w:tcBorders>
              <w:top w:val="single" w:sz="4" w:space="0" w:color="D0CECE"/>
              <w:bottom w:val="single" w:sz="4" w:space="0" w:color="000000"/>
            </w:tcBorders>
            <w:tcMar>
              <w:top w:w="-113" w:type="dxa"/>
              <w:left w:w="-113" w:type="dxa"/>
              <w:bottom w:w="-113" w:type="dxa"/>
              <w:right w:w="-113" w:type="dxa"/>
            </w:tcMar>
          </w:tcPr>
          <w:p w14:paraId="756A440C" w14:textId="77777777" w:rsidR="00CB0062" w:rsidRDefault="00CB0062" w:rsidP="00223E56">
            <w:pPr>
              <w:rPr>
                <w:color w:val="000000"/>
                <w:sz w:val="16"/>
                <w:szCs w:val="16"/>
              </w:rPr>
            </w:pPr>
            <w:r>
              <w:rPr>
                <w:color w:val="000000"/>
                <w:sz w:val="16"/>
                <w:szCs w:val="16"/>
              </w:rPr>
              <w:t>A&gt;G</w:t>
            </w:r>
          </w:p>
        </w:tc>
        <w:tc>
          <w:tcPr>
            <w:tcW w:w="1701" w:type="dxa"/>
            <w:tcBorders>
              <w:top w:val="single" w:sz="4" w:space="0" w:color="D0CECE"/>
              <w:bottom w:val="single" w:sz="4" w:space="0" w:color="000000"/>
            </w:tcBorders>
            <w:tcMar>
              <w:top w:w="-113" w:type="dxa"/>
              <w:left w:w="-113" w:type="dxa"/>
              <w:bottom w:w="-113" w:type="dxa"/>
              <w:right w:w="-113" w:type="dxa"/>
            </w:tcMar>
          </w:tcPr>
          <w:p w14:paraId="08C189A2" w14:textId="77777777" w:rsidR="00CB0062" w:rsidRDefault="00CB0062" w:rsidP="00223E56">
            <w:pPr>
              <w:rPr>
                <w:color w:val="000000"/>
                <w:sz w:val="16"/>
                <w:szCs w:val="16"/>
              </w:rPr>
            </w:pPr>
            <w:r>
              <w:rPr>
                <w:color w:val="000000"/>
                <w:sz w:val="16"/>
                <w:szCs w:val="16"/>
              </w:rPr>
              <w:t>Noncoding transcript variant</w:t>
            </w:r>
          </w:p>
        </w:tc>
        <w:tc>
          <w:tcPr>
            <w:tcW w:w="708" w:type="dxa"/>
            <w:tcBorders>
              <w:top w:val="single" w:sz="4" w:space="0" w:color="D0CECE"/>
              <w:bottom w:val="single" w:sz="4" w:space="0" w:color="000000"/>
            </w:tcBorders>
            <w:tcMar>
              <w:top w:w="-113" w:type="dxa"/>
              <w:left w:w="-113" w:type="dxa"/>
              <w:bottom w:w="-113" w:type="dxa"/>
              <w:right w:w="-113" w:type="dxa"/>
            </w:tcMar>
          </w:tcPr>
          <w:p w14:paraId="03C9B657" w14:textId="77777777" w:rsidR="00CB0062" w:rsidRDefault="00CB0062" w:rsidP="00223E56">
            <w:pPr>
              <w:rPr>
                <w:color w:val="000000"/>
                <w:sz w:val="16"/>
                <w:szCs w:val="16"/>
              </w:rPr>
            </w:pPr>
            <w:r>
              <w:rPr>
                <w:color w:val="000000"/>
                <w:sz w:val="16"/>
                <w:szCs w:val="16"/>
              </w:rPr>
              <w:t>T2DM</w:t>
            </w: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6C64DAB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76F234A1"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1D0DFFFC" w14:textId="77777777" w:rsidR="00CB0062" w:rsidRDefault="00CB0062" w:rsidP="00223E56">
            <w:pPr>
              <w:rPr>
                <w:i/>
                <w:color w:val="000000"/>
                <w:sz w:val="16"/>
                <w:szCs w:val="16"/>
              </w:rPr>
            </w:pPr>
            <w:r>
              <w:rPr>
                <w:i/>
                <w:color w:val="000000"/>
                <w:sz w:val="16"/>
                <w:szCs w:val="16"/>
              </w:rPr>
              <w:t>IL10RA</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3D2239F1" w14:textId="77777777" w:rsidR="00CB0062" w:rsidRDefault="00CB0062" w:rsidP="00223E56">
            <w:pPr>
              <w:rPr>
                <w:color w:val="000000"/>
                <w:sz w:val="16"/>
                <w:szCs w:val="16"/>
              </w:rPr>
            </w:pPr>
            <w:r>
              <w:rPr>
                <w:color w:val="000000"/>
                <w:sz w:val="16"/>
                <w:szCs w:val="16"/>
              </w:rPr>
              <w:t>Interleukin 10 Receptor Subunit Alpha</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6515B2C2" w14:textId="77777777" w:rsidR="00CB0062" w:rsidRDefault="00CB0062" w:rsidP="00223E56">
            <w:pPr>
              <w:rPr>
                <w:color w:val="000000"/>
                <w:sz w:val="16"/>
                <w:szCs w:val="16"/>
              </w:rPr>
            </w:pPr>
            <w:r>
              <w:rPr>
                <w:color w:val="000000"/>
                <w:sz w:val="16"/>
                <w:szCs w:val="16"/>
              </w:rPr>
              <w:t>rs9610</w:t>
            </w:r>
          </w:p>
        </w:tc>
        <w:tc>
          <w:tcPr>
            <w:tcW w:w="851" w:type="dxa"/>
            <w:tcBorders>
              <w:top w:val="single" w:sz="4" w:space="0" w:color="000000"/>
              <w:bottom w:val="single" w:sz="4" w:space="0" w:color="000000"/>
            </w:tcBorders>
            <w:tcMar>
              <w:top w:w="-113" w:type="dxa"/>
              <w:left w:w="-113" w:type="dxa"/>
              <w:bottom w:w="-113" w:type="dxa"/>
              <w:right w:w="-113" w:type="dxa"/>
            </w:tcMar>
          </w:tcPr>
          <w:p w14:paraId="0C779F03" w14:textId="77777777" w:rsidR="00CB0062" w:rsidRDefault="00CB0062" w:rsidP="00223E56">
            <w:pPr>
              <w:rPr>
                <w:color w:val="000000"/>
                <w:sz w:val="16"/>
                <w:szCs w:val="16"/>
              </w:rPr>
            </w:pPr>
            <w:r>
              <w:rPr>
                <w:color w:val="000000"/>
                <w:sz w:val="16"/>
                <w:szCs w:val="16"/>
              </w:rPr>
              <w:t>G&gt;</w:t>
            </w:r>
            <w:proofErr w:type="gramStart"/>
            <w:r>
              <w:rPr>
                <w:color w:val="000000"/>
                <w:sz w:val="16"/>
                <w:szCs w:val="16"/>
              </w:rPr>
              <w:t>A,T</w:t>
            </w:r>
            <w:proofErr w:type="gramEnd"/>
          </w:p>
        </w:tc>
        <w:tc>
          <w:tcPr>
            <w:tcW w:w="1701" w:type="dxa"/>
            <w:tcBorders>
              <w:top w:val="single" w:sz="4" w:space="0" w:color="000000"/>
              <w:bottom w:val="single" w:sz="4" w:space="0" w:color="000000"/>
            </w:tcBorders>
            <w:tcMar>
              <w:top w:w="-113" w:type="dxa"/>
              <w:left w:w="-113" w:type="dxa"/>
              <w:bottom w:w="-113" w:type="dxa"/>
              <w:right w:w="-113" w:type="dxa"/>
            </w:tcMar>
          </w:tcPr>
          <w:p w14:paraId="641BE418" w14:textId="77777777" w:rsidR="00CB0062" w:rsidRDefault="00CB0062" w:rsidP="00223E56">
            <w:pPr>
              <w:rPr>
                <w:color w:val="000000"/>
                <w:sz w:val="16"/>
                <w:szCs w:val="16"/>
              </w:rPr>
            </w:pPr>
            <w:r>
              <w:rPr>
                <w:color w:val="000000"/>
                <w:sz w:val="16"/>
                <w:szCs w:val="16"/>
              </w:rPr>
              <w:t>Noncoding transcript variant</w:t>
            </w:r>
          </w:p>
        </w:tc>
        <w:tc>
          <w:tcPr>
            <w:tcW w:w="708" w:type="dxa"/>
            <w:tcBorders>
              <w:top w:val="single" w:sz="4" w:space="0" w:color="000000"/>
              <w:bottom w:val="single" w:sz="4" w:space="0" w:color="000000"/>
            </w:tcBorders>
            <w:tcMar>
              <w:top w:w="-113" w:type="dxa"/>
              <w:left w:w="-113" w:type="dxa"/>
              <w:bottom w:w="-113" w:type="dxa"/>
              <w:right w:w="-113" w:type="dxa"/>
            </w:tcMar>
          </w:tcPr>
          <w:p w14:paraId="1D0A5ACA" w14:textId="77777777" w:rsidR="00CB0062" w:rsidRDefault="00CB0062" w:rsidP="00223E56">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3149CAB4" w14:textId="77777777" w:rsidR="00CB0062" w:rsidRDefault="00CB0062" w:rsidP="00223E56">
            <w:pPr>
              <w:rPr>
                <w:color w:val="000000"/>
                <w:sz w:val="16"/>
                <w:szCs w:val="16"/>
              </w:rPr>
            </w:pPr>
            <w:r>
              <w:rPr>
                <w:sz w:val="16"/>
                <w:szCs w:val="16"/>
              </w:rPr>
              <w:t>Grau-Perez et al. 2018</w:t>
            </w:r>
          </w:p>
        </w:tc>
      </w:tr>
      <w:tr w:rsidR="00CB0062" w14:paraId="0030285B"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44D9EB24" w14:textId="77777777" w:rsidR="00CB0062" w:rsidRDefault="00CB0062" w:rsidP="00223E56">
            <w:pPr>
              <w:rPr>
                <w:i/>
                <w:color w:val="000000"/>
                <w:sz w:val="16"/>
                <w:szCs w:val="16"/>
              </w:rPr>
            </w:pPr>
            <w:r>
              <w:rPr>
                <w:i/>
                <w:color w:val="000000"/>
                <w:sz w:val="16"/>
                <w:szCs w:val="16"/>
              </w:rPr>
              <w:t>IL10RB</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771E9812" w14:textId="77777777" w:rsidR="00CB0062" w:rsidRDefault="00CB0062" w:rsidP="00223E56">
            <w:pPr>
              <w:rPr>
                <w:color w:val="000000"/>
                <w:sz w:val="16"/>
                <w:szCs w:val="16"/>
              </w:rPr>
            </w:pPr>
            <w:r>
              <w:rPr>
                <w:color w:val="000000"/>
                <w:sz w:val="16"/>
                <w:szCs w:val="16"/>
              </w:rPr>
              <w:t>Interleukin 10 Receptor Subunit Beta</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6BBCDC21" w14:textId="77777777" w:rsidR="00CB0062" w:rsidRDefault="00CB0062" w:rsidP="00223E56">
            <w:pPr>
              <w:rPr>
                <w:color w:val="000000"/>
                <w:sz w:val="16"/>
                <w:szCs w:val="16"/>
              </w:rPr>
            </w:pPr>
            <w:r>
              <w:rPr>
                <w:color w:val="000000"/>
                <w:sz w:val="16"/>
                <w:szCs w:val="16"/>
              </w:rPr>
              <w:t>rs1058867</w:t>
            </w:r>
          </w:p>
        </w:tc>
        <w:tc>
          <w:tcPr>
            <w:tcW w:w="851" w:type="dxa"/>
            <w:tcBorders>
              <w:top w:val="single" w:sz="4" w:space="0" w:color="000000"/>
              <w:bottom w:val="single" w:sz="4" w:space="0" w:color="000000"/>
            </w:tcBorders>
            <w:tcMar>
              <w:top w:w="-113" w:type="dxa"/>
              <w:left w:w="-113" w:type="dxa"/>
              <w:bottom w:w="-113" w:type="dxa"/>
              <w:right w:w="-113" w:type="dxa"/>
            </w:tcMar>
          </w:tcPr>
          <w:p w14:paraId="4755C5EA" w14:textId="77777777" w:rsidR="00CB0062" w:rsidRDefault="00CB0062" w:rsidP="00223E56">
            <w:pPr>
              <w:rPr>
                <w:color w:val="000000"/>
                <w:sz w:val="16"/>
                <w:szCs w:val="16"/>
              </w:rPr>
            </w:pPr>
            <w:r>
              <w:rPr>
                <w:color w:val="000000"/>
                <w:sz w:val="16"/>
                <w:szCs w:val="16"/>
              </w:rPr>
              <w:t>G&gt;A</w:t>
            </w:r>
          </w:p>
        </w:tc>
        <w:tc>
          <w:tcPr>
            <w:tcW w:w="1701" w:type="dxa"/>
            <w:tcBorders>
              <w:top w:val="single" w:sz="4" w:space="0" w:color="000000"/>
              <w:bottom w:val="single" w:sz="4" w:space="0" w:color="000000"/>
            </w:tcBorders>
            <w:tcMar>
              <w:top w:w="-113" w:type="dxa"/>
              <w:left w:w="-113" w:type="dxa"/>
              <w:bottom w:w="-113" w:type="dxa"/>
              <w:right w:w="-113" w:type="dxa"/>
            </w:tcMar>
          </w:tcPr>
          <w:p w14:paraId="40967973" w14:textId="77777777" w:rsidR="00CB0062" w:rsidRDefault="00CB0062" w:rsidP="00223E56">
            <w:pPr>
              <w:rPr>
                <w:color w:val="000000"/>
                <w:sz w:val="16"/>
                <w:szCs w:val="16"/>
              </w:rPr>
            </w:pPr>
            <w:r>
              <w:rPr>
                <w:sz w:val="16"/>
                <w:szCs w:val="16"/>
              </w:rPr>
              <w:t>3 Prime UTR variant</w:t>
            </w:r>
          </w:p>
        </w:tc>
        <w:tc>
          <w:tcPr>
            <w:tcW w:w="708" w:type="dxa"/>
            <w:tcBorders>
              <w:top w:val="single" w:sz="4" w:space="0" w:color="000000"/>
              <w:bottom w:val="single" w:sz="4" w:space="0" w:color="000000"/>
            </w:tcBorders>
            <w:tcMar>
              <w:top w:w="-113" w:type="dxa"/>
              <w:left w:w="-113" w:type="dxa"/>
              <w:bottom w:w="-113" w:type="dxa"/>
              <w:right w:w="-113" w:type="dxa"/>
            </w:tcMar>
          </w:tcPr>
          <w:p w14:paraId="67BE09A4" w14:textId="77777777" w:rsidR="00CB0062" w:rsidRDefault="00CB0062" w:rsidP="00223E56">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0084C2C1" w14:textId="77777777" w:rsidR="00CB0062" w:rsidRDefault="00CB0062" w:rsidP="00223E56">
            <w:pPr>
              <w:rPr>
                <w:color w:val="000000"/>
                <w:sz w:val="16"/>
                <w:szCs w:val="16"/>
              </w:rPr>
            </w:pPr>
            <w:r>
              <w:rPr>
                <w:sz w:val="16"/>
                <w:szCs w:val="16"/>
              </w:rPr>
              <w:t>Grau-Perez et al. 2018</w:t>
            </w:r>
          </w:p>
        </w:tc>
      </w:tr>
      <w:tr w:rsidR="00CB0062" w14:paraId="07968919"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288CE0D" w14:textId="77777777" w:rsidR="00CB0062" w:rsidRDefault="00CB0062" w:rsidP="00223E56">
            <w:pPr>
              <w:rPr>
                <w:i/>
                <w:color w:val="000000"/>
                <w:sz w:val="16"/>
                <w:szCs w:val="16"/>
              </w:rPr>
            </w:pPr>
            <w:r>
              <w:rPr>
                <w:i/>
                <w:color w:val="000000"/>
                <w:sz w:val="16"/>
                <w:szCs w:val="16"/>
              </w:rPr>
              <w:t>IL18</w:t>
            </w:r>
          </w:p>
          <w:p w14:paraId="6555A764"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2039387" w14:textId="77777777" w:rsidR="00CB0062" w:rsidRDefault="00CB0062" w:rsidP="00223E56">
            <w:pPr>
              <w:rPr>
                <w:color w:val="000000"/>
                <w:sz w:val="16"/>
                <w:szCs w:val="16"/>
              </w:rPr>
            </w:pPr>
            <w:r>
              <w:rPr>
                <w:color w:val="000000"/>
                <w:sz w:val="16"/>
                <w:szCs w:val="16"/>
              </w:rPr>
              <w:t>Interleukin 18</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7E3F609B" w14:textId="77777777" w:rsidR="00CB0062" w:rsidRDefault="00CB0062" w:rsidP="00223E56">
            <w:pPr>
              <w:rPr>
                <w:color w:val="000000"/>
                <w:sz w:val="16"/>
                <w:szCs w:val="16"/>
              </w:rPr>
            </w:pPr>
            <w:r>
              <w:rPr>
                <w:color w:val="000000"/>
                <w:sz w:val="16"/>
                <w:szCs w:val="16"/>
              </w:rPr>
              <w:t>rs1834481</w:t>
            </w:r>
          </w:p>
        </w:tc>
        <w:tc>
          <w:tcPr>
            <w:tcW w:w="851" w:type="dxa"/>
            <w:tcBorders>
              <w:top w:val="single" w:sz="4" w:space="0" w:color="000000"/>
              <w:bottom w:val="single" w:sz="4" w:space="0" w:color="D0CECE"/>
            </w:tcBorders>
            <w:tcMar>
              <w:top w:w="-113" w:type="dxa"/>
              <w:left w:w="-113" w:type="dxa"/>
              <w:bottom w:w="-113" w:type="dxa"/>
              <w:right w:w="-113" w:type="dxa"/>
            </w:tcMar>
          </w:tcPr>
          <w:p w14:paraId="606A0DD9" w14:textId="77777777" w:rsidR="00CB0062" w:rsidRDefault="00CB0062" w:rsidP="00223E56">
            <w:pPr>
              <w:rPr>
                <w:color w:val="000000"/>
                <w:sz w:val="16"/>
                <w:szCs w:val="16"/>
              </w:rPr>
            </w:pPr>
            <w:r>
              <w:rPr>
                <w:color w:val="000000"/>
                <w:sz w:val="16"/>
                <w:szCs w:val="16"/>
              </w:rPr>
              <w:t>C&gt;G</w:t>
            </w:r>
          </w:p>
        </w:tc>
        <w:tc>
          <w:tcPr>
            <w:tcW w:w="1701" w:type="dxa"/>
            <w:tcBorders>
              <w:top w:val="single" w:sz="4" w:space="0" w:color="000000"/>
              <w:bottom w:val="single" w:sz="4" w:space="0" w:color="D0CECE"/>
            </w:tcBorders>
            <w:tcMar>
              <w:top w:w="-113" w:type="dxa"/>
              <w:left w:w="-113" w:type="dxa"/>
              <w:bottom w:w="-113" w:type="dxa"/>
              <w:right w:w="-113" w:type="dxa"/>
            </w:tcMar>
          </w:tcPr>
          <w:p w14:paraId="5FA21B1E" w14:textId="77777777" w:rsidR="00CB0062" w:rsidRDefault="00CB0062" w:rsidP="00223E56">
            <w:pPr>
              <w:rPr>
                <w:color w:val="000000"/>
                <w:sz w:val="16"/>
                <w:szCs w:val="16"/>
              </w:rPr>
            </w:pPr>
            <w:r>
              <w:rPr>
                <w:color w:val="000000"/>
                <w:sz w:val="16"/>
                <w:szCs w:val="16"/>
              </w:rPr>
              <w:t>Intron variant</w:t>
            </w:r>
          </w:p>
        </w:tc>
        <w:tc>
          <w:tcPr>
            <w:tcW w:w="708" w:type="dxa"/>
            <w:tcBorders>
              <w:top w:val="single" w:sz="4" w:space="0" w:color="000000"/>
              <w:bottom w:val="single" w:sz="4" w:space="0" w:color="D0CECE"/>
            </w:tcBorders>
            <w:tcMar>
              <w:top w:w="-113" w:type="dxa"/>
              <w:left w:w="-113" w:type="dxa"/>
              <w:bottom w:w="-113" w:type="dxa"/>
              <w:right w:w="-113" w:type="dxa"/>
            </w:tcMar>
          </w:tcPr>
          <w:p w14:paraId="68F72D34" w14:textId="77777777" w:rsidR="00CB0062" w:rsidRDefault="00CB0062" w:rsidP="00223E56">
            <w:pPr>
              <w:rPr>
                <w:color w:val="000000"/>
                <w:sz w:val="16"/>
                <w:szCs w:val="16"/>
              </w:rPr>
            </w:pPr>
            <w:r>
              <w:rPr>
                <w:color w:val="000000"/>
                <w:sz w:val="16"/>
                <w:szCs w:val="16"/>
              </w:rPr>
              <w:t>T2DM</w:t>
            </w: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6D8E25E4" w14:textId="77777777" w:rsidR="00CB0062" w:rsidRDefault="00CB0062" w:rsidP="00223E56">
            <w:pPr>
              <w:rPr>
                <w:sz w:val="16"/>
                <w:szCs w:val="16"/>
              </w:rPr>
            </w:pPr>
            <w:r>
              <w:rPr>
                <w:sz w:val="16"/>
                <w:szCs w:val="16"/>
              </w:rPr>
              <w:t>Grau-Perez et al. 2018</w:t>
            </w:r>
          </w:p>
          <w:p w14:paraId="01507B4A" w14:textId="77777777" w:rsidR="00CB0062" w:rsidRDefault="00CB0062" w:rsidP="00223E56">
            <w:pPr>
              <w:rPr>
                <w:sz w:val="16"/>
                <w:szCs w:val="16"/>
              </w:rPr>
            </w:pPr>
          </w:p>
        </w:tc>
      </w:tr>
      <w:tr w:rsidR="00CB0062" w14:paraId="7F57A57B"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51634F0" w14:textId="77777777" w:rsidR="00CB0062" w:rsidRDefault="00CB0062" w:rsidP="00223E56">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FF9AAA6" w14:textId="77777777" w:rsidR="00CB0062" w:rsidRDefault="00CB0062" w:rsidP="00223E56">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18148121" w14:textId="77777777" w:rsidR="00CB0062" w:rsidRDefault="00CB0062" w:rsidP="00223E56">
            <w:pPr>
              <w:rPr>
                <w:color w:val="000000"/>
                <w:sz w:val="16"/>
                <w:szCs w:val="16"/>
              </w:rPr>
            </w:pPr>
            <w:r>
              <w:rPr>
                <w:color w:val="000000"/>
                <w:sz w:val="16"/>
                <w:szCs w:val="16"/>
              </w:rPr>
              <w:t>rs549908</w:t>
            </w:r>
          </w:p>
        </w:tc>
        <w:tc>
          <w:tcPr>
            <w:tcW w:w="851" w:type="dxa"/>
            <w:tcBorders>
              <w:top w:val="single" w:sz="4" w:space="0" w:color="D0CECE"/>
              <w:bottom w:val="single" w:sz="4" w:space="0" w:color="000000"/>
            </w:tcBorders>
            <w:tcMar>
              <w:top w:w="-113" w:type="dxa"/>
              <w:left w:w="-113" w:type="dxa"/>
              <w:bottom w:w="-113" w:type="dxa"/>
              <w:right w:w="-113" w:type="dxa"/>
            </w:tcMar>
          </w:tcPr>
          <w:p w14:paraId="65AA9083" w14:textId="77777777" w:rsidR="00CB0062" w:rsidRDefault="00CB0062" w:rsidP="00223E56">
            <w:pPr>
              <w:rPr>
                <w:color w:val="000000"/>
                <w:sz w:val="16"/>
                <w:szCs w:val="16"/>
              </w:rPr>
            </w:pPr>
            <w:r>
              <w:rPr>
                <w:color w:val="000000"/>
                <w:sz w:val="16"/>
                <w:szCs w:val="16"/>
              </w:rPr>
              <w:t>T&gt;</w:t>
            </w:r>
            <w:proofErr w:type="gramStart"/>
            <w:r>
              <w:rPr>
                <w:color w:val="000000"/>
                <w:sz w:val="16"/>
                <w:szCs w:val="16"/>
              </w:rPr>
              <w:t>A,G</w:t>
            </w:r>
            <w:proofErr w:type="gramEnd"/>
          </w:p>
        </w:tc>
        <w:tc>
          <w:tcPr>
            <w:tcW w:w="1701" w:type="dxa"/>
            <w:tcBorders>
              <w:top w:val="single" w:sz="4" w:space="0" w:color="D0CECE"/>
              <w:bottom w:val="single" w:sz="4" w:space="0" w:color="000000"/>
            </w:tcBorders>
            <w:tcMar>
              <w:top w:w="-113" w:type="dxa"/>
              <w:left w:w="-113" w:type="dxa"/>
              <w:bottom w:w="-113" w:type="dxa"/>
              <w:right w:w="-113" w:type="dxa"/>
            </w:tcMar>
          </w:tcPr>
          <w:p w14:paraId="5B76D8A7" w14:textId="77777777" w:rsidR="00CB0062" w:rsidRDefault="00CB0062" w:rsidP="00223E56">
            <w:pPr>
              <w:rPr>
                <w:color w:val="000000"/>
                <w:sz w:val="16"/>
                <w:szCs w:val="16"/>
              </w:rPr>
            </w:pPr>
            <w:r>
              <w:rPr>
                <w:color w:val="000000"/>
                <w:sz w:val="16"/>
                <w:szCs w:val="16"/>
              </w:rPr>
              <w:t>Synonymous variant</w:t>
            </w:r>
          </w:p>
        </w:tc>
        <w:tc>
          <w:tcPr>
            <w:tcW w:w="708" w:type="dxa"/>
            <w:tcBorders>
              <w:top w:val="single" w:sz="4" w:space="0" w:color="D0CECE"/>
              <w:bottom w:val="single" w:sz="4" w:space="0" w:color="000000"/>
            </w:tcBorders>
            <w:tcMar>
              <w:top w:w="-113" w:type="dxa"/>
              <w:left w:w="-113" w:type="dxa"/>
              <w:bottom w:w="-113" w:type="dxa"/>
              <w:right w:w="-113" w:type="dxa"/>
            </w:tcMar>
          </w:tcPr>
          <w:p w14:paraId="796265D7" w14:textId="77777777" w:rsidR="00CB0062" w:rsidRDefault="00CB0062" w:rsidP="00223E56">
            <w:pPr>
              <w:rPr>
                <w:color w:val="000000"/>
                <w:sz w:val="16"/>
                <w:szCs w:val="16"/>
              </w:rPr>
            </w:pPr>
            <w:r>
              <w:rPr>
                <w:color w:val="000000"/>
                <w:sz w:val="16"/>
                <w:szCs w:val="16"/>
              </w:rPr>
              <w:t>T2DM</w:t>
            </w: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4EE9EDE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402D3174"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60744A3B" w14:textId="77777777" w:rsidR="00CB0062" w:rsidRDefault="00CB0062" w:rsidP="00223E56">
            <w:pPr>
              <w:rPr>
                <w:i/>
                <w:color w:val="000000"/>
                <w:sz w:val="16"/>
                <w:szCs w:val="16"/>
              </w:rPr>
            </w:pPr>
            <w:r>
              <w:rPr>
                <w:i/>
                <w:color w:val="000000"/>
                <w:sz w:val="16"/>
                <w:szCs w:val="16"/>
              </w:rPr>
              <w:t>IL18R1</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68509E82" w14:textId="77777777" w:rsidR="00CB0062" w:rsidRDefault="00CB0062" w:rsidP="00223E56">
            <w:pPr>
              <w:rPr>
                <w:color w:val="000000"/>
                <w:sz w:val="16"/>
                <w:szCs w:val="16"/>
              </w:rPr>
            </w:pPr>
            <w:r>
              <w:rPr>
                <w:color w:val="000000"/>
                <w:sz w:val="16"/>
                <w:szCs w:val="16"/>
              </w:rPr>
              <w:t>Interleukin 18 Receptor 1</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77DDE2B3" w14:textId="77777777" w:rsidR="00CB0062" w:rsidRDefault="00CB0062" w:rsidP="00223E56">
            <w:pPr>
              <w:rPr>
                <w:color w:val="000000"/>
                <w:sz w:val="16"/>
                <w:szCs w:val="16"/>
              </w:rPr>
            </w:pPr>
            <w:r>
              <w:rPr>
                <w:color w:val="000000"/>
                <w:sz w:val="16"/>
                <w:szCs w:val="16"/>
              </w:rPr>
              <w:t>rs2287037</w:t>
            </w:r>
          </w:p>
        </w:tc>
        <w:tc>
          <w:tcPr>
            <w:tcW w:w="851" w:type="dxa"/>
            <w:tcBorders>
              <w:top w:val="single" w:sz="4" w:space="0" w:color="000000"/>
              <w:bottom w:val="single" w:sz="4" w:space="0" w:color="000000"/>
            </w:tcBorders>
            <w:tcMar>
              <w:top w:w="-113" w:type="dxa"/>
              <w:left w:w="-113" w:type="dxa"/>
              <w:bottom w:w="-113" w:type="dxa"/>
              <w:right w:w="-113" w:type="dxa"/>
            </w:tcMar>
          </w:tcPr>
          <w:p w14:paraId="164EE870" w14:textId="77777777" w:rsidR="00CB0062" w:rsidRDefault="00CB0062" w:rsidP="00223E56">
            <w:pPr>
              <w:rPr>
                <w:color w:val="000000"/>
                <w:sz w:val="16"/>
                <w:szCs w:val="16"/>
              </w:rPr>
            </w:pPr>
            <w:r>
              <w:rPr>
                <w:color w:val="000000"/>
                <w:sz w:val="16"/>
                <w:szCs w:val="16"/>
              </w:rPr>
              <w:t>C&gt;</w:t>
            </w:r>
            <w:proofErr w:type="gramStart"/>
            <w:r>
              <w:rPr>
                <w:color w:val="000000"/>
                <w:sz w:val="16"/>
                <w:szCs w:val="16"/>
              </w:rPr>
              <w:t>G,T</w:t>
            </w:r>
            <w:proofErr w:type="gramEnd"/>
          </w:p>
        </w:tc>
        <w:tc>
          <w:tcPr>
            <w:tcW w:w="1701" w:type="dxa"/>
            <w:tcBorders>
              <w:top w:val="single" w:sz="4" w:space="0" w:color="000000"/>
              <w:bottom w:val="single" w:sz="4" w:space="0" w:color="000000"/>
            </w:tcBorders>
            <w:tcMar>
              <w:top w:w="-113" w:type="dxa"/>
              <w:left w:w="-113" w:type="dxa"/>
              <w:bottom w:w="-113" w:type="dxa"/>
              <w:right w:w="-113" w:type="dxa"/>
            </w:tcMar>
          </w:tcPr>
          <w:p w14:paraId="6C37CA74" w14:textId="77777777" w:rsidR="00CB0062" w:rsidRDefault="00CB0062" w:rsidP="00223E56">
            <w:pPr>
              <w:rPr>
                <w:color w:val="000000"/>
                <w:sz w:val="16"/>
                <w:szCs w:val="16"/>
              </w:rPr>
            </w:pPr>
            <w:r>
              <w:rPr>
                <w:color w:val="000000"/>
                <w:sz w:val="16"/>
                <w:szCs w:val="16"/>
              </w:rPr>
              <w:t>Intron variant</w:t>
            </w:r>
          </w:p>
        </w:tc>
        <w:tc>
          <w:tcPr>
            <w:tcW w:w="708" w:type="dxa"/>
            <w:tcBorders>
              <w:top w:val="single" w:sz="4" w:space="0" w:color="000000"/>
              <w:bottom w:val="single" w:sz="4" w:space="0" w:color="000000"/>
            </w:tcBorders>
            <w:tcMar>
              <w:top w:w="-113" w:type="dxa"/>
              <w:left w:w="-113" w:type="dxa"/>
              <w:bottom w:w="-113" w:type="dxa"/>
              <w:right w:w="-113" w:type="dxa"/>
            </w:tcMar>
          </w:tcPr>
          <w:p w14:paraId="335EC611" w14:textId="77777777" w:rsidR="00CB0062" w:rsidRDefault="00CB0062" w:rsidP="00223E56">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55E152AA" w14:textId="77777777" w:rsidR="00CB0062" w:rsidRDefault="00CB0062" w:rsidP="00223E56">
            <w:pPr>
              <w:rPr>
                <w:color w:val="000000"/>
                <w:sz w:val="16"/>
                <w:szCs w:val="16"/>
              </w:rPr>
            </w:pPr>
            <w:r>
              <w:rPr>
                <w:sz w:val="16"/>
                <w:szCs w:val="16"/>
              </w:rPr>
              <w:t>Grau-Perez et al. 2018</w:t>
            </w:r>
          </w:p>
        </w:tc>
      </w:tr>
      <w:tr w:rsidR="00CB0062" w14:paraId="64BE5A12"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20CF05FC" w14:textId="77777777" w:rsidR="00CB0062" w:rsidRDefault="00CB0062" w:rsidP="00223E56">
            <w:pPr>
              <w:rPr>
                <w:i/>
                <w:color w:val="000000"/>
                <w:sz w:val="16"/>
                <w:szCs w:val="16"/>
              </w:rPr>
            </w:pPr>
            <w:r>
              <w:rPr>
                <w:i/>
                <w:color w:val="000000"/>
                <w:sz w:val="16"/>
                <w:szCs w:val="16"/>
              </w:rPr>
              <w:t>IL18RAP</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41255C07" w14:textId="77777777" w:rsidR="00CB0062" w:rsidRDefault="00CB0062" w:rsidP="00223E56">
            <w:pPr>
              <w:rPr>
                <w:color w:val="000000"/>
                <w:sz w:val="16"/>
                <w:szCs w:val="16"/>
              </w:rPr>
            </w:pPr>
            <w:r>
              <w:rPr>
                <w:color w:val="000000"/>
                <w:sz w:val="16"/>
                <w:szCs w:val="16"/>
              </w:rPr>
              <w:t>Interleukin 18 receptor accessory protein</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51485D52" w14:textId="77777777" w:rsidR="00CB0062" w:rsidRDefault="00CB0062" w:rsidP="00223E56">
            <w:pPr>
              <w:rPr>
                <w:color w:val="000000"/>
                <w:sz w:val="16"/>
                <w:szCs w:val="16"/>
              </w:rPr>
            </w:pPr>
            <w:r>
              <w:rPr>
                <w:color w:val="000000"/>
                <w:sz w:val="16"/>
                <w:szCs w:val="16"/>
              </w:rPr>
              <w:t>rs2293224</w:t>
            </w:r>
          </w:p>
        </w:tc>
        <w:tc>
          <w:tcPr>
            <w:tcW w:w="851" w:type="dxa"/>
            <w:tcBorders>
              <w:top w:val="single" w:sz="4" w:space="0" w:color="000000"/>
              <w:bottom w:val="single" w:sz="4" w:space="0" w:color="000000"/>
            </w:tcBorders>
            <w:tcMar>
              <w:top w:w="-113" w:type="dxa"/>
              <w:left w:w="-113" w:type="dxa"/>
              <w:bottom w:w="-113" w:type="dxa"/>
              <w:right w:w="-113" w:type="dxa"/>
            </w:tcMar>
          </w:tcPr>
          <w:p w14:paraId="6030F864" w14:textId="77777777" w:rsidR="00CB0062" w:rsidRDefault="00CB0062" w:rsidP="00223E56">
            <w:pPr>
              <w:rPr>
                <w:color w:val="000000"/>
                <w:sz w:val="16"/>
                <w:szCs w:val="16"/>
              </w:rPr>
            </w:pPr>
            <w:r>
              <w:rPr>
                <w:color w:val="000000"/>
                <w:sz w:val="16"/>
                <w:szCs w:val="16"/>
              </w:rPr>
              <w:t>T&gt;</w:t>
            </w:r>
            <w:proofErr w:type="gramStart"/>
            <w:r>
              <w:rPr>
                <w:color w:val="000000"/>
                <w:sz w:val="16"/>
                <w:szCs w:val="16"/>
              </w:rPr>
              <w:t>A,C</w:t>
            </w:r>
            <w:proofErr w:type="gramEnd"/>
          </w:p>
        </w:tc>
        <w:tc>
          <w:tcPr>
            <w:tcW w:w="1701" w:type="dxa"/>
            <w:tcBorders>
              <w:top w:val="single" w:sz="4" w:space="0" w:color="000000"/>
              <w:bottom w:val="single" w:sz="4" w:space="0" w:color="000000"/>
            </w:tcBorders>
            <w:tcMar>
              <w:top w:w="-113" w:type="dxa"/>
              <w:left w:w="-113" w:type="dxa"/>
              <w:bottom w:w="-113" w:type="dxa"/>
              <w:right w:w="-113" w:type="dxa"/>
            </w:tcMar>
          </w:tcPr>
          <w:p w14:paraId="51B5F9DB" w14:textId="77777777" w:rsidR="00CB0062" w:rsidRDefault="00CB0062" w:rsidP="00223E56">
            <w:pPr>
              <w:rPr>
                <w:color w:val="000000"/>
                <w:sz w:val="16"/>
                <w:szCs w:val="16"/>
              </w:rPr>
            </w:pPr>
            <w:r>
              <w:rPr>
                <w:color w:val="000000"/>
                <w:sz w:val="16"/>
                <w:szCs w:val="16"/>
              </w:rPr>
              <w:t>Intron variant</w:t>
            </w:r>
          </w:p>
        </w:tc>
        <w:tc>
          <w:tcPr>
            <w:tcW w:w="708" w:type="dxa"/>
            <w:tcBorders>
              <w:top w:val="single" w:sz="4" w:space="0" w:color="000000"/>
              <w:bottom w:val="single" w:sz="4" w:space="0" w:color="000000"/>
            </w:tcBorders>
            <w:tcMar>
              <w:top w:w="-113" w:type="dxa"/>
              <w:left w:w="-113" w:type="dxa"/>
              <w:bottom w:w="-113" w:type="dxa"/>
              <w:right w:w="-113" w:type="dxa"/>
            </w:tcMar>
          </w:tcPr>
          <w:p w14:paraId="4D3F251E" w14:textId="77777777" w:rsidR="00CB0062" w:rsidRDefault="00CB0062" w:rsidP="00223E56">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0A7FD295" w14:textId="77777777" w:rsidR="00CB0062" w:rsidRDefault="00CB0062" w:rsidP="00223E56">
            <w:pPr>
              <w:rPr>
                <w:color w:val="000000"/>
                <w:sz w:val="16"/>
                <w:szCs w:val="16"/>
              </w:rPr>
            </w:pPr>
            <w:r>
              <w:rPr>
                <w:sz w:val="16"/>
                <w:szCs w:val="16"/>
              </w:rPr>
              <w:t>Grau-Perez et al. 2018</w:t>
            </w:r>
          </w:p>
        </w:tc>
      </w:tr>
      <w:tr w:rsidR="00CB0062" w14:paraId="437B4E0F"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75924A5D" w14:textId="77777777" w:rsidR="00CB0062" w:rsidRDefault="00CB0062" w:rsidP="00223E56">
            <w:pPr>
              <w:rPr>
                <w:i/>
                <w:color w:val="000000"/>
                <w:sz w:val="16"/>
                <w:szCs w:val="16"/>
              </w:rPr>
            </w:pPr>
            <w:r>
              <w:rPr>
                <w:i/>
                <w:color w:val="000000"/>
                <w:sz w:val="16"/>
                <w:szCs w:val="16"/>
              </w:rPr>
              <w:t>IL1RL1</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083BCC39" w14:textId="77777777" w:rsidR="00CB0062" w:rsidRDefault="00CB0062" w:rsidP="00223E56">
            <w:pPr>
              <w:rPr>
                <w:color w:val="000000"/>
                <w:sz w:val="16"/>
                <w:szCs w:val="16"/>
              </w:rPr>
            </w:pPr>
            <w:r>
              <w:rPr>
                <w:color w:val="000000"/>
                <w:sz w:val="16"/>
                <w:szCs w:val="16"/>
              </w:rPr>
              <w:t>Interleukin 1 receptor-like 1</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79165289" w14:textId="77777777" w:rsidR="00CB0062" w:rsidRDefault="00CB0062" w:rsidP="00223E56">
            <w:pPr>
              <w:rPr>
                <w:color w:val="000000"/>
                <w:sz w:val="16"/>
                <w:szCs w:val="16"/>
              </w:rPr>
            </w:pPr>
            <w:r>
              <w:rPr>
                <w:color w:val="000000"/>
                <w:sz w:val="16"/>
                <w:szCs w:val="16"/>
              </w:rPr>
              <w:t>rs11685424</w:t>
            </w:r>
          </w:p>
        </w:tc>
        <w:tc>
          <w:tcPr>
            <w:tcW w:w="851" w:type="dxa"/>
            <w:tcBorders>
              <w:top w:val="single" w:sz="4" w:space="0" w:color="000000"/>
              <w:bottom w:val="single" w:sz="4" w:space="0" w:color="000000"/>
            </w:tcBorders>
            <w:tcMar>
              <w:top w:w="-113" w:type="dxa"/>
              <w:left w:w="-113" w:type="dxa"/>
              <w:bottom w:w="-113" w:type="dxa"/>
              <w:right w:w="-113" w:type="dxa"/>
            </w:tcMar>
          </w:tcPr>
          <w:p w14:paraId="68695BEF" w14:textId="77777777" w:rsidR="00CB0062" w:rsidRDefault="00CB0062" w:rsidP="00223E56">
            <w:pPr>
              <w:rPr>
                <w:color w:val="000000"/>
                <w:sz w:val="16"/>
                <w:szCs w:val="16"/>
              </w:rPr>
            </w:pPr>
            <w:r>
              <w:rPr>
                <w:color w:val="000000"/>
                <w:sz w:val="16"/>
                <w:szCs w:val="16"/>
              </w:rPr>
              <w:t>G&gt;</w:t>
            </w:r>
            <w:proofErr w:type="gramStart"/>
            <w:r>
              <w:rPr>
                <w:color w:val="000000"/>
                <w:sz w:val="16"/>
                <w:szCs w:val="16"/>
              </w:rPr>
              <w:t>A,C</w:t>
            </w:r>
            <w:proofErr w:type="gramEnd"/>
            <w:r>
              <w:rPr>
                <w:color w:val="000000"/>
                <w:sz w:val="16"/>
                <w:szCs w:val="16"/>
              </w:rPr>
              <w:t>,T</w:t>
            </w:r>
          </w:p>
        </w:tc>
        <w:tc>
          <w:tcPr>
            <w:tcW w:w="1701" w:type="dxa"/>
            <w:tcBorders>
              <w:top w:val="single" w:sz="4" w:space="0" w:color="000000"/>
              <w:bottom w:val="single" w:sz="4" w:space="0" w:color="000000"/>
            </w:tcBorders>
            <w:tcMar>
              <w:top w:w="-113" w:type="dxa"/>
              <w:left w:w="-113" w:type="dxa"/>
              <w:bottom w:w="-113" w:type="dxa"/>
              <w:right w:w="-113" w:type="dxa"/>
            </w:tcMar>
          </w:tcPr>
          <w:p w14:paraId="2CF8DDEE" w14:textId="77777777" w:rsidR="00CB0062" w:rsidRDefault="00CB0062" w:rsidP="00223E56">
            <w:pPr>
              <w:rPr>
                <w:color w:val="000000"/>
                <w:sz w:val="16"/>
                <w:szCs w:val="16"/>
              </w:rPr>
            </w:pPr>
            <w:r>
              <w:rPr>
                <w:sz w:val="16"/>
                <w:szCs w:val="16"/>
              </w:rPr>
              <w:t>2KB Upstream variant</w:t>
            </w:r>
          </w:p>
        </w:tc>
        <w:tc>
          <w:tcPr>
            <w:tcW w:w="708" w:type="dxa"/>
            <w:tcBorders>
              <w:top w:val="single" w:sz="4" w:space="0" w:color="000000"/>
              <w:bottom w:val="single" w:sz="4" w:space="0" w:color="000000"/>
            </w:tcBorders>
            <w:tcMar>
              <w:top w:w="-113" w:type="dxa"/>
              <w:left w:w="-113" w:type="dxa"/>
              <w:bottom w:w="-113" w:type="dxa"/>
              <w:right w:w="-113" w:type="dxa"/>
            </w:tcMar>
          </w:tcPr>
          <w:p w14:paraId="6266C1D6" w14:textId="77777777" w:rsidR="00CB0062" w:rsidRDefault="00CB0062" w:rsidP="00223E56">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1B27086F" w14:textId="77777777" w:rsidR="00CB0062" w:rsidRDefault="00CB0062" w:rsidP="00223E56">
            <w:pPr>
              <w:rPr>
                <w:color w:val="000000"/>
                <w:sz w:val="16"/>
                <w:szCs w:val="16"/>
              </w:rPr>
            </w:pPr>
            <w:r>
              <w:rPr>
                <w:sz w:val="16"/>
                <w:szCs w:val="16"/>
              </w:rPr>
              <w:t>Grau-Perez et al. 2018</w:t>
            </w:r>
          </w:p>
        </w:tc>
      </w:tr>
      <w:tr w:rsidR="00CB0062" w:rsidRPr="0030321B" w14:paraId="105E56D4" w14:textId="77777777" w:rsidTr="00923C73">
        <w:trPr>
          <w:trHeight w:val="61"/>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C6E7714" w14:textId="77777777" w:rsidR="00CB0062" w:rsidRDefault="00CB0062" w:rsidP="00223E56">
            <w:pPr>
              <w:rPr>
                <w:i/>
                <w:color w:val="000000"/>
                <w:sz w:val="16"/>
                <w:szCs w:val="16"/>
              </w:rPr>
            </w:pPr>
            <w:r>
              <w:rPr>
                <w:i/>
                <w:color w:val="000000"/>
                <w:sz w:val="16"/>
                <w:szCs w:val="16"/>
              </w:rPr>
              <w:t>IL6</w:t>
            </w:r>
          </w:p>
          <w:p w14:paraId="64DB2E1A"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784949B" w14:textId="77777777" w:rsidR="00CB0062" w:rsidRDefault="00CB0062" w:rsidP="00223E56">
            <w:pPr>
              <w:rPr>
                <w:color w:val="000000"/>
                <w:sz w:val="16"/>
                <w:szCs w:val="16"/>
              </w:rPr>
            </w:pPr>
            <w:r>
              <w:rPr>
                <w:color w:val="000000"/>
                <w:sz w:val="16"/>
                <w:szCs w:val="16"/>
              </w:rPr>
              <w:t>Interleukin 6</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4445CD22" w14:textId="77777777" w:rsidR="00CB0062" w:rsidRDefault="00CB0062" w:rsidP="00223E56">
            <w:pPr>
              <w:rPr>
                <w:color w:val="000000"/>
                <w:sz w:val="16"/>
                <w:szCs w:val="16"/>
              </w:rPr>
            </w:pPr>
            <w:r>
              <w:rPr>
                <w:color w:val="000000"/>
                <w:sz w:val="16"/>
                <w:szCs w:val="16"/>
              </w:rPr>
              <w:t>rs11544633</w:t>
            </w:r>
          </w:p>
        </w:tc>
        <w:tc>
          <w:tcPr>
            <w:tcW w:w="851" w:type="dxa"/>
            <w:tcBorders>
              <w:top w:val="single" w:sz="4" w:space="0" w:color="000000"/>
              <w:bottom w:val="single" w:sz="4" w:space="0" w:color="D0CECE"/>
            </w:tcBorders>
            <w:tcMar>
              <w:top w:w="-113" w:type="dxa"/>
              <w:left w:w="-113" w:type="dxa"/>
              <w:bottom w:w="-113" w:type="dxa"/>
              <w:right w:w="-113" w:type="dxa"/>
            </w:tcMar>
          </w:tcPr>
          <w:p w14:paraId="44DB6E7D" w14:textId="77777777" w:rsidR="00CB0062" w:rsidRDefault="00CB0062" w:rsidP="00223E56">
            <w:pPr>
              <w:rPr>
                <w:color w:val="000000"/>
                <w:sz w:val="16"/>
                <w:szCs w:val="16"/>
              </w:rPr>
            </w:pPr>
            <w:r>
              <w:rPr>
                <w:color w:val="000000"/>
                <w:sz w:val="16"/>
                <w:szCs w:val="16"/>
              </w:rPr>
              <w:t>T&gt;C</w:t>
            </w:r>
          </w:p>
        </w:tc>
        <w:tc>
          <w:tcPr>
            <w:tcW w:w="1701" w:type="dxa"/>
            <w:tcBorders>
              <w:top w:val="single" w:sz="4" w:space="0" w:color="000000"/>
              <w:bottom w:val="single" w:sz="4" w:space="0" w:color="D0CECE"/>
            </w:tcBorders>
            <w:tcMar>
              <w:top w:w="-113" w:type="dxa"/>
              <w:left w:w="-113" w:type="dxa"/>
              <w:bottom w:w="-113" w:type="dxa"/>
              <w:right w:w="-113" w:type="dxa"/>
            </w:tcMar>
          </w:tcPr>
          <w:p w14:paraId="312A82C9" w14:textId="77777777" w:rsidR="00CB0062" w:rsidRDefault="00CB0062" w:rsidP="00223E56">
            <w:pPr>
              <w:rPr>
                <w:color w:val="000000"/>
                <w:sz w:val="16"/>
                <w:szCs w:val="16"/>
              </w:rPr>
            </w:pPr>
            <w:r>
              <w:rPr>
                <w:color w:val="000000"/>
                <w:sz w:val="16"/>
                <w:szCs w:val="16"/>
              </w:rPr>
              <w:t>Missense variant</w:t>
            </w:r>
          </w:p>
        </w:tc>
        <w:tc>
          <w:tcPr>
            <w:tcW w:w="708" w:type="dxa"/>
            <w:tcBorders>
              <w:top w:val="single" w:sz="4" w:space="0" w:color="000000"/>
              <w:bottom w:val="single" w:sz="4" w:space="0" w:color="D0CECE"/>
            </w:tcBorders>
            <w:tcMar>
              <w:top w:w="-113" w:type="dxa"/>
              <w:left w:w="-113" w:type="dxa"/>
              <w:bottom w:w="-113" w:type="dxa"/>
              <w:right w:w="-113" w:type="dxa"/>
            </w:tcMar>
          </w:tcPr>
          <w:p w14:paraId="46E81689" w14:textId="77777777" w:rsidR="00CB0062" w:rsidRDefault="00CB0062" w:rsidP="00223E56">
            <w:pPr>
              <w:rPr>
                <w:color w:val="000000"/>
                <w:sz w:val="16"/>
                <w:szCs w:val="16"/>
              </w:rPr>
            </w:pPr>
            <w:r>
              <w:rPr>
                <w:color w:val="000000"/>
                <w:sz w:val="16"/>
                <w:szCs w:val="16"/>
              </w:rPr>
              <w:t>CVD</w:t>
            </w:r>
          </w:p>
          <w:p w14:paraId="50B5647A" w14:textId="77777777" w:rsidR="00CB0062" w:rsidRDefault="00CB0062" w:rsidP="00223E56">
            <w:pPr>
              <w:rPr>
                <w:sz w:val="16"/>
                <w:szCs w:val="16"/>
              </w:rPr>
            </w:pPr>
            <w:r>
              <w:rPr>
                <w:sz w:val="16"/>
                <w:szCs w:val="16"/>
              </w:rPr>
              <w:t>CIMT</w:t>
            </w:r>
          </w:p>
        </w:tc>
        <w:tc>
          <w:tcPr>
            <w:tcW w:w="1838" w:type="dxa"/>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9DC8CF0"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7D17AD3F"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tc>
      </w:tr>
      <w:tr w:rsidR="00CB0062" w14:paraId="6FB5D885"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E35D01F"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17DE537"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15CF526A" w14:textId="77777777" w:rsidR="00CB0062" w:rsidRDefault="00CB0062" w:rsidP="00223E56">
            <w:pPr>
              <w:rPr>
                <w:sz w:val="16"/>
                <w:szCs w:val="16"/>
              </w:rPr>
            </w:pPr>
            <w:r>
              <w:rPr>
                <w:color w:val="000000"/>
                <w:sz w:val="16"/>
                <w:szCs w:val="16"/>
              </w:rPr>
              <w:t>rs13306435</w:t>
            </w:r>
          </w:p>
          <w:p w14:paraId="4D996168" w14:textId="77777777" w:rsidR="00CB0062" w:rsidRDefault="00CB0062" w:rsidP="00223E56">
            <w:pPr>
              <w:rPr>
                <w:sz w:val="16"/>
                <w:szCs w:val="16"/>
              </w:rPr>
            </w:pPr>
          </w:p>
        </w:tc>
        <w:tc>
          <w:tcPr>
            <w:tcW w:w="85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103AB5C4" w14:textId="77777777" w:rsidR="00CB0062" w:rsidRDefault="00CB0062" w:rsidP="00223E56">
            <w:pPr>
              <w:rPr>
                <w:color w:val="000000"/>
                <w:sz w:val="16"/>
                <w:szCs w:val="16"/>
              </w:rPr>
            </w:pPr>
            <w:r>
              <w:rPr>
                <w:color w:val="000000"/>
                <w:sz w:val="16"/>
                <w:szCs w:val="16"/>
              </w:rPr>
              <w:t>T&gt;</w:t>
            </w:r>
            <w:proofErr w:type="gramStart"/>
            <w:r>
              <w:rPr>
                <w:color w:val="000000"/>
                <w:sz w:val="16"/>
                <w:szCs w:val="16"/>
              </w:rPr>
              <w:t>A,C</w:t>
            </w:r>
            <w:proofErr w:type="gramEnd"/>
          </w:p>
        </w:tc>
        <w:tc>
          <w:tcPr>
            <w:tcW w:w="170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375BD1A8" w14:textId="77777777" w:rsidR="00CB0062" w:rsidRDefault="00CB0062" w:rsidP="00223E56">
            <w:pPr>
              <w:rPr>
                <w:color w:val="000000"/>
                <w:sz w:val="16"/>
                <w:szCs w:val="16"/>
              </w:rPr>
            </w:pPr>
            <w:r>
              <w:rPr>
                <w:color w:val="000000"/>
                <w:sz w:val="16"/>
                <w:szCs w:val="16"/>
              </w:rPr>
              <w:t>Missense variant</w:t>
            </w:r>
          </w:p>
        </w:tc>
        <w:tc>
          <w:tcPr>
            <w:tcW w:w="708" w:type="dxa"/>
            <w:tcBorders>
              <w:top w:val="single" w:sz="4" w:space="0" w:color="D0CECE"/>
              <w:bottom w:val="single" w:sz="4" w:space="0" w:color="D0CECE"/>
            </w:tcBorders>
            <w:shd w:val="clear" w:color="auto" w:fill="auto"/>
            <w:tcMar>
              <w:top w:w="-113" w:type="dxa"/>
              <w:left w:w="-113" w:type="dxa"/>
              <w:bottom w:w="-113" w:type="dxa"/>
              <w:right w:w="-113" w:type="dxa"/>
            </w:tcMar>
          </w:tcPr>
          <w:p w14:paraId="5886EF60" w14:textId="77777777" w:rsidR="00CB0062" w:rsidRDefault="00CB0062" w:rsidP="00223E56">
            <w:pPr>
              <w:rPr>
                <w:color w:val="000000"/>
                <w:sz w:val="16"/>
                <w:szCs w:val="16"/>
              </w:rPr>
            </w:pPr>
            <w:r>
              <w:rPr>
                <w:color w:val="000000"/>
                <w:sz w:val="16"/>
                <w:szCs w:val="16"/>
              </w:rPr>
              <w:t>SBP</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4B9A0B71" w14:textId="77777777" w:rsidR="00CB0062" w:rsidRDefault="00CB0062" w:rsidP="00223E56">
            <w:pPr>
              <w:rPr>
                <w:color w:val="000000"/>
                <w:sz w:val="16"/>
                <w:szCs w:val="16"/>
              </w:rPr>
            </w:pPr>
            <w:r>
              <w:rPr>
                <w:sz w:val="16"/>
                <w:szCs w:val="16"/>
              </w:rPr>
              <w:t xml:space="preserve">Farzan </w:t>
            </w:r>
            <w:r>
              <w:rPr>
                <w:i/>
                <w:sz w:val="16"/>
                <w:szCs w:val="16"/>
              </w:rPr>
              <w:t>et al.</w:t>
            </w:r>
            <w:r>
              <w:rPr>
                <w:sz w:val="16"/>
                <w:szCs w:val="16"/>
              </w:rPr>
              <w:t xml:space="preserve"> 2016</w:t>
            </w:r>
          </w:p>
        </w:tc>
      </w:tr>
      <w:tr w:rsidR="00CB0062" w:rsidRPr="0030321B" w14:paraId="64D6E2B7"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E406AC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84DA69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55FDD01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0523FFC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5117785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tcBorders>
              <w:top w:val="single" w:sz="4" w:space="0" w:color="D0CECE"/>
              <w:bottom w:val="single" w:sz="4" w:space="0" w:color="D0CECE"/>
            </w:tcBorders>
            <w:tcMar>
              <w:top w:w="-113" w:type="dxa"/>
              <w:left w:w="-113" w:type="dxa"/>
              <w:bottom w:w="-113" w:type="dxa"/>
              <w:right w:w="-113" w:type="dxa"/>
            </w:tcMar>
          </w:tcPr>
          <w:p w14:paraId="0C6F6FCE" w14:textId="77777777" w:rsidR="00CB0062" w:rsidRDefault="00CB0062" w:rsidP="00223E56">
            <w:pPr>
              <w:rPr>
                <w:color w:val="000000"/>
                <w:sz w:val="16"/>
                <w:szCs w:val="16"/>
              </w:rPr>
            </w:pPr>
            <w:r>
              <w:rPr>
                <w:color w:val="000000"/>
                <w:sz w:val="16"/>
                <w:szCs w:val="16"/>
              </w:rPr>
              <w:t>CVD</w:t>
            </w:r>
          </w:p>
          <w:p w14:paraId="2A20E40A" w14:textId="77777777" w:rsidR="00CB0062" w:rsidRDefault="00CB0062" w:rsidP="00223E56">
            <w:pPr>
              <w:rPr>
                <w:sz w:val="16"/>
                <w:szCs w:val="16"/>
              </w:rPr>
            </w:pPr>
            <w:r>
              <w:rPr>
                <w:sz w:val="16"/>
                <w:szCs w:val="16"/>
              </w:rPr>
              <w:t>CIMT</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4AD921EF"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06F7A08D"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tc>
      </w:tr>
      <w:tr w:rsidR="00CB0062" w14:paraId="4185CFDF"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2C467BD"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3CC8EA8"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3989AA6F" w14:textId="77777777" w:rsidR="00CB0062" w:rsidRDefault="00CB0062" w:rsidP="00223E56">
            <w:pPr>
              <w:rPr>
                <w:sz w:val="16"/>
                <w:szCs w:val="16"/>
              </w:rPr>
            </w:pPr>
            <w:r>
              <w:rPr>
                <w:color w:val="000000"/>
                <w:sz w:val="16"/>
                <w:szCs w:val="16"/>
              </w:rPr>
              <w:t>rs1474347</w:t>
            </w:r>
          </w:p>
          <w:p w14:paraId="715C3146" w14:textId="77777777" w:rsidR="00CB0062" w:rsidRDefault="00CB0062" w:rsidP="00223E56">
            <w:pPr>
              <w:rPr>
                <w:sz w:val="16"/>
                <w:szCs w:val="16"/>
              </w:rPr>
            </w:pPr>
          </w:p>
        </w:tc>
        <w:tc>
          <w:tcPr>
            <w:tcW w:w="85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78DB392C" w14:textId="77777777" w:rsidR="00CB0062" w:rsidRDefault="00CB0062" w:rsidP="00223E56">
            <w:pPr>
              <w:rPr>
                <w:color w:val="000000"/>
                <w:sz w:val="16"/>
                <w:szCs w:val="16"/>
              </w:rPr>
            </w:pPr>
            <w:r>
              <w:rPr>
                <w:color w:val="000000"/>
                <w:sz w:val="16"/>
                <w:szCs w:val="16"/>
              </w:rPr>
              <w:t>C&gt;</w:t>
            </w:r>
            <w:proofErr w:type="gramStart"/>
            <w:r>
              <w:rPr>
                <w:color w:val="000000"/>
                <w:sz w:val="16"/>
                <w:szCs w:val="16"/>
              </w:rPr>
              <w:t>A,G</w:t>
            </w:r>
            <w:proofErr w:type="gramEnd"/>
          </w:p>
        </w:tc>
        <w:tc>
          <w:tcPr>
            <w:tcW w:w="170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0D2D38A9" w14:textId="77777777" w:rsidR="00CB0062" w:rsidRDefault="00CB0062" w:rsidP="00223E56">
            <w:pPr>
              <w:rPr>
                <w:color w:val="000000"/>
                <w:sz w:val="16"/>
                <w:szCs w:val="16"/>
              </w:rPr>
            </w:pPr>
            <w:r>
              <w:rPr>
                <w:color w:val="000000"/>
                <w:sz w:val="16"/>
                <w:szCs w:val="16"/>
              </w:rPr>
              <w:t>Intron variant</w:t>
            </w:r>
          </w:p>
        </w:tc>
        <w:tc>
          <w:tcPr>
            <w:tcW w:w="708" w:type="dxa"/>
            <w:tcBorders>
              <w:top w:val="single" w:sz="4" w:space="0" w:color="D0CECE"/>
              <w:bottom w:val="single" w:sz="4" w:space="0" w:color="D0CECE"/>
            </w:tcBorders>
            <w:shd w:val="clear" w:color="auto" w:fill="auto"/>
            <w:tcMar>
              <w:top w:w="-113" w:type="dxa"/>
              <w:left w:w="-113" w:type="dxa"/>
              <w:bottom w:w="-113" w:type="dxa"/>
              <w:right w:w="-113" w:type="dxa"/>
            </w:tcMar>
          </w:tcPr>
          <w:p w14:paraId="1AE35F9F" w14:textId="77777777" w:rsidR="00CB0062" w:rsidRDefault="00CB0062" w:rsidP="00223E56">
            <w:pPr>
              <w:rPr>
                <w:color w:val="000000"/>
                <w:sz w:val="16"/>
                <w:szCs w:val="16"/>
              </w:rPr>
            </w:pPr>
            <w:r>
              <w:rPr>
                <w:color w:val="000000"/>
                <w:sz w:val="16"/>
                <w:szCs w:val="16"/>
              </w:rPr>
              <w:t>SBP</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1FD82165" w14:textId="77777777" w:rsidR="00CB0062" w:rsidRDefault="00CB0062" w:rsidP="00223E56">
            <w:pPr>
              <w:rPr>
                <w:color w:val="000000"/>
                <w:sz w:val="16"/>
                <w:szCs w:val="16"/>
              </w:rPr>
            </w:pPr>
            <w:r>
              <w:rPr>
                <w:sz w:val="16"/>
                <w:szCs w:val="16"/>
              </w:rPr>
              <w:t xml:space="preserve">Farzan </w:t>
            </w:r>
            <w:r>
              <w:rPr>
                <w:i/>
                <w:sz w:val="16"/>
                <w:szCs w:val="16"/>
              </w:rPr>
              <w:t>et al.</w:t>
            </w:r>
            <w:r>
              <w:rPr>
                <w:sz w:val="16"/>
                <w:szCs w:val="16"/>
              </w:rPr>
              <w:t xml:space="preserve"> 2016</w:t>
            </w:r>
          </w:p>
        </w:tc>
      </w:tr>
      <w:tr w:rsidR="00CB0062" w:rsidRPr="0030321B" w14:paraId="25AD6C34"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5846FF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4C8E57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2A172A8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55C6FD9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4DFA87E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tcBorders>
              <w:top w:val="single" w:sz="4" w:space="0" w:color="D0CECE"/>
              <w:bottom w:val="single" w:sz="4" w:space="0" w:color="D0CECE"/>
            </w:tcBorders>
            <w:tcMar>
              <w:top w:w="-113" w:type="dxa"/>
              <w:left w:w="-113" w:type="dxa"/>
              <w:bottom w:w="-113" w:type="dxa"/>
              <w:right w:w="-113" w:type="dxa"/>
            </w:tcMar>
          </w:tcPr>
          <w:p w14:paraId="1F3D90A7" w14:textId="77777777" w:rsidR="00CB0062" w:rsidRDefault="00CB0062" w:rsidP="00223E56">
            <w:pPr>
              <w:rPr>
                <w:color w:val="000000"/>
                <w:sz w:val="16"/>
                <w:szCs w:val="16"/>
              </w:rPr>
            </w:pPr>
            <w:r>
              <w:rPr>
                <w:color w:val="000000"/>
                <w:sz w:val="16"/>
                <w:szCs w:val="16"/>
              </w:rPr>
              <w:t>CVD</w:t>
            </w:r>
          </w:p>
          <w:p w14:paraId="17E30C52" w14:textId="77777777" w:rsidR="00CB0062" w:rsidRDefault="00CB0062" w:rsidP="00223E56">
            <w:pPr>
              <w:rPr>
                <w:sz w:val="16"/>
                <w:szCs w:val="16"/>
              </w:rPr>
            </w:pPr>
            <w:r>
              <w:rPr>
                <w:sz w:val="16"/>
                <w:szCs w:val="16"/>
              </w:rPr>
              <w:t>CIMT</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7C5C5B5C"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7E29D3C0"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tc>
      </w:tr>
      <w:tr w:rsidR="00CB0062" w14:paraId="77C050DB"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91CDFAF"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3BDF96B"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1A16443B" w14:textId="77777777" w:rsidR="00CB0062" w:rsidRDefault="00CB0062" w:rsidP="00223E56">
            <w:pPr>
              <w:rPr>
                <w:sz w:val="16"/>
                <w:szCs w:val="16"/>
              </w:rPr>
            </w:pPr>
            <w:r>
              <w:rPr>
                <w:color w:val="000000"/>
                <w:sz w:val="16"/>
                <w:szCs w:val="16"/>
              </w:rPr>
              <w:t>rs1524107</w:t>
            </w:r>
          </w:p>
          <w:p w14:paraId="63445469" w14:textId="77777777" w:rsidR="00CB0062" w:rsidRDefault="00CB0062" w:rsidP="00223E56">
            <w:pPr>
              <w:rPr>
                <w:sz w:val="16"/>
                <w:szCs w:val="16"/>
              </w:rPr>
            </w:pPr>
          </w:p>
        </w:tc>
        <w:tc>
          <w:tcPr>
            <w:tcW w:w="85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4F673D33" w14:textId="77777777" w:rsidR="00CB0062" w:rsidRDefault="00CB0062" w:rsidP="00223E56">
            <w:pPr>
              <w:rPr>
                <w:color w:val="000000"/>
                <w:sz w:val="16"/>
                <w:szCs w:val="16"/>
              </w:rPr>
            </w:pPr>
            <w:r>
              <w:rPr>
                <w:color w:val="000000"/>
                <w:sz w:val="16"/>
                <w:szCs w:val="16"/>
              </w:rPr>
              <w:t>C&gt;</w:t>
            </w:r>
            <w:proofErr w:type="gramStart"/>
            <w:r>
              <w:rPr>
                <w:color w:val="000000"/>
                <w:sz w:val="16"/>
                <w:szCs w:val="16"/>
              </w:rPr>
              <w:t>G,T</w:t>
            </w:r>
            <w:proofErr w:type="gramEnd"/>
          </w:p>
        </w:tc>
        <w:tc>
          <w:tcPr>
            <w:tcW w:w="170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46A3AD6F" w14:textId="77777777" w:rsidR="00CB0062" w:rsidRDefault="00CB0062" w:rsidP="00223E56">
            <w:pPr>
              <w:rPr>
                <w:color w:val="000000"/>
                <w:sz w:val="16"/>
                <w:szCs w:val="16"/>
              </w:rPr>
            </w:pPr>
            <w:r>
              <w:rPr>
                <w:color w:val="000000"/>
                <w:sz w:val="16"/>
                <w:szCs w:val="16"/>
              </w:rPr>
              <w:t>Intron variant</w:t>
            </w:r>
          </w:p>
        </w:tc>
        <w:tc>
          <w:tcPr>
            <w:tcW w:w="708" w:type="dxa"/>
            <w:tcBorders>
              <w:top w:val="single" w:sz="4" w:space="0" w:color="D0CECE"/>
              <w:bottom w:val="single" w:sz="4" w:space="0" w:color="D0CECE"/>
            </w:tcBorders>
            <w:shd w:val="clear" w:color="auto" w:fill="auto"/>
            <w:tcMar>
              <w:top w:w="-113" w:type="dxa"/>
              <w:left w:w="-113" w:type="dxa"/>
              <w:bottom w:w="-113" w:type="dxa"/>
              <w:right w:w="-113" w:type="dxa"/>
            </w:tcMar>
          </w:tcPr>
          <w:p w14:paraId="10416859" w14:textId="77777777" w:rsidR="00CB0062" w:rsidRDefault="00CB0062" w:rsidP="00223E56">
            <w:pPr>
              <w:rPr>
                <w:color w:val="000000"/>
                <w:sz w:val="16"/>
                <w:szCs w:val="16"/>
              </w:rPr>
            </w:pPr>
            <w:r>
              <w:rPr>
                <w:color w:val="000000"/>
                <w:sz w:val="16"/>
                <w:szCs w:val="16"/>
              </w:rPr>
              <w:t>DBP</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384CDCD3" w14:textId="77777777" w:rsidR="00CB0062" w:rsidRDefault="00CB0062" w:rsidP="00223E56">
            <w:pPr>
              <w:rPr>
                <w:sz w:val="16"/>
                <w:szCs w:val="16"/>
              </w:rPr>
            </w:pPr>
            <w:r>
              <w:rPr>
                <w:sz w:val="16"/>
                <w:szCs w:val="16"/>
              </w:rPr>
              <w:t xml:space="preserve">Farzan </w:t>
            </w:r>
            <w:r>
              <w:rPr>
                <w:i/>
                <w:sz w:val="16"/>
                <w:szCs w:val="16"/>
              </w:rPr>
              <w:t>et al.</w:t>
            </w:r>
            <w:r>
              <w:rPr>
                <w:sz w:val="16"/>
                <w:szCs w:val="16"/>
              </w:rPr>
              <w:t xml:space="preserve"> 2016</w:t>
            </w:r>
          </w:p>
        </w:tc>
      </w:tr>
      <w:tr w:rsidR="00CB0062" w14:paraId="558F18A2"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7EAE955" w14:textId="77777777" w:rsidR="00CB0062" w:rsidRDefault="00CB0062" w:rsidP="00223E56">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A061A72" w14:textId="77777777" w:rsidR="00CB0062" w:rsidRDefault="00CB0062" w:rsidP="00223E56">
            <w:pPr>
              <w:widowControl w:val="0"/>
              <w:pBdr>
                <w:top w:val="nil"/>
                <w:left w:val="nil"/>
                <w:bottom w:val="nil"/>
                <w:right w:val="nil"/>
                <w:between w:val="nil"/>
              </w:pBdr>
              <w:spacing w:line="276" w:lineRule="auto"/>
              <w:rPr>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57318CEF" w14:textId="77777777" w:rsidR="00CB0062" w:rsidRDefault="00CB0062" w:rsidP="00223E56">
            <w:pPr>
              <w:widowControl w:val="0"/>
              <w:pBdr>
                <w:top w:val="nil"/>
                <w:left w:val="nil"/>
                <w:bottom w:val="nil"/>
                <w:right w:val="nil"/>
                <w:between w:val="nil"/>
              </w:pBdr>
              <w:spacing w:line="276" w:lineRule="auto"/>
              <w:rPr>
                <w:sz w:val="16"/>
                <w:szCs w:val="16"/>
              </w:rPr>
            </w:pPr>
          </w:p>
        </w:tc>
        <w:tc>
          <w:tcPr>
            <w:tcW w:w="85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22F8A0E4" w14:textId="77777777" w:rsidR="00CB0062" w:rsidRDefault="00CB0062" w:rsidP="00223E56">
            <w:pPr>
              <w:widowControl w:val="0"/>
              <w:pBdr>
                <w:top w:val="nil"/>
                <w:left w:val="nil"/>
                <w:bottom w:val="nil"/>
                <w:right w:val="nil"/>
                <w:between w:val="nil"/>
              </w:pBdr>
              <w:spacing w:line="276" w:lineRule="auto"/>
              <w:rPr>
                <w:sz w:val="16"/>
                <w:szCs w:val="16"/>
              </w:rPr>
            </w:pPr>
          </w:p>
        </w:tc>
        <w:tc>
          <w:tcPr>
            <w:tcW w:w="170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37410C2B" w14:textId="77777777" w:rsidR="00CB0062" w:rsidRDefault="00CB0062" w:rsidP="00223E56">
            <w:pPr>
              <w:widowControl w:val="0"/>
              <w:pBdr>
                <w:top w:val="nil"/>
                <w:left w:val="nil"/>
                <w:bottom w:val="nil"/>
                <w:right w:val="nil"/>
                <w:between w:val="nil"/>
              </w:pBdr>
              <w:spacing w:line="276" w:lineRule="auto"/>
              <w:rPr>
                <w:sz w:val="16"/>
                <w:szCs w:val="16"/>
              </w:rPr>
            </w:pPr>
          </w:p>
        </w:tc>
        <w:tc>
          <w:tcPr>
            <w:tcW w:w="708" w:type="dxa"/>
            <w:tcBorders>
              <w:top w:val="single" w:sz="4" w:space="0" w:color="D0CECE"/>
              <w:bottom w:val="single" w:sz="4" w:space="0" w:color="D0CECE"/>
            </w:tcBorders>
            <w:tcMar>
              <w:top w:w="-113" w:type="dxa"/>
              <w:left w:w="-113" w:type="dxa"/>
              <w:bottom w:w="-113" w:type="dxa"/>
              <w:right w:w="-113" w:type="dxa"/>
            </w:tcMar>
          </w:tcPr>
          <w:p w14:paraId="557C9015" w14:textId="77777777" w:rsidR="00CB0062" w:rsidRDefault="00CB0062" w:rsidP="00223E56">
            <w:pPr>
              <w:rPr>
                <w:color w:val="000000"/>
                <w:sz w:val="16"/>
                <w:szCs w:val="16"/>
              </w:rPr>
            </w:pPr>
            <w:r>
              <w:rPr>
                <w:color w:val="000000"/>
                <w:sz w:val="16"/>
                <w:szCs w:val="16"/>
              </w:rPr>
              <w:t>BP</w:t>
            </w: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26B053E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rsidRPr="0030321B" w14:paraId="118D0E93"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DB0F1A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83304E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18501A8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5415F27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6902FDF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tcBorders>
              <w:top w:val="single" w:sz="4" w:space="0" w:color="D0CECE"/>
              <w:bottom w:val="single" w:sz="4" w:space="0" w:color="D0CECE"/>
            </w:tcBorders>
            <w:tcMar>
              <w:top w:w="-113" w:type="dxa"/>
              <w:left w:w="-113" w:type="dxa"/>
              <w:bottom w:w="-113" w:type="dxa"/>
              <w:right w:w="-113" w:type="dxa"/>
            </w:tcMar>
          </w:tcPr>
          <w:p w14:paraId="32D5E4EB" w14:textId="77777777" w:rsidR="00CB0062" w:rsidRDefault="00CB0062" w:rsidP="00223E56">
            <w:pPr>
              <w:rPr>
                <w:color w:val="000000"/>
                <w:sz w:val="16"/>
                <w:szCs w:val="16"/>
              </w:rPr>
            </w:pPr>
            <w:r>
              <w:rPr>
                <w:color w:val="000000"/>
                <w:sz w:val="16"/>
                <w:szCs w:val="16"/>
              </w:rPr>
              <w:t>CVD</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52BBCC55" w14:textId="77777777" w:rsidR="00CB0062" w:rsidRPr="00641BD3" w:rsidRDefault="00CB0062" w:rsidP="00223E56">
            <w:pPr>
              <w:rPr>
                <w:sz w:val="16"/>
                <w:szCs w:val="16"/>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099AC53B" w14:textId="77777777" w:rsidR="00CB0062" w:rsidRPr="00641BD3" w:rsidRDefault="00CB0062" w:rsidP="00223E56">
            <w:pPr>
              <w:rPr>
                <w:sz w:val="16"/>
                <w:szCs w:val="16"/>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tc>
      </w:tr>
      <w:tr w:rsidR="00CB0062" w14:paraId="50C91C17"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B74E256" w14:textId="77777777" w:rsidR="00CB0062" w:rsidRPr="00641BD3" w:rsidRDefault="00CB0062" w:rsidP="00223E56">
            <w:pPr>
              <w:widowControl w:val="0"/>
              <w:pBdr>
                <w:top w:val="nil"/>
                <w:left w:val="nil"/>
                <w:bottom w:val="nil"/>
                <w:right w:val="nil"/>
                <w:between w:val="nil"/>
              </w:pBdr>
              <w:spacing w:line="276" w:lineRule="auto"/>
              <w:rPr>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E1BDB46" w14:textId="77777777" w:rsidR="00CB0062" w:rsidRPr="00641BD3" w:rsidRDefault="00CB0062" w:rsidP="00223E56">
            <w:pPr>
              <w:widowControl w:val="0"/>
              <w:pBdr>
                <w:top w:val="nil"/>
                <w:left w:val="nil"/>
                <w:bottom w:val="nil"/>
                <w:right w:val="nil"/>
                <w:between w:val="nil"/>
              </w:pBdr>
              <w:spacing w:line="276" w:lineRule="auto"/>
              <w:rPr>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DB80B23" w14:textId="77777777" w:rsidR="00CB0062" w:rsidRDefault="00CB0062" w:rsidP="00223E56">
            <w:pPr>
              <w:rPr>
                <w:color w:val="000000"/>
                <w:sz w:val="16"/>
                <w:szCs w:val="16"/>
              </w:rPr>
            </w:pPr>
            <w:r>
              <w:rPr>
                <w:color w:val="000000"/>
                <w:sz w:val="16"/>
                <w:szCs w:val="16"/>
              </w:rPr>
              <w:t>rs1548216</w:t>
            </w:r>
          </w:p>
        </w:tc>
        <w:tc>
          <w:tcPr>
            <w:tcW w:w="851" w:type="dxa"/>
            <w:tcBorders>
              <w:top w:val="single" w:sz="4" w:space="0" w:color="D0CECE"/>
              <w:bottom w:val="single" w:sz="4" w:space="0" w:color="D0CECE"/>
            </w:tcBorders>
            <w:tcMar>
              <w:top w:w="-113" w:type="dxa"/>
              <w:left w:w="-113" w:type="dxa"/>
              <w:bottom w:w="-113" w:type="dxa"/>
              <w:right w:w="-113" w:type="dxa"/>
            </w:tcMar>
          </w:tcPr>
          <w:p w14:paraId="688FF72F" w14:textId="77777777" w:rsidR="00CB0062" w:rsidRDefault="00CB0062" w:rsidP="00223E56">
            <w:pPr>
              <w:rPr>
                <w:color w:val="000000"/>
                <w:sz w:val="16"/>
                <w:szCs w:val="16"/>
              </w:rPr>
            </w:pPr>
            <w:r>
              <w:rPr>
                <w:color w:val="000000"/>
                <w:sz w:val="16"/>
                <w:szCs w:val="16"/>
              </w:rPr>
              <w:t>G&gt;C</w:t>
            </w:r>
          </w:p>
        </w:tc>
        <w:tc>
          <w:tcPr>
            <w:tcW w:w="1701" w:type="dxa"/>
            <w:tcBorders>
              <w:top w:val="single" w:sz="4" w:space="0" w:color="D0CECE"/>
              <w:bottom w:val="single" w:sz="4" w:space="0" w:color="D0CECE"/>
            </w:tcBorders>
            <w:tcMar>
              <w:top w:w="-113" w:type="dxa"/>
              <w:left w:w="-113" w:type="dxa"/>
              <w:bottom w:w="-113" w:type="dxa"/>
              <w:right w:w="-113" w:type="dxa"/>
            </w:tcMar>
          </w:tcPr>
          <w:p w14:paraId="760AAC20" w14:textId="77777777" w:rsidR="00CB0062" w:rsidRDefault="00CB0062" w:rsidP="00223E56">
            <w:pPr>
              <w:rPr>
                <w:color w:val="000000"/>
                <w:sz w:val="16"/>
                <w:szCs w:val="16"/>
              </w:rPr>
            </w:pPr>
            <w:r>
              <w:rPr>
                <w:color w:val="000000"/>
                <w:sz w:val="16"/>
                <w:szCs w:val="16"/>
              </w:rPr>
              <w:t>Intron variant</w:t>
            </w:r>
          </w:p>
        </w:tc>
        <w:tc>
          <w:tcPr>
            <w:tcW w:w="708" w:type="dxa"/>
            <w:tcBorders>
              <w:top w:val="single" w:sz="4" w:space="0" w:color="D0CECE"/>
              <w:bottom w:val="single" w:sz="4" w:space="0" w:color="D0CECE"/>
            </w:tcBorders>
            <w:tcMar>
              <w:top w:w="-113" w:type="dxa"/>
              <w:left w:w="-113" w:type="dxa"/>
              <w:bottom w:w="-113" w:type="dxa"/>
              <w:right w:w="-113" w:type="dxa"/>
            </w:tcMar>
          </w:tcPr>
          <w:p w14:paraId="127A309A" w14:textId="77777777" w:rsidR="00CB0062" w:rsidRDefault="00CB0062" w:rsidP="00223E56">
            <w:pPr>
              <w:rPr>
                <w:color w:val="000000"/>
                <w:sz w:val="16"/>
                <w:szCs w:val="16"/>
              </w:rPr>
            </w:pPr>
            <w:r>
              <w:rPr>
                <w:color w:val="000000"/>
                <w:sz w:val="16"/>
                <w:szCs w:val="16"/>
              </w:rPr>
              <w:t>C</w:t>
            </w:r>
            <w:r>
              <w:rPr>
                <w:sz w:val="16"/>
                <w:szCs w:val="16"/>
              </w:rPr>
              <w:t>IMT</w:t>
            </w: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74A749D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1F4DBE03"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E478DC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A16C29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4633F6A4" w14:textId="77777777" w:rsidR="00CB0062" w:rsidRDefault="00CB0062" w:rsidP="00223E56">
            <w:pPr>
              <w:rPr>
                <w:sz w:val="16"/>
                <w:szCs w:val="16"/>
              </w:rPr>
            </w:pPr>
            <w:r>
              <w:rPr>
                <w:color w:val="000000"/>
                <w:sz w:val="16"/>
                <w:szCs w:val="16"/>
              </w:rPr>
              <w:t>rs1554606</w:t>
            </w:r>
          </w:p>
          <w:p w14:paraId="5289DEF9" w14:textId="77777777" w:rsidR="00CB0062" w:rsidRDefault="00CB0062" w:rsidP="00223E56">
            <w:pPr>
              <w:rPr>
                <w:sz w:val="16"/>
                <w:szCs w:val="16"/>
              </w:rPr>
            </w:pPr>
          </w:p>
        </w:tc>
        <w:tc>
          <w:tcPr>
            <w:tcW w:w="85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0E3BD7CB" w14:textId="77777777" w:rsidR="00CB0062" w:rsidRDefault="00CB0062" w:rsidP="00223E56">
            <w:pPr>
              <w:rPr>
                <w:color w:val="000000"/>
                <w:sz w:val="16"/>
                <w:szCs w:val="16"/>
              </w:rPr>
            </w:pPr>
            <w:r>
              <w:rPr>
                <w:color w:val="000000"/>
                <w:sz w:val="16"/>
                <w:szCs w:val="16"/>
              </w:rPr>
              <w:t>T&gt;</w:t>
            </w:r>
            <w:proofErr w:type="gramStart"/>
            <w:r>
              <w:rPr>
                <w:color w:val="000000"/>
                <w:sz w:val="16"/>
                <w:szCs w:val="16"/>
              </w:rPr>
              <w:t>A,G</w:t>
            </w:r>
            <w:proofErr w:type="gramEnd"/>
          </w:p>
        </w:tc>
        <w:tc>
          <w:tcPr>
            <w:tcW w:w="170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28D2385A" w14:textId="77777777" w:rsidR="00CB0062" w:rsidRDefault="00CB0062" w:rsidP="00223E56">
            <w:pPr>
              <w:rPr>
                <w:color w:val="000000"/>
                <w:sz w:val="16"/>
                <w:szCs w:val="16"/>
              </w:rPr>
            </w:pPr>
            <w:r>
              <w:rPr>
                <w:color w:val="000000"/>
                <w:sz w:val="16"/>
                <w:szCs w:val="16"/>
              </w:rPr>
              <w:t>Intron variant</w:t>
            </w:r>
          </w:p>
        </w:tc>
        <w:tc>
          <w:tcPr>
            <w:tcW w:w="708" w:type="dxa"/>
            <w:tcBorders>
              <w:top w:val="single" w:sz="4" w:space="0" w:color="D0CECE"/>
              <w:bottom w:val="single" w:sz="4" w:space="0" w:color="D0CECE"/>
            </w:tcBorders>
            <w:shd w:val="clear" w:color="auto" w:fill="auto"/>
            <w:tcMar>
              <w:top w:w="-113" w:type="dxa"/>
              <w:left w:w="-113" w:type="dxa"/>
              <w:bottom w:w="-113" w:type="dxa"/>
              <w:right w:w="-113" w:type="dxa"/>
            </w:tcMar>
          </w:tcPr>
          <w:p w14:paraId="23C8919D" w14:textId="77777777" w:rsidR="00CB0062" w:rsidRDefault="00CB0062" w:rsidP="00223E56">
            <w:pPr>
              <w:rPr>
                <w:color w:val="000000"/>
                <w:sz w:val="16"/>
                <w:szCs w:val="16"/>
              </w:rPr>
            </w:pPr>
            <w:r>
              <w:rPr>
                <w:color w:val="000000"/>
                <w:sz w:val="16"/>
                <w:szCs w:val="16"/>
              </w:rPr>
              <w:t>SBP</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6087015C" w14:textId="77777777" w:rsidR="00CB0062" w:rsidRDefault="00CB0062" w:rsidP="00223E56">
            <w:pPr>
              <w:rPr>
                <w:sz w:val="16"/>
                <w:szCs w:val="16"/>
              </w:rPr>
            </w:pPr>
            <w:r>
              <w:rPr>
                <w:sz w:val="16"/>
                <w:szCs w:val="16"/>
              </w:rPr>
              <w:t xml:space="preserve">Farzan </w:t>
            </w:r>
            <w:r>
              <w:rPr>
                <w:i/>
                <w:sz w:val="16"/>
                <w:szCs w:val="16"/>
              </w:rPr>
              <w:t>et al.</w:t>
            </w:r>
            <w:r>
              <w:rPr>
                <w:sz w:val="16"/>
                <w:szCs w:val="16"/>
              </w:rPr>
              <w:t xml:space="preserve"> 2016</w:t>
            </w:r>
          </w:p>
          <w:p w14:paraId="364C11A5" w14:textId="77777777" w:rsidR="00CB0062" w:rsidRDefault="00CB0062" w:rsidP="00223E56">
            <w:pPr>
              <w:rPr>
                <w:sz w:val="16"/>
                <w:szCs w:val="16"/>
              </w:rPr>
            </w:pPr>
          </w:p>
        </w:tc>
      </w:tr>
      <w:tr w:rsidR="00CB0062" w14:paraId="70B48BAF"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47F2F1E" w14:textId="77777777" w:rsidR="00CB0062" w:rsidRDefault="00CB0062" w:rsidP="00223E56">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E3F43F4" w14:textId="77777777" w:rsidR="00CB0062" w:rsidRDefault="00CB0062" w:rsidP="00223E56">
            <w:pPr>
              <w:widowControl w:val="0"/>
              <w:pBdr>
                <w:top w:val="nil"/>
                <w:left w:val="nil"/>
                <w:bottom w:val="nil"/>
                <w:right w:val="nil"/>
                <w:between w:val="nil"/>
              </w:pBdr>
              <w:spacing w:line="276" w:lineRule="auto"/>
              <w:rPr>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7C1EA800" w14:textId="77777777" w:rsidR="00CB0062" w:rsidRDefault="00CB0062" w:rsidP="00223E56">
            <w:pPr>
              <w:widowControl w:val="0"/>
              <w:pBdr>
                <w:top w:val="nil"/>
                <w:left w:val="nil"/>
                <w:bottom w:val="nil"/>
                <w:right w:val="nil"/>
                <w:between w:val="nil"/>
              </w:pBdr>
              <w:spacing w:line="276" w:lineRule="auto"/>
              <w:rPr>
                <w:sz w:val="16"/>
                <w:szCs w:val="16"/>
              </w:rPr>
            </w:pPr>
          </w:p>
        </w:tc>
        <w:tc>
          <w:tcPr>
            <w:tcW w:w="85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3F200954" w14:textId="77777777" w:rsidR="00CB0062" w:rsidRDefault="00CB0062" w:rsidP="00223E56">
            <w:pPr>
              <w:widowControl w:val="0"/>
              <w:pBdr>
                <w:top w:val="nil"/>
                <w:left w:val="nil"/>
                <w:bottom w:val="nil"/>
                <w:right w:val="nil"/>
                <w:between w:val="nil"/>
              </w:pBdr>
              <w:spacing w:line="276" w:lineRule="auto"/>
              <w:rPr>
                <w:sz w:val="16"/>
                <w:szCs w:val="16"/>
              </w:rPr>
            </w:pPr>
          </w:p>
        </w:tc>
        <w:tc>
          <w:tcPr>
            <w:tcW w:w="170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4B12A29F" w14:textId="77777777" w:rsidR="00CB0062" w:rsidRDefault="00CB0062" w:rsidP="00223E56">
            <w:pPr>
              <w:widowControl w:val="0"/>
              <w:pBdr>
                <w:top w:val="nil"/>
                <w:left w:val="nil"/>
                <w:bottom w:val="nil"/>
                <w:right w:val="nil"/>
                <w:between w:val="nil"/>
              </w:pBdr>
              <w:spacing w:line="276" w:lineRule="auto"/>
              <w:rPr>
                <w:sz w:val="16"/>
                <w:szCs w:val="16"/>
              </w:rPr>
            </w:pPr>
          </w:p>
        </w:tc>
        <w:tc>
          <w:tcPr>
            <w:tcW w:w="708" w:type="dxa"/>
            <w:tcBorders>
              <w:top w:val="single" w:sz="4" w:space="0" w:color="D0CECE"/>
              <w:bottom w:val="single" w:sz="4" w:space="0" w:color="D0CECE"/>
            </w:tcBorders>
            <w:tcMar>
              <w:top w:w="-113" w:type="dxa"/>
              <w:left w:w="-113" w:type="dxa"/>
              <w:bottom w:w="-113" w:type="dxa"/>
              <w:right w:w="-113" w:type="dxa"/>
            </w:tcMar>
          </w:tcPr>
          <w:p w14:paraId="24F59610" w14:textId="77777777" w:rsidR="00CB0062" w:rsidRDefault="00CB0062" w:rsidP="00223E56">
            <w:pPr>
              <w:rPr>
                <w:color w:val="000000"/>
                <w:sz w:val="16"/>
                <w:szCs w:val="16"/>
              </w:rPr>
            </w:pPr>
            <w:r>
              <w:rPr>
                <w:color w:val="000000"/>
                <w:sz w:val="16"/>
                <w:szCs w:val="16"/>
              </w:rPr>
              <w:t>BP</w:t>
            </w: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7C8AB7A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rsidRPr="0030321B" w14:paraId="1AFEADE8"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95FA8B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5D957B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3E06E76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29E7ADF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380A816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tcBorders>
              <w:top w:val="single" w:sz="4" w:space="0" w:color="D0CECE"/>
              <w:bottom w:val="single" w:sz="4" w:space="0" w:color="D0CECE"/>
            </w:tcBorders>
            <w:tcMar>
              <w:top w:w="-113" w:type="dxa"/>
              <w:left w:w="-113" w:type="dxa"/>
              <w:bottom w:w="-113" w:type="dxa"/>
              <w:right w:w="-113" w:type="dxa"/>
            </w:tcMar>
          </w:tcPr>
          <w:p w14:paraId="061312A1" w14:textId="77777777" w:rsidR="00CB0062" w:rsidRDefault="00CB0062" w:rsidP="00223E56">
            <w:pPr>
              <w:rPr>
                <w:color w:val="000000"/>
                <w:sz w:val="16"/>
                <w:szCs w:val="16"/>
              </w:rPr>
            </w:pPr>
            <w:r>
              <w:rPr>
                <w:color w:val="000000"/>
                <w:sz w:val="16"/>
                <w:szCs w:val="16"/>
              </w:rPr>
              <w:t>CVD</w:t>
            </w:r>
          </w:p>
          <w:p w14:paraId="24BE6589" w14:textId="77777777" w:rsidR="00CB0062" w:rsidRDefault="00CB0062" w:rsidP="00223E56">
            <w:pPr>
              <w:rPr>
                <w:sz w:val="16"/>
                <w:szCs w:val="16"/>
              </w:rPr>
            </w:pPr>
            <w:r>
              <w:rPr>
                <w:sz w:val="16"/>
                <w:szCs w:val="16"/>
              </w:rPr>
              <w:t>CIMT</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3749F157"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2ABC75C4"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tc>
      </w:tr>
      <w:tr w:rsidR="00CB0062" w14:paraId="6D40A217" w14:textId="77777777" w:rsidTr="00923C73">
        <w:trPr>
          <w:trHeight w:val="61"/>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7625E9F"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3D4BC39" w14:textId="77777777" w:rsidR="00CB0062" w:rsidRPr="00641BD3" w:rsidRDefault="00CB0062" w:rsidP="00223E56">
            <w:pPr>
              <w:widowControl w:val="0"/>
              <w:pBdr>
                <w:top w:val="nil"/>
                <w:left w:val="nil"/>
                <w:bottom w:val="nil"/>
                <w:right w:val="nil"/>
                <w:between w:val="nil"/>
              </w:pBdr>
              <w:spacing w:line="276" w:lineRule="auto"/>
              <w:rPr>
                <w:color w:val="000000"/>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2345B4F8" w14:textId="77777777" w:rsidR="00CB0062" w:rsidRDefault="00CB0062" w:rsidP="00223E56">
            <w:pPr>
              <w:rPr>
                <w:color w:val="000000"/>
                <w:sz w:val="16"/>
                <w:szCs w:val="16"/>
              </w:rPr>
            </w:pPr>
            <w:r>
              <w:rPr>
                <w:color w:val="000000"/>
                <w:sz w:val="16"/>
                <w:szCs w:val="16"/>
              </w:rPr>
              <w:t>rs1800795</w:t>
            </w:r>
          </w:p>
        </w:tc>
        <w:tc>
          <w:tcPr>
            <w:tcW w:w="851" w:type="dxa"/>
            <w:tcBorders>
              <w:top w:val="single" w:sz="4" w:space="0" w:color="D0CECE"/>
              <w:bottom w:val="single" w:sz="4" w:space="0" w:color="D0CECE"/>
            </w:tcBorders>
            <w:tcMar>
              <w:top w:w="-113" w:type="dxa"/>
              <w:left w:w="-113" w:type="dxa"/>
              <w:bottom w:w="-113" w:type="dxa"/>
              <w:right w:w="-113" w:type="dxa"/>
            </w:tcMar>
          </w:tcPr>
          <w:p w14:paraId="443C54E7" w14:textId="77777777" w:rsidR="00CB0062" w:rsidRDefault="00CB0062" w:rsidP="00223E56">
            <w:pPr>
              <w:rPr>
                <w:color w:val="000000"/>
                <w:sz w:val="16"/>
                <w:szCs w:val="16"/>
              </w:rPr>
            </w:pPr>
            <w:r>
              <w:rPr>
                <w:color w:val="000000"/>
                <w:sz w:val="16"/>
                <w:szCs w:val="16"/>
              </w:rPr>
              <w:t>C&gt;</w:t>
            </w:r>
            <w:proofErr w:type="gramStart"/>
            <w:r>
              <w:rPr>
                <w:color w:val="000000"/>
                <w:sz w:val="16"/>
                <w:szCs w:val="16"/>
              </w:rPr>
              <w:t>G,T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5991EE58" w14:textId="77777777" w:rsidR="00CB0062" w:rsidRDefault="00CB0062" w:rsidP="00223E56">
            <w:pPr>
              <w:rPr>
                <w:color w:val="000000"/>
                <w:sz w:val="16"/>
                <w:szCs w:val="16"/>
              </w:rPr>
            </w:pPr>
            <w:r>
              <w:rPr>
                <w:color w:val="000000"/>
                <w:sz w:val="16"/>
                <w:szCs w:val="16"/>
              </w:rPr>
              <w:t>Intron variant</w:t>
            </w:r>
          </w:p>
        </w:tc>
        <w:tc>
          <w:tcPr>
            <w:tcW w:w="708" w:type="dxa"/>
            <w:tcBorders>
              <w:top w:val="single" w:sz="4" w:space="0" w:color="D0CECE"/>
              <w:bottom w:val="single" w:sz="4" w:space="0" w:color="D0CECE"/>
            </w:tcBorders>
            <w:tcMar>
              <w:top w:w="-113" w:type="dxa"/>
              <w:left w:w="-113" w:type="dxa"/>
              <w:bottom w:w="-113" w:type="dxa"/>
              <w:right w:w="-113" w:type="dxa"/>
            </w:tcMar>
          </w:tcPr>
          <w:p w14:paraId="4E718A4C" w14:textId="77777777" w:rsidR="00CB0062" w:rsidRDefault="00CB0062" w:rsidP="00223E56">
            <w:pPr>
              <w:rPr>
                <w:color w:val="000000"/>
                <w:sz w:val="16"/>
                <w:szCs w:val="16"/>
              </w:rPr>
            </w:pPr>
            <w:r>
              <w:rPr>
                <w:color w:val="000000"/>
                <w:sz w:val="16"/>
                <w:szCs w:val="16"/>
              </w:rPr>
              <w:t>T2DM</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74D367C3" w14:textId="77777777" w:rsidR="00CB0062" w:rsidRDefault="00CB0062" w:rsidP="00223E56">
            <w:pPr>
              <w:rPr>
                <w:color w:val="000000"/>
                <w:sz w:val="16"/>
                <w:szCs w:val="16"/>
              </w:rPr>
            </w:pPr>
            <w:r>
              <w:rPr>
                <w:sz w:val="16"/>
                <w:szCs w:val="16"/>
              </w:rPr>
              <w:t>Grau-Perez et al. 2018</w:t>
            </w:r>
          </w:p>
        </w:tc>
      </w:tr>
      <w:tr w:rsidR="00CB0062" w:rsidRPr="0030321B" w14:paraId="0FB2FCAB"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3974F1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EC2974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A332C4E" w14:textId="77777777" w:rsidR="00CB0062" w:rsidRDefault="00CB0062" w:rsidP="00223E56">
            <w:pPr>
              <w:rPr>
                <w:color w:val="000000"/>
                <w:sz w:val="16"/>
                <w:szCs w:val="16"/>
              </w:rPr>
            </w:pPr>
            <w:r>
              <w:rPr>
                <w:color w:val="000000"/>
                <w:sz w:val="16"/>
                <w:szCs w:val="16"/>
              </w:rPr>
              <w:t>rs2069830</w:t>
            </w:r>
          </w:p>
        </w:tc>
        <w:tc>
          <w:tcPr>
            <w:tcW w:w="851" w:type="dxa"/>
            <w:tcBorders>
              <w:top w:val="single" w:sz="4" w:space="0" w:color="D0CECE"/>
              <w:bottom w:val="single" w:sz="4" w:space="0" w:color="D0CECE"/>
            </w:tcBorders>
            <w:tcMar>
              <w:top w:w="-113" w:type="dxa"/>
              <w:left w:w="-113" w:type="dxa"/>
              <w:bottom w:w="-113" w:type="dxa"/>
              <w:right w:w="-113" w:type="dxa"/>
            </w:tcMar>
          </w:tcPr>
          <w:p w14:paraId="2837832E" w14:textId="77777777" w:rsidR="00CB0062" w:rsidRDefault="00CB0062" w:rsidP="00223E56">
            <w:pPr>
              <w:rPr>
                <w:color w:val="000000"/>
                <w:sz w:val="16"/>
                <w:szCs w:val="16"/>
              </w:rPr>
            </w:pPr>
            <w:r>
              <w:rPr>
                <w:color w:val="000000"/>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74B04331" w14:textId="77777777" w:rsidR="00CB0062" w:rsidRDefault="00CB0062" w:rsidP="00223E56">
            <w:pPr>
              <w:rPr>
                <w:color w:val="000000"/>
                <w:sz w:val="16"/>
                <w:szCs w:val="16"/>
              </w:rPr>
            </w:pPr>
            <w:r>
              <w:rPr>
                <w:color w:val="000000"/>
                <w:sz w:val="16"/>
                <w:szCs w:val="16"/>
              </w:rPr>
              <w:t>Missense variant</w:t>
            </w:r>
          </w:p>
        </w:tc>
        <w:tc>
          <w:tcPr>
            <w:tcW w:w="708" w:type="dxa"/>
            <w:vMerge w:val="restart"/>
            <w:tcBorders>
              <w:top w:val="single" w:sz="4" w:space="0" w:color="D0CECE"/>
              <w:bottom w:val="single" w:sz="4" w:space="0" w:color="D0CECE"/>
            </w:tcBorders>
            <w:tcMar>
              <w:top w:w="-113" w:type="dxa"/>
              <w:left w:w="-113" w:type="dxa"/>
              <w:bottom w:w="-113" w:type="dxa"/>
              <w:right w:w="-113" w:type="dxa"/>
            </w:tcMar>
          </w:tcPr>
          <w:p w14:paraId="290E9395" w14:textId="77777777" w:rsidR="00CB0062" w:rsidRDefault="00CB0062" w:rsidP="00223E56">
            <w:pPr>
              <w:rPr>
                <w:sz w:val="16"/>
                <w:szCs w:val="16"/>
              </w:rPr>
            </w:pPr>
            <w:r>
              <w:rPr>
                <w:sz w:val="16"/>
                <w:szCs w:val="16"/>
              </w:rPr>
              <w:t>CVD</w:t>
            </w:r>
          </w:p>
          <w:p w14:paraId="2F407A72" w14:textId="77777777" w:rsidR="00CB0062" w:rsidRDefault="00CB0062" w:rsidP="00223E56">
            <w:pPr>
              <w:rPr>
                <w:sz w:val="16"/>
                <w:szCs w:val="16"/>
              </w:rPr>
            </w:pPr>
            <w:r>
              <w:rPr>
                <w:sz w:val="16"/>
                <w:szCs w:val="16"/>
              </w:rPr>
              <w:t>CIMT</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57A62D8C" w14:textId="77777777" w:rsidR="00CB0062" w:rsidRPr="00641BD3" w:rsidRDefault="00CB0062" w:rsidP="00223E56">
            <w:pPr>
              <w:rPr>
                <w:sz w:val="16"/>
                <w:szCs w:val="16"/>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1D2E2E4D" w14:textId="77777777" w:rsidR="00CB0062" w:rsidRPr="00641BD3" w:rsidRDefault="00CB0062" w:rsidP="00223E56">
            <w:pPr>
              <w:rPr>
                <w:sz w:val="16"/>
                <w:szCs w:val="16"/>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tc>
      </w:tr>
      <w:tr w:rsidR="00CB0062" w14:paraId="0F9C50E2"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093E48A" w14:textId="77777777" w:rsidR="00CB0062" w:rsidRPr="00641BD3" w:rsidRDefault="00CB0062" w:rsidP="00223E56">
            <w:pPr>
              <w:widowControl w:val="0"/>
              <w:pBdr>
                <w:top w:val="nil"/>
                <w:left w:val="nil"/>
                <w:bottom w:val="nil"/>
                <w:right w:val="nil"/>
                <w:between w:val="nil"/>
              </w:pBdr>
              <w:spacing w:line="276" w:lineRule="auto"/>
              <w:rPr>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4B379B8" w14:textId="77777777" w:rsidR="00CB0062" w:rsidRPr="00641BD3" w:rsidRDefault="00CB0062" w:rsidP="00223E56">
            <w:pPr>
              <w:widowControl w:val="0"/>
              <w:pBdr>
                <w:top w:val="nil"/>
                <w:left w:val="nil"/>
                <w:bottom w:val="nil"/>
                <w:right w:val="nil"/>
                <w:between w:val="nil"/>
              </w:pBdr>
              <w:spacing w:line="276" w:lineRule="auto"/>
              <w:rPr>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14515DCA" w14:textId="77777777" w:rsidR="00CB0062" w:rsidRDefault="00CB0062" w:rsidP="00223E56">
            <w:pPr>
              <w:rPr>
                <w:color w:val="000000"/>
                <w:sz w:val="16"/>
                <w:szCs w:val="16"/>
              </w:rPr>
            </w:pPr>
            <w:r>
              <w:rPr>
                <w:color w:val="000000"/>
                <w:sz w:val="16"/>
                <w:szCs w:val="16"/>
              </w:rPr>
              <w:t>rs2069832</w:t>
            </w:r>
          </w:p>
        </w:tc>
        <w:tc>
          <w:tcPr>
            <w:tcW w:w="851" w:type="dxa"/>
            <w:tcBorders>
              <w:top w:val="single" w:sz="4" w:space="0" w:color="D0CECE"/>
              <w:bottom w:val="single" w:sz="4" w:space="0" w:color="D0CECE"/>
            </w:tcBorders>
            <w:tcMar>
              <w:top w:w="-113" w:type="dxa"/>
              <w:left w:w="-113" w:type="dxa"/>
              <w:bottom w:w="-113" w:type="dxa"/>
              <w:right w:w="-113" w:type="dxa"/>
            </w:tcMar>
          </w:tcPr>
          <w:p w14:paraId="1087CEF9" w14:textId="77777777" w:rsidR="00CB0062" w:rsidRDefault="00CB0062" w:rsidP="00223E56">
            <w:pPr>
              <w:rPr>
                <w:color w:val="000000"/>
                <w:sz w:val="16"/>
                <w:szCs w:val="16"/>
              </w:rPr>
            </w:pPr>
            <w:r>
              <w:rPr>
                <w:color w:val="000000"/>
                <w:sz w:val="16"/>
                <w:szCs w:val="16"/>
              </w:rPr>
              <w:t>A&gt;</w:t>
            </w:r>
            <w:proofErr w:type="gramStart"/>
            <w:r>
              <w:rPr>
                <w:color w:val="000000"/>
                <w:sz w:val="16"/>
                <w:szCs w:val="16"/>
              </w:rPr>
              <w:t>C,G</w:t>
            </w:r>
            <w:proofErr w:type="gramEnd"/>
            <w:r>
              <w:rPr>
                <w:color w:val="000000"/>
                <w:sz w:val="16"/>
                <w:szCs w:val="16"/>
              </w:rPr>
              <w:t>,T</w:t>
            </w:r>
          </w:p>
        </w:tc>
        <w:tc>
          <w:tcPr>
            <w:tcW w:w="1701" w:type="dxa"/>
            <w:tcBorders>
              <w:top w:val="single" w:sz="4" w:space="0" w:color="D0CECE"/>
              <w:bottom w:val="single" w:sz="4" w:space="0" w:color="D0CECE"/>
            </w:tcBorders>
            <w:tcMar>
              <w:top w:w="-113" w:type="dxa"/>
              <w:left w:w="-113" w:type="dxa"/>
              <w:bottom w:w="-113" w:type="dxa"/>
              <w:right w:w="-113" w:type="dxa"/>
            </w:tcMar>
          </w:tcPr>
          <w:p w14:paraId="451BEFF6"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5BD19179" w14:textId="77777777" w:rsidR="00CB0062" w:rsidRDefault="00CB0062" w:rsidP="00223E56">
            <w:pPr>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11C6B86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38B2032C"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AD7BA4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11311C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139D2E00" w14:textId="77777777" w:rsidR="00CB0062" w:rsidRDefault="00CB0062" w:rsidP="00223E56">
            <w:pPr>
              <w:rPr>
                <w:color w:val="000000"/>
                <w:sz w:val="16"/>
                <w:szCs w:val="16"/>
              </w:rPr>
            </w:pPr>
            <w:r>
              <w:rPr>
                <w:color w:val="000000"/>
                <w:sz w:val="16"/>
                <w:szCs w:val="16"/>
              </w:rPr>
              <w:t>rs2069835</w:t>
            </w:r>
          </w:p>
        </w:tc>
        <w:tc>
          <w:tcPr>
            <w:tcW w:w="851" w:type="dxa"/>
            <w:tcBorders>
              <w:top w:val="single" w:sz="4" w:space="0" w:color="D0CECE"/>
              <w:bottom w:val="single" w:sz="4" w:space="0" w:color="D0CECE"/>
            </w:tcBorders>
            <w:tcMar>
              <w:top w:w="-113" w:type="dxa"/>
              <w:left w:w="-113" w:type="dxa"/>
              <w:bottom w:w="-113" w:type="dxa"/>
              <w:right w:w="-113" w:type="dxa"/>
            </w:tcMar>
          </w:tcPr>
          <w:p w14:paraId="0FFA6668" w14:textId="77777777" w:rsidR="00CB0062" w:rsidRDefault="00CB0062" w:rsidP="00223E56">
            <w:pPr>
              <w:rPr>
                <w:color w:val="000000"/>
                <w:sz w:val="16"/>
                <w:szCs w:val="16"/>
              </w:rPr>
            </w:pPr>
            <w:r>
              <w:rPr>
                <w:color w:val="000000"/>
                <w:sz w:val="16"/>
                <w:szCs w:val="16"/>
              </w:rPr>
              <w:t>T&gt;C</w:t>
            </w:r>
          </w:p>
        </w:tc>
        <w:tc>
          <w:tcPr>
            <w:tcW w:w="1701" w:type="dxa"/>
            <w:tcBorders>
              <w:top w:val="single" w:sz="4" w:space="0" w:color="D0CECE"/>
              <w:bottom w:val="single" w:sz="4" w:space="0" w:color="D0CECE"/>
            </w:tcBorders>
            <w:tcMar>
              <w:top w:w="-113" w:type="dxa"/>
              <w:left w:w="-113" w:type="dxa"/>
              <w:bottom w:w="-113" w:type="dxa"/>
              <w:right w:w="-113" w:type="dxa"/>
            </w:tcMar>
          </w:tcPr>
          <w:p w14:paraId="1437644C"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2C0F7A26" w14:textId="77777777" w:rsidR="00CB0062" w:rsidRDefault="00CB0062" w:rsidP="00223E56">
            <w:pPr>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68CDC2A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2E9DD277" w14:textId="77777777" w:rsidTr="00923C73">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0307BC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F09AED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184C891" w14:textId="77777777" w:rsidR="00CB0062" w:rsidRDefault="00CB0062" w:rsidP="00223E56">
            <w:pPr>
              <w:rPr>
                <w:color w:val="000000"/>
                <w:sz w:val="16"/>
                <w:szCs w:val="16"/>
              </w:rPr>
            </w:pPr>
            <w:r>
              <w:rPr>
                <w:color w:val="000000"/>
                <w:sz w:val="16"/>
                <w:szCs w:val="16"/>
              </w:rPr>
              <w:t>rs2069838</w:t>
            </w:r>
          </w:p>
        </w:tc>
        <w:tc>
          <w:tcPr>
            <w:tcW w:w="851" w:type="dxa"/>
            <w:tcBorders>
              <w:top w:val="single" w:sz="4" w:space="0" w:color="D0CECE"/>
              <w:bottom w:val="single" w:sz="4" w:space="0" w:color="D0CECE"/>
            </w:tcBorders>
            <w:tcMar>
              <w:top w:w="-113" w:type="dxa"/>
              <w:left w:w="-113" w:type="dxa"/>
              <w:bottom w:w="-113" w:type="dxa"/>
              <w:right w:w="-113" w:type="dxa"/>
            </w:tcMar>
          </w:tcPr>
          <w:p w14:paraId="4E0F3C84" w14:textId="77777777" w:rsidR="00CB0062" w:rsidRDefault="00CB0062" w:rsidP="00223E56">
            <w:pPr>
              <w:rPr>
                <w:color w:val="000000"/>
                <w:sz w:val="16"/>
                <w:szCs w:val="16"/>
              </w:rPr>
            </w:pPr>
            <w:r>
              <w:rPr>
                <w:color w:val="000000"/>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399165A0"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19F48484" w14:textId="77777777" w:rsidR="00CB0062" w:rsidRDefault="00CB0062" w:rsidP="00223E56">
            <w:pPr>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548C8A2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7CFE7603"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79FEB3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D0F312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5ADCE04F" w14:textId="77777777" w:rsidR="00CB0062" w:rsidRDefault="00CB0062" w:rsidP="00223E56">
            <w:pPr>
              <w:rPr>
                <w:sz w:val="16"/>
                <w:szCs w:val="16"/>
              </w:rPr>
            </w:pPr>
            <w:r>
              <w:rPr>
                <w:color w:val="000000"/>
                <w:sz w:val="16"/>
                <w:szCs w:val="16"/>
              </w:rPr>
              <w:t>rs2069840</w:t>
            </w:r>
          </w:p>
        </w:tc>
        <w:tc>
          <w:tcPr>
            <w:tcW w:w="85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6696134F" w14:textId="77777777" w:rsidR="00CB0062" w:rsidRDefault="00CB0062" w:rsidP="00223E56">
            <w:pPr>
              <w:rPr>
                <w:color w:val="000000"/>
                <w:sz w:val="16"/>
                <w:szCs w:val="16"/>
              </w:rPr>
            </w:pPr>
            <w:r>
              <w:rPr>
                <w:color w:val="000000"/>
                <w:sz w:val="16"/>
                <w:szCs w:val="16"/>
              </w:rPr>
              <w:t>C&gt;G</w:t>
            </w:r>
          </w:p>
        </w:tc>
        <w:tc>
          <w:tcPr>
            <w:tcW w:w="170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266FAB05" w14:textId="77777777" w:rsidR="00CB0062" w:rsidRDefault="00CB0062" w:rsidP="00223E56">
            <w:pPr>
              <w:rPr>
                <w:color w:val="000000"/>
                <w:sz w:val="16"/>
                <w:szCs w:val="16"/>
              </w:rPr>
            </w:pPr>
            <w:r>
              <w:rPr>
                <w:color w:val="000000"/>
                <w:sz w:val="16"/>
                <w:szCs w:val="16"/>
              </w:rPr>
              <w:t>Intron variant</w:t>
            </w:r>
          </w:p>
        </w:tc>
        <w:tc>
          <w:tcPr>
            <w:tcW w:w="708" w:type="dxa"/>
            <w:tcBorders>
              <w:top w:val="single" w:sz="4" w:space="0" w:color="D0CECE"/>
              <w:bottom w:val="single" w:sz="4" w:space="0" w:color="D0CECE"/>
            </w:tcBorders>
            <w:shd w:val="clear" w:color="auto" w:fill="auto"/>
            <w:tcMar>
              <w:top w:w="-113" w:type="dxa"/>
              <w:left w:w="-113" w:type="dxa"/>
              <w:bottom w:w="-113" w:type="dxa"/>
              <w:right w:w="-113" w:type="dxa"/>
            </w:tcMar>
          </w:tcPr>
          <w:p w14:paraId="2500B92F" w14:textId="77777777" w:rsidR="00CB0062" w:rsidRDefault="00CB0062" w:rsidP="00223E56">
            <w:pPr>
              <w:rPr>
                <w:color w:val="000000"/>
                <w:sz w:val="16"/>
                <w:szCs w:val="16"/>
              </w:rPr>
            </w:pPr>
            <w:r>
              <w:rPr>
                <w:color w:val="000000"/>
                <w:sz w:val="16"/>
                <w:szCs w:val="16"/>
              </w:rPr>
              <w:t>SBP</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27CCF5CD" w14:textId="77777777" w:rsidR="00CB0062" w:rsidRDefault="00CB0062" w:rsidP="00223E56">
            <w:pPr>
              <w:rPr>
                <w:color w:val="000000"/>
                <w:sz w:val="16"/>
                <w:szCs w:val="16"/>
              </w:rPr>
            </w:pPr>
            <w:r>
              <w:rPr>
                <w:sz w:val="16"/>
                <w:szCs w:val="16"/>
              </w:rPr>
              <w:t xml:space="preserve">Farzan </w:t>
            </w:r>
            <w:r>
              <w:rPr>
                <w:i/>
                <w:sz w:val="16"/>
                <w:szCs w:val="16"/>
              </w:rPr>
              <w:t>et al.</w:t>
            </w:r>
            <w:r>
              <w:rPr>
                <w:sz w:val="16"/>
                <w:szCs w:val="16"/>
              </w:rPr>
              <w:t xml:space="preserve"> 2016</w:t>
            </w:r>
          </w:p>
        </w:tc>
      </w:tr>
      <w:tr w:rsidR="00CB0062" w:rsidRPr="0030321B" w14:paraId="27529B0D" w14:textId="77777777" w:rsidTr="00923C73">
        <w:trPr>
          <w:trHeight w:val="212"/>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902484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79C8B8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4BA0FCC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7A0D3B9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68B535D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vMerge w:val="restart"/>
            <w:tcBorders>
              <w:top w:val="single" w:sz="4" w:space="0" w:color="D0CECE"/>
              <w:bottom w:val="single" w:sz="4" w:space="0" w:color="D0CECE"/>
            </w:tcBorders>
            <w:tcMar>
              <w:top w:w="-113" w:type="dxa"/>
              <w:left w:w="-113" w:type="dxa"/>
              <w:bottom w:w="-113" w:type="dxa"/>
              <w:right w:w="-113" w:type="dxa"/>
            </w:tcMar>
          </w:tcPr>
          <w:p w14:paraId="0ADFC60A" w14:textId="77777777" w:rsidR="00CB0062" w:rsidRDefault="00CB0062" w:rsidP="00223E56">
            <w:pPr>
              <w:rPr>
                <w:sz w:val="16"/>
                <w:szCs w:val="16"/>
              </w:rPr>
            </w:pPr>
            <w:r>
              <w:rPr>
                <w:sz w:val="16"/>
                <w:szCs w:val="16"/>
              </w:rPr>
              <w:t>CVD</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45BD18F1"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0272AEF2"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p w14:paraId="04AE21C8" w14:textId="77777777" w:rsidR="00CB0062" w:rsidRPr="00641BD3" w:rsidRDefault="00CB0062" w:rsidP="00223E56">
            <w:pPr>
              <w:rPr>
                <w:sz w:val="16"/>
                <w:szCs w:val="16"/>
                <w:lang w:val="es-ES"/>
              </w:rPr>
            </w:pPr>
          </w:p>
        </w:tc>
      </w:tr>
      <w:tr w:rsidR="00CB0062" w14:paraId="2CA5DB22"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712FE56" w14:textId="77777777" w:rsidR="00CB0062" w:rsidRPr="00641BD3" w:rsidRDefault="00CB0062" w:rsidP="00223E56">
            <w:pPr>
              <w:widowControl w:val="0"/>
              <w:pBdr>
                <w:top w:val="nil"/>
                <w:left w:val="nil"/>
                <w:bottom w:val="nil"/>
                <w:right w:val="nil"/>
                <w:between w:val="nil"/>
              </w:pBdr>
              <w:spacing w:line="276" w:lineRule="auto"/>
              <w:rPr>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EB3F96B" w14:textId="77777777" w:rsidR="00CB0062" w:rsidRPr="00641BD3" w:rsidRDefault="00CB0062" w:rsidP="00223E56">
            <w:pPr>
              <w:widowControl w:val="0"/>
              <w:pBdr>
                <w:top w:val="nil"/>
                <w:left w:val="nil"/>
                <w:bottom w:val="nil"/>
                <w:right w:val="nil"/>
                <w:between w:val="nil"/>
              </w:pBdr>
              <w:spacing w:line="276" w:lineRule="auto"/>
              <w:rPr>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79743EFB" w14:textId="77777777" w:rsidR="00CB0062" w:rsidRDefault="00CB0062" w:rsidP="00223E56">
            <w:pPr>
              <w:rPr>
                <w:color w:val="000000"/>
                <w:sz w:val="16"/>
                <w:szCs w:val="16"/>
              </w:rPr>
            </w:pPr>
            <w:r>
              <w:rPr>
                <w:color w:val="000000"/>
                <w:sz w:val="16"/>
                <w:szCs w:val="16"/>
              </w:rPr>
              <w:t>rs2069842</w:t>
            </w:r>
          </w:p>
        </w:tc>
        <w:tc>
          <w:tcPr>
            <w:tcW w:w="851" w:type="dxa"/>
            <w:tcBorders>
              <w:top w:val="single" w:sz="4" w:space="0" w:color="D0CECE"/>
              <w:bottom w:val="single" w:sz="4" w:space="0" w:color="D0CECE"/>
            </w:tcBorders>
            <w:tcMar>
              <w:top w:w="-113" w:type="dxa"/>
              <w:left w:w="-113" w:type="dxa"/>
              <w:bottom w:w="-113" w:type="dxa"/>
              <w:right w:w="-113" w:type="dxa"/>
            </w:tcMar>
          </w:tcPr>
          <w:p w14:paraId="7BA11D77" w14:textId="77777777" w:rsidR="00CB0062" w:rsidRDefault="00CB0062" w:rsidP="00223E56">
            <w:pPr>
              <w:rPr>
                <w:color w:val="000000"/>
                <w:sz w:val="16"/>
                <w:szCs w:val="16"/>
              </w:rPr>
            </w:pPr>
            <w:r>
              <w:rPr>
                <w:color w:val="000000"/>
                <w:sz w:val="16"/>
                <w:szCs w:val="16"/>
              </w:rPr>
              <w:t>G&gt;</w:t>
            </w:r>
            <w:proofErr w:type="gramStart"/>
            <w:r>
              <w:rPr>
                <w:color w:val="000000"/>
                <w:sz w:val="16"/>
                <w:szCs w:val="16"/>
              </w:rPr>
              <w:t>A,T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6EF448DA" w14:textId="77777777" w:rsidR="00CB0062" w:rsidRDefault="00CB0062" w:rsidP="00223E56">
            <w:pPr>
              <w:rPr>
                <w:color w:val="000000"/>
                <w:sz w:val="16"/>
                <w:szCs w:val="16"/>
              </w:rPr>
            </w:pPr>
            <w:r>
              <w:rPr>
                <w:color w:val="000000"/>
                <w:sz w:val="16"/>
                <w:szCs w:val="16"/>
              </w:rPr>
              <w:t>Missense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2C9BBF51" w14:textId="77777777" w:rsidR="00CB0062" w:rsidRDefault="00CB0062" w:rsidP="00223E56">
            <w:pPr>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6E07647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141D9770"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1D4802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044C84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69C45EE0" w14:textId="77777777" w:rsidR="00CB0062" w:rsidRDefault="00CB0062" w:rsidP="00223E56">
            <w:pPr>
              <w:rPr>
                <w:color w:val="000000"/>
                <w:sz w:val="16"/>
                <w:szCs w:val="16"/>
              </w:rPr>
            </w:pPr>
            <w:r>
              <w:rPr>
                <w:color w:val="000000"/>
                <w:sz w:val="16"/>
                <w:szCs w:val="16"/>
              </w:rPr>
              <w:t>rs2069843</w:t>
            </w:r>
          </w:p>
        </w:tc>
        <w:tc>
          <w:tcPr>
            <w:tcW w:w="851" w:type="dxa"/>
            <w:tcBorders>
              <w:top w:val="single" w:sz="4" w:space="0" w:color="D0CECE"/>
              <w:bottom w:val="single" w:sz="4" w:space="0" w:color="D0CECE"/>
            </w:tcBorders>
            <w:tcMar>
              <w:top w:w="-113" w:type="dxa"/>
              <w:left w:w="-113" w:type="dxa"/>
              <w:bottom w:w="-113" w:type="dxa"/>
              <w:right w:w="-113" w:type="dxa"/>
            </w:tcMar>
          </w:tcPr>
          <w:p w14:paraId="2D78A6B9" w14:textId="77777777" w:rsidR="00CB0062" w:rsidRDefault="00CB0062" w:rsidP="00223E56">
            <w:pPr>
              <w:rPr>
                <w:color w:val="000000"/>
                <w:sz w:val="16"/>
                <w:szCs w:val="16"/>
              </w:rPr>
            </w:pPr>
            <w:r>
              <w:rPr>
                <w:color w:val="000000"/>
                <w:sz w:val="16"/>
                <w:szCs w:val="16"/>
              </w:rPr>
              <w:t>G&gt;A</w:t>
            </w:r>
          </w:p>
        </w:tc>
        <w:tc>
          <w:tcPr>
            <w:tcW w:w="1701" w:type="dxa"/>
            <w:tcBorders>
              <w:top w:val="single" w:sz="4" w:space="0" w:color="D0CECE"/>
              <w:bottom w:val="single" w:sz="4" w:space="0" w:color="D0CECE"/>
            </w:tcBorders>
            <w:tcMar>
              <w:top w:w="-113" w:type="dxa"/>
              <w:left w:w="-113" w:type="dxa"/>
              <w:bottom w:w="-113" w:type="dxa"/>
              <w:right w:w="-113" w:type="dxa"/>
            </w:tcMar>
          </w:tcPr>
          <w:p w14:paraId="08A0C5ED"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1AD5C9DA" w14:textId="77777777" w:rsidR="00CB0062" w:rsidRDefault="00CB0062" w:rsidP="00223E56">
            <w:pPr>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16AD5EE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53182C6C"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E4751E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11E80F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2A470A81" w14:textId="77777777" w:rsidR="00CB0062" w:rsidRDefault="00CB0062" w:rsidP="00223E56">
            <w:pPr>
              <w:rPr>
                <w:sz w:val="16"/>
                <w:szCs w:val="16"/>
              </w:rPr>
            </w:pPr>
            <w:r>
              <w:rPr>
                <w:color w:val="000000"/>
                <w:sz w:val="16"/>
                <w:szCs w:val="16"/>
              </w:rPr>
              <w:t>rs2069845</w:t>
            </w:r>
          </w:p>
          <w:p w14:paraId="026AD13B" w14:textId="77777777" w:rsidR="00CB0062" w:rsidRDefault="00CB0062" w:rsidP="00223E56">
            <w:pPr>
              <w:rPr>
                <w:sz w:val="16"/>
                <w:szCs w:val="16"/>
              </w:rPr>
            </w:pPr>
          </w:p>
        </w:tc>
        <w:tc>
          <w:tcPr>
            <w:tcW w:w="851" w:type="dxa"/>
            <w:vMerge w:val="restart"/>
            <w:tcBorders>
              <w:top w:val="single" w:sz="4" w:space="0" w:color="D0CECE"/>
              <w:bottom w:val="single" w:sz="4" w:space="0" w:color="D0CECE"/>
            </w:tcBorders>
            <w:tcMar>
              <w:top w:w="-113" w:type="dxa"/>
              <w:left w:w="-113" w:type="dxa"/>
              <w:bottom w:w="-113" w:type="dxa"/>
              <w:right w:w="-113" w:type="dxa"/>
            </w:tcMar>
          </w:tcPr>
          <w:p w14:paraId="56E97A28" w14:textId="77777777" w:rsidR="00CB0062" w:rsidRDefault="00CB0062" w:rsidP="00223E56">
            <w:pPr>
              <w:rPr>
                <w:color w:val="000000"/>
                <w:sz w:val="16"/>
                <w:szCs w:val="16"/>
              </w:rPr>
            </w:pPr>
            <w:r>
              <w:rPr>
                <w:color w:val="000000"/>
                <w:sz w:val="16"/>
                <w:szCs w:val="16"/>
              </w:rPr>
              <w:t>G&gt;</w:t>
            </w:r>
            <w:proofErr w:type="gramStart"/>
            <w:r>
              <w:rPr>
                <w:color w:val="000000"/>
                <w:sz w:val="16"/>
                <w:szCs w:val="16"/>
              </w:rPr>
              <w:t>A,C</w:t>
            </w:r>
            <w:proofErr w:type="gramEnd"/>
            <w:r>
              <w:rPr>
                <w:color w:val="000000"/>
                <w:sz w:val="16"/>
                <w:szCs w:val="16"/>
              </w:rPr>
              <w:t>,T</w:t>
            </w:r>
          </w:p>
        </w:tc>
        <w:tc>
          <w:tcPr>
            <w:tcW w:w="1701" w:type="dxa"/>
            <w:vMerge w:val="restart"/>
            <w:tcBorders>
              <w:top w:val="single" w:sz="4" w:space="0" w:color="D0CECE"/>
              <w:bottom w:val="single" w:sz="4" w:space="0" w:color="D0CECE"/>
            </w:tcBorders>
            <w:tcMar>
              <w:top w:w="-113" w:type="dxa"/>
              <w:left w:w="-113" w:type="dxa"/>
              <w:bottom w:w="-113" w:type="dxa"/>
              <w:right w:w="-113" w:type="dxa"/>
            </w:tcMar>
          </w:tcPr>
          <w:p w14:paraId="56003370" w14:textId="77777777" w:rsidR="00CB0062" w:rsidRDefault="00CB0062" w:rsidP="00223E56">
            <w:pPr>
              <w:rPr>
                <w:color w:val="000000"/>
                <w:sz w:val="16"/>
                <w:szCs w:val="16"/>
              </w:rPr>
            </w:pPr>
            <w:r>
              <w:rPr>
                <w:color w:val="000000"/>
                <w:sz w:val="16"/>
                <w:szCs w:val="16"/>
              </w:rPr>
              <w:t>Intron variant</w:t>
            </w:r>
          </w:p>
        </w:tc>
        <w:tc>
          <w:tcPr>
            <w:tcW w:w="708" w:type="dxa"/>
            <w:tcBorders>
              <w:top w:val="single" w:sz="4" w:space="0" w:color="D0CECE"/>
              <w:bottom w:val="single" w:sz="4" w:space="0" w:color="D0CECE"/>
            </w:tcBorders>
            <w:tcMar>
              <w:top w:w="-113" w:type="dxa"/>
              <w:left w:w="-113" w:type="dxa"/>
              <w:bottom w:w="-113" w:type="dxa"/>
              <w:right w:w="-113" w:type="dxa"/>
            </w:tcMar>
          </w:tcPr>
          <w:p w14:paraId="60C23789" w14:textId="77777777" w:rsidR="00CB0062" w:rsidRDefault="00CB0062" w:rsidP="00223E56">
            <w:pPr>
              <w:rPr>
                <w:color w:val="000000"/>
                <w:sz w:val="16"/>
                <w:szCs w:val="16"/>
              </w:rPr>
            </w:pPr>
            <w:r>
              <w:rPr>
                <w:color w:val="000000"/>
                <w:sz w:val="16"/>
                <w:szCs w:val="16"/>
              </w:rPr>
              <w:t>BP</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15D97989" w14:textId="77777777" w:rsidR="00CB0062" w:rsidRDefault="00CB0062" w:rsidP="00223E56">
            <w:pPr>
              <w:rPr>
                <w:color w:val="000000"/>
                <w:sz w:val="16"/>
                <w:szCs w:val="16"/>
              </w:rPr>
            </w:pPr>
            <w:r>
              <w:rPr>
                <w:sz w:val="16"/>
                <w:szCs w:val="16"/>
              </w:rPr>
              <w:t xml:space="preserve">Farzan </w:t>
            </w:r>
            <w:r>
              <w:rPr>
                <w:i/>
                <w:sz w:val="16"/>
                <w:szCs w:val="16"/>
              </w:rPr>
              <w:t>et al.</w:t>
            </w:r>
            <w:r>
              <w:rPr>
                <w:sz w:val="16"/>
                <w:szCs w:val="16"/>
              </w:rPr>
              <w:t xml:space="preserve"> 2016</w:t>
            </w:r>
          </w:p>
        </w:tc>
      </w:tr>
      <w:tr w:rsidR="00CB0062" w:rsidRPr="0030321B" w14:paraId="50754DEF" w14:textId="77777777" w:rsidTr="00923C73">
        <w:trPr>
          <w:trHeight w:val="212"/>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16D192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16AD8E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6B106A7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tcMar>
              <w:top w:w="-113" w:type="dxa"/>
              <w:left w:w="-113" w:type="dxa"/>
              <w:bottom w:w="-113" w:type="dxa"/>
              <w:right w:w="-113" w:type="dxa"/>
            </w:tcMar>
          </w:tcPr>
          <w:p w14:paraId="6FD2234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tcMar>
              <w:top w:w="-113" w:type="dxa"/>
              <w:left w:w="-113" w:type="dxa"/>
              <w:bottom w:w="-113" w:type="dxa"/>
              <w:right w:w="-113" w:type="dxa"/>
            </w:tcMar>
          </w:tcPr>
          <w:p w14:paraId="6BA18F1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vMerge w:val="restart"/>
            <w:tcBorders>
              <w:top w:val="single" w:sz="4" w:space="0" w:color="D0CECE"/>
              <w:bottom w:val="single" w:sz="4" w:space="0" w:color="D0CECE"/>
            </w:tcBorders>
            <w:tcMar>
              <w:top w:w="-113" w:type="dxa"/>
              <w:left w:w="-113" w:type="dxa"/>
              <w:bottom w:w="-113" w:type="dxa"/>
              <w:right w:w="-113" w:type="dxa"/>
            </w:tcMar>
          </w:tcPr>
          <w:p w14:paraId="2FFBA699" w14:textId="77777777" w:rsidR="00CB0062" w:rsidRDefault="00CB0062" w:rsidP="00223E56">
            <w:pPr>
              <w:rPr>
                <w:sz w:val="16"/>
                <w:szCs w:val="16"/>
              </w:rPr>
            </w:pPr>
            <w:r>
              <w:rPr>
                <w:sz w:val="16"/>
                <w:szCs w:val="16"/>
              </w:rPr>
              <w:t xml:space="preserve">CVD </w:t>
            </w:r>
          </w:p>
          <w:p w14:paraId="64330070" w14:textId="77777777" w:rsidR="00CB0062" w:rsidRDefault="00CB0062" w:rsidP="00223E56">
            <w:pPr>
              <w:rPr>
                <w:sz w:val="16"/>
                <w:szCs w:val="16"/>
              </w:rPr>
            </w:pPr>
            <w:r>
              <w:rPr>
                <w:sz w:val="16"/>
                <w:szCs w:val="16"/>
              </w:rPr>
              <w:t>CIMT</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13A4C61F" w14:textId="77777777" w:rsidR="00CB0062" w:rsidRPr="00641BD3" w:rsidRDefault="00CB0062" w:rsidP="00223E56">
            <w:pPr>
              <w:rPr>
                <w:sz w:val="16"/>
                <w:szCs w:val="16"/>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33514949" w14:textId="77777777" w:rsidR="00CB0062" w:rsidRPr="00641BD3" w:rsidRDefault="00CB0062" w:rsidP="00223E56">
            <w:pPr>
              <w:rPr>
                <w:sz w:val="16"/>
                <w:szCs w:val="16"/>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tc>
      </w:tr>
      <w:tr w:rsidR="00CB0062" w14:paraId="7581F65D"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F3BB08D" w14:textId="77777777" w:rsidR="00CB0062" w:rsidRPr="00641BD3" w:rsidRDefault="00CB0062" w:rsidP="00223E56">
            <w:pPr>
              <w:widowControl w:val="0"/>
              <w:pBdr>
                <w:top w:val="nil"/>
                <w:left w:val="nil"/>
                <w:bottom w:val="nil"/>
                <w:right w:val="nil"/>
                <w:between w:val="nil"/>
              </w:pBdr>
              <w:spacing w:line="276" w:lineRule="auto"/>
              <w:rPr>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FF0EC2F" w14:textId="77777777" w:rsidR="00CB0062" w:rsidRPr="00641BD3" w:rsidRDefault="00CB0062" w:rsidP="00223E56">
            <w:pPr>
              <w:widowControl w:val="0"/>
              <w:pBdr>
                <w:top w:val="nil"/>
                <w:left w:val="nil"/>
                <w:bottom w:val="nil"/>
                <w:right w:val="nil"/>
                <w:between w:val="nil"/>
              </w:pBdr>
              <w:spacing w:line="276" w:lineRule="auto"/>
              <w:rPr>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8A1B48C" w14:textId="77777777" w:rsidR="00CB0062" w:rsidRDefault="00CB0062" w:rsidP="00223E56">
            <w:pPr>
              <w:rPr>
                <w:color w:val="000000"/>
                <w:sz w:val="16"/>
                <w:szCs w:val="16"/>
              </w:rPr>
            </w:pPr>
            <w:r>
              <w:rPr>
                <w:color w:val="000000"/>
                <w:sz w:val="16"/>
                <w:szCs w:val="16"/>
              </w:rPr>
              <w:t>rs2069847</w:t>
            </w:r>
          </w:p>
        </w:tc>
        <w:tc>
          <w:tcPr>
            <w:tcW w:w="851" w:type="dxa"/>
            <w:tcBorders>
              <w:top w:val="single" w:sz="4" w:space="0" w:color="D0CECE"/>
              <w:bottom w:val="single" w:sz="4" w:space="0" w:color="D0CECE"/>
            </w:tcBorders>
            <w:tcMar>
              <w:top w:w="-113" w:type="dxa"/>
              <w:left w:w="-113" w:type="dxa"/>
              <w:bottom w:w="-113" w:type="dxa"/>
              <w:right w:w="-113" w:type="dxa"/>
            </w:tcMar>
          </w:tcPr>
          <w:p w14:paraId="3E9820DF" w14:textId="77777777" w:rsidR="00CB0062" w:rsidRDefault="00CB0062" w:rsidP="00223E56">
            <w:pPr>
              <w:rPr>
                <w:color w:val="000000"/>
                <w:sz w:val="16"/>
                <w:szCs w:val="16"/>
              </w:rPr>
            </w:pPr>
            <w:r>
              <w:rPr>
                <w:color w:val="000000"/>
                <w:sz w:val="16"/>
                <w:szCs w:val="16"/>
              </w:rPr>
              <w:t>G&gt;A</w:t>
            </w:r>
          </w:p>
        </w:tc>
        <w:tc>
          <w:tcPr>
            <w:tcW w:w="1701" w:type="dxa"/>
            <w:tcBorders>
              <w:top w:val="single" w:sz="4" w:space="0" w:color="D0CECE"/>
              <w:bottom w:val="single" w:sz="4" w:space="0" w:color="D0CECE"/>
            </w:tcBorders>
            <w:tcMar>
              <w:top w:w="-113" w:type="dxa"/>
              <w:left w:w="-113" w:type="dxa"/>
              <w:bottom w:w="-113" w:type="dxa"/>
              <w:right w:w="-113" w:type="dxa"/>
            </w:tcMar>
          </w:tcPr>
          <w:p w14:paraId="6D31E5D3"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2E4AAF30" w14:textId="77777777" w:rsidR="00CB0062" w:rsidRDefault="00CB0062" w:rsidP="00223E56">
            <w:pPr>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22F8EB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4DF211E0"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5D5345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F46B7D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7069335" w14:textId="77777777" w:rsidR="00CB0062" w:rsidRDefault="00CB0062" w:rsidP="00223E56">
            <w:pPr>
              <w:rPr>
                <w:color w:val="000000"/>
                <w:sz w:val="16"/>
                <w:szCs w:val="16"/>
              </w:rPr>
            </w:pPr>
            <w:r>
              <w:rPr>
                <w:color w:val="000000"/>
                <w:sz w:val="16"/>
                <w:szCs w:val="16"/>
              </w:rPr>
              <w:t>rs2069849</w:t>
            </w:r>
          </w:p>
        </w:tc>
        <w:tc>
          <w:tcPr>
            <w:tcW w:w="851" w:type="dxa"/>
            <w:tcBorders>
              <w:top w:val="single" w:sz="4" w:space="0" w:color="D0CECE"/>
              <w:bottom w:val="single" w:sz="4" w:space="0" w:color="D0CECE"/>
            </w:tcBorders>
            <w:tcMar>
              <w:top w:w="-113" w:type="dxa"/>
              <w:left w:w="-113" w:type="dxa"/>
              <w:bottom w:w="-113" w:type="dxa"/>
              <w:right w:w="-113" w:type="dxa"/>
            </w:tcMar>
          </w:tcPr>
          <w:p w14:paraId="624A40A1" w14:textId="77777777" w:rsidR="00CB0062" w:rsidRDefault="00CB0062" w:rsidP="00223E56">
            <w:pPr>
              <w:rPr>
                <w:color w:val="000000"/>
                <w:sz w:val="16"/>
                <w:szCs w:val="16"/>
              </w:rPr>
            </w:pPr>
            <w:r>
              <w:rPr>
                <w:color w:val="000000"/>
                <w:sz w:val="16"/>
                <w:szCs w:val="16"/>
              </w:rPr>
              <w:t>C&gt;</w:t>
            </w:r>
            <w:proofErr w:type="gramStart"/>
            <w:r>
              <w:rPr>
                <w:color w:val="000000"/>
                <w:sz w:val="16"/>
                <w:szCs w:val="16"/>
              </w:rPr>
              <w:t>G,T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559E3B4D" w14:textId="77777777" w:rsidR="00CB0062" w:rsidRDefault="00CB0062" w:rsidP="00223E56">
            <w:pPr>
              <w:rPr>
                <w:color w:val="000000"/>
                <w:sz w:val="16"/>
                <w:szCs w:val="16"/>
              </w:rPr>
            </w:pPr>
            <w:r>
              <w:rPr>
                <w:color w:val="000000"/>
                <w:sz w:val="16"/>
                <w:szCs w:val="16"/>
              </w:rPr>
              <w:t>Missense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3255D882" w14:textId="77777777" w:rsidR="00CB0062" w:rsidRDefault="00CB0062" w:rsidP="00223E56">
            <w:pPr>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225FBD6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77B37E7C"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AA4A91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9F70A8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155CBC76" w14:textId="77777777" w:rsidR="00CB0062" w:rsidRDefault="00CB0062" w:rsidP="00223E56">
            <w:pPr>
              <w:rPr>
                <w:color w:val="000000"/>
                <w:sz w:val="16"/>
                <w:szCs w:val="16"/>
              </w:rPr>
            </w:pPr>
            <w:r>
              <w:rPr>
                <w:color w:val="000000"/>
                <w:sz w:val="16"/>
                <w:szCs w:val="16"/>
              </w:rPr>
              <w:t>rs4335044</w:t>
            </w:r>
          </w:p>
        </w:tc>
        <w:tc>
          <w:tcPr>
            <w:tcW w:w="851" w:type="dxa"/>
            <w:tcBorders>
              <w:top w:val="single" w:sz="4" w:space="0" w:color="D0CECE"/>
              <w:bottom w:val="single" w:sz="4" w:space="0" w:color="000000"/>
            </w:tcBorders>
            <w:tcMar>
              <w:top w:w="-113" w:type="dxa"/>
              <w:left w:w="-113" w:type="dxa"/>
              <w:bottom w:w="-113" w:type="dxa"/>
              <w:right w:w="-113" w:type="dxa"/>
            </w:tcMar>
          </w:tcPr>
          <w:p w14:paraId="21B6AA4D" w14:textId="77777777" w:rsidR="00CB0062" w:rsidRDefault="00CB0062" w:rsidP="00223E56">
            <w:pPr>
              <w:rPr>
                <w:color w:val="000000"/>
                <w:sz w:val="16"/>
                <w:szCs w:val="16"/>
              </w:rPr>
            </w:pPr>
            <w:r>
              <w:rPr>
                <w:color w:val="000000"/>
                <w:sz w:val="16"/>
                <w:szCs w:val="16"/>
              </w:rPr>
              <w:t>A&gt;</w:t>
            </w:r>
            <w:proofErr w:type="gramStart"/>
            <w:r>
              <w:rPr>
                <w:color w:val="000000"/>
                <w:sz w:val="16"/>
                <w:szCs w:val="16"/>
              </w:rPr>
              <w:t>G,T</w:t>
            </w:r>
            <w:proofErr w:type="gramEnd"/>
          </w:p>
        </w:tc>
        <w:tc>
          <w:tcPr>
            <w:tcW w:w="1701" w:type="dxa"/>
            <w:tcBorders>
              <w:top w:val="single" w:sz="4" w:space="0" w:color="D0CECE"/>
              <w:bottom w:val="single" w:sz="4" w:space="0" w:color="000000"/>
            </w:tcBorders>
            <w:tcMar>
              <w:top w:w="-113" w:type="dxa"/>
              <w:left w:w="-113" w:type="dxa"/>
              <w:bottom w:w="-113" w:type="dxa"/>
              <w:right w:w="-113" w:type="dxa"/>
            </w:tcMar>
          </w:tcPr>
          <w:p w14:paraId="77AFFE9F" w14:textId="77777777" w:rsidR="00CB0062" w:rsidRDefault="00CB0062" w:rsidP="00223E56">
            <w:pPr>
              <w:rPr>
                <w:color w:val="000000"/>
                <w:sz w:val="16"/>
                <w:szCs w:val="16"/>
              </w:rPr>
            </w:pPr>
            <w:r>
              <w:rPr>
                <w:color w:val="000000"/>
                <w:sz w:val="16"/>
                <w:szCs w:val="16"/>
              </w:rPr>
              <w:t>Noncoding transcript variant</w:t>
            </w:r>
          </w:p>
        </w:tc>
        <w:tc>
          <w:tcPr>
            <w:tcW w:w="708" w:type="dxa"/>
            <w:vMerge/>
            <w:tcBorders>
              <w:top w:val="single" w:sz="4" w:space="0" w:color="D0CECE"/>
              <w:bottom w:val="single" w:sz="4" w:space="0" w:color="000000"/>
            </w:tcBorders>
            <w:tcMar>
              <w:top w:w="-113" w:type="dxa"/>
              <w:left w:w="-113" w:type="dxa"/>
              <w:bottom w:w="-113" w:type="dxa"/>
              <w:right w:w="-113" w:type="dxa"/>
            </w:tcMar>
          </w:tcPr>
          <w:p w14:paraId="35C811DF" w14:textId="77777777" w:rsidR="00CB0062" w:rsidRDefault="00CB0062" w:rsidP="00223E56">
            <w:pPr>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5762787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1A8BF28F"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C08496B" w14:textId="77777777" w:rsidR="00CB0062" w:rsidRDefault="00CB0062" w:rsidP="00223E56">
            <w:pPr>
              <w:rPr>
                <w:i/>
                <w:color w:val="000000"/>
                <w:sz w:val="16"/>
                <w:szCs w:val="16"/>
              </w:rPr>
            </w:pPr>
            <w:r>
              <w:rPr>
                <w:i/>
                <w:color w:val="000000"/>
                <w:sz w:val="16"/>
                <w:szCs w:val="16"/>
              </w:rPr>
              <w:t>IL6R</w:t>
            </w:r>
          </w:p>
          <w:p w14:paraId="24F556C7"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30EE004" w14:textId="77777777" w:rsidR="00CB0062" w:rsidRDefault="00CB0062" w:rsidP="00223E56">
            <w:pPr>
              <w:rPr>
                <w:color w:val="000000"/>
                <w:sz w:val="16"/>
                <w:szCs w:val="16"/>
              </w:rPr>
            </w:pPr>
            <w:r>
              <w:rPr>
                <w:color w:val="000000"/>
                <w:sz w:val="16"/>
                <w:szCs w:val="16"/>
              </w:rPr>
              <w:t>Interleukin 6 Receptor</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1CB4DD7C" w14:textId="77777777" w:rsidR="00CB0062" w:rsidRDefault="00CB0062" w:rsidP="00223E56">
            <w:pPr>
              <w:rPr>
                <w:color w:val="000000"/>
                <w:sz w:val="16"/>
                <w:szCs w:val="16"/>
              </w:rPr>
            </w:pPr>
            <w:r>
              <w:rPr>
                <w:color w:val="000000"/>
                <w:sz w:val="16"/>
                <w:szCs w:val="16"/>
              </w:rPr>
              <w:t>rs2228145</w:t>
            </w:r>
          </w:p>
        </w:tc>
        <w:tc>
          <w:tcPr>
            <w:tcW w:w="851" w:type="dxa"/>
            <w:tcBorders>
              <w:top w:val="single" w:sz="4" w:space="0" w:color="000000"/>
              <w:bottom w:val="single" w:sz="4" w:space="0" w:color="D0CECE"/>
            </w:tcBorders>
            <w:tcMar>
              <w:top w:w="-113" w:type="dxa"/>
              <w:left w:w="-113" w:type="dxa"/>
              <w:bottom w:w="-113" w:type="dxa"/>
              <w:right w:w="-113" w:type="dxa"/>
            </w:tcMar>
          </w:tcPr>
          <w:p w14:paraId="61A1A467" w14:textId="77777777" w:rsidR="00CB0062" w:rsidRDefault="00CB0062" w:rsidP="00223E56">
            <w:pPr>
              <w:rPr>
                <w:color w:val="000000"/>
                <w:sz w:val="16"/>
                <w:szCs w:val="16"/>
              </w:rPr>
            </w:pPr>
            <w:r>
              <w:rPr>
                <w:color w:val="000000"/>
                <w:sz w:val="16"/>
                <w:szCs w:val="16"/>
              </w:rPr>
              <w:t>A&gt;</w:t>
            </w:r>
            <w:proofErr w:type="gramStart"/>
            <w:r>
              <w:rPr>
                <w:color w:val="000000"/>
                <w:sz w:val="16"/>
                <w:szCs w:val="16"/>
              </w:rPr>
              <w:t>C,T</w:t>
            </w:r>
            <w:proofErr w:type="gramEnd"/>
          </w:p>
        </w:tc>
        <w:tc>
          <w:tcPr>
            <w:tcW w:w="1701" w:type="dxa"/>
            <w:tcBorders>
              <w:top w:val="single" w:sz="4" w:space="0" w:color="000000"/>
              <w:bottom w:val="single" w:sz="4" w:space="0" w:color="D0CECE"/>
            </w:tcBorders>
            <w:tcMar>
              <w:top w:w="-113" w:type="dxa"/>
              <w:left w:w="-113" w:type="dxa"/>
              <w:bottom w:w="-113" w:type="dxa"/>
              <w:right w:w="-113" w:type="dxa"/>
            </w:tcMar>
          </w:tcPr>
          <w:p w14:paraId="112CF2C4" w14:textId="77777777" w:rsidR="00CB0062" w:rsidRDefault="00CB0062" w:rsidP="00223E56">
            <w:pPr>
              <w:rPr>
                <w:color w:val="000000"/>
                <w:sz w:val="16"/>
                <w:szCs w:val="16"/>
              </w:rPr>
            </w:pPr>
            <w:r>
              <w:rPr>
                <w:color w:val="000000"/>
                <w:sz w:val="16"/>
                <w:szCs w:val="16"/>
              </w:rPr>
              <w:t>Missense variant</w:t>
            </w:r>
          </w:p>
        </w:tc>
        <w:tc>
          <w:tcPr>
            <w:tcW w:w="708" w:type="dxa"/>
            <w:tcBorders>
              <w:top w:val="single" w:sz="4" w:space="0" w:color="000000"/>
              <w:bottom w:val="single" w:sz="4" w:space="0" w:color="D0CECE"/>
            </w:tcBorders>
            <w:tcMar>
              <w:top w:w="-113" w:type="dxa"/>
              <w:left w:w="-113" w:type="dxa"/>
              <w:bottom w:w="-113" w:type="dxa"/>
              <w:right w:w="-113" w:type="dxa"/>
            </w:tcMar>
          </w:tcPr>
          <w:p w14:paraId="0469F989" w14:textId="77777777" w:rsidR="00CB0062" w:rsidRDefault="00CB0062" w:rsidP="00223E56">
            <w:pPr>
              <w:rPr>
                <w:color w:val="000000"/>
                <w:sz w:val="16"/>
                <w:szCs w:val="16"/>
              </w:rPr>
            </w:pPr>
            <w:r>
              <w:rPr>
                <w:color w:val="000000"/>
                <w:sz w:val="16"/>
                <w:szCs w:val="16"/>
              </w:rPr>
              <w:t>T2DM</w:t>
            </w: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7096B650" w14:textId="77777777" w:rsidR="00CB0062" w:rsidRDefault="00CB0062" w:rsidP="00223E56">
            <w:pPr>
              <w:rPr>
                <w:sz w:val="16"/>
                <w:szCs w:val="16"/>
              </w:rPr>
            </w:pPr>
            <w:r>
              <w:rPr>
                <w:sz w:val="16"/>
                <w:szCs w:val="16"/>
              </w:rPr>
              <w:t>Grau-Perez et al. 2018</w:t>
            </w:r>
          </w:p>
          <w:p w14:paraId="60DD0815" w14:textId="77777777" w:rsidR="00CB0062" w:rsidRDefault="00CB0062" w:rsidP="00223E56">
            <w:pPr>
              <w:rPr>
                <w:sz w:val="16"/>
                <w:szCs w:val="16"/>
              </w:rPr>
            </w:pPr>
          </w:p>
        </w:tc>
      </w:tr>
      <w:tr w:rsidR="00CB0062" w14:paraId="450DC140"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5E52521" w14:textId="77777777" w:rsidR="00CB0062" w:rsidRDefault="00CB0062" w:rsidP="00223E56">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2CE19E9" w14:textId="77777777" w:rsidR="00CB0062" w:rsidRDefault="00CB0062" w:rsidP="00223E56">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77C4DEF3" w14:textId="77777777" w:rsidR="00CB0062" w:rsidRDefault="00CB0062" w:rsidP="00223E56">
            <w:pPr>
              <w:rPr>
                <w:color w:val="000000"/>
                <w:sz w:val="16"/>
                <w:szCs w:val="16"/>
              </w:rPr>
            </w:pPr>
            <w:r>
              <w:rPr>
                <w:color w:val="000000"/>
                <w:sz w:val="16"/>
                <w:szCs w:val="16"/>
              </w:rPr>
              <w:t>rs7518199</w:t>
            </w:r>
          </w:p>
        </w:tc>
        <w:tc>
          <w:tcPr>
            <w:tcW w:w="851" w:type="dxa"/>
            <w:tcBorders>
              <w:top w:val="single" w:sz="4" w:space="0" w:color="D0CECE"/>
              <w:bottom w:val="single" w:sz="4" w:space="0" w:color="000000"/>
            </w:tcBorders>
            <w:tcMar>
              <w:top w:w="-113" w:type="dxa"/>
              <w:left w:w="-113" w:type="dxa"/>
              <w:bottom w:w="-113" w:type="dxa"/>
              <w:right w:w="-113" w:type="dxa"/>
            </w:tcMar>
          </w:tcPr>
          <w:p w14:paraId="56AA1247" w14:textId="77777777" w:rsidR="00CB0062" w:rsidRDefault="00CB0062" w:rsidP="00223E56">
            <w:pPr>
              <w:rPr>
                <w:color w:val="000000"/>
                <w:sz w:val="16"/>
                <w:szCs w:val="16"/>
              </w:rPr>
            </w:pPr>
            <w:r>
              <w:rPr>
                <w:color w:val="000000"/>
                <w:sz w:val="16"/>
                <w:szCs w:val="16"/>
              </w:rPr>
              <w:t>A&gt;</w:t>
            </w:r>
            <w:proofErr w:type="gramStart"/>
            <w:r>
              <w:rPr>
                <w:color w:val="000000"/>
                <w:sz w:val="16"/>
                <w:szCs w:val="16"/>
              </w:rPr>
              <w:t>C,T</w:t>
            </w:r>
            <w:proofErr w:type="gramEnd"/>
          </w:p>
        </w:tc>
        <w:tc>
          <w:tcPr>
            <w:tcW w:w="1701" w:type="dxa"/>
            <w:tcBorders>
              <w:top w:val="single" w:sz="4" w:space="0" w:color="D0CECE"/>
              <w:bottom w:val="single" w:sz="4" w:space="0" w:color="000000"/>
            </w:tcBorders>
            <w:tcMar>
              <w:top w:w="-113" w:type="dxa"/>
              <w:left w:w="-113" w:type="dxa"/>
              <w:bottom w:w="-113" w:type="dxa"/>
              <w:right w:w="-113" w:type="dxa"/>
            </w:tcMar>
          </w:tcPr>
          <w:p w14:paraId="558C0D53" w14:textId="77777777" w:rsidR="00CB0062" w:rsidRDefault="00CB0062" w:rsidP="00223E56">
            <w:pPr>
              <w:rPr>
                <w:color w:val="000000"/>
                <w:sz w:val="16"/>
                <w:szCs w:val="16"/>
              </w:rPr>
            </w:pPr>
            <w:r>
              <w:rPr>
                <w:sz w:val="16"/>
                <w:szCs w:val="16"/>
              </w:rPr>
              <w:t>Intron variant</w:t>
            </w:r>
          </w:p>
        </w:tc>
        <w:tc>
          <w:tcPr>
            <w:tcW w:w="708" w:type="dxa"/>
            <w:tcBorders>
              <w:top w:val="single" w:sz="4" w:space="0" w:color="D0CECE"/>
              <w:bottom w:val="single" w:sz="4" w:space="0" w:color="000000"/>
            </w:tcBorders>
            <w:tcMar>
              <w:top w:w="-113" w:type="dxa"/>
              <w:left w:w="-113" w:type="dxa"/>
              <w:bottom w:w="-113" w:type="dxa"/>
              <w:right w:w="-113" w:type="dxa"/>
            </w:tcMar>
          </w:tcPr>
          <w:p w14:paraId="78E819B1" w14:textId="77777777" w:rsidR="00CB0062" w:rsidRDefault="00CB0062" w:rsidP="00223E56">
            <w:pPr>
              <w:rPr>
                <w:color w:val="000000"/>
                <w:sz w:val="16"/>
                <w:szCs w:val="16"/>
              </w:rPr>
            </w:pPr>
            <w:r>
              <w:rPr>
                <w:color w:val="000000"/>
                <w:sz w:val="16"/>
                <w:szCs w:val="16"/>
              </w:rPr>
              <w:t>T2DM</w:t>
            </w: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7B2E94C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50A68A99"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3BBB87F2" w14:textId="77777777" w:rsidR="00CB0062" w:rsidRDefault="00CB0062" w:rsidP="00223E56">
            <w:pPr>
              <w:rPr>
                <w:i/>
                <w:color w:val="000000"/>
                <w:sz w:val="16"/>
                <w:szCs w:val="16"/>
              </w:rPr>
            </w:pPr>
            <w:r>
              <w:rPr>
                <w:i/>
                <w:color w:val="000000"/>
                <w:sz w:val="16"/>
                <w:szCs w:val="16"/>
              </w:rPr>
              <w:t>IL6ST</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245B24A2" w14:textId="77777777" w:rsidR="00CB0062" w:rsidRDefault="00CB0062" w:rsidP="00223E56">
            <w:pPr>
              <w:rPr>
                <w:color w:val="000000"/>
                <w:sz w:val="16"/>
                <w:szCs w:val="16"/>
              </w:rPr>
            </w:pPr>
            <w:r>
              <w:rPr>
                <w:color w:val="000000"/>
                <w:sz w:val="16"/>
                <w:szCs w:val="16"/>
              </w:rPr>
              <w:t>Interleukin 6 Cytokine Family Signal Transducer</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57992CE6" w14:textId="77777777" w:rsidR="00CB0062" w:rsidRDefault="00CB0062" w:rsidP="00223E56">
            <w:pPr>
              <w:rPr>
                <w:color w:val="000000"/>
                <w:sz w:val="16"/>
                <w:szCs w:val="16"/>
              </w:rPr>
            </w:pPr>
            <w:r>
              <w:rPr>
                <w:color w:val="000000"/>
                <w:sz w:val="16"/>
                <w:szCs w:val="16"/>
              </w:rPr>
              <w:t>rs6870870</w:t>
            </w:r>
          </w:p>
        </w:tc>
        <w:tc>
          <w:tcPr>
            <w:tcW w:w="851" w:type="dxa"/>
            <w:tcBorders>
              <w:top w:val="single" w:sz="4" w:space="0" w:color="000000"/>
              <w:bottom w:val="single" w:sz="4" w:space="0" w:color="000000"/>
            </w:tcBorders>
            <w:tcMar>
              <w:top w:w="-113" w:type="dxa"/>
              <w:left w:w="-113" w:type="dxa"/>
              <w:bottom w:w="-113" w:type="dxa"/>
              <w:right w:w="-113" w:type="dxa"/>
            </w:tcMar>
          </w:tcPr>
          <w:p w14:paraId="2A5C496D" w14:textId="77777777" w:rsidR="00CB0062" w:rsidRDefault="00CB0062" w:rsidP="00223E56">
            <w:pPr>
              <w:rPr>
                <w:color w:val="000000"/>
                <w:sz w:val="16"/>
                <w:szCs w:val="16"/>
              </w:rPr>
            </w:pPr>
            <w:r>
              <w:rPr>
                <w:color w:val="000000"/>
                <w:sz w:val="16"/>
                <w:szCs w:val="16"/>
              </w:rPr>
              <w:t>C&gt;</w:t>
            </w:r>
            <w:proofErr w:type="gramStart"/>
            <w:r>
              <w:rPr>
                <w:color w:val="000000"/>
                <w:sz w:val="16"/>
                <w:szCs w:val="16"/>
              </w:rPr>
              <w:t>A,T</w:t>
            </w:r>
            <w:proofErr w:type="gramEnd"/>
          </w:p>
        </w:tc>
        <w:tc>
          <w:tcPr>
            <w:tcW w:w="1701" w:type="dxa"/>
            <w:tcBorders>
              <w:top w:val="single" w:sz="4" w:space="0" w:color="000000"/>
              <w:bottom w:val="single" w:sz="4" w:space="0" w:color="000000"/>
            </w:tcBorders>
            <w:tcMar>
              <w:top w:w="-113" w:type="dxa"/>
              <w:left w:w="-113" w:type="dxa"/>
              <w:bottom w:w="-113" w:type="dxa"/>
              <w:right w:w="-113" w:type="dxa"/>
            </w:tcMar>
          </w:tcPr>
          <w:p w14:paraId="31799438" w14:textId="77777777" w:rsidR="00CB0062" w:rsidRDefault="00CB0062" w:rsidP="00223E56">
            <w:pPr>
              <w:rPr>
                <w:color w:val="000000"/>
                <w:sz w:val="16"/>
                <w:szCs w:val="16"/>
              </w:rPr>
            </w:pPr>
            <w:r>
              <w:rPr>
                <w:sz w:val="16"/>
                <w:szCs w:val="16"/>
              </w:rPr>
              <w:t>Intron variant</w:t>
            </w:r>
          </w:p>
        </w:tc>
        <w:tc>
          <w:tcPr>
            <w:tcW w:w="708" w:type="dxa"/>
            <w:tcBorders>
              <w:top w:val="single" w:sz="4" w:space="0" w:color="000000"/>
              <w:bottom w:val="single" w:sz="4" w:space="0" w:color="000000"/>
            </w:tcBorders>
            <w:tcMar>
              <w:top w:w="-113" w:type="dxa"/>
              <w:left w:w="-113" w:type="dxa"/>
              <w:bottom w:w="-113" w:type="dxa"/>
              <w:right w:w="-113" w:type="dxa"/>
            </w:tcMar>
          </w:tcPr>
          <w:p w14:paraId="2037F5F9" w14:textId="77777777" w:rsidR="00CB0062" w:rsidRDefault="00CB0062" w:rsidP="00223E56">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1DE40BD4" w14:textId="77777777" w:rsidR="00CB0062" w:rsidRDefault="00CB0062" w:rsidP="00223E56">
            <w:pPr>
              <w:rPr>
                <w:color w:val="000000"/>
                <w:sz w:val="16"/>
                <w:szCs w:val="16"/>
              </w:rPr>
            </w:pPr>
            <w:r>
              <w:rPr>
                <w:sz w:val="16"/>
                <w:szCs w:val="16"/>
              </w:rPr>
              <w:t>Grau-Perez et al. 2018</w:t>
            </w:r>
          </w:p>
        </w:tc>
      </w:tr>
      <w:tr w:rsidR="00CB0062" w14:paraId="054C9016"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01FED78" w14:textId="77777777" w:rsidR="00CB0062" w:rsidRDefault="00CB0062" w:rsidP="00223E56">
            <w:pPr>
              <w:rPr>
                <w:i/>
                <w:color w:val="000000"/>
                <w:sz w:val="16"/>
                <w:szCs w:val="16"/>
              </w:rPr>
            </w:pPr>
            <w:r>
              <w:rPr>
                <w:i/>
                <w:color w:val="000000"/>
                <w:sz w:val="16"/>
                <w:szCs w:val="16"/>
              </w:rPr>
              <w:t>IL8</w:t>
            </w:r>
          </w:p>
          <w:p w14:paraId="03E5DEED"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4A5E4C5" w14:textId="77777777" w:rsidR="00CB0062" w:rsidRDefault="00CB0062" w:rsidP="00223E56">
            <w:pPr>
              <w:rPr>
                <w:color w:val="000000"/>
                <w:sz w:val="16"/>
                <w:szCs w:val="16"/>
              </w:rPr>
            </w:pPr>
            <w:r>
              <w:rPr>
                <w:color w:val="000000"/>
                <w:sz w:val="16"/>
                <w:szCs w:val="16"/>
              </w:rPr>
              <w:t>Interleukin 8</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0B4615AA" w14:textId="77777777" w:rsidR="00CB0062" w:rsidRDefault="00CB0062" w:rsidP="00223E56">
            <w:pPr>
              <w:rPr>
                <w:color w:val="000000"/>
                <w:sz w:val="16"/>
                <w:szCs w:val="16"/>
              </w:rPr>
            </w:pPr>
            <w:r>
              <w:rPr>
                <w:color w:val="000000"/>
                <w:sz w:val="16"/>
                <w:szCs w:val="16"/>
              </w:rPr>
              <w:t>rs2227543</w:t>
            </w:r>
          </w:p>
        </w:tc>
        <w:tc>
          <w:tcPr>
            <w:tcW w:w="851" w:type="dxa"/>
            <w:tcBorders>
              <w:top w:val="single" w:sz="4" w:space="0" w:color="000000"/>
              <w:bottom w:val="single" w:sz="4" w:space="0" w:color="D0CECE"/>
            </w:tcBorders>
            <w:tcMar>
              <w:top w:w="-113" w:type="dxa"/>
              <w:left w:w="-113" w:type="dxa"/>
              <w:bottom w:w="-113" w:type="dxa"/>
              <w:right w:w="-113" w:type="dxa"/>
            </w:tcMar>
          </w:tcPr>
          <w:p w14:paraId="1AB9C1CC" w14:textId="77777777" w:rsidR="00CB0062" w:rsidRDefault="00CB0062" w:rsidP="00223E56">
            <w:pPr>
              <w:rPr>
                <w:color w:val="000000"/>
                <w:sz w:val="16"/>
                <w:szCs w:val="16"/>
              </w:rPr>
            </w:pPr>
            <w:r>
              <w:rPr>
                <w:color w:val="000000"/>
                <w:sz w:val="16"/>
                <w:szCs w:val="16"/>
              </w:rPr>
              <w:t>C&gt;T</w:t>
            </w:r>
          </w:p>
        </w:tc>
        <w:tc>
          <w:tcPr>
            <w:tcW w:w="1701" w:type="dxa"/>
            <w:tcBorders>
              <w:top w:val="single" w:sz="4" w:space="0" w:color="000000"/>
              <w:bottom w:val="single" w:sz="4" w:space="0" w:color="D0CECE"/>
            </w:tcBorders>
            <w:tcMar>
              <w:top w:w="-113" w:type="dxa"/>
              <w:left w:w="-113" w:type="dxa"/>
              <w:bottom w:w="-113" w:type="dxa"/>
              <w:right w:w="-113" w:type="dxa"/>
            </w:tcMar>
          </w:tcPr>
          <w:p w14:paraId="634C7AEF" w14:textId="77777777" w:rsidR="00CB0062" w:rsidRDefault="00CB0062" w:rsidP="00223E56">
            <w:pPr>
              <w:rPr>
                <w:color w:val="000000"/>
                <w:sz w:val="16"/>
                <w:szCs w:val="16"/>
              </w:rPr>
            </w:pPr>
            <w:r>
              <w:rPr>
                <w:sz w:val="16"/>
                <w:szCs w:val="16"/>
              </w:rPr>
              <w:t>Intron variant</w:t>
            </w:r>
          </w:p>
        </w:tc>
        <w:tc>
          <w:tcPr>
            <w:tcW w:w="708" w:type="dxa"/>
            <w:tcBorders>
              <w:top w:val="single" w:sz="4" w:space="0" w:color="000000"/>
              <w:bottom w:val="single" w:sz="4" w:space="0" w:color="D0CECE"/>
            </w:tcBorders>
            <w:tcMar>
              <w:top w:w="-113" w:type="dxa"/>
              <w:left w:w="-113" w:type="dxa"/>
              <w:bottom w:w="-113" w:type="dxa"/>
              <w:right w:w="-113" w:type="dxa"/>
            </w:tcMar>
          </w:tcPr>
          <w:p w14:paraId="08151C23" w14:textId="77777777" w:rsidR="00CB0062" w:rsidRDefault="00CB0062" w:rsidP="00223E56">
            <w:pPr>
              <w:rPr>
                <w:color w:val="000000"/>
                <w:sz w:val="16"/>
                <w:szCs w:val="16"/>
              </w:rPr>
            </w:pPr>
            <w:r>
              <w:rPr>
                <w:color w:val="000000"/>
                <w:sz w:val="16"/>
                <w:szCs w:val="16"/>
              </w:rPr>
              <w:t>T2DM</w:t>
            </w: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2CE5211D" w14:textId="77777777" w:rsidR="00CB0062" w:rsidRDefault="00CB0062" w:rsidP="00223E56">
            <w:pPr>
              <w:rPr>
                <w:sz w:val="16"/>
                <w:szCs w:val="16"/>
              </w:rPr>
            </w:pPr>
            <w:r>
              <w:rPr>
                <w:sz w:val="16"/>
                <w:szCs w:val="16"/>
              </w:rPr>
              <w:t>Grau-Perez et al. 2018</w:t>
            </w:r>
          </w:p>
          <w:p w14:paraId="6D342A6D" w14:textId="77777777" w:rsidR="00CB0062" w:rsidRDefault="00CB0062" w:rsidP="00223E56">
            <w:pPr>
              <w:rPr>
                <w:sz w:val="16"/>
                <w:szCs w:val="16"/>
              </w:rPr>
            </w:pPr>
          </w:p>
        </w:tc>
      </w:tr>
      <w:tr w:rsidR="00CB0062" w14:paraId="35D0968B"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5405277" w14:textId="77777777" w:rsidR="00CB0062" w:rsidRDefault="00CB0062" w:rsidP="00223E56">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FA87B17" w14:textId="77777777" w:rsidR="00CB0062" w:rsidRDefault="00CB0062" w:rsidP="00223E56">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2D8715B8" w14:textId="77777777" w:rsidR="00CB0062" w:rsidRDefault="00CB0062" w:rsidP="00223E56">
            <w:pPr>
              <w:rPr>
                <w:color w:val="000000"/>
                <w:sz w:val="16"/>
                <w:szCs w:val="16"/>
              </w:rPr>
            </w:pPr>
            <w:r>
              <w:rPr>
                <w:color w:val="000000"/>
                <w:sz w:val="16"/>
                <w:szCs w:val="16"/>
              </w:rPr>
              <w:t>rs4073</w:t>
            </w:r>
          </w:p>
        </w:tc>
        <w:tc>
          <w:tcPr>
            <w:tcW w:w="851" w:type="dxa"/>
            <w:tcBorders>
              <w:top w:val="single" w:sz="4" w:space="0" w:color="D0CECE"/>
              <w:bottom w:val="single" w:sz="4" w:space="0" w:color="000000"/>
            </w:tcBorders>
            <w:tcMar>
              <w:top w:w="-113" w:type="dxa"/>
              <w:left w:w="-113" w:type="dxa"/>
              <w:bottom w:w="-113" w:type="dxa"/>
              <w:right w:w="-113" w:type="dxa"/>
            </w:tcMar>
          </w:tcPr>
          <w:p w14:paraId="32591121" w14:textId="77777777" w:rsidR="00CB0062" w:rsidRDefault="00CB0062" w:rsidP="00223E56">
            <w:pPr>
              <w:rPr>
                <w:color w:val="000000"/>
                <w:sz w:val="16"/>
                <w:szCs w:val="16"/>
              </w:rPr>
            </w:pPr>
            <w:r>
              <w:rPr>
                <w:color w:val="000000"/>
                <w:sz w:val="16"/>
                <w:szCs w:val="16"/>
              </w:rPr>
              <w:t>A&gt;</w:t>
            </w:r>
            <w:proofErr w:type="gramStart"/>
            <w:r>
              <w:rPr>
                <w:color w:val="000000"/>
                <w:sz w:val="16"/>
                <w:szCs w:val="16"/>
              </w:rPr>
              <w:t>C,G</w:t>
            </w:r>
            <w:proofErr w:type="gramEnd"/>
            <w:r>
              <w:rPr>
                <w:color w:val="000000"/>
                <w:sz w:val="16"/>
                <w:szCs w:val="16"/>
              </w:rPr>
              <w:t>,T</w:t>
            </w:r>
          </w:p>
        </w:tc>
        <w:tc>
          <w:tcPr>
            <w:tcW w:w="1701" w:type="dxa"/>
            <w:tcBorders>
              <w:top w:val="single" w:sz="4" w:space="0" w:color="D0CECE"/>
              <w:bottom w:val="single" w:sz="4" w:space="0" w:color="000000"/>
            </w:tcBorders>
            <w:tcMar>
              <w:top w:w="-113" w:type="dxa"/>
              <w:left w:w="-113" w:type="dxa"/>
              <w:bottom w:w="-113" w:type="dxa"/>
              <w:right w:w="-113" w:type="dxa"/>
            </w:tcMar>
          </w:tcPr>
          <w:p w14:paraId="1DF2FE4D" w14:textId="77777777" w:rsidR="00CB0062" w:rsidRDefault="00CB0062" w:rsidP="00223E56">
            <w:pPr>
              <w:rPr>
                <w:color w:val="000000"/>
                <w:sz w:val="16"/>
                <w:szCs w:val="16"/>
              </w:rPr>
            </w:pPr>
            <w:r>
              <w:rPr>
                <w:sz w:val="16"/>
                <w:szCs w:val="16"/>
              </w:rPr>
              <w:t>2KB Upstream variant</w:t>
            </w:r>
          </w:p>
        </w:tc>
        <w:tc>
          <w:tcPr>
            <w:tcW w:w="708" w:type="dxa"/>
            <w:tcBorders>
              <w:top w:val="single" w:sz="4" w:space="0" w:color="D0CECE"/>
              <w:bottom w:val="single" w:sz="4" w:space="0" w:color="000000"/>
            </w:tcBorders>
            <w:tcMar>
              <w:top w:w="-113" w:type="dxa"/>
              <w:left w:w="-113" w:type="dxa"/>
              <w:bottom w:w="-113" w:type="dxa"/>
              <w:right w:w="-113" w:type="dxa"/>
            </w:tcMar>
          </w:tcPr>
          <w:p w14:paraId="0E128540" w14:textId="77777777" w:rsidR="00CB0062" w:rsidRDefault="00CB0062" w:rsidP="00223E56">
            <w:pPr>
              <w:rPr>
                <w:color w:val="000000"/>
                <w:sz w:val="16"/>
                <w:szCs w:val="16"/>
              </w:rPr>
            </w:pPr>
            <w:r>
              <w:rPr>
                <w:color w:val="000000"/>
                <w:sz w:val="16"/>
                <w:szCs w:val="16"/>
              </w:rPr>
              <w:t>T2DM</w:t>
            </w: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778EA15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2F03E295"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E2C29CA" w14:textId="77777777" w:rsidR="00CB0062" w:rsidRDefault="00CB0062" w:rsidP="00223E56">
            <w:pPr>
              <w:rPr>
                <w:i/>
                <w:color w:val="000000"/>
                <w:sz w:val="16"/>
                <w:szCs w:val="16"/>
              </w:rPr>
            </w:pPr>
            <w:r>
              <w:rPr>
                <w:i/>
                <w:color w:val="000000"/>
                <w:sz w:val="16"/>
                <w:szCs w:val="16"/>
              </w:rPr>
              <w:t>IL8RA</w:t>
            </w:r>
          </w:p>
          <w:p w14:paraId="1F4BF550"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00ECA1D" w14:textId="77777777" w:rsidR="00CB0062" w:rsidRDefault="00CB0062" w:rsidP="00223E56">
            <w:pPr>
              <w:rPr>
                <w:color w:val="000000"/>
                <w:sz w:val="16"/>
                <w:szCs w:val="16"/>
              </w:rPr>
            </w:pPr>
            <w:r>
              <w:rPr>
                <w:color w:val="000000"/>
                <w:sz w:val="16"/>
                <w:szCs w:val="16"/>
              </w:rPr>
              <w:t>Interleukin 8 receptor, alpha</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126CA264" w14:textId="77777777" w:rsidR="00CB0062" w:rsidRDefault="00CB0062" w:rsidP="00223E56">
            <w:pPr>
              <w:rPr>
                <w:color w:val="000000"/>
                <w:sz w:val="16"/>
                <w:szCs w:val="16"/>
              </w:rPr>
            </w:pPr>
            <w:r>
              <w:rPr>
                <w:color w:val="000000"/>
                <w:sz w:val="16"/>
                <w:szCs w:val="16"/>
              </w:rPr>
              <w:t>rs1008562</w:t>
            </w:r>
          </w:p>
        </w:tc>
        <w:tc>
          <w:tcPr>
            <w:tcW w:w="851" w:type="dxa"/>
            <w:tcBorders>
              <w:top w:val="single" w:sz="4" w:space="0" w:color="000000"/>
              <w:bottom w:val="single" w:sz="4" w:space="0" w:color="D0CECE"/>
            </w:tcBorders>
            <w:tcMar>
              <w:top w:w="-113" w:type="dxa"/>
              <w:left w:w="-113" w:type="dxa"/>
              <w:bottom w:w="-113" w:type="dxa"/>
              <w:right w:w="-113" w:type="dxa"/>
            </w:tcMar>
          </w:tcPr>
          <w:p w14:paraId="6C9E805C" w14:textId="77777777" w:rsidR="00CB0062" w:rsidRDefault="00CB0062" w:rsidP="00223E56">
            <w:pPr>
              <w:rPr>
                <w:color w:val="000000"/>
                <w:sz w:val="16"/>
                <w:szCs w:val="16"/>
              </w:rPr>
            </w:pPr>
            <w:r>
              <w:rPr>
                <w:color w:val="000000"/>
                <w:sz w:val="16"/>
                <w:szCs w:val="16"/>
              </w:rPr>
              <w:t>G&gt;</w:t>
            </w:r>
            <w:proofErr w:type="gramStart"/>
            <w:r>
              <w:rPr>
                <w:color w:val="000000"/>
                <w:sz w:val="16"/>
                <w:szCs w:val="16"/>
              </w:rPr>
              <w:t>A,C</w:t>
            </w:r>
            <w:proofErr w:type="gramEnd"/>
            <w:r>
              <w:rPr>
                <w:color w:val="000000"/>
                <w:sz w:val="16"/>
                <w:szCs w:val="16"/>
              </w:rPr>
              <w:t>,T</w:t>
            </w:r>
          </w:p>
        </w:tc>
        <w:tc>
          <w:tcPr>
            <w:tcW w:w="1701" w:type="dxa"/>
            <w:tcBorders>
              <w:top w:val="single" w:sz="4" w:space="0" w:color="000000"/>
              <w:bottom w:val="single" w:sz="4" w:space="0" w:color="D0CECE"/>
            </w:tcBorders>
            <w:tcMar>
              <w:top w:w="-113" w:type="dxa"/>
              <w:left w:w="-113" w:type="dxa"/>
              <w:bottom w:w="-113" w:type="dxa"/>
              <w:right w:w="-113" w:type="dxa"/>
            </w:tcMar>
          </w:tcPr>
          <w:p w14:paraId="17AF45CE" w14:textId="77777777" w:rsidR="00CB0062" w:rsidRDefault="00CB0062" w:rsidP="00223E56">
            <w:pPr>
              <w:rPr>
                <w:color w:val="000000"/>
                <w:sz w:val="16"/>
                <w:szCs w:val="16"/>
              </w:rPr>
            </w:pPr>
            <w:r>
              <w:rPr>
                <w:color w:val="000000"/>
                <w:sz w:val="16"/>
                <w:szCs w:val="16"/>
              </w:rPr>
              <w:t>None</w:t>
            </w:r>
          </w:p>
        </w:tc>
        <w:tc>
          <w:tcPr>
            <w:tcW w:w="708" w:type="dxa"/>
            <w:tcBorders>
              <w:top w:val="single" w:sz="4" w:space="0" w:color="000000"/>
              <w:bottom w:val="single" w:sz="4" w:space="0" w:color="D0CECE"/>
            </w:tcBorders>
            <w:tcMar>
              <w:top w:w="-113" w:type="dxa"/>
              <w:left w:w="-113" w:type="dxa"/>
              <w:bottom w:w="-113" w:type="dxa"/>
              <w:right w:w="-113" w:type="dxa"/>
            </w:tcMar>
          </w:tcPr>
          <w:p w14:paraId="3A15B765" w14:textId="77777777" w:rsidR="00CB0062" w:rsidRDefault="00CB0062" w:rsidP="00223E56">
            <w:pPr>
              <w:rPr>
                <w:color w:val="000000"/>
                <w:sz w:val="16"/>
                <w:szCs w:val="16"/>
              </w:rPr>
            </w:pPr>
            <w:r>
              <w:rPr>
                <w:color w:val="000000"/>
                <w:sz w:val="16"/>
                <w:szCs w:val="16"/>
              </w:rPr>
              <w:t>T2DM</w:t>
            </w: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6E296313" w14:textId="77777777" w:rsidR="00CB0062" w:rsidRDefault="00CB0062" w:rsidP="00223E56">
            <w:pPr>
              <w:rPr>
                <w:sz w:val="16"/>
                <w:szCs w:val="16"/>
              </w:rPr>
            </w:pPr>
            <w:r>
              <w:rPr>
                <w:sz w:val="16"/>
                <w:szCs w:val="16"/>
              </w:rPr>
              <w:t>Grau-Perez et al. 2018</w:t>
            </w:r>
          </w:p>
          <w:p w14:paraId="44CAB162" w14:textId="77777777" w:rsidR="00CB0062" w:rsidRDefault="00CB0062" w:rsidP="00223E56">
            <w:pPr>
              <w:rPr>
                <w:sz w:val="16"/>
                <w:szCs w:val="16"/>
              </w:rPr>
            </w:pPr>
          </w:p>
        </w:tc>
      </w:tr>
      <w:tr w:rsidR="00CB0062" w14:paraId="6379449C"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31829C6" w14:textId="77777777" w:rsidR="00CB0062" w:rsidRDefault="00CB0062" w:rsidP="00223E56">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1075AE3" w14:textId="77777777" w:rsidR="00CB0062" w:rsidRDefault="00CB0062" w:rsidP="00223E56">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623674A7" w14:textId="77777777" w:rsidR="00CB0062" w:rsidRDefault="00CB0062" w:rsidP="00223E56">
            <w:pPr>
              <w:rPr>
                <w:color w:val="000000"/>
                <w:sz w:val="16"/>
                <w:szCs w:val="16"/>
              </w:rPr>
            </w:pPr>
            <w:r>
              <w:rPr>
                <w:color w:val="000000"/>
                <w:sz w:val="16"/>
                <w:szCs w:val="16"/>
              </w:rPr>
              <w:t>rs1008563</w:t>
            </w:r>
          </w:p>
        </w:tc>
        <w:tc>
          <w:tcPr>
            <w:tcW w:w="851" w:type="dxa"/>
            <w:tcBorders>
              <w:top w:val="single" w:sz="4" w:space="0" w:color="D0CECE"/>
              <w:bottom w:val="single" w:sz="4" w:space="0" w:color="000000"/>
            </w:tcBorders>
            <w:tcMar>
              <w:top w:w="-113" w:type="dxa"/>
              <w:left w:w="-113" w:type="dxa"/>
              <w:bottom w:w="-113" w:type="dxa"/>
              <w:right w:w="-113" w:type="dxa"/>
            </w:tcMar>
          </w:tcPr>
          <w:p w14:paraId="5E2621BA" w14:textId="77777777" w:rsidR="00CB0062" w:rsidRDefault="00CB0062" w:rsidP="00223E56">
            <w:pPr>
              <w:rPr>
                <w:color w:val="000000"/>
                <w:sz w:val="16"/>
                <w:szCs w:val="16"/>
              </w:rPr>
            </w:pPr>
            <w:r>
              <w:rPr>
                <w:color w:val="000000"/>
                <w:sz w:val="16"/>
                <w:szCs w:val="16"/>
              </w:rPr>
              <w:t>G&gt;A</w:t>
            </w:r>
          </w:p>
        </w:tc>
        <w:tc>
          <w:tcPr>
            <w:tcW w:w="1701" w:type="dxa"/>
            <w:tcBorders>
              <w:top w:val="single" w:sz="4" w:space="0" w:color="D0CECE"/>
              <w:bottom w:val="single" w:sz="4" w:space="0" w:color="000000"/>
            </w:tcBorders>
            <w:tcMar>
              <w:top w:w="-113" w:type="dxa"/>
              <w:left w:w="-113" w:type="dxa"/>
              <w:bottom w:w="-113" w:type="dxa"/>
              <w:right w:w="-113" w:type="dxa"/>
            </w:tcMar>
          </w:tcPr>
          <w:p w14:paraId="77E8CE75" w14:textId="77777777" w:rsidR="00CB0062" w:rsidRDefault="00CB0062" w:rsidP="00223E56">
            <w:pPr>
              <w:rPr>
                <w:color w:val="000000"/>
                <w:sz w:val="16"/>
                <w:szCs w:val="16"/>
              </w:rPr>
            </w:pPr>
            <w:r>
              <w:rPr>
                <w:color w:val="000000"/>
                <w:sz w:val="16"/>
                <w:szCs w:val="16"/>
              </w:rPr>
              <w:t>None</w:t>
            </w:r>
          </w:p>
        </w:tc>
        <w:tc>
          <w:tcPr>
            <w:tcW w:w="708" w:type="dxa"/>
            <w:tcBorders>
              <w:top w:val="single" w:sz="4" w:space="0" w:color="D0CECE"/>
              <w:bottom w:val="single" w:sz="4" w:space="0" w:color="000000"/>
            </w:tcBorders>
            <w:tcMar>
              <w:top w:w="-113" w:type="dxa"/>
              <w:left w:w="-113" w:type="dxa"/>
              <w:bottom w:w="-113" w:type="dxa"/>
              <w:right w:w="-113" w:type="dxa"/>
            </w:tcMar>
          </w:tcPr>
          <w:p w14:paraId="3945624E" w14:textId="77777777" w:rsidR="00CB0062" w:rsidRDefault="00CB0062" w:rsidP="00223E56">
            <w:pPr>
              <w:rPr>
                <w:color w:val="000000"/>
                <w:sz w:val="16"/>
                <w:szCs w:val="16"/>
              </w:rPr>
            </w:pPr>
            <w:r>
              <w:rPr>
                <w:color w:val="000000"/>
                <w:sz w:val="16"/>
                <w:szCs w:val="16"/>
              </w:rPr>
              <w:t>T2DM</w:t>
            </w: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35D9114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3D37D8BC"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3E49F0C2" w14:textId="77777777" w:rsidR="00CB0062" w:rsidRDefault="00CB0062" w:rsidP="00223E56">
            <w:pPr>
              <w:rPr>
                <w:i/>
                <w:color w:val="000000"/>
                <w:sz w:val="16"/>
                <w:szCs w:val="16"/>
              </w:rPr>
            </w:pPr>
            <w:r>
              <w:rPr>
                <w:i/>
                <w:color w:val="000000"/>
                <w:sz w:val="16"/>
                <w:szCs w:val="16"/>
              </w:rPr>
              <w:t>IL8RB</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35A62562" w14:textId="77777777" w:rsidR="00CB0062" w:rsidRDefault="00CB0062" w:rsidP="00223E56">
            <w:pPr>
              <w:rPr>
                <w:color w:val="000000"/>
                <w:sz w:val="16"/>
                <w:szCs w:val="16"/>
              </w:rPr>
            </w:pPr>
            <w:r>
              <w:rPr>
                <w:color w:val="000000"/>
                <w:sz w:val="16"/>
                <w:szCs w:val="16"/>
              </w:rPr>
              <w:t>Interleukin 8 receptor, beta</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41F4F173" w14:textId="77777777" w:rsidR="00CB0062" w:rsidRDefault="00CB0062" w:rsidP="00223E56">
            <w:pPr>
              <w:rPr>
                <w:color w:val="000000"/>
                <w:sz w:val="16"/>
                <w:szCs w:val="16"/>
              </w:rPr>
            </w:pPr>
            <w:r>
              <w:rPr>
                <w:color w:val="000000"/>
                <w:sz w:val="16"/>
                <w:szCs w:val="16"/>
              </w:rPr>
              <w:t>rs4674259</w:t>
            </w:r>
          </w:p>
        </w:tc>
        <w:tc>
          <w:tcPr>
            <w:tcW w:w="851" w:type="dxa"/>
            <w:tcBorders>
              <w:top w:val="single" w:sz="4" w:space="0" w:color="000000"/>
              <w:bottom w:val="single" w:sz="4" w:space="0" w:color="000000"/>
            </w:tcBorders>
            <w:tcMar>
              <w:top w:w="-113" w:type="dxa"/>
              <w:left w:w="-113" w:type="dxa"/>
              <w:bottom w:w="-113" w:type="dxa"/>
              <w:right w:w="-113" w:type="dxa"/>
            </w:tcMar>
          </w:tcPr>
          <w:p w14:paraId="6CDFA23D" w14:textId="77777777" w:rsidR="00CB0062" w:rsidRDefault="00CB0062" w:rsidP="00223E56">
            <w:pPr>
              <w:rPr>
                <w:color w:val="000000"/>
                <w:sz w:val="16"/>
                <w:szCs w:val="16"/>
              </w:rPr>
            </w:pPr>
            <w:r>
              <w:rPr>
                <w:color w:val="000000"/>
                <w:sz w:val="16"/>
                <w:szCs w:val="16"/>
              </w:rPr>
              <w:t>G&gt;</w:t>
            </w:r>
            <w:proofErr w:type="gramStart"/>
            <w:r>
              <w:rPr>
                <w:color w:val="000000"/>
                <w:sz w:val="16"/>
                <w:szCs w:val="16"/>
              </w:rPr>
              <w:t>A,T</w:t>
            </w:r>
            <w:proofErr w:type="gramEnd"/>
          </w:p>
        </w:tc>
        <w:tc>
          <w:tcPr>
            <w:tcW w:w="1701" w:type="dxa"/>
            <w:tcBorders>
              <w:top w:val="single" w:sz="4" w:space="0" w:color="000000"/>
              <w:bottom w:val="single" w:sz="4" w:space="0" w:color="000000"/>
            </w:tcBorders>
            <w:tcMar>
              <w:top w:w="-113" w:type="dxa"/>
              <w:left w:w="-113" w:type="dxa"/>
              <w:bottom w:w="-113" w:type="dxa"/>
              <w:right w:w="-113" w:type="dxa"/>
            </w:tcMar>
          </w:tcPr>
          <w:p w14:paraId="5A5FF9B7" w14:textId="77777777" w:rsidR="00CB0062" w:rsidRDefault="00CB0062" w:rsidP="00223E56">
            <w:pPr>
              <w:rPr>
                <w:color w:val="000000"/>
                <w:sz w:val="16"/>
                <w:szCs w:val="16"/>
              </w:rPr>
            </w:pPr>
            <w:r>
              <w:rPr>
                <w:sz w:val="16"/>
                <w:szCs w:val="16"/>
              </w:rPr>
              <w:t>Intron variant</w:t>
            </w:r>
          </w:p>
        </w:tc>
        <w:tc>
          <w:tcPr>
            <w:tcW w:w="708" w:type="dxa"/>
            <w:tcBorders>
              <w:top w:val="single" w:sz="4" w:space="0" w:color="000000"/>
              <w:bottom w:val="single" w:sz="4" w:space="0" w:color="000000"/>
            </w:tcBorders>
            <w:tcMar>
              <w:top w:w="-113" w:type="dxa"/>
              <w:left w:w="-113" w:type="dxa"/>
              <w:bottom w:w="-113" w:type="dxa"/>
              <w:right w:w="-113" w:type="dxa"/>
            </w:tcMar>
          </w:tcPr>
          <w:p w14:paraId="2EFBCF8D" w14:textId="77777777" w:rsidR="00CB0062" w:rsidRDefault="00CB0062" w:rsidP="00223E56">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0D56278C" w14:textId="77777777" w:rsidR="00CB0062" w:rsidRDefault="00CB0062" w:rsidP="00223E56">
            <w:pPr>
              <w:rPr>
                <w:color w:val="000000"/>
                <w:sz w:val="16"/>
                <w:szCs w:val="16"/>
              </w:rPr>
            </w:pPr>
            <w:r>
              <w:rPr>
                <w:sz w:val="16"/>
                <w:szCs w:val="16"/>
              </w:rPr>
              <w:t>Grau-Perez et al. 2018</w:t>
            </w:r>
          </w:p>
        </w:tc>
      </w:tr>
      <w:tr w:rsidR="00CB0062" w14:paraId="4389D521"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22828AF3" w14:textId="77777777" w:rsidR="00CB0062" w:rsidRDefault="00CB0062" w:rsidP="00223E56">
            <w:pPr>
              <w:rPr>
                <w:i/>
                <w:color w:val="000000"/>
                <w:sz w:val="16"/>
                <w:szCs w:val="16"/>
              </w:rPr>
            </w:pPr>
            <w:r>
              <w:rPr>
                <w:i/>
                <w:color w:val="000000"/>
                <w:sz w:val="16"/>
                <w:szCs w:val="16"/>
              </w:rPr>
              <w:t>INSIG2</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05196047" w14:textId="77777777" w:rsidR="00CB0062" w:rsidRDefault="00CB0062" w:rsidP="00223E56">
            <w:pPr>
              <w:rPr>
                <w:color w:val="000000"/>
                <w:sz w:val="16"/>
                <w:szCs w:val="16"/>
              </w:rPr>
            </w:pPr>
            <w:r>
              <w:rPr>
                <w:color w:val="000000"/>
                <w:sz w:val="16"/>
                <w:szCs w:val="16"/>
              </w:rPr>
              <w:t>Insulin Induced Gene 2</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398F28A9" w14:textId="77777777" w:rsidR="00CB0062" w:rsidRDefault="00CB0062" w:rsidP="00223E56">
            <w:pPr>
              <w:rPr>
                <w:color w:val="000000"/>
                <w:sz w:val="16"/>
                <w:szCs w:val="16"/>
              </w:rPr>
            </w:pPr>
            <w:r>
              <w:rPr>
                <w:color w:val="000000"/>
                <w:sz w:val="16"/>
                <w:szCs w:val="16"/>
              </w:rPr>
              <w:t>rs7566605</w:t>
            </w:r>
          </w:p>
        </w:tc>
        <w:tc>
          <w:tcPr>
            <w:tcW w:w="851" w:type="dxa"/>
            <w:tcBorders>
              <w:top w:val="single" w:sz="4" w:space="0" w:color="000000"/>
              <w:bottom w:val="single" w:sz="4" w:space="0" w:color="000000"/>
            </w:tcBorders>
            <w:tcMar>
              <w:top w:w="-113" w:type="dxa"/>
              <w:left w:w="-113" w:type="dxa"/>
              <w:bottom w:w="-113" w:type="dxa"/>
              <w:right w:w="-113" w:type="dxa"/>
            </w:tcMar>
          </w:tcPr>
          <w:p w14:paraId="44179CF5" w14:textId="77777777" w:rsidR="00CB0062" w:rsidRDefault="00CB0062" w:rsidP="00223E56">
            <w:pPr>
              <w:rPr>
                <w:color w:val="000000"/>
                <w:sz w:val="16"/>
                <w:szCs w:val="16"/>
              </w:rPr>
            </w:pPr>
            <w:r>
              <w:rPr>
                <w:color w:val="000000"/>
                <w:sz w:val="16"/>
                <w:szCs w:val="16"/>
              </w:rPr>
              <w:t>C&gt;</w:t>
            </w:r>
            <w:proofErr w:type="gramStart"/>
            <w:r>
              <w:rPr>
                <w:color w:val="000000"/>
                <w:sz w:val="16"/>
                <w:szCs w:val="16"/>
              </w:rPr>
              <w:t>A,G</w:t>
            </w:r>
            <w:proofErr w:type="gramEnd"/>
            <w:r>
              <w:rPr>
                <w:color w:val="000000"/>
                <w:sz w:val="16"/>
                <w:szCs w:val="16"/>
              </w:rPr>
              <w:t>,T</w:t>
            </w:r>
          </w:p>
        </w:tc>
        <w:tc>
          <w:tcPr>
            <w:tcW w:w="1701" w:type="dxa"/>
            <w:tcBorders>
              <w:top w:val="single" w:sz="4" w:space="0" w:color="000000"/>
              <w:bottom w:val="single" w:sz="4" w:space="0" w:color="000000"/>
            </w:tcBorders>
            <w:tcMar>
              <w:top w:w="-113" w:type="dxa"/>
              <w:left w:w="-113" w:type="dxa"/>
              <w:bottom w:w="-113" w:type="dxa"/>
              <w:right w:w="-113" w:type="dxa"/>
            </w:tcMar>
          </w:tcPr>
          <w:p w14:paraId="58ED3A5E" w14:textId="77777777" w:rsidR="00CB0062" w:rsidRDefault="00CB0062" w:rsidP="00223E56">
            <w:pPr>
              <w:rPr>
                <w:color w:val="000000"/>
                <w:sz w:val="16"/>
                <w:szCs w:val="16"/>
              </w:rPr>
            </w:pPr>
            <w:r>
              <w:rPr>
                <w:sz w:val="16"/>
                <w:szCs w:val="16"/>
              </w:rPr>
              <w:t>Intron variant</w:t>
            </w:r>
          </w:p>
        </w:tc>
        <w:tc>
          <w:tcPr>
            <w:tcW w:w="708" w:type="dxa"/>
            <w:tcBorders>
              <w:top w:val="single" w:sz="4" w:space="0" w:color="000000"/>
              <w:bottom w:val="single" w:sz="4" w:space="0" w:color="000000"/>
            </w:tcBorders>
            <w:tcMar>
              <w:top w:w="-113" w:type="dxa"/>
              <w:left w:w="-113" w:type="dxa"/>
              <w:bottom w:w="-113" w:type="dxa"/>
              <w:right w:w="-113" w:type="dxa"/>
            </w:tcMar>
          </w:tcPr>
          <w:p w14:paraId="1FE52069" w14:textId="77777777" w:rsidR="00CB0062" w:rsidRDefault="00CB0062" w:rsidP="00223E56">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34192414" w14:textId="77777777" w:rsidR="00CB0062" w:rsidRDefault="00CB0062" w:rsidP="00223E56">
            <w:pPr>
              <w:rPr>
                <w:color w:val="000000"/>
                <w:sz w:val="16"/>
                <w:szCs w:val="16"/>
              </w:rPr>
            </w:pPr>
            <w:r>
              <w:rPr>
                <w:sz w:val="16"/>
                <w:szCs w:val="16"/>
              </w:rPr>
              <w:t>Grau-Perez et al. 2018</w:t>
            </w:r>
          </w:p>
        </w:tc>
      </w:tr>
      <w:tr w:rsidR="00CB0062" w14:paraId="0A67BB4E" w14:textId="77777777" w:rsidTr="00923C73">
        <w:trPr>
          <w:trHeight w:val="150"/>
        </w:trPr>
        <w:tc>
          <w:tcPr>
            <w:tcW w:w="993" w:type="dxa"/>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9C21FDE" w14:textId="77777777" w:rsidR="00CB0062" w:rsidRDefault="00CB0062" w:rsidP="00223E56">
            <w:pPr>
              <w:rPr>
                <w:i/>
                <w:color w:val="000000"/>
                <w:sz w:val="16"/>
                <w:szCs w:val="16"/>
              </w:rPr>
            </w:pPr>
            <w:r>
              <w:rPr>
                <w:i/>
                <w:sz w:val="16"/>
                <w:szCs w:val="16"/>
              </w:rPr>
              <w:t xml:space="preserve">KEAP1 </w:t>
            </w:r>
          </w:p>
        </w:tc>
        <w:tc>
          <w:tcPr>
            <w:tcW w:w="3402" w:type="dxa"/>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74D4910" w14:textId="77777777" w:rsidR="00CB0062" w:rsidRDefault="00CB0062" w:rsidP="00223E56">
            <w:pPr>
              <w:rPr>
                <w:color w:val="000000"/>
                <w:sz w:val="16"/>
                <w:szCs w:val="16"/>
              </w:rPr>
            </w:pPr>
            <w:r>
              <w:rPr>
                <w:color w:val="202124"/>
                <w:sz w:val="16"/>
                <w:szCs w:val="16"/>
                <w:highlight w:val="white"/>
              </w:rPr>
              <w:t>Kelch-like ECH-associated protein 1</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7AF8B43D" w14:textId="77777777" w:rsidR="00CB0062" w:rsidRDefault="00CB0062" w:rsidP="00223E56">
            <w:pPr>
              <w:rPr>
                <w:color w:val="000000"/>
                <w:sz w:val="16"/>
                <w:szCs w:val="16"/>
              </w:rPr>
            </w:pPr>
            <w:r>
              <w:rPr>
                <w:sz w:val="16"/>
                <w:szCs w:val="16"/>
              </w:rPr>
              <w:t>rs11545829</w:t>
            </w:r>
          </w:p>
        </w:tc>
        <w:tc>
          <w:tcPr>
            <w:tcW w:w="851" w:type="dxa"/>
            <w:tcBorders>
              <w:top w:val="single" w:sz="4" w:space="0" w:color="000000"/>
              <w:bottom w:val="single" w:sz="4" w:space="0" w:color="D0CECE"/>
            </w:tcBorders>
            <w:tcMar>
              <w:top w:w="-113" w:type="dxa"/>
              <w:left w:w="-113" w:type="dxa"/>
              <w:bottom w:w="-113" w:type="dxa"/>
              <w:right w:w="-113" w:type="dxa"/>
            </w:tcMar>
          </w:tcPr>
          <w:p w14:paraId="322788AA" w14:textId="77777777" w:rsidR="00CB0062" w:rsidRDefault="00CB0062" w:rsidP="00223E56">
            <w:pPr>
              <w:rPr>
                <w:color w:val="000000"/>
                <w:sz w:val="16"/>
                <w:szCs w:val="16"/>
              </w:rPr>
            </w:pPr>
            <w:r>
              <w:rPr>
                <w:sz w:val="16"/>
                <w:szCs w:val="16"/>
                <w:highlight w:val="white"/>
              </w:rPr>
              <w:t>G&gt;</w:t>
            </w:r>
            <w:proofErr w:type="gramStart"/>
            <w:r>
              <w:rPr>
                <w:sz w:val="16"/>
                <w:szCs w:val="16"/>
                <w:highlight w:val="white"/>
              </w:rPr>
              <w:t>A,C</w:t>
            </w:r>
            <w:proofErr w:type="gramEnd"/>
          </w:p>
        </w:tc>
        <w:tc>
          <w:tcPr>
            <w:tcW w:w="1701" w:type="dxa"/>
            <w:tcBorders>
              <w:top w:val="single" w:sz="4" w:space="0" w:color="000000"/>
              <w:bottom w:val="single" w:sz="4" w:space="0" w:color="D0CECE"/>
            </w:tcBorders>
            <w:tcMar>
              <w:top w:w="-113" w:type="dxa"/>
              <w:left w:w="-113" w:type="dxa"/>
              <w:bottom w:w="-113" w:type="dxa"/>
              <w:right w:w="-113" w:type="dxa"/>
            </w:tcMar>
          </w:tcPr>
          <w:p w14:paraId="31B2A904" w14:textId="77777777" w:rsidR="00CB0062" w:rsidRDefault="00CB0062" w:rsidP="00223E56">
            <w:pPr>
              <w:rPr>
                <w:color w:val="000000"/>
                <w:sz w:val="16"/>
                <w:szCs w:val="16"/>
              </w:rPr>
            </w:pPr>
            <w:r>
              <w:rPr>
                <w:sz w:val="16"/>
                <w:szCs w:val="16"/>
              </w:rPr>
              <w:t>Stop gained</w:t>
            </w:r>
          </w:p>
        </w:tc>
        <w:tc>
          <w:tcPr>
            <w:tcW w:w="708" w:type="dxa"/>
            <w:tcBorders>
              <w:top w:val="single" w:sz="4" w:space="0" w:color="000000"/>
              <w:bottom w:val="single" w:sz="4" w:space="0" w:color="D0CECE"/>
            </w:tcBorders>
            <w:tcMar>
              <w:top w:w="-113" w:type="dxa"/>
              <w:left w:w="-113" w:type="dxa"/>
              <w:bottom w:w="-113" w:type="dxa"/>
              <w:right w:w="-113" w:type="dxa"/>
            </w:tcMar>
          </w:tcPr>
          <w:p w14:paraId="2E0ACE54" w14:textId="77777777" w:rsidR="00CB0062" w:rsidRDefault="00CB0062" w:rsidP="00223E56">
            <w:pPr>
              <w:rPr>
                <w:color w:val="000000"/>
                <w:sz w:val="16"/>
                <w:szCs w:val="16"/>
              </w:rPr>
            </w:pPr>
            <w:r>
              <w:rPr>
                <w:sz w:val="16"/>
                <w:szCs w:val="16"/>
              </w:rPr>
              <w:t>T2DM</w:t>
            </w:r>
          </w:p>
        </w:tc>
        <w:tc>
          <w:tcPr>
            <w:tcW w:w="1838" w:type="dxa"/>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6F9A381E" w14:textId="77777777" w:rsidR="00CB0062" w:rsidRDefault="00CB0062" w:rsidP="00223E56">
            <w:pPr>
              <w:rPr>
                <w:sz w:val="16"/>
                <w:szCs w:val="16"/>
              </w:rPr>
            </w:pPr>
            <w:r>
              <w:rPr>
                <w:sz w:val="16"/>
                <w:szCs w:val="16"/>
              </w:rPr>
              <w:t>Fan et al. 2022</w:t>
            </w:r>
          </w:p>
        </w:tc>
      </w:tr>
      <w:tr w:rsidR="00CB0062" w14:paraId="306E3539"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8896219" w14:textId="77777777" w:rsidR="00CB0062" w:rsidRDefault="00CB0062" w:rsidP="00223E56">
            <w:pPr>
              <w:rPr>
                <w:i/>
                <w:color w:val="000000"/>
                <w:sz w:val="16"/>
                <w:szCs w:val="16"/>
              </w:rPr>
            </w:pPr>
            <w:r>
              <w:rPr>
                <w:i/>
                <w:color w:val="000000"/>
                <w:sz w:val="16"/>
                <w:szCs w:val="16"/>
              </w:rPr>
              <w:t>KCNQ1</w:t>
            </w:r>
          </w:p>
          <w:p w14:paraId="59852CDA"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51683E1" w14:textId="77777777" w:rsidR="00CB0062" w:rsidRDefault="00CB0062" w:rsidP="00223E56">
            <w:pPr>
              <w:rPr>
                <w:color w:val="000000"/>
                <w:sz w:val="16"/>
                <w:szCs w:val="16"/>
              </w:rPr>
            </w:pPr>
            <w:r>
              <w:rPr>
                <w:color w:val="000000"/>
                <w:sz w:val="16"/>
                <w:szCs w:val="16"/>
              </w:rPr>
              <w:t>Potassium Voltage-Gated Channel Subfamily Q Member 1</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2BCE4307" w14:textId="77777777" w:rsidR="00CB0062" w:rsidRDefault="00CB0062" w:rsidP="00223E56">
            <w:pPr>
              <w:rPr>
                <w:color w:val="000000"/>
                <w:sz w:val="16"/>
                <w:szCs w:val="16"/>
              </w:rPr>
            </w:pPr>
            <w:r>
              <w:rPr>
                <w:color w:val="000000"/>
                <w:sz w:val="16"/>
                <w:szCs w:val="16"/>
              </w:rPr>
              <w:t>rs1057128</w:t>
            </w:r>
          </w:p>
        </w:tc>
        <w:tc>
          <w:tcPr>
            <w:tcW w:w="851" w:type="dxa"/>
            <w:tcBorders>
              <w:top w:val="single" w:sz="4" w:space="0" w:color="000000"/>
              <w:bottom w:val="single" w:sz="4" w:space="0" w:color="D0CECE"/>
            </w:tcBorders>
            <w:tcMar>
              <w:top w:w="-113" w:type="dxa"/>
              <w:left w:w="-113" w:type="dxa"/>
              <w:bottom w:w="-113" w:type="dxa"/>
              <w:right w:w="-113" w:type="dxa"/>
            </w:tcMar>
          </w:tcPr>
          <w:p w14:paraId="22EE39CA" w14:textId="77777777" w:rsidR="00CB0062" w:rsidRDefault="00CB0062" w:rsidP="00223E56">
            <w:pPr>
              <w:rPr>
                <w:color w:val="000000"/>
                <w:sz w:val="16"/>
                <w:szCs w:val="16"/>
              </w:rPr>
            </w:pPr>
            <w:r>
              <w:rPr>
                <w:color w:val="000000"/>
                <w:sz w:val="16"/>
                <w:szCs w:val="16"/>
              </w:rPr>
              <w:t>G&gt;A</w:t>
            </w:r>
          </w:p>
        </w:tc>
        <w:tc>
          <w:tcPr>
            <w:tcW w:w="1701" w:type="dxa"/>
            <w:tcBorders>
              <w:top w:val="single" w:sz="4" w:space="0" w:color="000000"/>
              <w:bottom w:val="single" w:sz="4" w:space="0" w:color="D0CECE"/>
            </w:tcBorders>
            <w:tcMar>
              <w:top w:w="-113" w:type="dxa"/>
              <w:left w:w="-113" w:type="dxa"/>
              <w:bottom w:w="-113" w:type="dxa"/>
              <w:right w:w="-113" w:type="dxa"/>
            </w:tcMar>
          </w:tcPr>
          <w:p w14:paraId="282BB07C" w14:textId="77777777" w:rsidR="00CB0062" w:rsidRDefault="00CB0062" w:rsidP="00223E56">
            <w:pPr>
              <w:rPr>
                <w:color w:val="000000"/>
                <w:sz w:val="16"/>
                <w:szCs w:val="16"/>
              </w:rPr>
            </w:pPr>
            <w:r>
              <w:rPr>
                <w:color w:val="000000"/>
                <w:sz w:val="16"/>
                <w:szCs w:val="16"/>
              </w:rPr>
              <w:t>Synonymous variant</w:t>
            </w:r>
          </w:p>
        </w:tc>
        <w:tc>
          <w:tcPr>
            <w:tcW w:w="708" w:type="dxa"/>
            <w:tcBorders>
              <w:top w:val="single" w:sz="4" w:space="0" w:color="000000"/>
              <w:bottom w:val="single" w:sz="4" w:space="0" w:color="D0CECE"/>
            </w:tcBorders>
            <w:tcMar>
              <w:top w:w="-113" w:type="dxa"/>
              <w:left w:w="-113" w:type="dxa"/>
              <w:bottom w:w="-113" w:type="dxa"/>
              <w:right w:w="-113" w:type="dxa"/>
            </w:tcMar>
          </w:tcPr>
          <w:p w14:paraId="2F1E3E12" w14:textId="77777777" w:rsidR="00CB0062" w:rsidRDefault="00CB0062" w:rsidP="00223E56">
            <w:pPr>
              <w:rPr>
                <w:color w:val="000000"/>
                <w:sz w:val="16"/>
                <w:szCs w:val="16"/>
              </w:rPr>
            </w:pPr>
            <w:r>
              <w:rPr>
                <w:color w:val="000000"/>
                <w:sz w:val="16"/>
                <w:szCs w:val="16"/>
              </w:rPr>
              <w:t>T2DM</w:t>
            </w: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363FF4C8" w14:textId="77777777" w:rsidR="00CB0062" w:rsidRDefault="00CB0062" w:rsidP="00223E56">
            <w:pPr>
              <w:rPr>
                <w:sz w:val="16"/>
                <w:szCs w:val="16"/>
              </w:rPr>
            </w:pPr>
            <w:r>
              <w:rPr>
                <w:sz w:val="16"/>
                <w:szCs w:val="16"/>
              </w:rPr>
              <w:t xml:space="preserve">Pan </w:t>
            </w:r>
            <w:r>
              <w:rPr>
                <w:i/>
                <w:sz w:val="16"/>
                <w:szCs w:val="16"/>
              </w:rPr>
              <w:t>et al.</w:t>
            </w:r>
            <w:r>
              <w:rPr>
                <w:sz w:val="16"/>
                <w:szCs w:val="16"/>
              </w:rPr>
              <w:t xml:space="preserve"> 2013</w:t>
            </w:r>
          </w:p>
          <w:p w14:paraId="4E9E77FE" w14:textId="77777777" w:rsidR="00CB0062" w:rsidRDefault="00CB0062" w:rsidP="00223E56">
            <w:pPr>
              <w:rPr>
                <w:sz w:val="16"/>
                <w:szCs w:val="16"/>
              </w:rPr>
            </w:pPr>
          </w:p>
        </w:tc>
      </w:tr>
      <w:tr w:rsidR="00CB0062" w14:paraId="2103DBF6"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EFC9F68" w14:textId="77777777" w:rsidR="00CB0062" w:rsidRDefault="00CB0062" w:rsidP="00223E56">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C7C0824" w14:textId="77777777" w:rsidR="00CB0062" w:rsidRDefault="00CB0062" w:rsidP="00223E56">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D50F8C4" w14:textId="77777777" w:rsidR="00CB0062" w:rsidRDefault="00CB0062" w:rsidP="00223E56">
            <w:pPr>
              <w:rPr>
                <w:color w:val="000000"/>
                <w:sz w:val="16"/>
                <w:szCs w:val="16"/>
              </w:rPr>
            </w:pPr>
            <w:r>
              <w:rPr>
                <w:color w:val="000000"/>
                <w:sz w:val="16"/>
                <w:szCs w:val="16"/>
              </w:rPr>
              <w:t>rs10798</w:t>
            </w:r>
          </w:p>
        </w:tc>
        <w:tc>
          <w:tcPr>
            <w:tcW w:w="851" w:type="dxa"/>
            <w:tcBorders>
              <w:top w:val="single" w:sz="4" w:space="0" w:color="D0CECE"/>
              <w:bottom w:val="single" w:sz="4" w:space="0" w:color="D0CECE"/>
            </w:tcBorders>
            <w:tcMar>
              <w:top w:w="-113" w:type="dxa"/>
              <w:left w:w="-113" w:type="dxa"/>
              <w:bottom w:w="-113" w:type="dxa"/>
              <w:right w:w="-113" w:type="dxa"/>
            </w:tcMar>
          </w:tcPr>
          <w:p w14:paraId="766426B4" w14:textId="77777777" w:rsidR="00CB0062" w:rsidRDefault="00CB0062" w:rsidP="00223E56">
            <w:pPr>
              <w:rPr>
                <w:color w:val="000000"/>
                <w:sz w:val="16"/>
                <w:szCs w:val="16"/>
              </w:rPr>
            </w:pPr>
            <w:r>
              <w:rPr>
                <w:color w:val="000000"/>
                <w:sz w:val="16"/>
                <w:szCs w:val="16"/>
              </w:rPr>
              <w:t>A&gt;</w:t>
            </w:r>
            <w:proofErr w:type="gramStart"/>
            <w:r>
              <w:rPr>
                <w:color w:val="000000"/>
                <w:sz w:val="16"/>
                <w:szCs w:val="16"/>
              </w:rPr>
              <w:t>C,G</w:t>
            </w:r>
            <w:proofErr w:type="gramEnd"/>
            <w:r>
              <w:rPr>
                <w:color w:val="000000"/>
                <w:sz w:val="16"/>
                <w:szCs w:val="16"/>
              </w:rPr>
              <w:t>,T</w:t>
            </w:r>
          </w:p>
        </w:tc>
        <w:tc>
          <w:tcPr>
            <w:tcW w:w="1701" w:type="dxa"/>
            <w:tcBorders>
              <w:top w:val="single" w:sz="4" w:space="0" w:color="D0CECE"/>
              <w:bottom w:val="single" w:sz="4" w:space="0" w:color="D0CECE"/>
            </w:tcBorders>
            <w:tcMar>
              <w:top w:w="-113" w:type="dxa"/>
              <w:left w:w="-113" w:type="dxa"/>
              <w:bottom w:w="-113" w:type="dxa"/>
              <w:right w:w="-113" w:type="dxa"/>
            </w:tcMar>
          </w:tcPr>
          <w:p w14:paraId="7B2DCDBC" w14:textId="77777777" w:rsidR="00CB0062" w:rsidRDefault="00CB0062" w:rsidP="00223E56">
            <w:pPr>
              <w:rPr>
                <w:color w:val="000000"/>
                <w:sz w:val="16"/>
                <w:szCs w:val="16"/>
              </w:rPr>
            </w:pPr>
            <w:r>
              <w:rPr>
                <w:sz w:val="16"/>
                <w:szCs w:val="16"/>
              </w:rPr>
              <w:t>3 Prime UTR variant</w:t>
            </w:r>
          </w:p>
        </w:tc>
        <w:tc>
          <w:tcPr>
            <w:tcW w:w="708" w:type="dxa"/>
            <w:tcBorders>
              <w:top w:val="single" w:sz="4" w:space="0" w:color="D0CECE"/>
              <w:bottom w:val="single" w:sz="4" w:space="0" w:color="D0CECE"/>
            </w:tcBorders>
            <w:tcMar>
              <w:top w:w="-113" w:type="dxa"/>
              <w:left w:w="-113" w:type="dxa"/>
              <w:bottom w:w="-113" w:type="dxa"/>
              <w:right w:w="-113" w:type="dxa"/>
            </w:tcMar>
          </w:tcPr>
          <w:p w14:paraId="273A995D" w14:textId="77777777" w:rsidR="00CB0062" w:rsidRDefault="00CB0062" w:rsidP="00223E56">
            <w:pPr>
              <w:rPr>
                <w:color w:val="000000"/>
                <w:sz w:val="16"/>
                <w:szCs w:val="16"/>
              </w:rPr>
            </w:pPr>
            <w:r>
              <w:rPr>
                <w:color w:val="000000"/>
                <w:sz w:val="16"/>
                <w:szCs w:val="16"/>
              </w:rPr>
              <w:t>T2DM</w:t>
            </w: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0E1A463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340F650C"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C1A202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14FF2A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731BAD07" w14:textId="77777777" w:rsidR="00CB0062" w:rsidRDefault="00CB0062" w:rsidP="00223E56">
            <w:pPr>
              <w:rPr>
                <w:color w:val="000000"/>
                <w:sz w:val="16"/>
                <w:szCs w:val="16"/>
              </w:rPr>
            </w:pPr>
            <w:r>
              <w:rPr>
                <w:color w:val="000000"/>
                <w:sz w:val="16"/>
                <w:szCs w:val="16"/>
              </w:rPr>
              <w:t>rs8234</w:t>
            </w:r>
          </w:p>
        </w:tc>
        <w:tc>
          <w:tcPr>
            <w:tcW w:w="851" w:type="dxa"/>
            <w:tcBorders>
              <w:top w:val="single" w:sz="4" w:space="0" w:color="D0CECE"/>
              <w:bottom w:val="single" w:sz="4" w:space="0" w:color="000000"/>
            </w:tcBorders>
            <w:tcMar>
              <w:top w:w="-113" w:type="dxa"/>
              <w:left w:w="-113" w:type="dxa"/>
              <w:bottom w:w="-113" w:type="dxa"/>
              <w:right w:w="-113" w:type="dxa"/>
            </w:tcMar>
          </w:tcPr>
          <w:p w14:paraId="07C9DBA3" w14:textId="77777777" w:rsidR="00CB0062" w:rsidRDefault="00CB0062" w:rsidP="00223E56">
            <w:pPr>
              <w:rPr>
                <w:color w:val="000000"/>
                <w:sz w:val="16"/>
                <w:szCs w:val="16"/>
              </w:rPr>
            </w:pPr>
            <w:r>
              <w:rPr>
                <w:color w:val="000000"/>
                <w:sz w:val="16"/>
                <w:szCs w:val="16"/>
              </w:rPr>
              <w:t>A&gt;G</w:t>
            </w:r>
          </w:p>
        </w:tc>
        <w:tc>
          <w:tcPr>
            <w:tcW w:w="1701" w:type="dxa"/>
            <w:tcBorders>
              <w:top w:val="single" w:sz="4" w:space="0" w:color="D0CECE"/>
              <w:bottom w:val="single" w:sz="4" w:space="0" w:color="000000"/>
            </w:tcBorders>
            <w:tcMar>
              <w:top w:w="-113" w:type="dxa"/>
              <w:left w:w="-113" w:type="dxa"/>
              <w:bottom w:w="-113" w:type="dxa"/>
              <w:right w:w="-113" w:type="dxa"/>
            </w:tcMar>
          </w:tcPr>
          <w:p w14:paraId="65FB9F0E" w14:textId="77777777" w:rsidR="00CB0062" w:rsidRDefault="00CB0062" w:rsidP="00223E56">
            <w:pPr>
              <w:rPr>
                <w:color w:val="000000"/>
                <w:sz w:val="16"/>
                <w:szCs w:val="16"/>
              </w:rPr>
            </w:pPr>
            <w:r>
              <w:rPr>
                <w:sz w:val="16"/>
                <w:szCs w:val="16"/>
              </w:rPr>
              <w:t>3 Prime UTR variant</w:t>
            </w:r>
          </w:p>
        </w:tc>
        <w:tc>
          <w:tcPr>
            <w:tcW w:w="708" w:type="dxa"/>
            <w:tcBorders>
              <w:top w:val="single" w:sz="4" w:space="0" w:color="D0CECE"/>
              <w:bottom w:val="single" w:sz="4" w:space="0" w:color="000000"/>
            </w:tcBorders>
            <w:tcMar>
              <w:top w:w="-113" w:type="dxa"/>
              <w:left w:w="-113" w:type="dxa"/>
              <w:bottom w:w="-113" w:type="dxa"/>
              <w:right w:w="-113" w:type="dxa"/>
            </w:tcMar>
          </w:tcPr>
          <w:p w14:paraId="0111C7B0" w14:textId="77777777" w:rsidR="00CB0062" w:rsidRDefault="00CB0062" w:rsidP="00223E56">
            <w:pPr>
              <w:rPr>
                <w:color w:val="000000"/>
                <w:sz w:val="16"/>
                <w:szCs w:val="16"/>
              </w:rPr>
            </w:pPr>
            <w:r>
              <w:rPr>
                <w:color w:val="000000"/>
                <w:sz w:val="16"/>
                <w:szCs w:val="16"/>
              </w:rPr>
              <w:t>T2DM</w:t>
            </w: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2226581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3CF1A31D"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DA43CC9" w14:textId="77777777" w:rsidR="00CB0062" w:rsidRDefault="00CB0062" w:rsidP="00223E56">
            <w:pPr>
              <w:rPr>
                <w:i/>
                <w:color w:val="000000"/>
                <w:sz w:val="16"/>
                <w:szCs w:val="16"/>
              </w:rPr>
            </w:pPr>
            <w:r>
              <w:rPr>
                <w:i/>
                <w:color w:val="000000"/>
                <w:sz w:val="16"/>
                <w:szCs w:val="16"/>
              </w:rPr>
              <w:t>KCTD15</w:t>
            </w: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0BCCECA" w14:textId="77777777" w:rsidR="00CB0062" w:rsidRDefault="00CB0062" w:rsidP="00223E56">
            <w:pPr>
              <w:tabs>
                <w:tab w:val="left" w:pos="490"/>
              </w:tabs>
              <w:rPr>
                <w:color w:val="000000"/>
                <w:sz w:val="16"/>
                <w:szCs w:val="16"/>
              </w:rPr>
            </w:pPr>
            <w:r>
              <w:rPr>
                <w:color w:val="000000"/>
                <w:sz w:val="16"/>
                <w:szCs w:val="16"/>
              </w:rPr>
              <w:t>Potassium Channel Tetramerization Domain Containing 15</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5655DC7F" w14:textId="77777777" w:rsidR="00CB0062" w:rsidRDefault="00CB0062" w:rsidP="00223E56">
            <w:pPr>
              <w:rPr>
                <w:color w:val="000000"/>
                <w:sz w:val="16"/>
                <w:szCs w:val="16"/>
              </w:rPr>
            </w:pPr>
            <w:r>
              <w:rPr>
                <w:color w:val="000000"/>
                <w:sz w:val="16"/>
                <w:szCs w:val="16"/>
              </w:rPr>
              <w:t>rs11084753</w:t>
            </w:r>
          </w:p>
        </w:tc>
        <w:tc>
          <w:tcPr>
            <w:tcW w:w="851" w:type="dxa"/>
            <w:tcBorders>
              <w:top w:val="single" w:sz="4" w:space="0" w:color="000000"/>
              <w:bottom w:val="single" w:sz="4" w:space="0" w:color="D0CECE"/>
            </w:tcBorders>
            <w:tcMar>
              <w:top w:w="-113" w:type="dxa"/>
              <w:left w:w="-113" w:type="dxa"/>
              <w:bottom w:w="-113" w:type="dxa"/>
              <w:right w:w="-113" w:type="dxa"/>
            </w:tcMar>
          </w:tcPr>
          <w:p w14:paraId="36F8C80F" w14:textId="77777777" w:rsidR="00CB0062" w:rsidRDefault="00CB0062" w:rsidP="00223E56">
            <w:pPr>
              <w:rPr>
                <w:color w:val="000000"/>
                <w:sz w:val="16"/>
                <w:szCs w:val="16"/>
              </w:rPr>
            </w:pPr>
            <w:r>
              <w:rPr>
                <w:color w:val="000000"/>
                <w:sz w:val="16"/>
                <w:szCs w:val="16"/>
              </w:rPr>
              <w:t>A&gt;</w:t>
            </w:r>
            <w:proofErr w:type="gramStart"/>
            <w:r>
              <w:rPr>
                <w:color w:val="000000"/>
                <w:sz w:val="16"/>
                <w:szCs w:val="16"/>
              </w:rPr>
              <w:t>C,G</w:t>
            </w:r>
            <w:proofErr w:type="gramEnd"/>
            <w:r>
              <w:rPr>
                <w:color w:val="000000"/>
                <w:sz w:val="16"/>
                <w:szCs w:val="16"/>
              </w:rPr>
              <w:t>,T</w:t>
            </w:r>
          </w:p>
        </w:tc>
        <w:tc>
          <w:tcPr>
            <w:tcW w:w="1701" w:type="dxa"/>
            <w:tcBorders>
              <w:top w:val="single" w:sz="4" w:space="0" w:color="000000"/>
              <w:bottom w:val="single" w:sz="4" w:space="0" w:color="D0CECE"/>
            </w:tcBorders>
            <w:tcMar>
              <w:top w:w="-113" w:type="dxa"/>
              <w:left w:w="-113" w:type="dxa"/>
              <w:bottom w:w="-113" w:type="dxa"/>
              <w:right w:w="-113" w:type="dxa"/>
            </w:tcMar>
          </w:tcPr>
          <w:p w14:paraId="011FABB7" w14:textId="77777777" w:rsidR="00CB0062" w:rsidRDefault="00CB0062" w:rsidP="00223E56">
            <w:pPr>
              <w:rPr>
                <w:color w:val="000000"/>
                <w:sz w:val="16"/>
                <w:szCs w:val="16"/>
              </w:rPr>
            </w:pPr>
            <w:r>
              <w:rPr>
                <w:color w:val="000000"/>
                <w:sz w:val="16"/>
                <w:szCs w:val="16"/>
              </w:rPr>
              <w:t>None</w:t>
            </w:r>
          </w:p>
        </w:tc>
        <w:tc>
          <w:tcPr>
            <w:tcW w:w="708" w:type="dxa"/>
            <w:tcBorders>
              <w:top w:val="single" w:sz="4" w:space="0" w:color="000000"/>
              <w:bottom w:val="single" w:sz="4" w:space="0" w:color="D0CECE"/>
            </w:tcBorders>
            <w:tcMar>
              <w:top w:w="-113" w:type="dxa"/>
              <w:left w:w="-113" w:type="dxa"/>
              <w:bottom w:w="-113" w:type="dxa"/>
              <w:right w:w="-113" w:type="dxa"/>
            </w:tcMar>
          </w:tcPr>
          <w:p w14:paraId="370B2ACD" w14:textId="77777777" w:rsidR="00CB0062" w:rsidRDefault="00CB0062" w:rsidP="00223E56">
            <w:pPr>
              <w:rPr>
                <w:color w:val="000000"/>
                <w:sz w:val="16"/>
                <w:szCs w:val="16"/>
              </w:rPr>
            </w:pPr>
            <w:r>
              <w:rPr>
                <w:color w:val="000000"/>
                <w:sz w:val="16"/>
                <w:szCs w:val="16"/>
              </w:rPr>
              <w:t>T2DM</w:t>
            </w: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4275D177" w14:textId="77777777" w:rsidR="00CB0062" w:rsidRDefault="00CB0062" w:rsidP="00223E56">
            <w:pPr>
              <w:rPr>
                <w:sz w:val="16"/>
                <w:szCs w:val="16"/>
              </w:rPr>
            </w:pPr>
            <w:r>
              <w:rPr>
                <w:sz w:val="16"/>
                <w:szCs w:val="16"/>
              </w:rPr>
              <w:t>Grau-Perez et al. 2018</w:t>
            </w:r>
          </w:p>
        </w:tc>
      </w:tr>
      <w:tr w:rsidR="00CB0062" w14:paraId="0357CCF3"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D0B640F" w14:textId="77777777" w:rsidR="00CB0062" w:rsidRDefault="00CB0062" w:rsidP="00223E56">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90A42BA" w14:textId="77777777" w:rsidR="00CB0062" w:rsidRDefault="00CB0062" w:rsidP="00223E56">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79AECB02" w14:textId="77777777" w:rsidR="00CB0062" w:rsidRDefault="00CB0062" w:rsidP="00223E56">
            <w:pPr>
              <w:rPr>
                <w:color w:val="000000"/>
                <w:sz w:val="16"/>
                <w:szCs w:val="16"/>
              </w:rPr>
            </w:pPr>
            <w:r>
              <w:rPr>
                <w:color w:val="000000"/>
                <w:sz w:val="16"/>
                <w:szCs w:val="16"/>
              </w:rPr>
              <w:t>rs29941</w:t>
            </w:r>
          </w:p>
        </w:tc>
        <w:tc>
          <w:tcPr>
            <w:tcW w:w="851" w:type="dxa"/>
            <w:tcBorders>
              <w:top w:val="single" w:sz="4" w:space="0" w:color="D0CECE"/>
              <w:bottom w:val="single" w:sz="4" w:space="0" w:color="000000"/>
            </w:tcBorders>
            <w:tcMar>
              <w:top w:w="-113" w:type="dxa"/>
              <w:left w:w="-113" w:type="dxa"/>
              <w:bottom w:w="-113" w:type="dxa"/>
              <w:right w:w="-113" w:type="dxa"/>
            </w:tcMar>
          </w:tcPr>
          <w:p w14:paraId="41AF0C14" w14:textId="77777777" w:rsidR="00CB0062" w:rsidRDefault="00CB0062" w:rsidP="00223E56">
            <w:pPr>
              <w:rPr>
                <w:color w:val="000000"/>
                <w:sz w:val="16"/>
                <w:szCs w:val="16"/>
              </w:rPr>
            </w:pPr>
            <w:r>
              <w:rPr>
                <w:color w:val="000000"/>
                <w:sz w:val="16"/>
                <w:szCs w:val="16"/>
              </w:rPr>
              <w:t>A&gt;</w:t>
            </w:r>
            <w:proofErr w:type="gramStart"/>
            <w:r>
              <w:rPr>
                <w:color w:val="000000"/>
                <w:sz w:val="16"/>
                <w:szCs w:val="16"/>
              </w:rPr>
              <w:t>G,T</w:t>
            </w:r>
            <w:proofErr w:type="gramEnd"/>
          </w:p>
        </w:tc>
        <w:tc>
          <w:tcPr>
            <w:tcW w:w="1701" w:type="dxa"/>
            <w:tcBorders>
              <w:top w:val="single" w:sz="4" w:space="0" w:color="D0CECE"/>
              <w:bottom w:val="single" w:sz="4" w:space="0" w:color="000000"/>
            </w:tcBorders>
            <w:tcMar>
              <w:top w:w="-113" w:type="dxa"/>
              <w:left w:w="-113" w:type="dxa"/>
              <w:bottom w:w="-113" w:type="dxa"/>
              <w:right w:w="-113" w:type="dxa"/>
            </w:tcMar>
          </w:tcPr>
          <w:p w14:paraId="736F3AF2" w14:textId="77777777" w:rsidR="00CB0062" w:rsidRDefault="00CB0062" w:rsidP="00223E56">
            <w:pPr>
              <w:rPr>
                <w:color w:val="000000"/>
                <w:sz w:val="16"/>
                <w:szCs w:val="16"/>
              </w:rPr>
            </w:pPr>
            <w:r>
              <w:rPr>
                <w:color w:val="000000"/>
                <w:sz w:val="16"/>
                <w:szCs w:val="16"/>
              </w:rPr>
              <w:t>None</w:t>
            </w:r>
          </w:p>
        </w:tc>
        <w:tc>
          <w:tcPr>
            <w:tcW w:w="708" w:type="dxa"/>
            <w:tcBorders>
              <w:top w:val="single" w:sz="4" w:space="0" w:color="D0CECE"/>
              <w:bottom w:val="single" w:sz="4" w:space="0" w:color="000000"/>
            </w:tcBorders>
            <w:tcMar>
              <w:top w:w="-113" w:type="dxa"/>
              <w:left w:w="-113" w:type="dxa"/>
              <w:bottom w:w="-113" w:type="dxa"/>
              <w:right w:w="-113" w:type="dxa"/>
            </w:tcMar>
          </w:tcPr>
          <w:p w14:paraId="0D355465" w14:textId="77777777" w:rsidR="00CB0062" w:rsidRDefault="00CB0062" w:rsidP="00223E56">
            <w:pPr>
              <w:rPr>
                <w:color w:val="000000"/>
                <w:sz w:val="16"/>
                <w:szCs w:val="16"/>
              </w:rPr>
            </w:pPr>
            <w:r>
              <w:rPr>
                <w:color w:val="000000"/>
                <w:sz w:val="16"/>
                <w:szCs w:val="16"/>
              </w:rPr>
              <w:t>T2DM</w:t>
            </w: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1F3718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767517FF"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5A5E2585" w14:textId="77777777" w:rsidR="00CB0062" w:rsidRDefault="00CB0062" w:rsidP="00223E56">
            <w:pPr>
              <w:rPr>
                <w:i/>
                <w:color w:val="000000"/>
                <w:sz w:val="16"/>
                <w:szCs w:val="16"/>
              </w:rPr>
            </w:pPr>
            <w:r>
              <w:rPr>
                <w:i/>
                <w:color w:val="000000"/>
                <w:sz w:val="16"/>
                <w:szCs w:val="16"/>
              </w:rPr>
              <w:t>HMGA2</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68D255B3" w14:textId="77777777" w:rsidR="00CB0062" w:rsidRDefault="00CB0062" w:rsidP="00223E56">
            <w:pPr>
              <w:rPr>
                <w:color w:val="000000"/>
                <w:sz w:val="16"/>
                <w:szCs w:val="16"/>
              </w:rPr>
            </w:pPr>
            <w:r>
              <w:rPr>
                <w:sz w:val="16"/>
                <w:szCs w:val="16"/>
              </w:rPr>
              <w:t>High Mobility Group AT-Hook 2</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682EB3EE" w14:textId="77777777" w:rsidR="00CB0062" w:rsidRDefault="00CB0062" w:rsidP="00223E56">
            <w:pPr>
              <w:rPr>
                <w:color w:val="000000"/>
                <w:sz w:val="16"/>
                <w:szCs w:val="16"/>
              </w:rPr>
            </w:pPr>
            <w:r>
              <w:rPr>
                <w:color w:val="000000"/>
                <w:sz w:val="16"/>
                <w:szCs w:val="16"/>
              </w:rPr>
              <w:t>rs343092</w:t>
            </w:r>
          </w:p>
        </w:tc>
        <w:tc>
          <w:tcPr>
            <w:tcW w:w="851" w:type="dxa"/>
            <w:tcBorders>
              <w:top w:val="single" w:sz="4" w:space="0" w:color="000000"/>
              <w:bottom w:val="single" w:sz="4" w:space="0" w:color="000000"/>
            </w:tcBorders>
            <w:tcMar>
              <w:top w:w="-113" w:type="dxa"/>
              <w:left w:w="-113" w:type="dxa"/>
              <w:bottom w:w="-113" w:type="dxa"/>
              <w:right w:w="-113" w:type="dxa"/>
            </w:tcMar>
          </w:tcPr>
          <w:p w14:paraId="62B98D9F" w14:textId="77777777" w:rsidR="00CB0062" w:rsidRDefault="00CB0062" w:rsidP="00223E56">
            <w:pPr>
              <w:rPr>
                <w:color w:val="000000"/>
                <w:sz w:val="16"/>
                <w:szCs w:val="16"/>
              </w:rPr>
            </w:pPr>
            <w:r>
              <w:rPr>
                <w:color w:val="000000"/>
                <w:sz w:val="16"/>
                <w:szCs w:val="16"/>
              </w:rPr>
              <w:t>T&gt;</w:t>
            </w:r>
            <w:proofErr w:type="gramStart"/>
            <w:r>
              <w:rPr>
                <w:color w:val="000000"/>
                <w:sz w:val="16"/>
                <w:szCs w:val="16"/>
              </w:rPr>
              <w:t>C,G</w:t>
            </w:r>
            <w:proofErr w:type="gramEnd"/>
          </w:p>
        </w:tc>
        <w:tc>
          <w:tcPr>
            <w:tcW w:w="1701" w:type="dxa"/>
            <w:tcBorders>
              <w:top w:val="single" w:sz="4" w:space="0" w:color="000000"/>
              <w:bottom w:val="single" w:sz="4" w:space="0" w:color="000000"/>
            </w:tcBorders>
            <w:tcMar>
              <w:top w:w="-113" w:type="dxa"/>
              <w:left w:w="-113" w:type="dxa"/>
              <w:bottom w:w="-113" w:type="dxa"/>
              <w:right w:w="-113" w:type="dxa"/>
            </w:tcMar>
          </w:tcPr>
          <w:p w14:paraId="037AF6A4" w14:textId="77777777" w:rsidR="00CB0062" w:rsidRDefault="00CB0062" w:rsidP="00223E56">
            <w:pPr>
              <w:rPr>
                <w:color w:val="000000"/>
                <w:sz w:val="16"/>
                <w:szCs w:val="16"/>
              </w:rPr>
            </w:pPr>
            <w:r>
              <w:rPr>
                <w:color w:val="000000"/>
                <w:sz w:val="16"/>
                <w:szCs w:val="16"/>
              </w:rPr>
              <w:t>Intron variant</w:t>
            </w:r>
          </w:p>
        </w:tc>
        <w:tc>
          <w:tcPr>
            <w:tcW w:w="708" w:type="dxa"/>
            <w:tcBorders>
              <w:top w:val="single" w:sz="4" w:space="0" w:color="000000"/>
              <w:bottom w:val="single" w:sz="4" w:space="0" w:color="000000"/>
            </w:tcBorders>
            <w:tcMar>
              <w:top w:w="-113" w:type="dxa"/>
              <w:left w:w="-113" w:type="dxa"/>
              <w:bottom w:w="-113" w:type="dxa"/>
              <w:right w:w="-113" w:type="dxa"/>
            </w:tcMar>
          </w:tcPr>
          <w:p w14:paraId="1F5497F2" w14:textId="77777777" w:rsidR="00CB0062" w:rsidRDefault="00CB0062" w:rsidP="00223E56">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0B55D265" w14:textId="77777777" w:rsidR="00CB0062" w:rsidRDefault="00CB0062" w:rsidP="00223E56">
            <w:pPr>
              <w:rPr>
                <w:color w:val="000000"/>
                <w:sz w:val="16"/>
                <w:szCs w:val="16"/>
              </w:rPr>
            </w:pPr>
            <w:r>
              <w:rPr>
                <w:sz w:val="16"/>
                <w:szCs w:val="16"/>
              </w:rPr>
              <w:t xml:space="preserve">Pan </w:t>
            </w:r>
            <w:r>
              <w:rPr>
                <w:i/>
                <w:sz w:val="16"/>
                <w:szCs w:val="16"/>
              </w:rPr>
              <w:t>et al.</w:t>
            </w:r>
            <w:r>
              <w:rPr>
                <w:sz w:val="16"/>
                <w:szCs w:val="16"/>
              </w:rPr>
              <w:t xml:space="preserve"> 2013</w:t>
            </w:r>
          </w:p>
        </w:tc>
      </w:tr>
      <w:tr w:rsidR="00CB0062" w14:paraId="40522FA9"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05269165" w14:textId="77777777" w:rsidR="00CB0062" w:rsidRDefault="00CB0062" w:rsidP="00223E56">
            <w:pPr>
              <w:rPr>
                <w:i/>
                <w:color w:val="000000"/>
                <w:sz w:val="16"/>
                <w:szCs w:val="16"/>
              </w:rPr>
            </w:pPr>
            <w:r>
              <w:rPr>
                <w:i/>
                <w:color w:val="000000"/>
                <w:sz w:val="16"/>
                <w:szCs w:val="16"/>
              </w:rPr>
              <w:t>LAMA1</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33A477A1" w14:textId="77777777" w:rsidR="00CB0062" w:rsidRDefault="00CB0062" w:rsidP="00223E56">
            <w:pPr>
              <w:rPr>
                <w:color w:val="000000"/>
                <w:sz w:val="16"/>
                <w:szCs w:val="16"/>
              </w:rPr>
            </w:pPr>
            <w:r>
              <w:rPr>
                <w:color w:val="000000"/>
                <w:sz w:val="16"/>
                <w:szCs w:val="16"/>
              </w:rPr>
              <w:t>Laminin Subunit Alpha 1</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478E2E35" w14:textId="77777777" w:rsidR="00CB0062" w:rsidRDefault="00CB0062" w:rsidP="00223E56">
            <w:pPr>
              <w:rPr>
                <w:color w:val="000000"/>
                <w:sz w:val="16"/>
                <w:szCs w:val="16"/>
              </w:rPr>
            </w:pPr>
            <w:r>
              <w:rPr>
                <w:color w:val="000000"/>
                <w:sz w:val="16"/>
                <w:szCs w:val="16"/>
              </w:rPr>
              <w:t>rs617206</w:t>
            </w:r>
          </w:p>
        </w:tc>
        <w:tc>
          <w:tcPr>
            <w:tcW w:w="851" w:type="dxa"/>
            <w:tcBorders>
              <w:top w:val="single" w:sz="4" w:space="0" w:color="000000"/>
              <w:bottom w:val="single" w:sz="4" w:space="0" w:color="000000"/>
            </w:tcBorders>
            <w:tcMar>
              <w:top w:w="-113" w:type="dxa"/>
              <w:left w:w="-113" w:type="dxa"/>
              <w:bottom w:w="-113" w:type="dxa"/>
              <w:right w:w="-113" w:type="dxa"/>
            </w:tcMar>
          </w:tcPr>
          <w:p w14:paraId="348F9579" w14:textId="77777777" w:rsidR="00CB0062" w:rsidRDefault="00CB0062" w:rsidP="00223E56">
            <w:pPr>
              <w:rPr>
                <w:color w:val="000000"/>
                <w:sz w:val="16"/>
                <w:szCs w:val="16"/>
              </w:rPr>
            </w:pPr>
            <w:r>
              <w:rPr>
                <w:color w:val="000000"/>
                <w:sz w:val="16"/>
                <w:szCs w:val="16"/>
              </w:rPr>
              <w:t>C&gt;T</w:t>
            </w:r>
          </w:p>
        </w:tc>
        <w:tc>
          <w:tcPr>
            <w:tcW w:w="1701" w:type="dxa"/>
            <w:tcBorders>
              <w:top w:val="single" w:sz="4" w:space="0" w:color="000000"/>
              <w:bottom w:val="single" w:sz="4" w:space="0" w:color="000000"/>
            </w:tcBorders>
            <w:tcMar>
              <w:top w:w="-113" w:type="dxa"/>
              <w:left w:w="-113" w:type="dxa"/>
              <w:bottom w:w="-113" w:type="dxa"/>
              <w:right w:w="-113" w:type="dxa"/>
            </w:tcMar>
          </w:tcPr>
          <w:p w14:paraId="03662438" w14:textId="77777777" w:rsidR="00CB0062" w:rsidRDefault="00CB0062" w:rsidP="00223E56">
            <w:pPr>
              <w:rPr>
                <w:color w:val="000000"/>
                <w:sz w:val="16"/>
                <w:szCs w:val="16"/>
              </w:rPr>
            </w:pPr>
            <w:r>
              <w:rPr>
                <w:color w:val="000000"/>
                <w:sz w:val="16"/>
                <w:szCs w:val="16"/>
              </w:rPr>
              <w:t>Synonymous variant</w:t>
            </w:r>
          </w:p>
        </w:tc>
        <w:tc>
          <w:tcPr>
            <w:tcW w:w="708" w:type="dxa"/>
            <w:tcBorders>
              <w:top w:val="single" w:sz="4" w:space="0" w:color="000000"/>
              <w:bottom w:val="single" w:sz="4" w:space="0" w:color="000000"/>
            </w:tcBorders>
            <w:tcMar>
              <w:top w:w="-113" w:type="dxa"/>
              <w:left w:w="-113" w:type="dxa"/>
              <w:bottom w:w="-113" w:type="dxa"/>
              <w:right w:w="-113" w:type="dxa"/>
            </w:tcMar>
          </w:tcPr>
          <w:p w14:paraId="008822FB" w14:textId="77777777" w:rsidR="00CB0062" w:rsidRDefault="00CB0062" w:rsidP="00223E56">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01B2B83A" w14:textId="77777777" w:rsidR="00CB0062" w:rsidRDefault="00CB0062" w:rsidP="00223E56">
            <w:pPr>
              <w:rPr>
                <w:color w:val="000000"/>
                <w:sz w:val="16"/>
                <w:szCs w:val="16"/>
              </w:rPr>
            </w:pPr>
            <w:r>
              <w:rPr>
                <w:sz w:val="16"/>
                <w:szCs w:val="16"/>
              </w:rPr>
              <w:t>Grau-Perez et al. 2018</w:t>
            </w:r>
          </w:p>
        </w:tc>
      </w:tr>
      <w:tr w:rsidR="00CB0062" w14:paraId="3AEF1D7E"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2BFB3A47" w14:textId="77777777" w:rsidR="00CB0062" w:rsidRDefault="00CB0062" w:rsidP="00223E56">
            <w:pPr>
              <w:rPr>
                <w:i/>
                <w:color w:val="000000"/>
                <w:sz w:val="16"/>
                <w:szCs w:val="16"/>
              </w:rPr>
            </w:pPr>
            <w:r>
              <w:rPr>
                <w:i/>
                <w:color w:val="000000"/>
                <w:sz w:val="16"/>
                <w:szCs w:val="16"/>
              </w:rPr>
              <w:lastRenderedPageBreak/>
              <w:t>LGR5</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5FF772C8" w14:textId="77777777" w:rsidR="00CB0062" w:rsidRDefault="00CB0062" w:rsidP="00223E56">
            <w:pPr>
              <w:rPr>
                <w:color w:val="000000"/>
                <w:sz w:val="16"/>
                <w:szCs w:val="16"/>
              </w:rPr>
            </w:pPr>
            <w:r>
              <w:rPr>
                <w:color w:val="000000"/>
                <w:sz w:val="16"/>
                <w:szCs w:val="16"/>
              </w:rPr>
              <w:t>Leucine Rich Repeat Containing G Protein-Coupled Receptor 5</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32FB5D51" w14:textId="77777777" w:rsidR="00CB0062" w:rsidRDefault="00CB0062" w:rsidP="00223E56">
            <w:pPr>
              <w:rPr>
                <w:color w:val="000000"/>
                <w:sz w:val="16"/>
                <w:szCs w:val="16"/>
              </w:rPr>
            </w:pPr>
            <w:r>
              <w:rPr>
                <w:color w:val="000000"/>
                <w:sz w:val="16"/>
                <w:szCs w:val="16"/>
              </w:rPr>
              <w:t>rs17109924</w:t>
            </w:r>
          </w:p>
        </w:tc>
        <w:tc>
          <w:tcPr>
            <w:tcW w:w="851" w:type="dxa"/>
            <w:tcBorders>
              <w:top w:val="single" w:sz="4" w:space="0" w:color="000000"/>
              <w:bottom w:val="single" w:sz="4" w:space="0" w:color="000000"/>
            </w:tcBorders>
            <w:tcMar>
              <w:top w:w="-113" w:type="dxa"/>
              <w:left w:w="-113" w:type="dxa"/>
              <w:bottom w:w="-113" w:type="dxa"/>
              <w:right w:w="-113" w:type="dxa"/>
            </w:tcMar>
          </w:tcPr>
          <w:p w14:paraId="7037AD29" w14:textId="77777777" w:rsidR="00CB0062" w:rsidRDefault="00CB0062" w:rsidP="00223E56">
            <w:pPr>
              <w:rPr>
                <w:color w:val="000000"/>
                <w:sz w:val="16"/>
                <w:szCs w:val="16"/>
              </w:rPr>
            </w:pPr>
            <w:r>
              <w:rPr>
                <w:color w:val="000000"/>
                <w:sz w:val="16"/>
                <w:szCs w:val="16"/>
              </w:rPr>
              <w:t>T&gt;C</w:t>
            </w:r>
          </w:p>
        </w:tc>
        <w:tc>
          <w:tcPr>
            <w:tcW w:w="1701" w:type="dxa"/>
            <w:tcBorders>
              <w:top w:val="single" w:sz="4" w:space="0" w:color="000000"/>
              <w:bottom w:val="single" w:sz="4" w:space="0" w:color="000000"/>
            </w:tcBorders>
            <w:tcMar>
              <w:top w:w="-113" w:type="dxa"/>
              <w:left w:w="-113" w:type="dxa"/>
              <w:bottom w:w="-113" w:type="dxa"/>
              <w:right w:w="-113" w:type="dxa"/>
            </w:tcMar>
          </w:tcPr>
          <w:p w14:paraId="22FAFBB4" w14:textId="77777777" w:rsidR="00CB0062" w:rsidRDefault="00CB0062" w:rsidP="00223E56">
            <w:pPr>
              <w:rPr>
                <w:color w:val="000000"/>
                <w:sz w:val="16"/>
                <w:szCs w:val="16"/>
              </w:rPr>
            </w:pPr>
            <w:r>
              <w:rPr>
                <w:color w:val="000000"/>
                <w:sz w:val="16"/>
                <w:szCs w:val="16"/>
              </w:rPr>
              <w:t>Missense variant</w:t>
            </w:r>
          </w:p>
        </w:tc>
        <w:tc>
          <w:tcPr>
            <w:tcW w:w="708" w:type="dxa"/>
            <w:tcBorders>
              <w:top w:val="single" w:sz="4" w:space="0" w:color="000000"/>
              <w:bottom w:val="single" w:sz="4" w:space="0" w:color="000000"/>
            </w:tcBorders>
            <w:tcMar>
              <w:top w:w="-113" w:type="dxa"/>
              <w:left w:w="-113" w:type="dxa"/>
              <w:bottom w:w="-113" w:type="dxa"/>
              <w:right w:w="-113" w:type="dxa"/>
            </w:tcMar>
          </w:tcPr>
          <w:p w14:paraId="1196DAF8" w14:textId="77777777" w:rsidR="00CB0062" w:rsidRDefault="00CB0062" w:rsidP="00223E56">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635B26DF" w14:textId="77777777" w:rsidR="00CB0062" w:rsidRDefault="00CB0062" w:rsidP="00223E56">
            <w:pPr>
              <w:rPr>
                <w:color w:val="000000"/>
                <w:sz w:val="16"/>
                <w:szCs w:val="16"/>
              </w:rPr>
            </w:pPr>
            <w:r>
              <w:rPr>
                <w:sz w:val="16"/>
                <w:szCs w:val="16"/>
              </w:rPr>
              <w:t xml:space="preserve">Pan </w:t>
            </w:r>
            <w:r>
              <w:rPr>
                <w:i/>
                <w:sz w:val="16"/>
                <w:szCs w:val="16"/>
              </w:rPr>
              <w:t>et al.</w:t>
            </w:r>
            <w:r>
              <w:rPr>
                <w:sz w:val="16"/>
                <w:szCs w:val="16"/>
              </w:rPr>
              <w:t xml:space="preserve"> 2013</w:t>
            </w:r>
          </w:p>
        </w:tc>
      </w:tr>
      <w:tr w:rsidR="00CB0062" w14:paraId="5764C28A"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24B3482" w14:textId="77777777" w:rsidR="00CB0062" w:rsidRDefault="00CB0062" w:rsidP="00223E56">
            <w:pPr>
              <w:rPr>
                <w:i/>
                <w:color w:val="000000"/>
                <w:sz w:val="16"/>
                <w:szCs w:val="16"/>
              </w:rPr>
            </w:pPr>
            <w:r>
              <w:rPr>
                <w:i/>
                <w:color w:val="000000"/>
                <w:sz w:val="16"/>
                <w:szCs w:val="16"/>
              </w:rPr>
              <w:t>LIPC</w:t>
            </w:r>
          </w:p>
          <w:p w14:paraId="1A2A0884"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99566A7" w14:textId="77777777" w:rsidR="00CB0062" w:rsidRDefault="00CB0062" w:rsidP="00223E56">
            <w:pPr>
              <w:rPr>
                <w:color w:val="000000"/>
                <w:sz w:val="16"/>
                <w:szCs w:val="16"/>
              </w:rPr>
            </w:pPr>
            <w:r>
              <w:rPr>
                <w:color w:val="000000"/>
                <w:sz w:val="16"/>
                <w:szCs w:val="16"/>
              </w:rPr>
              <w:t>Lipase C, Hepatic Type</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538FF613" w14:textId="77777777" w:rsidR="00CB0062" w:rsidRDefault="00CB0062" w:rsidP="00223E56">
            <w:pPr>
              <w:rPr>
                <w:color w:val="000000"/>
                <w:sz w:val="16"/>
                <w:szCs w:val="16"/>
              </w:rPr>
            </w:pPr>
            <w:r>
              <w:rPr>
                <w:color w:val="000000"/>
                <w:sz w:val="16"/>
                <w:szCs w:val="16"/>
              </w:rPr>
              <w:t>rs1077834</w:t>
            </w:r>
          </w:p>
        </w:tc>
        <w:tc>
          <w:tcPr>
            <w:tcW w:w="851" w:type="dxa"/>
            <w:tcBorders>
              <w:top w:val="single" w:sz="4" w:space="0" w:color="000000"/>
              <w:bottom w:val="single" w:sz="4" w:space="0" w:color="D0CECE"/>
            </w:tcBorders>
            <w:tcMar>
              <w:top w:w="-113" w:type="dxa"/>
              <w:left w:w="-113" w:type="dxa"/>
              <w:bottom w:w="-113" w:type="dxa"/>
              <w:right w:w="-113" w:type="dxa"/>
            </w:tcMar>
          </w:tcPr>
          <w:p w14:paraId="54E015D6" w14:textId="77777777" w:rsidR="00CB0062" w:rsidRDefault="00CB0062" w:rsidP="00223E56">
            <w:pPr>
              <w:rPr>
                <w:color w:val="000000"/>
                <w:sz w:val="16"/>
                <w:szCs w:val="16"/>
              </w:rPr>
            </w:pPr>
            <w:r>
              <w:rPr>
                <w:color w:val="000000"/>
                <w:sz w:val="16"/>
                <w:szCs w:val="16"/>
              </w:rPr>
              <w:t>T&gt;</w:t>
            </w:r>
            <w:proofErr w:type="gramStart"/>
            <w:r>
              <w:rPr>
                <w:color w:val="000000"/>
                <w:sz w:val="16"/>
                <w:szCs w:val="16"/>
              </w:rPr>
              <w:t>A,C</w:t>
            </w:r>
            <w:proofErr w:type="gramEnd"/>
            <w:r>
              <w:rPr>
                <w:color w:val="000000"/>
                <w:sz w:val="16"/>
                <w:szCs w:val="16"/>
              </w:rPr>
              <w:t>,G</w:t>
            </w:r>
          </w:p>
        </w:tc>
        <w:tc>
          <w:tcPr>
            <w:tcW w:w="1701" w:type="dxa"/>
            <w:tcBorders>
              <w:top w:val="single" w:sz="4" w:space="0" w:color="000000"/>
              <w:bottom w:val="single" w:sz="4" w:space="0" w:color="D0CECE"/>
            </w:tcBorders>
            <w:tcMar>
              <w:top w:w="-113" w:type="dxa"/>
              <w:left w:w="-113" w:type="dxa"/>
              <w:bottom w:w="-113" w:type="dxa"/>
              <w:right w:w="-113" w:type="dxa"/>
            </w:tcMar>
          </w:tcPr>
          <w:p w14:paraId="33B291E7" w14:textId="77777777" w:rsidR="00CB0062" w:rsidRDefault="00CB0062" w:rsidP="00223E56">
            <w:pPr>
              <w:rPr>
                <w:color w:val="000000"/>
                <w:sz w:val="16"/>
                <w:szCs w:val="16"/>
              </w:rPr>
            </w:pPr>
            <w:r>
              <w:rPr>
                <w:color w:val="000000"/>
                <w:sz w:val="16"/>
                <w:szCs w:val="16"/>
              </w:rPr>
              <w:t>Intron variant</w:t>
            </w:r>
          </w:p>
        </w:tc>
        <w:tc>
          <w:tcPr>
            <w:tcW w:w="708" w:type="dxa"/>
            <w:tcBorders>
              <w:top w:val="single" w:sz="4" w:space="0" w:color="000000"/>
              <w:bottom w:val="single" w:sz="4" w:space="0" w:color="D0CECE"/>
            </w:tcBorders>
            <w:tcMar>
              <w:top w:w="-113" w:type="dxa"/>
              <w:left w:w="-113" w:type="dxa"/>
              <w:bottom w:w="-113" w:type="dxa"/>
              <w:right w:w="-113" w:type="dxa"/>
            </w:tcMar>
          </w:tcPr>
          <w:p w14:paraId="6494189E" w14:textId="77777777" w:rsidR="00CB0062" w:rsidRDefault="00CB0062" w:rsidP="00223E56">
            <w:pPr>
              <w:rPr>
                <w:color w:val="000000"/>
                <w:sz w:val="16"/>
                <w:szCs w:val="16"/>
              </w:rPr>
            </w:pPr>
            <w:r>
              <w:rPr>
                <w:color w:val="000000"/>
                <w:sz w:val="16"/>
                <w:szCs w:val="16"/>
              </w:rPr>
              <w:t>T2DM</w:t>
            </w: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20814D1A" w14:textId="77777777" w:rsidR="00CB0062" w:rsidRDefault="00CB0062" w:rsidP="00223E56">
            <w:pPr>
              <w:rPr>
                <w:sz w:val="16"/>
                <w:szCs w:val="16"/>
              </w:rPr>
            </w:pPr>
            <w:r>
              <w:rPr>
                <w:sz w:val="16"/>
                <w:szCs w:val="16"/>
              </w:rPr>
              <w:t>Grau-Perez et al. 2018</w:t>
            </w:r>
          </w:p>
          <w:p w14:paraId="1B77A0E9" w14:textId="77777777" w:rsidR="00CB0062" w:rsidRDefault="00CB0062" w:rsidP="00223E56">
            <w:pPr>
              <w:rPr>
                <w:sz w:val="16"/>
                <w:szCs w:val="16"/>
              </w:rPr>
            </w:pPr>
          </w:p>
        </w:tc>
      </w:tr>
      <w:tr w:rsidR="00CB0062" w14:paraId="5C0073FE"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F88154D" w14:textId="77777777" w:rsidR="00CB0062" w:rsidRDefault="00CB0062" w:rsidP="00223E56">
            <w:pPr>
              <w:rPr>
                <w:i/>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2A61DC4" w14:textId="77777777" w:rsidR="00CB0062" w:rsidRDefault="00CB0062" w:rsidP="00223E56">
            <w:pPr>
              <w:rPr>
                <w:color w:val="000000"/>
                <w:sz w:val="16"/>
                <w:szCs w:val="16"/>
              </w:rPr>
            </w:pP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29D0A62C" w14:textId="77777777" w:rsidR="00CB0062" w:rsidRDefault="00CB0062" w:rsidP="00223E56">
            <w:pPr>
              <w:rPr>
                <w:color w:val="000000"/>
                <w:sz w:val="16"/>
                <w:szCs w:val="16"/>
              </w:rPr>
            </w:pPr>
          </w:p>
        </w:tc>
        <w:tc>
          <w:tcPr>
            <w:tcW w:w="851" w:type="dxa"/>
            <w:tcBorders>
              <w:top w:val="single" w:sz="4" w:space="0" w:color="000000"/>
              <w:bottom w:val="single" w:sz="4" w:space="0" w:color="D0CECE"/>
            </w:tcBorders>
            <w:tcMar>
              <w:top w:w="-113" w:type="dxa"/>
              <w:left w:w="-113" w:type="dxa"/>
              <w:bottom w:w="-113" w:type="dxa"/>
              <w:right w:w="-113" w:type="dxa"/>
            </w:tcMar>
          </w:tcPr>
          <w:p w14:paraId="4483A1C7" w14:textId="77777777" w:rsidR="00CB0062" w:rsidRDefault="00CB0062" w:rsidP="00223E56">
            <w:pPr>
              <w:rPr>
                <w:color w:val="000000"/>
                <w:sz w:val="16"/>
                <w:szCs w:val="16"/>
              </w:rPr>
            </w:pPr>
          </w:p>
        </w:tc>
        <w:tc>
          <w:tcPr>
            <w:tcW w:w="1701" w:type="dxa"/>
            <w:tcBorders>
              <w:top w:val="single" w:sz="4" w:space="0" w:color="000000"/>
              <w:bottom w:val="single" w:sz="4" w:space="0" w:color="D0CECE"/>
            </w:tcBorders>
            <w:tcMar>
              <w:top w:w="-113" w:type="dxa"/>
              <w:left w:w="-113" w:type="dxa"/>
              <w:bottom w:w="-113" w:type="dxa"/>
              <w:right w:w="-113" w:type="dxa"/>
            </w:tcMar>
          </w:tcPr>
          <w:p w14:paraId="08E22730" w14:textId="77777777" w:rsidR="00CB0062" w:rsidRDefault="00CB0062" w:rsidP="00223E56">
            <w:pPr>
              <w:rPr>
                <w:color w:val="000000"/>
                <w:sz w:val="16"/>
                <w:szCs w:val="16"/>
              </w:rPr>
            </w:pPr>
          </w:p>
        </w:tc>
        <w:tc>
          <w:tcPr>
            <w:tcW w:w="708" w:type="dxa"/>
            <w:tcBorders>
              <w:top w:val="single" w:sz="4" w:space="0" w:color="000000"/>
              <w:bottom w:val="single" w:sz="4" w:space="0" w:color="D0CECE"/>
            </w:tcBorders>
            <w:tcMar>
              <w:top w:w="-113" w:type="dxa"/>
              <w:left w:w="-113" w:type="dxa"/>
              <w:bottom w:w="-113" w:type="dxa"/>
              <w:right w:w="-113" w:type="dxa"/>
            </w:tcMar>
          </w:tcPr>
          <w:p w14:paraId="67061262" w14:textId="77777777" w:rsidR="00CB0062" w:rsidRDefault="00CB0062" w:rsidP="00223E56">
            <w:pPr>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6EFC3169" w14:textId="77777777" w:rsidR="00CB0062" w:rsidRDefault="00CB0062" w:rsidP="00223E56">
            <w:pPr>
              <w:rPr>
                <w:sz w:val="16"/>
                <w:szCs w:val="16"/>
              </w:rPr>
            </w:pPr>
          </w:p>
        </w:tc>
      </w:tr>
      <w:tr w:rsidR="00CB0062" w14:paraId="25C96905"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86EB1DD" w14:textId="77777777" w:rsidR="00CB0062" w:rsidRDefault="00CB0062" w:rsidP="00223E56">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9AA35E9" w14:textId="77777777" w:rsidR="00CB0062" w:rsidRDefault="00CB0062" w:rsidP="00223E56">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1E3288D" w14:textId="77777777" w:rsidR="00CB0062" w:rsidRDefault="00CB0062" w:rsidP="00223E56">
            <w:pPr>
              <w:rPr>
                <w:color w:val="000000"/>
                <w:sz w:val="16"/>
                <w:szCs w:val="16"/>
              </w:rPr>
            </w:pPr>
            <w:r>
              <w:rPr>
                <w:color w:val="000000"/>
                <w:sz w:val="16"/>
                <w:szCs w:val="16"/>
              </w:rPr>
              <w:t>rs1800588</w:t>
            </w:r>
          </w:p>
        </w:tc>
        <w:tc>
          <w:tcPr>
            <w:tcW w:w="851" w:type="dxa"/>
            <w:tcBorders>
              <w:top w:val="single" w:sz="4" w:space="0" w:color="D0CECE"/>
              <w:bottom w:val="single" w:sz="4" w:space="0" w:color="D0CECE"/>
            </w:tcBorders>
            <w:tcMar>
              <w:top w:w="-113" w:type="dxa"/>
              <w:left w:w="-113" w:type="dxa"/>
              <w:bottom w:w="-113" w:type="dxa"/>
              <w:right w:w="-113" w:type="dxa"/>
            </w:tcMar>
          </w:tcPr>
          <w:p w14:paraId="42977B32" w14:textId="77777777" w:rsidR="00CB0062" w:rsidRDefault="00CB0062" w:rsidP="00223E56">
            <w:pPr>
              <w:rPr>
                <w:color w:val="000000"/>
                <w:sz w:val="16"/>
                <w:szCs w:val="16"/>
              </w:rPr>
            </w:pPr>
            <w:r>
              <w:rPr>
                <w:color w:val="000000"/>
                <w:sz w:val="16"/>
                <w:szCs w:val="16"/>
              </w:rPr>
              <w:t>C&gt;</w:t>
            </w:r>
            <w:proofErr w:type="gramStart"/>
            <w:r>
              <w:rPr>
                <w:color w:val="000000"/>
                <w:sz w:val="16"/>
                <w:szCs w:val="16"/>
              </w:rPr>
              <w:t>A,G</w:t>
            </w:r>
            <w:proofErr w:type="gramEnd"/>
            <w:r>
              <w:rPr>
                <w:color w:val="000000"/>
                <w:sz w:val="16"/>
                <w:szCs w:val="16"/>
              </w:rPr>
              <w:t>,T</w:t>
            </w:r>
          </w:p>
        </w:tc>
        <w:tc>
          <w:tcPr>
            <w:tcW w:w="1701" w:type="dxa"/>
            <w:tcBorders>
              <w:top w:val="single" w:sz="4" w:space="0" w:color="D0CECE"/>
              <w:bottom w:val="single" w:sz="4" w:space="0" w:color="D0CECE"/>
            </w:tcBorders>
            <w:tcMar>
              <w:top w:w="-113" w:type="dxa"/>
              <w:left w:w="-113" w:type="dxa"/>
              <w:bottom w:w="-113" w:type="dxa"/>
              <w:right w:w="-113" w:type="dxa"/>
            </w:tcMar>
          </w:tcPr>
          <w:p w14:paraId="485DFC10" w14:textId="77777777" w:rsidR="00CB0062" w:rsidRDefault="00CB0062" w:rsidP="00223E56">
            <w:pPr>
              <w:rPr>
                <w:color w:val="000000"/>
                <w:sz w:val="16"/>
                <w:szCs w:val="16"/>
              </w:rPr>
            </w:pPr>
            <w:r>
              <w:rPr>
                <w:color w:val="000000"/>
                <w:sz w:val="16"/>
                <w:szCs w:val="16"/>
              </w:rPr>
              <w:t>Intron variant</w:t>
            </w:r>
          </w:p>
        </w:tc>
        <w:tc>
          <w:tcPr>
            <w:tcW w:w="708" w:type="dxa"/>
            <w:tcBorders>
              <w:top w:val="single" w:sz="4" w:space="0" w:color="D0CECE"/>
              <w:bottom w:val="single" w:sz="4" w:space="0" w:color="D0CECE"/>
            </w:tcBorders>
            <w:tcMar>
              <w:top w:w="-113" w:type="dxa"/>
              <w:left w:w="-113" w:type="dxa"/>
              <w:bottom w:w="-113" w:type="dxa"/>
              <w:right w:w="-113" w:type="dxa"/>
            </w:tcMar>
          </w:tcPr>
          <w:p w14:paraId="589BD5EA" w14:textId="77777777" w:rsidR="00CB0062" w:rsidRDefault="00CB0062" w:rsidP="00223E56">
            <w:pPr>
              <w:rPr>
                <w:color w:val="000000"/>
                <w:sz w:val="16"/>
                <w:szCs w:val="16"/>
              </w:rPr>
            </w:pPr>
            <w:r>
              <w:rPr>
                <w:color w:val="000000"/>
                <w:sz w:val="16"/>
                <w:szCs w:val="16"/>
              </w:rPr>
              <w:t>T2DM</w:t>
            </w: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6D6A659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5D7BF92C"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ACE99A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2E9049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6061F0CA" w14:textId="77777777" w:rsidR="00CB0062" w:rsidRDefault="00CB0062" w:rsidP="00223E56">
            <w:pPr>
              <w:rPr>
                <w:color w:val="000000"/>
                <w:sz w:val="16"/>
                <w:szCs w:val="16"/>
              </w:rPr>
            </w:pPr>
            <w:r>
              <w:rPr>
                <w:color w:val="000000"/>
                <w:sz w:val="16"/>
                <w:szCs w:val="16"/>
              </w:rPr>
              <w:t>rs6083</w:t>
            </w:r>
          </w:p>
        </w:tc>
        <w:tc>
          <w:tcPr>
            <w:tcW w:w="851" w:type="dxa"/>
            <w:tcBorders>
              <w:top w:val="single" w:sz="4" w:space="0" w:color="D0CECE"/>
              <w:bottom w:val="single" w:sz="4" w:space="0" w:color="000000"/>
            </w:tcBorders>
            <w:tcMar>
              <w:top w:w="-113" w:type="dxa"/>
              <w:left w:w="-113" w:type="dxa"/>
              <w:bottom w:w="-113" w:type="dxa"/>
              <w:right w:w="-113" w:type="dxa"/>
            </w:tcMar>
          </w:tcPr>
          <w:p w14:paraId="285F70B7" w14:textId="77777777" w:rsidR="00CB0062" w:rsidRDefault="00CB0062" w:rsidP="00223E56">
            <w:pPr>
              <w:rPr>
                <w:color w:val="000000"/>
                <w:sz w:val="16"/>
                <w:szCs w:val="16"/>
              </w:rPr>
            </w:pPr>
            <w:r>
              <w:rPr>
                <w:color w:val="000000"/>
                <w:sz w:val="16"/>
                <w:szCs w:val="16"/>
              </w:rPr>
              <w:t>A&gt;</w:t>
            </w:r>
            <w:proofErr w:type="gramStart"/>
            <w:r>
              <w:rPr>
                <w:color w:val="000000"/>
                <w:sz w:val="16"/>
                <w:szCs w:val="16"/>
              </w:rPr>
              <w:t>C,G</w:t>
            </w:r>
            <w:proofErr w:type="gramEnd"/>
          </w:p>
        </w:tc>
        <w:tc>
          <w:tcPr>
            <w:tcW w:w="1701" w:type="dxa"/>
            <w:tcBorders>
              <w:top w:val="single" w:sz="4" w:space="0" w:color="D0CECE"/>
              <w:bottom w:val="single" w:sz="4" w:space="0" w:color="000000"/>
            </w:tcBorders>
            <w:tcMar>
              <w:top w:w="-113" w:type="dxa"/>
              <w:left w:w="-113" w:type="dxa"/>
              <w:bottom w:w="-113" w:type="dxa"/>
              <w:right w:w="-113" w:type="dxa"/>
            </w:tcMar>
          </w:tcPr>
          <w:p w14:paraId="7073F591" w14:textId="77777777" w:rsidR="00CB0062" w:rsidRDefault="00CB0062" w:rsidP="00223E56">
            <w:pPr>
              <w:rPr>
                <w:color w:val="000000"/>
                <w:sz w:val="16"/>
                <w:szCs w:val="16"/>
              </w:rPr>
            </w:pPr>
            <w:r>
              <w:rPr>
                <w:color w:val="000000"/>
                <w:sz w:val="16"/>
                <w:szCs w:val="16"/>
              </w:rPr>
              <w:t>Missense variant</w:t>
            </w:r>
          </w:p>
        </w:tc>
        <w:tc>
          <w:tcPr>
            <w:tcW w:w="708" w:type="dxa"/>
            <w:tcBorders>
              <w:top w:val="single" w:sz="4" w:space="0" w:color="D0CECE"/>
              <w:bottom w:val="single" w:sz="4" w:space="0" w:color="000000"/>
            </w:tcBorders>
            <w:tcMar>
              <w:top w:w="-113" w:type="dxa"/>
              <w:left w:w="-113" w:type="dxa"/>
              <w:bottom w:w="-113" w:type="dxa"/>
              <w:right w:w="-113" w:type="dxa"/>
            </w:tcMar>
          </w:tcPr>
          <w:p w14:paraId="2BA0BAC1" w14:textId="77777777" w:rsidR="00CB0062" w:rsidRDefault="00CB0062" w:rsidP="00223E56">
            <w:pPr>
              <w:rPr>
                <w:color w:val="000000"/>
                <w:sz w:val="16"/>
                <w:szCs w:val="16"/>
              </w:rPr>
            </w:pPr>
            <w:r>
              <w:rPr>
                <w:color w:val="000000"/>
                <w:sz w:val="16"/>
                <w:szCs w:val="16"/>
              </w:rPr>
              <w:t>T2DM</w:t>
            </w: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0295A5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0CD68FD9"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812FBF3" w14:textId="77777777" w:rsidR="00CB0062" w:rsidRDefault="00CB0062" w:rsidP="00223E56">
            <w:pPr>
              <w:rPr>
                <w:i/>
                <w:color w:val="000000"/>
                <w:sz w:val="16"/>
                <w:szCs w:val="16"/>
              </w:rPr>
            </w:pPr>
            <w:r>
              <w:rPr>
                <w:i/>
                <w:color w:val="000000"/>
                <w:sz w:val="16"/>
                <w:szCs w:val="16"/>
              </w:rPr>
              <w:t>LPL</w:t>
            </w:r>
          </w:p>
          <w:p w14:paraId="0B5899DC"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11334B5" w14:textId="77777777" w:rsidR="00CB0062" w:rsidRDefault="00CB0062" w:rsidP="00223E56">
            <w:pPr>
              <w:rPr>
                <w:color w:val="000000"/>
                <w:sz w:val="16"/>
                <w:szCs w:val="16"/>
              </w:rPr>
            </w:pPr>
            <w:r>
              <w:rPr>
                <w:color w:val="000000"/>
                <w:sz w:val="16"/>
                <w:szCs w:val="16"/>
              </w:rPr>
              <w:t>Lipoprotein lipase</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38D9EEE7" w14:textId="77777777" w:rsidR="00CB0062" w:rsidRDefault="00CB0062" w:rsidP="00223E56">
            <w:pPr>
              <w:rPr>
                <w:color w:val="000000"/>
                <w:sz w:val="16"/>
                <w:szCs w:val="16"/>
              </w:rPr>
            </w:pPr>
            <w:r>
              <w:rPr>
                <w:color w:val="000000"/>
                <w:sz w:val="16"/>
                <w:szCs w:val="16"/>
              </w:rPr>
              <w:t>rs10099160</w:t>
            </w:r>
          </w:p>
        </w:tc>
        <w:tc>
          <w:tcPr>
            <w:tcW w:w="851" w:type="dxa"/>
            <w:tcBorders>
              <w:top w:val="single" w:sz="4" w:space="0" w:color="000000"/>
              <w:bottom w:val="single" w:sz="4" w:space="0" w:color="D0CECE"/>
            </w:tcBorders>
            <w:tcMar>
              <w:top w:w="-113" w:type="dxa"/>
              <w:left w:w="-113" w:type="dxa"/>
              <w:bottom w:w="-113" w:type="dxa"/>
              <w:right w:w="-113" w:type="dxa"/>
            </w:tcMar>
          </w:tcPr>
          <w:p w14:paraId="1BAEE405" w14:textId="77777777" w:rsidR="00CB0062" w:rsidRDefault="00CB0062" w:rsidP="00223E56">
            <w:pPr>
              <w:rPr>
                <w:color w:val="000000"/>
                <w:sz w:val="16"/>
                <w:szCs w:val="16"/>
              </w:rPr>
            </w:pPr>
            <w:r>
              <w:rPr>
                <w:color w:val="000000"/>
                <w:sz w:val="16"/>
                <w:szCs w:val="16"/>
              </w:rPr>
              <w:t>T&gt;G</w:t>
            </w:r>
          </w:p>
        </w:tc>
        <w:tc>
          <w:tcPr>
            <w:tcW w:w="1701" w:type="dxa"/>
            <w:tcBorders>
              <w:top w:val="single" w:sz="4" w:space="0" w:color="000000"/>
              <w:bottom w:val="single" w:sz="4" w:space="0" w:color="D0CECE"/>
            </w:tcBorders>
            <w:tcMar>
              <w:top w:w="-113" w:type="dxa"/>
              <w:left w:w="-113" w:type="dxa"/>
              <w:bottom w:w="-113" w:type="dxa"/>
              <w:right w:w="-113" w:type="dxa"/>
            </w:tcMar>
          </w:tcPr>
          <w:p w14:paraId="1F6E4DF7" w14:textId="77777777" w:rsidR="00CB0062" w:rsidRDefault="00CB0062" w:rsidP="00223E56">
            <w:pPr>
              <w:rPr>
                <w:color w:val="000000"/>
                <w:sz w:val="16"/>
                <w:szCs w:val="16"/>
              </w:rPr>
            </w:pPr>
            <w:r>
              <w:rPr>
                <w:sz w:val="16"/>
                <w:szCs w:val="16"/>
              </w:rPr>
              <w:t>Intron variant</w:t>
            </w:r>
          </w:p>
        </w:tc>
        <w:tc>
          <w:tcPr>
            <w:tcW w:w="708" w:type="dxa"/>
            <w:tcBorders>
              <w:top w:val="single" w:sz="4" w:space="0" w:color="000000"/>
              <w:bottom w:val="single" w:sz="4" w:space="0" w:color="D0CECE"/>
            </w:tcBorders>
            <w:tcMar>
              <w:top w:w="-113" w:type="dxa"/>
              <w:left w:w="-113" w:type="dxa"/>
              <w:bottom w:w="-113" w:type="dxa"/>
              <w:right w:w="-113" w:type="dxa"/>
            </w:tcMar>
          </w:tcPr>
          <w:p w14:paraId="65B1AE68" w14:textId="77777777" w:rsidR="00CB0062" w:rsidRDefault="00CB0062" w:rsidP="00223E56">
            <w:pPr>
              <w:rPr>
                <w:color w:val="000000"/>
                <w:sz w:val="16"/>
                <w:szCs w:val="16"/>
              </w:rPr>
            </w:pPr>
            <w:r>
              <w:rPr>
                <w:color w:val="000000"/>
                <w:sz w:val="16"/>
                <w:szCs w:val="16"/>
              </w:rPr>
              <w:t>T2DM</w:t>
            </w: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6C7CB607" w14:textId="77777777" w:rsidR="00CB0062" w:rsidRDefault="00CB0062" w:rsidP="00223E56">
            <w:pPr>
              <w:rPr>
                <w:sz w:val="16"/>
                <w:szCs w:val="16"/>
              </w:rPr>
            </w:pPr>
            <w:r>
              <w:rPr>
                <w:sz w:val="16"/>
                <w:szCs w:val="16"/>
              </w:rPr>
              <w:t>Grau-Perez et al. 2018</w:t>
            </w:r>
          </w:p>
          <w:p w14:paraId="07601A1D" w14:textId="77777777" w:rsidR="00CB0062" w:rsidRDefault="00CB0062" w:rsidP="00223E56">
            <w:pPr>
              <w:rPr>
                <w:sz w:val="16"/>
                <w:szCs w:val="16"/>
              </w:rPr>
            </w:pPr>
          </w:p>
        </w:tc>
      </w:tr>
      <w:tr w:rsidR="00CB0062" w14:paraId="4DAE1024"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E592BFC" w14:textId="77777777" w:rsidR="00CB0062" w:rsidRDefault="00CB0062" w:rsidP="00223E56">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DF92635" w14:textId="77777777" w:rsidR="00CB0062" w:rsidRDefault="00CB0062" w:rsidP="00223E56">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A3B99EB" w14:textId="77777777" w:rsidR="00CB0062" w:rsidRDefault="00CB0062" w:rsidP="00223E56">
            <w:pPr>
              <w:rPr>
                <w:color w:val="000000"/>
                <w:sz w:val="16"/>
                <w:szCs w:val="16"/>
              </w:rPr>
            </w:pPr>
            <w:r>
              <w:rPr>
                <w:color w:val="000000"/>
                <w:sz w:val="16"/>
                <w:szCs w:val="16"/>
              </w:rPr>
              <w:t>rs256</w:t>
            </w:r>
          </w:p>
        </w:tc>
        <w:tc>
          <w:tcPr>
            <w:tcW w:w="851" w:type="dxa"/>
            <w:tcBorders>
              <w:top w:val="single" w:sz="4" w:space="0" w:color="D0CECE"/>
              <w:bottom w:val="single" w:sz="4" w:space="0" w:color="D0CECE"/>
            </w:tcBorders>
            <w:tcMar>
              <w:top w:w="-113" w:type="dxa"/>
              <w:left w:w="-113" w:type="dxa"/>
              <w:bottom w:w="-113" w:type="dxa"/>
              <w:right w:w="-113" w:type="dxa"/>
            </w:tcMar>
          </w:tcPr>
          <w:p w14:paraId="1B8C9DF8" w14:textId="77777777" w:rsidR="00CB0062" w:rsidRDefault="00CB0062" w:rsidP="00223E56">
            <w:pPr>
              <w:rPr>
                <w:color w:val="000000"/>
                <w:sz w:val="16"/>
                <w:szCs w:val="16"/>
              </w:rPr>
            </w:pPr>
            <w:r>
              <w:rPr>
                <w:color w:val="000000"/>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7C950583" w14:textId="77777777" w:rsidR="00CB0062" w:rsidRDefault="00CB0062" w:rsidP="00223E56">
            <w:pPr>
              <w:rPr>
                <w:color w:val="000000"/>
                <w:sz w:val="16"/>
                <w:szCs w:val="16"/>
              </w:rPr>
            </w:pPr>
            <w:r>
              <w:rPr>
                <w:sz w:val="16"/>
                <w:szCs w:val="16"/>
              </w:rPr>
              <w:t>Intron variant</w:t>
            </w:r>
          </w:p>
        </w:tc>
        <w:tc>
          <w:tcPr>
            <w:tcW w:w="708" w:type="dxa"/>
            <w:tcBorders>
              <w:top w:val="single" w:sz="4" w:space="0" w:color="D0CECE"/>
              <w:bottom w:val="single" w:sz="4" w:space="0" w:color="D0CECE"/>
            </w:tcBorders>
            <w:tcMar>
              <w:top w:w="-113" w:type="dxa"/>
              <w:left w:w="-113" w:type="dxa"/>
              <w:bottom w:w="-113" w:type="dxa"/>
              <w:right w:w="-113" w:type="dxa"/>
            </w:tcMar>
          </w:tcPr>
          <w:p w14:paraId="7C016B4C" w14:textId="77777777" w:rsidR="00CB0062" w:rsidRDefault="00CB0062" w:rsidP="00223E56">
            <w:pPr>
              <w:rPr>
                <w:color w:val="000000"/>
                <w:sz w:val="16"/>
                <w:szCs w:val="16"/>
              </w:rPr>
            </w:pPr>
            <w:r>
              <w:rPr>
                <w:color w:val="000000"/>
                <w:sz w:val="16"/>
                <w:szCs w:val="16"/>
              </w:rPr>
              <w:t>T2DM</w:t>
            </w: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D7E346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4AE3FEC2"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9AE070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4514CA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0DF553DF" w14:textId="77777777" w:rsidR="00CB0062" w:rsidRDefault="00CB0062" w:rsidP="00223E56">
            <w:pPr>
              <w:rPr>
                <w:color w:val="000000"/>
                <w:sz w:val="16"/>
                <w:szCs w:val="16"/>
              </w:rPr>
            </w:pPr>
            <w:r>
              <w:rPr>
                <w:color w:val="000000"/>
                <w:sz w:val="16"/>
                <w:szCs w:val="16"/>
              </w:rPr>
              <w:t>rs320</w:t>
            </w:r>
          </w:p>
        </w:tc>
        <w:tc>
          <w:tcPr>
            <w:tcW w:w="851" w:type="dxa"/>
            <w:tcBorders>
              <w:top w:val="single" w:sz="4" w:space="0" w:color="D0CECE"/>
              <w:bottom w:val="single" w:sz="4" w:space="0" w:color="000000"/>
            </w:tcBorders>
            <w:tcMar>
              <w:top w:w="-113" w:type="dxa"/>
              <w:left w:w="-113" w:type="dxa"/>
              <w:bottom w:w="-113" w:type="dxa"/>
              <w:right w:w="-113" w:type="dxa"/>
            </w:tcMar>
          </w:tcPr>
          <w:p w14:paraId="179F38E7" w14:textId="77777777" w:rsidR="00CB0062" w:rsidRDefault="00CB0062" w:rsidP="00223E56">
            <w:pPr>
              <w:rPr>
                <w:color w:val="000000"/>
                <w:sz w:val="16"/>
                <w:szCs w:val="16"/>
              </w:rPr>
            </w:pPr>
            <w:r>
              <w:rPr>
                <w:color w:val="000000"/>
                <w:sz w:val="16"/>
                <w:szCs w:val="16"/>
              </w:rPr>
              <w:t>T&gt;</w:t>
            </w:r>
            <w:proofErr w:type="gramStart"/>
            <w:r>
              <w:rPr>
                <w:color w:val="000000"/>
                <w:sz w:val="16"/>
                <w:szCs w:val="16"/>
              </w:rPr>
              <w:t>A,G</w:t>
            </w:r>
            <w:proofErr w:type="gramEnd"/>
          </w:p>
        </w:tc>
        <w:tc>
          <w:tcPr>
            <w:tcW w:w="1701" w:type="dxa"/>
            <w:tcBorders>
              <w:top w:val="single" w:sz="4" w:space="0" w:color="D0CECE"/>
              <w:bottom w:val="single" w:sz="4" w:space="0" w:color="000000"/>
            </w:tcBorders>
            <w:tcMar>
              <w:top w:w="-113" w:type="dxa"/>
              <w:left w:w="-113" w:type="dxa"/>
              <w:bottom w:w="-113" w:type="dxa"/>
              <w:right w:w="-113" w:type="dxa"/>
            </w:tcMar>
          </w:tcPr>
          <w:p w14:paraId="5256B3CF" w14:textId="77777777" w:rsidR="00CB0062" w:rsidRDefault="00CB0062" w:rsidP="00223E56">
            <w:pPr>
              <w:rPr>
                <w:color w:val="000000"/>
                <w:sz w:val="16"/>
                <w:szCs w:val="16"/>
              </w:rPr>
            </w:pPr>
            <w:r>
              <w:rPr>
                <w:sz w:val="16"/>
                <w:szCs w:val="16"/>
              </w:rPr>
              <w:t>Intron variant</w:t>
            </w:r>
          </w:p>
        </w:tc>
        <w:tc>
          <w:tcPr>
            <w:tcW w:w="708" w:type="dxa"/>
            <w:tcBorders>
              <w:top w:val="single" w:sz="4" w:space="0" w:color="D0CECE"/>
              <w:bottom w:val="single" w:sz="4" w:space="0" w:color="000000"/>
            </w:tcBorders>
            <w:tcMar>
              <w:top w:w="-113" w:type="dxa"/>
              <w:left w:w="-113" w:type="dxa"/>
              <w:bottom w:w="-113" w:type="dxa"/>
              <w:right w:w="-113" w:type="dxa"/>
            </w:tcMar>
          </w:tcPr>
          <w:p w14:paraId="633CE763" w14:textId="77777777" w:rsidR="00CB0062" w:rsidRDefault="00CB0062" w:rsidP="00223E56">
            <w:pPr>
              <w:rPr>
                <w:color w:val="000000"/>
                <w:sz w:val="16"/>
                <w:szCs w:val="16"/>
              </w:rPr>
            </w:pPr>
            <w:r>
              <w:rPr>
                <w:color w:val="000000"/>
                <w:sz w:val="16"/>
                <w:szCs w:val="16"/>
              </w:rPr>
              <w:t>T2DM</w:t>
            </w: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32859CF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4E181F24"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27B12D72" w14:textId="77777777" w:rsidR="00CB0062" w:rsidRDefault="00CB0062" w:rsidP="00223E56">
            <w:pPr>
              <w:rPr>
                <w:i/>
                <w:color w:val="000000"/>
                <w:sz w:val="16"/>
                <w:szCs w:val="16"/>
              </w:rPr>
            </w:pPr>
            <w:r>
              <w:rPr>
                <w:i/>
                <w:color w:val="000000"/>
                <w:sz w:val="16"/>
                <w:szCs w:val="16"/>
              </w:rPr>
              <w:t>MAF</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53294781" w14:textId="77777777" w:rsidR="00CB0062" w:rsidRDefault="00CB0062" w:rsidP="00223E56">
            <w:pPr>
              <w:rPr>
                <w:color w:val="000000"/>
                <w:sz w:val="16"/>
                <w:szCs w:val="16"/>
              </w:rPr>
            </w:pPr>
            <w:r>
              <w:rPr>
                <w:color w:val="000000"/>
                <w:sz w:val="16"/>
                <w:szCs w:val="16"/>
              </w:rPr>
              <w:t>MAF BZIP Transcription Factor</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71A8F893" w14:textId="77777777" w:rsidR="00CB0062" w:rsidRDefault="00CB0062" w:rsidP="00223E56">
            <w:pPr>
              <w:rPr>
                <w:color w:val="000000"/>
                <w:sz w:val="16"/>
                <w:szCs w:val="16"/>
              </w:rPr>
            </w:pPr>
            <w:r>
              <w:rPr>
                <w:color w:val="000000"/>
                <w:sz w:val="16"/>
                <w:szCs w:val="16"/>
              </w:rPr>
              <w:t>rs1424233</w:t>
            </w:r>
          </w:p>
        </w:tc>
        <w:tc>
          <w:tcPr>
            <w:tcW w:w="851" w:type="dxa"/>
            <w:tcBorders>
              <w:top w:val="single" w:sz="4" w:space="0" w:color="000000"/>
              <w:bottom w:val="single" w:sz="4" w:space="0" w:color="000000"/>
            </w:tcBorders>
            <w:tcMar>
              <w:top w:w="-113" w:type="dxa"/>
              <w:left w:w="-113" w:type="dxa"/>
              <w:bottom w:w="-113" w:type="dxa"/>
              <w:right w:w="-113" w:type="dxa"/>
            </w:tcMar>
          </w:tcPr>
          <w:p w14:paraId="7A552200" w14:textId="77777777" w:rsidR="00CB0062" w:rsidRDefault="00CB0062" w:rsidP="00223E56">
            <w:pPr>
              <w:rPr>
                <w:color w:val="000000"/>
                <w:sz w:val="16"/>
                <w:szCs w:val="16"/>
              </w:rPr>
            </w:pPr>
            <w:r>
              <w:rPr>
                <w:color w:val="000000"/>
                <w:sz w:val="16"/>
                <w:szCs w:val="16"/>
              </w:rPr>
              <w:t>T&gt;C</w:t>
            </w:r>
          </w:p>
        </w:tc>
        <w:tc>
          <w:tcPr>
            <w:tcW w:w="1701" w:type="dxa"/>
            <w:tcBorders>
              <w:top w:val="single" w:sz="4" w:space="0" w:color="000000"/>
              <w:bottom w:val="single" w:sz="4" w:space="0" w:color="000000"/>
            </w:tcBorders>
            <w:tcMar>
              <w:top w:w="-113" w:type="dxa"/>
              <w:left w:w="-113" w:type="dxa"/>
              <w:bottom w:w="-113" w:type="dxa"/>
              <w:right w:w="-113" w:type="dxa"/>
            </w:tcMar>
          </w:tcPr>
          <w:p w14:paraId="2F064AEB" w14:textId="77777777" w:rsidR="00CB0062" w:rsidRDefault="00CB0062" w:rsidP="00223E56">
            <w:pPr>
              <w:rPr>
                <w:color w:val="000000"/>
                <w:sz w:val="16"/>
                <w:szCs w:val="16"/>
              </w:rPr>
            </w:pPr>
            <w:r>
              <w:rPr>
                <w:color w:val="000000"/>
                <w:sz w:val="16"/>
                <w:szCs w:val="16"/>
              </w:rPr>
              <w:t>None</w:t>
            </w:r>
          </w:p>
        </w:tc>
        <w:tc>
          <w:tcPr>
            <w:tcW w:w="708" w:type="dxa"/>
            <w:tcBorders>
              <w:top w:val="single" w:sz="4" w:space="0" w:color="000000"/>
              <w:bottom w:val="single" w:sz="4" w:space="0" w:color="000000"/>
            </w:tcBorders>
            <w:tcMar>
              <w:top w:w="-113" w:type="dxa"/>
              <w:left w:w="-113" w:type="dxa"/>
              <w:bottom w:w="-113" w:type="dxa"/>
              <w:right w:w="-113" w:type="dxa"/>
            </w:tcMar>
          </w:tcPr>
          <w:p w14:paraId="1F74E906" w14:textId="77777777" w:rsidR="00CB0062" w:rsidRDefault="00CB0062" w:rsidP="00223E56">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631C41E0" w14:textId="77777777" w:rsidR="00CB0062" w:rsidRDefault="00CB0062" w:rsidP="00223E56">
            <w:pPr>
              <w:rPr>
                <w:color w:val="000000"/>
                <w:sz w:val="16"/>
                <w:szCs w:val="16"/>
              </w:rPr>
            </w:pPr>
            <w:r>
              <w:rPr>
                <w:sz w:val="16"/>
                <w:szCs w:val="16"/>
              </w:rPr>
              <w:t>Grau-Perez et al. 2018</w:t>
            </w:r>
          </w:p>
        </w:tc>
      </w:tr>
      <w:tr w:rsidR="00CB0062" w14:paraId="788C5559"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0E6F9015" w14:textId="77777777" w:rsidR="00CB0062" w:rsidRDefault="00CB0062" w:rsidP="00223E56">
            <w:pPr>
              <w:rPr>
                <w:i/>
                <w:color w:val="000000"/>
                <w:sz w:val="16"/>
                <w:szCs w:val="16"/>
              </w:rPr>
            </w:pPr>
            <w:r>
              <w:rPr>
                <w:i/>
                <w:color w:val="000000"/>
                <w:sz w:val="16"/>
                <w:szCs w:val="16"/>
              </w:rPr>
              <w:t>MC4R</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68F72D99" w14:textId="77777777" w:rsidR="00CB0062" w:rsidRDefault="00CB0062" w:rsidP="00223E56">
            <w:pPr>
              <w:rPr>
                <w:color w:val="000000"/>
                <w:sz w:val="16"/>
                <w:szCs w:val="16"/>
              </w:rPr>
            </w:pPr>
            <w:r>
              <w:rPr>
                <w:color w:val="000000"/>
                <w:sz w:val="16"/>
                <w:szCs w:val="16"/>
              </w:rPr>
              <w:t>Melanocortin-4-receptor</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6D9D3AB8" w14:textId="77777777" w:rsidR="00CB0062" w:rsidRDefault="00CB0062" w:rsidP="00223E56">
            <w:pPr>
              <w:rPr>
                <w:color w:val="000000"/>
                <w:sz w:val="16"/>
                <w:szCs w:val="16"/>
              </w:rPr>
            </w:pPr>
            <w:r>
              <w:rPr>
                <w:color w:val="000000"/>
                <w:sz w:val="16"/>
                <w:szCs w:val="16"/>
              </w:rPr>
              <w:t>rs12970134</w:t>
            </w:r>
          </w:p>
        </w:tc>
        <w:tc>
          <w:tcPr>
            <w:tcW w:w="851" w:type="dxa"/>
            <w:tcBorders>
              <w:top w:val="single" w:sz="4" w:space="0" w:color="000000"/>
              <w:bottom w:val="single" w:sz="4" w:space="0" w:color="000000"/>
            </w:tcBorders>
            <w:tcMar>
              <w:top w:w="-113" w:type="dxa"/>
              <w:left w:w="-113" w:type="dxa"/>
              <w:bottom w:w="-113" w:type="dxa"/>
              <w:right w:w="-113" w:type="dxa"/>
            </w:tcMar>
          </w:tcPr>
          <w:p w14:paraId="43E29383" w14:textId="77777777" w:rsidR="00CB0062" w:rsidRDefault="00CB0062" w:rsidP="00223E56">
            <w:pPr>
              <w:rPr>
                <w:color w:val="000000"/>
                <w:sz w:val="16"/>
                <w:szCs w:val="16"/>
              </w:rPr>
            </w:pPr>
            <w:r>
              <w:rPr>
                <w:color w:val="000000"/>
                <w:sz w:val="16"/>
                <w:szCs w:val="16"/>
              </w:rPr>
              <w:t>G&gt;A</w:t>
            </w:r>
          </w:p>
        </w:tc>
        <w:tc>
          <w:tcPr>
            <w:tcW w:w="1701" w:type="dxa"/>
            <w:tcBorders>
              <w:top w:val="single" w:sz="4" w:space="0" w:color="000000"/>
              <w:bottom w:val="single" w:sz="4" w:space="0" w:color="000000"/>
            </w:tcBorders>
            <w:tcMar>
              <w:top w:w="-113" w:type="dxa"/>
              <w:left w:w="-113" w:type="dxa"/>
              <w:bottom w:w="-113" w:type="dxa"/>
              <w:right w:w="-113" w:type="dxa"/>
            </w:tcMar>
          </w:tcPr>
          <w:p w14:paraId="6641ED5E" w14:textId="77777777" w:rsidR="00CB0062" w:rsidRDefault="00CB0062" w:rsidP="00223E56">
            <w:pPr>
              <w:rPr>
                <w:color w:val="000000"/>
                <w:sz w:val="16"/>
                <w:szCs w:val="16"/>
              </w:rPr>
            </w:pPr>
            <w:r>
              <w:rPr>
                <w:color w:val="000000"/>
                <w:sz w:val="16"/>
                <w:szCs w:val="16"/>
              </w:rPr>
              <w:t>None</w:t>
            </w:r>
          </w:p>
        </w:tc>
        <w:tc>
          <w:tcPr>
            <w:tcW w:w="708" w:type="dxa"/>
            <w:tcBorders>
              <w:top w:val="single" w:sz="4" w:space="0" w:color="000000"/>
              <w:bottom w:val="single" w:sz="4" w:space="0" w:color="000000"/>
            </w:tcBorders>
            <w:tcMar>
              <w:top w:w="-113" w:type="dxa"/>
              <w:left w:w="-113" w:type="dxa"/>
              <w:bottom w:w="-113" w:type="dxa"/>
              <w:right w:w="-113" w:type="dxa"/>
            </w:tcMar>
          </w:tcPr>
          <w:p w14:paraId="0A3C14C1" w14:textId="77777777" w:rsidR="00CB0062" w:rsidRDefault="00CB0062" w:rsidP="00223E56">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3DF4EF47" w14:textId="77777777" w:rsidR="00CB0062" w:rsidRDefault="00CB0062" w:rsidP="00223E56">
            <w:pPr>
              <w:rPr>
                <w:color w:val="000000"/>
                <w:sz w:val="16"/>
                <w:szCs w:val="16"/>
              </w:rPr>
            </w:pPr>
            <w:r>
              <w:rPr>
                <w:sz w:val="16"/>
                <w:szCs w:val="16"/>
              </w:rPr>
              <w:t>Grau-Perez et al. 2018</w:t>
            </w:r>
          </w:p>
        </w:tc>
      </w:tr>
      <w:tr w:rsidR="00CB0062" w14:paraId="429577BA"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3AB34060" w14:textId="77777777" w:rsidR="00CB0062" w:rsidRDefault="00CB0062" w:rsidP="00223E56">
            <w:pPr>
              <w:rPr>
                <w:i/>
                <w:color w:val="000000"/>
                <w:sz w:val="16"/>
                <w:szCs w:val="16"/>
              </w:rPr>
            </w:pPr>
            <w:r>
              <w:rPr>
                <w:i/>
                <w:sz w:val="16"/>
                <w:szCs w:val="16"/>
              </w:rPr>
              <w:t>MCP-1</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09B98542" w14:textId="77777777" w:rsidR="00CB0062" w:rsidRDefault="00CB0062" w:rsidP="00223E56">
            <w:pPr>
              <w:tabs>
                <w:tab w:val="left" w:pos="392"/>
              </w:tabs>
              <w:rPr>
                <w:color w:val="000000"/>
                <w:sz w:val="16"/>
                <w:szCs w:val="16"/>
              </w:rPr>
            </w:pPr>
            <w:r>
              <w:rPr>
                <w:color w:val="5F6368"/>
                <w:sz w:val="16"/>
                <w:szCs w:val="16"/>
                <w:highlight w:val="white"/>
              </w:rPr>
              <w:t>Monocyte chemoattractant protein</w:t>
            </w:r>
            <w:r>
              <w:rPr>
                <w:color w:val="4D5156"/>
                <w:sz w:val="16"/>
                <w:szCs w:val="16"/>
                <w:highlight w:val="white"/>
              </w:rPr>
              <w:t>-</w:t>
            </w:r>
            <w:r>
              <w:rPr>
                <w:color w:val="5F6368"/>
                <w:sz w:val="16"/>
                <w:szCs w:val="16"/>
                <w:highlight w:val="white"/>
              </w:rPr>
              <w:t>1</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2D39FB69" w14:textId="77777777" w:rsidR="00CB0062" w:rsidRDefault="00CB0062" w:rsidP="00223E56">
            <w:pPr>
              <w:rPr>
                <w:color w:val="000000"/>
                <w:sz w:val="16"/>
                <w:szCs w:val="16"/>
              </w:rPr>
            </w:pPr>
            <w:r>
              <w:rPr>
                <w:sz w:val="16"/>
                <w:szCs w:val="16"/>
              </w:rPr>
              <w:t>rs1024611</w:t>
            </w:r>
          </w:p>
        </w:tc>
        <w:tc>
          <w:tcPr>
            <w:tcW w:w="851" w:type="dxa"/>
            <w:tcBorders>
              <w:top w:val="single" w:sz="4" w:space="0" w:color="000000"/>
              <w:bottom w:val="single" w:sz="4" w:space="0" w:color="000000"/>
            </w:tcBorders>
            <w:tcMar>
              <w:top w:w="-113" w:type="dxa"/>
              <w:left w:w="-113" w:type="dxa"/>
              <w:bottom w:w="-113" w:type="dxa"/>
              <w:right w:w="-113" w:type="dxa"/>
            </w:tcMar>
          </w:tcPr>
          <w:p w14:paraId="246EBB18" w14:textId="77777777" w:rsidR="00CB0062" w:rsidRDefault="00CB0062" w:rsidP="00223E56">
            <w:pPr>
              <w:rPr>
                <w:color w:val="000000"/>
                <w:sz w:val="16"/>
                <w:szCs w:val="16"/>
              </w:rPr>
            </w:pPr>
            <w:r>
              <w:rPr>
                <w:sz w:val="16"/>
                <w:szCs w:val="16"/>
                <w:highlight w:val="white"/>
              </w:rPr>
              <w:t>A&gt;G</w:t>
            </w:r>
          </w:p>
        </w:tc>
        <w:tc>
          <w:tcPr>
            <w:tcW w:w="1701" w:type="dxa"/>
            <w:tcBorders>
              <w:top w:val="single" w:sz="4" w:space="0" w:color="000000"/>
              <w:bottom w:val="single" w:sz="4" w:space="0" w:color="000000"/>
            </w:tcBorders>
            <w:tcMar>
              <w:top w:w="-113" w:type="dxa"/>
              <w:left w:w="-113" w:type="dxa"/>
              <w:bottom w:w="-113" w:type="dxa"/>
              <w:right w:w="-113" w:type="dxa"/>
            </w:tcMar>
          </w:tcPr>
          <w:p w14:paraId="470C5A4A" w14:textId="77777777" w:rsidR="00CB0062" w:rsidRDefault="00CB0062" w:rsidP="00223E56">
            <w:pPr>
              <w:rPr>
                <w:sz w:val="16"/>
                <w:szCs w:val="16"/>
              </w:rPr>
            </w:pPr>
            <w:r>
              <w:rPr>
                <w:sz w:val="16"/>
                <w:szCs w:val="16"/>
              </w:rPr>
              <w:t>None</w:t>
            </w:r>
          </w:p>
        </w:tc>
        <w:tc>
          <w:tcPr>
            <w:tcW w:w="708" w:type="dxa"/>
            <w:tcBorders>
              <w:top w:val="single" w:sz="4" w:space="0" w:color="000000"/>
              <w:bottom w:val="single" w:sz="4" w:space="0" w:color="000000"/>
            </w:tcBorders>
            <w:tcMar>
              <w:top w:w="-113" w:type="dxa"/>
              <w:left w:w="-113" w:type="dxa"/>
              <w:bottom w:w="-113" w:type="dxa"/>
              <w:right w:w="-113" w:type="dxa"/>
            </w:tcMar>
          </w:tcPr>
          <w:p w14:paraId="3FF0A92A" w14:textId="77777777" w:rsidR="00CB0062" w:rsidRDefault="00CB0062" w:rsidP="00223E56">
            <w:pPr>
              <w:rPr>
                <w:color w:val="000000"/>
                <w:sz w:val="16"/>
                <w:szCs w:val="16"/>
              </w:rPr>
            </w:pPr>
            <w:r>
              <w:rPr>
                <w:sz w:val="16"/>
                <w:szCs w:val="16"/>
              </w:rPr>
              <w:t>CA</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0E9699C3" w14:textId="7CBD895D" w:rsidR="00CB0062" w:rsidRDefault="00CB0062" w:rsidP="00223E56">
            <w:pPr>
              <w:rPr>
                <w:sz w:val="16"/>
                <w:szCs w:val="16"/>
              </w:rPr>
            </w:pPr>
            <w:r>
              <w:rPr>
                <w:sz w:val="16"/>
                <w:szCs w:val="16"/>
              </w:rPr>
              <w:t>Hsieh et al. 200</w:t>
            </w:r>
            <w:r w:rsidR="00BF5107">
              <w:rPr>
                <w:sz w:val="16"/>
                <w:szCs w:val="16"/>
              </w:rPr>
              <w:t>7</w:t>
            </w:r>
            <w:r>
              <w:rPr>
                <w:sz w:val="16"/>
                <w:szCs w:val="16"/>
              </w:rPr>
              <w:t xml:space="preserve">  </w:t>
            </w:r>
          </w:p>
        </w:tc>
      </w:tr>
      <w:tr w:rsidR="00CB0062" w14:paraId="57ED8463"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7B1EE2A6" w14:textId="77777777" w:rsidR="00CB0062" w:rsidRDefault="00CB0062" w:rsidP="00223E56">
            <w:pPr>
              <w:rPr>
                <w:i/>
                <w:color w:val="000000"/>
                <w:sz w:val="16"/>
                <w:szCs w:val="16"/>
              </w:rPr>
            </w:pPr>
            <w:r>
              <w:rPr>
                <w:i/>
                <w:color w:val="000000"/>
                <w:sz w:val="16"/>
                <w:szCs w:val="16"/>
              </w:rPr>
              <w:t>MPO</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6AE9F077" w14:textId="77777777" w:rsidR="00CB0062" w:rsidRDefault="00CB0062" w:rsidP="00223E56">
            <w:pPr>
              <w:tabs>
                <w:tab w:val="left" w:pos="392"/>
              </w:tabs>
              <w:rPr>
                <w:color w:val="000000"/>
                <w:sz w:val="16"/>
                <w:szCs w:val="16"/>
              </w:rPr>
            </w:pPr>
            <w:r>
              <w:rPr>
                <w:color w:val="000000"/>
                <w:sz w:val="16"/>
                <w:szCs w:val="16"/>
              </w:rPr>
              <w:t>Myeloperoxidase</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2BBAF04E" w14:textId="77777777" w:rsidR="00CB0062" w:rsidRDefault="00CB0062" w:rsidP="00223E56">
            <w:pPr>
              <w:rPr>
                <w:color w:val="000000"/>
                <w:sz w:val="16"/>
                <w:szCs w:val="16"/>
              </w:rPr>
            </w:pPr>
            <w:r>
              <w:rPr>
                <w:color w:val="000000"/>
                <w:sz w:val="16"/>
                <w:szCs w:val="16"/>
              </w:rPr>
              <w:t>rs2107545</w:t>
            </w:r>
          </w:p>
        </w:tc>
        <w:tc>
          <w:tcPr>
            <w:tcW w:w="851" w:type="dxa"/>
            <w:tcBorders>
              <w:top w:val="single" w:sz="4" w:space="0" w:color="000000"/>
              <w:bottom w:val="single" w:sz="4" w:space="0" w:color="000000"/>
            </w:tcBorders>
            <w:tcMar>
              <w:top w:w="-113" w:type="dxa"/>
              <w:left w:w="-113" w:type="dxa"/>
              <w:bottom w:w="-113" w:type="dxa"/>
              <w:right w:w="-113" w:type="dxa"/>
            </w:tcMar>
          </w:tcPr>
          <w:p w14:paraId="3DA1A98B" w14:textId="77777777" w:rsidR="00CB0062" w:rsidRDefault="00CB0062" w:rsidP="00223E56">
            <w:pPr>
              <w:rPr>
                <w:color w:val="000000"/>
                <w:sz w:val="16"/>
                <w:szCs w:val="16"/>
              </w:rPr>
            </w:pPr>
            <w:r>
              <w:rPr>
                <w:color w:val="000000"/>
                <w:sz w:val="16"/>
                <w:szCs w:val="16"/>
              </w:rPr>
              <w:t>A&gt;G</w:t>
            </w:r>
          </w:p>
        </w:tc>
        <w:tc>
          <w:tcPr>
            <w:tcW w:w="1701" w:type="dxa"/>
            <w:tcBorders>
              <w:top w:val="single" w:sz="4" w:space="0" w:color="000000"/>
              <w:bottom w:val="single" w:sz="4" w:space="0" w:color="000000"/>
            </w:tcBorders>
            <w:tcMar>
              <w:top w:w="-113" w:type="dxa"/>
              <w:left w:w="-113" w:type="dxa"/>
              <w:bottom w:w="-113" w:type="dxa"/>
              <w:right w:w="-113" w:type="dxa"/>
            </w:tcMar>
          </w:tcPr>
          <w:p w14:paraId="7DF1FEBA" w14:textId="77777777" w:rsidR="00CB0062" w:rsidRDefault="00CB0062" w:rsidP="00223E56">
            <w:pPr>
              <w:rPr>
                <w:color w:val="000000"/>
                <w:sz w:val="16"/>
                <w:szCs w:val="16"/>
              </w:rPr>
            </w:pPr>
            <w:r>
              <w:rPr>
                <w:sz w:val="16"/>
                <w:szCs w:val="16"/>
              </w:rPr>
              <w:t>2KB Upstream variant</w:t>
            </w:r>
          </w:p>
        </w:tc>
        <w:tc>
          <w:tcPr>
            <w:tcW w:w="708" w:type="dxa"/>
            <w:tcBorders>
              <w:top w:val="single" w:sz="4" w:space="0" w:color="000000"/>
              <w:bottom w:val="single" w:sz="4" w:space="0" w:color="000000"/>
            </w:tcBorders>
            <w:tcMar>
              <w:top w:w="-113" w:type="dxa"/>
              <w:left w:w="-113" w:type="dxa"/>
              <w:bottom w:w="-113" w:type="dxa"/>
              <w:right w:w="-113" w:type="dxa"/>
            </w:tcMar>
          </w:tcPr>
          <w:p w14:paraId="47C61F7A" w14:textId="77777777" w:rsidR="00CB0062" w:rsidRDefault="00CB0062" w:rsidP="00223E56">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16B2798B" w14:textId="77777777" w:rsidR="00CB0062" w:rsidRDefault="00CB0062" w:rsidP="00223E56">
            <w:pPr>
              <w:rPr>
                <w:color w:val="000000"/>
                <w:sz w:val="16"/>
                <w:szCs w:val="16"/>
              </w:rPr>
            </w:pPr>
            <w:r>
              <w:rPr>
                <w:sz w:val="16"/>
                <w:szCs w:val="16"/>
              </w:rPr>
              <w:t>Grau-Perez et al. 2018</w:t>
            </w:r>
          </w:p>
        </w:tc>
      </w:tr>
      <w:tr w:rsidR="00CB0062" w14:paraId="317413BB"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DFCC153" w14:textId="77777777" w:rsidR="00CB0062" w:rsidRDefault="00CB0062" w:rsidP="00223E56">
            <w:pPr>
              <w:rPr>
                <w:i/>
                <w:color w:val="000000"/>
                <w:sz w:val="16"/>
                <w:szCs w:val="16"/>
              </w:rPr>
            </w:pPr>
            <w:r>
              <w:rPr>
                <w:i/>
                <w:color w:val="000000"/>
                <w:sz w:val="16"/>
                <w:szCs w:val="16"/>
              </w:rPr>
              <w:t>MSRA</w:t>
            </w:r>
          </w:p>
          <w:p w14:paraId="7491748D"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B31388A" w14:textId="77777777" w:rsidR="00CB0062" w:rsidRDefault="00CB0062" w:rsidP="00223E56">
            <w:pPr>
              <w:rPr>
                <w:color w:val="000000"/>
                <w:sz w:val="16"/>
                <w:szCs w:val="16"/>
              </w:rPr>
            </w:pPr>
            <w:r>
              <w:rPr>
                <w:color w:val="000000"/>
                <w:sz w:val="16"/>
                <w:szCs w:val="16"/>
              </w:rPr>
              <w:t>Methionine Sulfoxide Reductase A</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7A52CE96" w14:textId="77777777" w:rsidR="00CB0062" w:rsidRDefault="00CB0062" w:rsidP="00223E56">
            <w:pPr>
              <w:rPr>
                <w:color w:val="000000"/>
                <w:sz w:val="16"/>
                <w:szCs w:val="16"/>
              </w:rPr>
            </w:pPr>
            <w:r>
              <w:rPr>
                <w:color w:val="000000"/>
                <w:sz w:val="16"/>
                <w:szCs w:val="16"/>
              </w:rPr>
              <w:t>rs10098474</w:t>
            </w:r>
          </w:p>
        </w:tc>
        <w:tc>
          <w:tcPr>
            <w:tcW w:w="851" w:type="dxa"/>
            <w:tcBorders>
              <w:top w:val="single" w:sz="4" w:space="0" w:color="000000"/>
              <w:bottom w:val="single" w:sz="4" w:space="0" w:color="D0CECE"/>
            </w:tcBorders>
            <w:tcMar>
              <w:top w:w="-113" w:type="dxa"/>
              <w:left w:w="-113" w:type="dxa"/>
              <w:bottom w:w="-113" w:type="dxa"/>
              <w:right w:w="-113" w:type="dxa"/>
            </w:tcMar>
          </w:tcPr>
          <w:p w14:paraId="55CC4322" w14:textId="77777777" w:rsidR="00CB0062" w:rsidRDefault="00CB0062" w:rsidP="00223E56">
            <w:pPr>
              <w:rPr>
                <w:color w:val="000000"/>
                <w:sz w:val="16"/>
                <w:szCs w:val="16"/>
              </w:rPr>
            </w:pPr>
            <w:r>
              <w:rPr>
                <w:color w:val="000000"/>
                <w:sz w:val="16"/>
                <w:szCs w:val="16"/>
              </w:rPr>
              <w:t>C&gt;T</w:t>
            </w:r>
          </w:p>
        </w:tc>
        <w:tc>
          <w:tcPr>
            <w:tcW w:w="1701" w:type="dxa"/>
            <w:tcBorders>
              <w:top w:val="single" w:sz="4" w:space="0" w:color="000000"/>
              <w:bottom w:val="single" w:sz="4" w:space="0" w:color="D0CECE"/>
            </w:tcBorders>
            <w:tcMar>
              <w:top w:w="-113" w:type="dxa"/>
              <w:left w:w="-113" w:type="dxa"/>
              <w:bottom w:w="-113" w:type="dxa"/>
              <w:right w:w="-113" w:type="dxa"/>
            </w:tcMar>
          </w:tcPr>
          <w:p w14:paraId="183845BF" w14:textId="77777777" w:rsidR="00CB0062" w:rsidRDefault="00CB0062" w:rsidP="00223E56">
            <w:pPr>
              <w:rPr>
                <w:color w:val="000000"/>
                <w:sz w:val="16"/>
                <w:szCs w:val="16"/>
              </w:rPr>
            </w:pPr>
            <w:r>
              <w:rPr>
                <w:sz w:val="16"/>
                <w:szCs w:val="16"/>
              </w:rPr>
              <w:t>2KB Upstream variant</w:t>
            </w:r>
          </w:p>
        </w:tc>
        <w:tc>
          <w:tcPr>
            <w:tcW w:w="708" w:type="dxa"/>
            <w:tcBorders>
              <w:top w:val="single" w:sz="4" w:space="0" w:color="000000"/>
              <w:bottom w:val="single" w:sz="4" w:space="0" w:color="D0CECE"/>
            </w:tcBorders>
            <w:tcMar>
              <w:top w:w="-113" w:type="dxa"/>
              <w:left w:w="-113" w:type="dxa"/>
              <w:bottom w:w="-113" w:type="dxa"/>
              <w:right w:w="-113" w:type="dxa"/>
            </w:tcMar>
          </w:tcPr>
          <w:p w14:paraId="41D8746C" w14:textId="77777777" w:rsidR="00CB0062" w:rsidRDefault="00CB0062" w:rsidP="00223E56">
            <w:pPr>
              <w:rPr>
                <w:color w:val="000000"/>
                <w:sz w:val="16"/>
                <w:szCs w:val="16"/>
              </w:rPr>
            </w:pPr>
            <w:r>
              <w:rPr>
                <w:color w:val="000000"/>
                <w:sz w:val="16"/>
                <w:szCs w:val="16"/>
              </w:rPr>
              <w:t>T2DM</w:t>
            </w: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27F72A61" w14:textId="77777777" w:rsidR="00CB0062" w:rsidRDefault="00CB0062" w:rsidP="00223E56">
            <w:pPr>
              <w:rPr>
                <w:sz w:val="16"/>
                <w:szCs w:val="16"/>
              </w:rPr>
            </w:pPr>
            <w:r>
              <w:rPr>
                <w:sz w:val="16"/>
                <w:szCs w:val="16"/>
              </w:rPr>
              <w:t>Grau-Perez et al. 2018</w:t>
            </w:r>
          </w:p>
          <w:p w14:paraId="5021883B" w14:textId="77777777" w:rsidR="00CB0062" w:rsidRDefault="00CB0062" w:rsidP="00223E56">
            <w:pPr>
              <w:rPr>
                <w:sz w:val="16"/>
                <w:szCs w:val="16"/>
              </w:rPr>
            </w:pPr>
          </w:p>
        </w:tc>
      </w:tr>
      <w:tr w:rsidR="00CB0062" w14:paraId="35E02C48"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D25ADAC" w14:textId="77777777" w:rsidR="00CB0062" w:rsidRDefault="00CB0062" w:rsidP="00223E56">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98476ED" w14:textId="77777777" w:rsidR="00CB0062" w:rsidRDefault="00CB0062" w:rsidP="00223E56">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29D33AF7" w14:textId="77777777" w:rsidR="00CB0062" w:rsidRDefault="00CB0062" w:rsidP="00223E56">
            <w:pPr>
              <w:rPr>
                <w:color w:val="000000"/>
                <w:sz w:val="16"/>
                <w:szCs w:val="16"/>
              </w:rPr>
            </w:pPr>
            <w:r>
              <w:rPr>
                <w:color w:val="000000"/>
                <w:sz w:val="16"/>
                <w:szCs w:val="16"/>
              </w:rPr>
              <w:t>rs6996446</w:t>
            </w:r>
          </w:p>
        </w:tc>
        <w:tc>
          <w:tcPr>
            <w:tcW w:w="851" w:type="dxa"/>
            <w:tcBorders>
              <w:top w:val="single" w:sz="4" w:space="0" w:color="D0CECE"/>
              <w:bottom w:val="single" w:sz="4" w:space="0" w:color="000000"/>
            </w:tcBorders>
            <w:tcMar>
              <w:top w:w="-113" w:type="dxa"/>
              <w:left w:w="-113" w:type="dxa"/>
              <w:bottom w:w="-113" w:type="dxa"/>
              <w:right w:w="-113" w:type="dxa"/>
            </w:tcMar>
          </w:tcPr>
          <w:p w14:paraId="2789D98B" w14:textId="77777777" w:rsidR="00CB0062" w:rsidRDefault="00CB0062" w:rsidP="00223E56">
            <w:pPr>
              <w:rPr>
                <w:color w:val="000000"/>
                <w:sz w:val="16"/>
                <w:szCs w:val="16"/>
              </w:rPr>
            </w:pPr>
            <w:r>
              <w:rPr>
                <w:color w:val="000000"/>
                <w:sz w:val="16"/>
                <w:szCs w:val="16"/>
              </w:rPr>
              <w:t>G&gt;</w:t>
            </w:r>
            <w:proofErr w:type="gramStart"/>
            <w:r>
              <w:rPr>
                <w:color w:val="000000"/>
                <w:sz w:val="16"/>
                <w:szCs w:val="16"/>
              </w:rPr>
              <w:t>A,T</w:t>
            </w:r>
            <w:proofErr w:type="gramEnd"/>
          </w:p>
        </w:tc>
        <w:tc>
          <w:tcPr>
            <w:tcW w:w="1701" w:type="dxa"/>
            <w:tcBorders>
              <w:top w:val="single" w:sz="4" w:space="0" w:color="D0CECE"/>
              <w:bottom w:val="single" w:sz="4" w:space="0" w:color="000000"/>
            </w:tcBorders>
            <w:tcMar>
              <w:top w:w="-113" w:type="dxa"/>
              <w:left w:w="-113" w:type="dxa"/>
              <w:bottom w:w="-113" w:type="dxa"/>
              <w:right w:w="-113" w:type="dxa"/>
            </w:tcMar>
          </w:tcPr>
          <w:p w14:paraId="6E6B6BBB" w14:textId="77777777" w:rsidR="00CB0062" w:rsidRDefault="00CB0062" w:rsidP="00223E56">
            <w:pPr>
              <w:rPr>
                <w:color w:val="000000"/>
                <w:sz w:val="16"/>
                <w:szCs w:val="16"/>
              </w:rPr>
            </w:pPr>
            <w:r>
              <w:rPr>
                <w:sz w:val="16"/>
                <w:szCs w:val="16"/>
              </w:rPr>
              <w:t>500B Downstream variant</w:t>
            </w:r>
          </w:p>
        </w:tc>
        <w:tc>
          <w:tcPr>
            <w:tcW w:w="708" w:type="dxa"/>
            <w:tcBorders>
              <w:top w:val="single" w:sz="4" w:space="0" w:color="D0CECE"/>
              <w:bottom w:val="single" w:sz="4" w:space="0" w:color="000000"/>
            </w:tcBorders>
            <w:tcMar>
              <w:top w:w="-113" w:type="dxa"/>
              <w:left w:w="-113" w:type="dxa"/>
              <w:bottom w:w="-113" w:type="dxa"/>
              <w:right w:w="-113" w:type="dxa"/>
            </w:tcMar>
          </w:tcPr>
          <w:p w14:paraId="2A10D4A7" w14:textId="77777777" w:rsidR="00CB0062" w:rsidRDefault="00CB0062" w:rsidP="00223E56">
            <w:pPr>
              <w:rPr>
                <w:color w:val="000000"/>
                <w:sz w:val="16"/>
                <w:szCs w:val="16"/>
              </w:rPr>
            </w:pPr>
            <w:r>
              <w:rPr>
                <w:color w:val="000000"/>
                <w:sz w:val="16"/>
                <w:szCs w:val="16"/>
              </w:rPr>
              <w:t>T2DM</w:t>
            </w: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62BADDE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1ADB3836"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740F8A90" w14:textId="77777777" w:rsidR="00CB0062" w:rsidRDefault="00CB0062" w:rsidP="00223E56">
            <w:pPr>
              <w:rPr>
                <w:i/>
                <w:color w:val="000000"/>
                <w:sz w:val="16"/>
                <w:szCs w:val="16"/>
              </w:rPr>
            </w:pPr>
            <w:r>
              <w:rPr>
                <w:i/>
                <w:color w:val="000000"/>
                <w:sz w:val="16"/>
                <w:szCs w:val="16"/>
              </w:rPr>
              <w:t>MSRB2</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1343B04C" w14:textId="77777777" w:rsidR="00CB0062" w:rsidRDefault="00CB0062" w:rsidP="00223E56">
            <w:pPr>
              <w:rPr>
                <w:color w:val="000000"/>
                <w:sz w:val="16"/>
                <w:szCs w:val="16"/>
              </w:rPr>
            </w:pPr>
            <w:r>
              <w:rPr>
                <w:color w:val="000000"/>
                <w:sz w:val="16"/>
                <w:szCs w:val="16"/>
              </w:rPr>
              <w:t>Methionine Sulfoxide Reductase B2</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26CF225C" w14:textId="77777777" w:rsidR="00CB0062" w:rsidRDefault="00CB0062" w:rsidP="00223E56">
            <w:pPr>
              <w:rPr>
                <w:color w:val="000000"/>
                <w:sz w:val="16"/>
                <w:szCs w:val="16"/>
              </w:rPr>
            </w:pPr>
            <w:r>
              <w:rPr>
                <w:color w:val="000000"/>
                <w:sz w:val="16"/>
                <w:szCs w:val="16"/>
              </w:rPr>
              <w:t>rs11013291</w:t>
            </w:r>
          </w:p>
        </w:tc>
        <w:tc>
          <w:tcPr>
            <w:tcW w:w="851" w:type="dxa"/>
            <w:tcBorders>
              <w:top w:val="single" w:sz="4" w:space="0" w:color="000000"/>
              <w:bottom w:val="single" w:sz="4" w:space="0" w:color="000000"/>
            </w:tcBorders>
            <w:tcMar>
              <w:top w:w="-113" w:type="dxa"/>
              <w:left w:w="-113" w:type="dxa"/>
              <w:bottom w:w="-113" w:type="dxa"/>
              <w:right w:w="-113" w:type="dxa"/>
            </w:tcMar>
          </w:tcPr>
          <w:p w14:paraId="7365F996" w14:textId="77777777" w:rsidR="00CB0062" w:rsidRDefault="00CB0062" w:rsidP="00223E56">
            <w:pPr>
              <w:rPr>
                <w:color w:val="000000"/>
                <w:sz w:val="16"/>
                <w:szCs w:val="16"/>
              </w:rPr>
            </w:pPr>
            <w:r>
              <w:rPr>
                <w:color w:val="000000"/>
                <w:sz w:val="16"/>
                <w:szCs w:val="16"/>
              </w:rPr>
              <w:t>T&gt;</w:t>
            </w:r>
            <w:proofErr w:type="gramStart"/>
            <w:r>
              <w:rPr>
                <w:color w:val="000000"/>
                <w:sz w:val="16"/>
                <w:szCs w:val="16"/>
              </w:rPr>
              <w:t>A,C</w:t>
            </w:r>
            <w:proofErr w:type="gramEnd"/>
            <w:r>
              <w:rPr>
                <w:color w:val="000000"/>
                <w:sz w:val="16"/>
                <w:szCs w:val="16"/>
              </w:rPr>
              <w:t>,G</w:t>
            </w:r>
          </w:p>
        </w:tc>
        <w:tc>
          <w:tcPr>
            <w:tcW w:w="1701" w:type="dxa"/>
            <w:tcBorders>
              <w:top w:val="single" w:sz="4" w:space="0" w:color="000000"/>
              <w:bottom w:val="single" w:sz="4" w:space="0" w:color="000000"/>
            </w:tcBorders>
            <w:tcMar>
              <w:top w:w="-113" w:type="dxa"/>
              <w:left w:w="-113" w:type="dxa"/>
              <w:bottom w:w="-113" w:type="dxa"/>
              <w:right w:w="-113" w:type="dxa"/>
            </w:tcMar>
          </w:tcPr>
          <w:p w14:paraId="2A24EB5A" w14:textId="77777777" w:rsidR="00CB0062" w:rsidRDefault="00CB0062" w:rsidP="00223E56">
            <w:pPr>
              <w:rPr>
                <w:color w:val="000000"/>
                <w:sz w:val="16"/>
                <w:szCs w:val="16"/>
              </w:rPr>
            </w:pPr>
            <w:r>
              <w:rPr>
                <w:color w:val="000000"/>
                <w:sz w:val="16"/>
                <w:szCs w:val="16"/>
              </w:rPr>
              <w:t>Intron variant</w:t>
            </w:r>
          </w:p>
        </w:tc>
        <w:tc>
          <w:tcPr>
            <w:tcW w:w="708" w:type="dxa"/>
            <w:tcBorders>
              <w:top w:val="single" w:sz="4" w:space="0" w:color="000000"/>
              <w:bottom w:val="single" w:sz="4" w:space="0" w:color="000000"/>
            </w:tcBorders>
            <w:tcMar>
              <w:top w:w="-113" w:type="dxa"/>
              <w:left w:w="-113" w:type="dxa"/>
              <w:bottom w:w="-113" w:type="dxa"/>
              <w:right w:w="-113" w:type="dxa"/>
            </w:tcMar>
          </w:tcPr>
          <w:p w14:paraId="656598E9" w14:textId="77777777" w:rsidR="00CB0062" w:rsidRDefault="00CB0062" w:rsidP="00223E56">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05A80BD9" w14:textId="77777777" w:rsidR="00CB0062" w:rsidRDefault="00CB0062" w:rsidP="00223E56">
            <w:pPr>
              <w:rPr>
                <w:color w:val="000000"/>
                <w:sz w:val="16"/>
                <w:szCs w:val="16"/>
              </w:rPr>
            </w:pPr>
            <w:r>
              <w:rPr>
                <w:sz w:val="16"/>
                <w:szCs w:val="16"/>
              </w:rPr>
              <w:t>Grau-Perez et al. 2018</w:t>
            </w:r>
          </w:p>
        </w:tc>
      </w:tr>
      <w:tr w:rsidR="00CB0062" w14:paraId="1C5D2351"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70821D1" w14:textId="77777777" w:rsidR="00CB0062" w:rsidRDefault="00CB0062" w:rsidP="00223E56">
            <w:pPr>
              <w:rPr>
                <w:i/>
                <w:color w:val="000000"/>
                <w:sz w:val="16"/>
                <w:szCs w:val="16"/>
              </w:rPr>
            </w:pPr>
            <w:r>
              <w:rPr>
                <w:i/>
                <w:color w:val="000000"/>
                <w:sz w:val="16"/>
                <w:szCs w:val="16"/>
              </w:rPr>
              <w:t>MTCH2</w:t>
            </w:r>
          </w:p>
          <w:p w14:paraId="3E064397"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15BCA94" w14:textId="77777777" w:rsidR="00CB0062" w:rsidRDefault="00CB0062" w:rsidP="00223E56">
            <w:pPr>
              <w:rPr>
                <w:color w:val="000000"/>
                <w:sz w:val="16"/>
                <w:szCs w:val="16"/>
              </w:rPr>
            </w:pPr>
            <w:r>
              <w:rPr>
                <w:color w:val="000000"/>
                <w:sz w:val="16"/>
                <w:szCs w:val="16"/>
              </w:rPr>
              <w:t>Mitochondrial Carrier 2</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097757A0" w14:textId="77777777" w:rsidR="00CB0062" w:rsidRDefault="00CB0062" w:rsidP="00223E56">
            <w:pPr>
              <w:rPr>
                <w:color w:val="000000"/>
                <w:sz w:val="16"/>
                <w:szCs w:val="16"/>
              </w:rPr>
            </w:pPr>
            <w:r>
              <w:rPr>
                <w:color w:val="000000"/>
                <w:sz w:val="16"/>
                <w:szCs w:val="16"/>
              </w:rPr>
              <w:t>rs10838738</w:t>
            </w:r>
          </w:p>
        </w:tc>
        <w:tc>
          <w:tcPr>
            <w:tcW w:w="851" w:type="dxa"/>
            <w:tcBorders>
              <w:top w:val="single" w:sz="4" w:space="0" w:color="000000"/>
              <w:bottom w:val="single" w:sz="4" w:space="0" w:color="D0CECE"/>
            </w:tcBorders>
            <w:tcMar>
              <w:top w:w="-113" w:type="dxa"/>
              <w:left w:w="-113" w:type="dxa"/>
              <w:bottom w:w="-113" w:type="dxa"/>
              <w:right w:w="-113" w:type="dxa"/>
            </w:tcMar>
          </w:tcPr>
          <w:p w14:paraId="42695005" w14:textId="77777777" w:rsidR="00CB0062" w:rsidRDefault="00CB0062" w:rsidP="00223E56">
            <w:pPr>
              <w:rPr>
                <w:color w:val="000000"/>
                <w:sz w:val="16"/>
                <w:szCs w:val="16"/>
              </w:rPr>
            </w:pPr>
            <w:r>
              <w:rPr>
                <w:color w:val="000000"/>
                <w:sz w:val="16"/>
                <w:szCs w:val="16"/>
              </w:rPr>
              <w:t>A&gt;G</w:t>
            </w:r>
          </w:p>
        </w:tc>
        <w:tc>
          <w:tcPr>
            <w:tcW w:w="1701" w:type="dxa"/>
            <w:tcBorders>
              <w:top w:val="single" w:sz="4" w:space="0" w:color="000000"/>
              <w:bottom w:val="single" w:sz="4" w:space="0" w:color="D0CECE"/>
            </w:tcBorders>
            <w:tcMar>
              <w:top w:w="-113" w:type="dxa"/>
              <w:left w:w="-113" w:type="dxa"/>
              <w:bottom w:w="-113" w:type="dxa"/>
              <w:right w:w="-113" w:type="dxa"/>
            </w:tcMar>
          </w:tcPr>
          <w:p w14:paraId="5D2FA0D0" w14:textId="77777777" w:rsidR="00CB0062" w:rsidRDefault="00CB0062" w:rsidP="00223E56">
            <w:pPr>
              <w:rPr>
                <w:color w:val="000000"/>
                <w:sz w:val="16"/>
                <w:szCs w:val="16"/>
              </w:rPr>
            </w:pPr>
            <w:r>
              <w:rPr>
                <w:color w:val="000000"/>
                <w:sz w:val="16"/>
                <w:szCs w:val="16"/>
              </w:rPr>
              <w:t>Intron variant</w:t>
            </w:r>
          </w:p>
        </w:tc>
        <w:tc>
          <w:tcPr>
            <w:tcW w:w="708" w:type="dxa"/>
            <w:tcBorders>
              <w:top w:val="single" w:sz="4" w:space="0" w:color="000000"/>
              <w:bottom w:val="single" w:sz="4" w:space="0" w:color="D0CECE"/>
            </w:tcBorders>
            <w:tcMar>
              <w:top w:w="-113" w:type="dxa"/>
              <w:left w:w="-113" w:type="dxa"/>
              <w:bottom w:w="-113" w:type="dxa"/>
              <w:right w:w="-113" w:type="dxa"/>
            </w:tcMar>
          </w:tcPr>
          <w:p w14:paraId="073932F8" w14:textId="77777777" w:rsidR="00CB0062" w:rsidRDefault="00CB0062" w:rsidP="00223E56">
            <w:pPr>
              <w:rPr>
                <w:color w:val="000000"/>
                <w:sz w:val="16"/>
                <w:szCs w:val="16"/>
              </w:rPr>
            </w:pPr>
            <w:r>
              <w:rPr>
                <w:color w:val="000000"/>
                <w:sz w:val="16"/>
                <w:szCs w:val="16"/>
              </w:rPr>
              <w:t>T2DM</w:t>
            </w: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3864FAAF" w14:textId="77777777" w:rsidR="00CB0062" w:rsidRDefault="00CB0062" w:rsidP="00223E56">
            <w:pPr>
              <w:rPr>
                <w:sz w:val="16"/>
                <w:szCs w:val="16"/>
              </w:rPr>
            </w:pPr>
            <w:r>
              <w:rPr>
                <w:sz w:val="16"/>
                <w:szCs w:val="16"/>
              </w:rPr>
              <w:t>Grau-Perez et al. 2018</w:t>
            </w:r>
          </w:p>
          <w:p w14:paraId="14F1D3F5" w14:textId="77777777" w:rsidR="00CB0062" w:rsidRDefault="00CB0062" w:rsidP="00223E56">
            <w:pPr>
              <w:rPr>
                <w:sz w:val="16"/>
                <w:szCs w:val="16"/>
              </w:rPr>
            </w:pPr>
          </w:p>
        </w:tc>
      </w:tr>
      <w:tr w:rsidR="00CB0062" w14:paraId="6A732EA9"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C208E94" w14:textId="77777777" w:rsidR="00CB0062" w:rsidRDefault="00CB0062" w:rsidP="00223E56">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80A876D" w14:textId="77777777" w:rsidR="00CB0062" w:rsidRDefault="00CB0062" w:rsidP="00223E56">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56FA3B43" w14:textId="77777777" w:rsidR="00CB0062" w:rsidRDefault="00CB0062" w:rsidP="00223E56">
            <w:pPr>
              <w:rPr>
                <w:color w:val="000000"/>
                <w:sz w:val="16"/>
                <w:szCs w:val="16"/>
              </w:rPr>
            </w:pPr>
            <w:r>
              <w:rPr>
                <w:color w:val="000000"/>
                <w:sz w:val="16"/>
                <w:szCs w:val="16"/>
              </w:rPr>
              <w:t>rs4752856</w:t>
            </w:r>
          </w:p>
        </w:tc>
        <w:tc>
          <w:tcPr>
            <w:tcW w:w="851" w:type="dxa"/>
            <w:tcBorders>
              <w:top w:val="single" w:sz="4" w:space="0" w:color="D0CECE"/>
              <w:bottom w:val="single" w:sz="4" w:space="0" w:color="000000"/>
            </w:tcBorders>
            <w:tcMar>
              <w:top w:w="-113" w:type="dxa"/>
              <w:left w:w="-113" w:type="dxa"/>
              <w:bottom w:w="-113" w:type="dxa"/>
              <w:right w:w="-113" w:type="dxa"/>
            </w:tcMar>
          </w:tcPr>
          <w:p w14:paraId="58C04AF0" w14:textId="77777777" w:rsidR="00CB0062" w:rsidRDefault="00CB0062" w:rsidP="00223E56">
            <w:pPr>
              <w:rPr>
                <w:color w:val="000000"/>
                <w:sz w:val="16"/>
                <w:szCs w:val="16"/>
              </w:rPr>
            </w:pPr>
            <w:r>
              <w:rPr>
                <w:color w:val="000000"/>
                <w:sz w:val="16"/>
                <w:szCs w:val="16"/>
              </w:rPr>
              <w:t>G&gt;A</w:t>
            </w:r>
          </w:p>
        </w:tc>
        <w:tc>
          <w:tcPr>
            <w:tcW w:w="1701" w:type="dxa"/>
            <w:tcBorders>
              <w:top w:val="single" w:sz="4" w:space="0" w:color="D0CECE"/>
              <w:bottom w:val="single" w:sz="4" w:space="0" w:color="000000"/>
            </w:tcBorders>
            <w:tcMar>
              <w:top w:w="-113" w:type="dxa"/>
              <w:left w:w="-113" w:type="dxa"/>
              <w:bottom w:w="-113" w:type="dxa"/>
              <w:right w:w="-113" w:type="dxa"/>
            </w:tcMar>
          </w:tcPr>
          <w:p w14:paraId="6407AB9B" w14:textId="77777777" w:rsidR="00CB0062" w:rsidRDefault="00CB0062" w:rsidP="00223E56">
            <w:pPr>
              <w:rPr>
                <w:color w:val="000000"/>
                <w:sz w:val="16"/>
                <w:szCs w:val="16"/>
              </w:rPr>
            </w:pPr>
            <w:r>
              <w:rPr>
                <w:color w:val="000000"/>
                <w:sz w:val="16"/>
                <w:szCs w:val="16"/>
              </w:rPr>
              <w:t>Intron variant</w:t>
            </w:r>
          </w:p>
        </w:tc>
        <w:tc>
          <w:tcPr>
            <w:tcW w:w="708" w:type="dxa"/>
            <w:tcBorders>
              <w:top w:val="single" w:sz="4" w:space="0" w:color="D0CECE"/>
              <w:bottom w:val="single" w:sz="4" w:space="0" w:color="000000"/>
            </w:tcBorders>
            <w:tcMar>
              <w:top w:w="-113" w:type="dxa"/>
              <w:left w:w="-113" w:type="dxa"/>
              <w:bottom w:w="-113" w:type="dxa"/>
              <w:right w:w="-113" w:type="dxa"/>
            </w:tcMar>
          </w:tcPr>
          <w:p w14:paraId="154F5205" w14:textId="77777777" w:rsidR="00CB0062" w:rsidRDefault="00CB0062" w:rsidP="00223E56">
            <w:pPr>
              <w:rPr>
                <w:color w:val="000000"/>
                <w:sz w:val="16"/>
                <w:szCs w:val="16"/>
              </w:rPr>
            </w:pPr>
            <w:r>
              <w:rPr>
                <w:color w:val="000000"/>
                <w:sz w:val="16"/>
                <w:szCs w:val="16"/>
              </w:rPr>
              <w:t>T2DM</w:t>
            </w: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1F0A553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rsidRPr="0030321B" w14:paraId="14A01029"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FD1FEE1" w14:textId="77777777" w:rsidR="00CB0062" w:rsidRDefault="00CB0062" w:rsidP="00223E56">
            <w:pPr>
              <w:rPr>
                <w:i/>
                <w:color w:val="000000"/>
                <w:sz w:val="16"/>
                <w:szCs w:val="16"/>
              </w:rPr>
            </w:pPr>
            <w:r>
              <w:rPr>
                <w:i/>
                <w:color w:val="000000"/>
                <w:sz w:val="16"/>
                <w:szCs w:val="16"/>
              </w:rPr>
              <w:t>MTHFR</w:t>
            </w:r>
          </w:p>
          <w:p w14:paraId="162BF6C0"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FA5E4A4" w14:textId="77777777" w:rsidR="00CB0062" w:rsidRDefault="00CB0062" w:rsidP="00223E56">
            <w:pPr>
              <w:rPr>
                <w:color w:val="000000"/>
                <w:sz w:val="16"/>
                <w:szCs w:val="16"/>
              </w:rPr>
            </w:pPr>
            <w:r>
              <w:rPr>
                <w:color w:val="000000"/>
                <w:sz w:val="16"/>
                <w:szCs w:val="16"/>
              </w:rPr>
              <w:t>Methylenetetrahydrofolate reductase</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0A412699" w14:textId="77777777" w:rsidR="00CB0062" w:rsidRDefault="00CB0062" w:rsidP="00223E56">
            <w:pPr>
              <w:rPr>
                <w:color w:val="000000"/>
                <w:sz w:val="16"/>
                <w:szCs w:val="16"/>
              </w:rPr>
            </w:pPr>
            <w:r>
              <w:rPr>
                <w:color w:val="000000"/>
                <w:sz w:val="16"/>
                <w:szCs w:val="16"/>
              </w:rPr>
              <w:t>rs11121832</w:t>
            </w:r>
          </w:p>
        </w:tc>
        <w:tc>
          <w:tcPr>
            <w:tcW w:w="851" w:type="dxa"/>
            <w:tcBorders>
              <w:top w:val="single" w:sz="4" w:space="0" w:color="000000"/>
              <w:bottom w:val="single" w:sz="4" w:space="0" w:color="D0CECE"/>
            </w:tcBorders>
            <w:tcMar>
              <w:top w:w="-113" w:type="dxa"/>
              <w:left w:w="-113" w:type="dxa"/>
              <w:bottom w:w="-113" w:type="dxa"/>
              <w:right w:w="-113" w:type="dxa"/>
            </w:tcMar>
          </w:tcPr>
          <w:p w14:paraId="007265D9" w14:textId="77777777" w:rsidR="00CB0062" w:rsidRDefault="00CB0062" w:rsidP="00223E56">
            <w:pPr>
              <w:rPr>
                <w:color w:val="000000"/>
                <w:sz w:val="16"/>
                <w:szCs w:val="16"/>
              </w:rPr>
            </w:pPr>
            <w:r>
              <w:rPr>
                <w:color w:val="000000"/>
                <w:sz w:val="16"/>
                <w:szCs w:val="16"/>
              </w:rPr>
              <w:t>T&gt;</w:t>
            </w:r>
            <w:proofErr w:type="gramStart"/>
            <w:r>
              <w:rPr>
                <w:color w:val="000000"/>
                <w:sz w:val="16"/>
                <w:szCs w:val="16"/>
              </w:rPr>
              <w:t>A,C</w:t>
            </w:r>
            <w:proofErr w:type="gramEnd"/>
          </w:p>
        </w:tc>
        <w:tc>
          <w:tcPr>
            <w:tcW w:w="1701" w:type="dxa"/>
            <w:tcBorders>
              <w:top w:val="single" w:sz="4" w:space="0" w:color="000000"/>
              <w:bottom w:val="single" w:sz="4" w:space="0" w:color="D0CECE"/>
            </w:tcBorders>
            <w:tcMar>
              <w:top w:w="-113" w:type="dxa"/>
              <w:left w:w="-113" w:type="dxa"/>
              <w:bottom w:w="-113" w:type="dxa"/>
              <w:right w:w="-113" w:type="dxa"/>
            </w:tcMar>
          </w:tcPr>
          <w:p w14:paraId="3FB9D407" w14:textId="77777777" w:rsidR="00CB0062" w:rsidRDefault="00CB0062" w:rsidP="00223E56">
            <w:pPr>
              <w:rPr>
                <w:color w:val="000000"/>
                <w:sz w:val="16"/>
                <w:szCs w:val="16"/>
              </w:rPr>
            </w:pPr>
            <w:r>
              <w:rPr>
                <w:sz w:val="16"/>
                <w:szCs w:val="16"/>
              </w:rPr>
              <w:t>Intron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5707F21A" w14:textId="77777777" w:rsidR="00CB0062" w:rsidRDefault="00CB0062" w:rsidP="00223E56">
            <w:pPr>
              <w:rPr>
                <w:color w:val="000000"/>
                <w:sz w:val="16"/>
                <w:szCs w:val="16"/>
              </w:rPr>
            </w:pPr>
            <w:r>
              <w:rPr>
                <w:color w:val="000000"/>
                <w:sz w:val="16"/>
                <w:szCs w:val="16"/>
              </w:rPr>
              <w:t>CVD</w:t>
            </w:r>
          </w:p>
          <w:p w14:paraId="66DFA16A" w14:textId="77777777" w:rsidR="00CB0062" w:rsidRDefault="00CB0062" w:rsidP="00223E56">
            <w:pPr>
              <w:rPr>
                <w:sz w:val="16"/>
                <w:szCs w:val="16"/>
              </w:rPr>
            </w:pPr>
            <w:r>
              <w:rPr>
                <w:sz w:val="16"/>
                <w:szCs w:val="16"/>
              </w:rPr>
              <w:t>CIMT</w:t>
            </w:r>
          </w:p>
          <w:p w14:paraId="2C4054C6" w14:textId="77777777" w:rsidR="00CB0062" w:rsidRDefault="00CB0062" w:rsidP="00223E56">
            <w:pPr>
              <w:rPr>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3B00EDAC"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2DAAACBD"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p w14:paraId="07B18C8E" w14:textId="77777777" w:rsidR="00CB0062" w:rsidRPr="00641BD3" w:rsidRDefault="00CB0062" w:rsidP="00223E56">
            <w:pPr>
              <w:rPr>
                <w:sz w:val="16"/>
                <w:szCs w:val="16"/>
                <w:lang w:val="es-ES"/>
              </w:rPr>
            </w:pPr>
          </w:p>
          <w:p w14:paraId="4169D869" w14:textId="77777777" w:rsidR="00CB0062" w:rsidRPr="00641BD3" w:rsidRDefault="00CB0062" w:rsidP="00223E56">
            <w:pPr>
              <w:rPr>
                <w:sz w:val="16"/>
                <w:szCs w:val="16"/>
                <w:lang w:val="es-ES"/>
              </w:rPr>
            </w:pPr>
          </w:p>
        </w:tc>
      </w:tr>
      <w:tr w:rsidR="00CB0062" w14:paraId="03E8A1F1"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B98AA78" w14:textId="77777777" w:rsidR="00CB0062" w:rsidRPr="00641BD3" w:rsidRDefault="00CB0062" w:rsidP="00223E56">
            <w:pPr>
              <w:widowControl w:val="0"/>
              <w:pBdr>
                <w:top w:val="nil"/>
                <w:left w:val="nil"/>
                <w:bottom w:val="nil"/>
                <w:right w:val="nil"/>
                <w:between w:val="nil"/>
              </w:pBdr>
              <w:spacing w:line="276" w:lineRule="auto"/>
              <w:rPr>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AD09291" w14:textId="77777777" w:rsidR="00CB0062" w:rsidRPr="00641BD3" w:rsidRDefault="00CB0062" w:rsidP="00223E56">
            <w:pPr>
              <w:widowControl w:val="0"/>
              <w:pBdr>
                <w:top w:val="nil"/>
                <w:left w:val="nil"/>
                <w:bottom w:val="nil"/>
                <w:right w:val="nil"/>
                <w:between w:val="nil"/>
              </w:pBdr>
              <w:spacing w:line="276" w:lineRule="auto"/>
              <w:rPr>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7E937766" w14:textId="77777777" w:rsidR="00CB0062" w:rsidRDefault="00CB0062" w:rsidP="00223E56">
            <w:pPr>
              <w:rPr>
                <w:color w:val="000000"/>
                <w:sz w:val="16"/>
                <w:szCs w:val="16"/>
              </w:rPr>
            </w:pPr>
            <w:r>
              <w:rPr>
                <w:color w:val="000000"/>
                <w:sz w:val="16"/>
                <w:szCs w:val="16"/>
              </w:rPr>
              <w:t>rs12121543</w:t>
            </w:r>
          </w:p>
        </w:tc>
        <w:tc>
          <w:tcPr>
            <w:tcW w:w="851" w:type="dxa"/>
            <w:tcBorders>
              <w:top w:val="single" w:sz="4" w:space="0" w:color="D0CECE"/>
              <w:bottom w:val="single" w:sz="4" w:space="0" w:color="D0CECE"/>
            </w:tcBorders>
            <w:tcMar>
              <w:top w:w="-113" w:type="dxa"/>
              <w:left w:w="-113" w:type="dxa"/>
              <w:bottom w:w="-113" w:type="dxa"/>
              <w:right w:w="-113" w:type="dxa"/>
            </w:tcMar>
          </w:tcPr>
          <w:p w14:paraId="7A588321" w14:textId="77777777" w:rsidR="00CB0062" w:rsidRDefault="00CB0062" w:rsidP="00223E56">
            <w:pPr>
              <w:rPr>
                <w:color w:val="000000"/>
                <w:sz w:val="16"/>
                <w:szCs w:val="16"/>
              </w:rPr>
            </w:pPr>
            <w:r>
              <w:rPr>
                <w:color w:val="000000"/>
                <w:sz w:val="16"/>
                <w:szCs w:val="16"/>
              </w:rPr>
              <w:t>C&gt;A</w:t>
            </w:r>
          </w:p>
        </w:tc>
        <w:tc>
          <w:tcPr>
            <w:tcW w:w="1701" w:type="dxa"/>
            <w:tcBorders>
              <w:top w:val="single" w:sz="4" w:space="0" w:color="D0CECE"/>
              <w:bottom w:val="single" w:sz="4" w:space="0" w:color="D0CECE"/>
            </w:tcBorders>
            <w:tcMar>
              <w:top w:w="-113" w:type="dxa"/>
              <w:left w:w="-113" w:type="dxa"/>
              <w:bottom w:w="-113" w:type="dxa"/>
              <w:right w:w="-113" w:type="dxa"/>
            </w:tcMar>
          </w:tcPr>
          <w:p w14:paraId="30AB8B97" w14:textId="77777777" w:rsidR="00CB0062" w:rsidRDefault="00CB0062" w:rsidP="00223E56">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4016EA6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4A2B8DB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37D8BD98"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E9942B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8A127B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97E85E1" w14:textId="77777777" w:rsidR="00CB0062" w:rsidRDefault="00CB0062" w:rsidP="00223E56">
            <w:pPr>
              <w:rPr>
                <w:color w:val="000000"/>
                <w:sz w:val="16"/>
                <w:szCs w:val="16"/>
              </w:rPr>
            </w:pPr>
            <w:r>
              <w:rPr>
                <w:color w:val="000000"/>
                <w:sz w:val="16"/>
                <w:szCs w:val="16"/>
              </w:rPr>
              <w:t>rs13306560</w:t>
            </w:r>
          </w:p>
        </w:tc>
        <w:tc>
          <w:tcPr>
            <w:tcW w:w="851" w:type="dxa"/>
            <w:tcBorders>
              <w:top w:val="single" w:sz="4" w:space="0" w:color="D0CECE"/>
              <w:bottom w:val="single" w:sz="4" w:space="0" w:color="D0CECE"/>
            </w:tcBorders>
            <w:tcMar>
              <w:top w:w="-113" w:type="dxa"/>
              <w:left w:w="-113" w:type="dxa"/>
              <w:bottom w:w="-113" w:type="dxa"/>
              <w:right w:w="-113" w:type="dxa"/>
            </w:tcMar>
          </w:tcPr>
          <w:p w14:paraId="15E2EB1F" w14:textId="77777777" w:rsidR="00CB0062" w:rsidRDefault="00CB0062" w:rsidP="00223E56">
            <w:pPr>
              <w:rPr>
                <w:color w:val="000000"/>
                <w:sz w:val="16"/>
                <w:szCs w:val="16"/>
              </w:rPr>
            </w:pPr>
            <w:r>
              <w:rPr>
                <w:color w:val="000000"/>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3D62CAB2" w14:textId="77777777" w:rsidR="00CB0062" w:rsidRDefault="00CB0062" w:rsidP="00223E56">
            <w:pPr>
              <w:rPr>
                <w:color w:val="000000"/>
                <w:sz w:val="16"/>
                <w:szCs w:val="16"/>
              </w:rPr>
            </w:pPr>
            <w:r>
              <w:rPr>
                <w:sz w:val="16"/>
                <w:szCs w:val="16"/>
              </w:rPr>
              <w:t>2KB Upstream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1206DE9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2C96FF9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5D4935EF"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0EE335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D34FA4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147370C9" w14:textId="77777777" w:rsidR="00CB0062" w:rsidRDefault="00CB0062" w:rsidP="00223E56">
            <w:pPr>
              <w:rPr>
                <w:color w:val="000000"/>
                <w:sz w:val="16"/>
                <w:szCs w:val="16"/>
              </w:rPr>
            </w:pPr>
            <w:r>
              <w:rPr>
                <w:color w:val="000000"/>
                <w:sz w:val="16"/>
                <w:szCs w:val="16"/>
              </w:rPr>
              <w:t>rs1413355</w:t>
            </w:r>
          </w:p>
        </w:tc>
        <w:tc>
          <w:tcPr>
            <w:tcW w:w="851" w:type="dxa"/>
            <w:tcBorders>
              <w:top w:val="single" w:sz="4" w:space="0" w:color="D0CECE"/>
              <w:bottom w:val="single" w:sz="4" w:space="0" w:color="D0CECE"/>
            </w:tcBorders>
            <w:tcMar>
              <w:top w:w="-113" w:type="dxa"/>
              <w:left w:w="-113" w:type="dxa"/>
              <w:bottom w:w="-113" w:type="dxa"/>
              <w:right w:w="-113" w:type="dxa"/>
            </w:tcMar>
          </w:tcPr>
          <w:p w14:paraId="2BBA7875" w14:textId="77777777" w:rsidR="00CB0062" w:rsidRDefault="00CB0062" w:rsidP="00223E56">
            <w:pPr>
              <w:rPr>
                <w:color w:val="000000"/>
                <w:sz w:val="16"/>
                <w:szCs w:val="16"/>
              </w:rPr>
            </w:pPr>
            <w:r>
              <w:rPr>
                <w:color w:val="000000"/>
                <w:sz w:val="16"/>
                <w:szCs w:val="16"/>
              </w:rPr>
              <w:t>T&gt;C</w:t>
            </w:r>
          </w:p>
        </w:tc>
        <w:tc>
          <w:tcPr>
            <w:tcW w:w="1701" w:type="dxa"/>
            <w:tcBorders>
              <w:top w:val="single" w:sz="4" w:space="0" w:color="D0CECE"/>
              <w:bottom w:val="single" w:sz="4" w:space="0" w:color="D0CECE"/>
            </w:tcBorders>
            <w:tcMar>
              <w:top w:w="-113" w:type="dxa"/>
              <w:left w:w="-113" w:type="dxa"/>
              <w:bottom w:w="-113" w:type="dxa"/>
              <w:right w:w="-113" w:type="dxa"/>
            </w:tcMar>
          </w:tcPr>
          <w:p w14:paraId="2BABE524" w14:textId="77777777" w:rsidR="00CB0062" w:rsidRDefault="00CB0062" w:rsidP="00223E56">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7C82583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2F8004E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4B856548"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CA7031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E2F61F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ACD8F21" w14:textId="77777777" w:rsidR="00CB0062" w:rsidRDefault="00CB0062" w:rsidP="00223E56">
            <w:pPr>
              <w:rPr>
                <w:color w:val="000000"/>
                <w:sz w:val="16"/>
                <w:szCs w:val="16"/>
              </w:rPr>
            </w:pPr>
            <w:r>
              <w:rPr>
                <w:color w:val="000000"/>
                <w:sz w:val="16"/>
                <w:szCs w:val="16"/>
              </w:rPr>
              <w:t>rs1476413</w:t>
            </w:r>
          </w:p>
        </w:tc>
        <w:tc>
          <w:tcPr>
            <w:tcW w:w="851" w:type="dxa"/>
            <w:tcBorders>
              <w:top w:val="single" w:sz="4" w:space="0" w:color="D0CECE"/>
              <w:bottom w:val="single" w:sz="4" w:space="0" w:color="D0CECE"/>
            </w:tcBorders>
            <w:tcMar>
              <w:top w:w="-113" w:type="dxa"/>
              <w:left w:w="-113" w:type="dxa"/>
              <w:bottom w:w="-113" w:type="dxa"/>
              <w:right w:w="-113" w:type="dxa"/>
            </w:tcMar>
          </w:tcPr>
          <w:p w14:paraId="4AF8B563" w14:textId="77777777" w:rsidR="00CB0062" w:rsidRDefault="00CB0062" w:rsidP="00223E56">
            <w:pPr>
              <w:rPr>
                <w:color w:val="000000"/>
                <w:sz w:val="16"/>
                <w:szCs w:val="16"/>
              </w:rPr>
            </w:pPr>
            <w:r>
              <w:rPr>
                <w:color w:val="000000"/>
                <w:sz w:val="16"/>
                <w:szCs w:val="16"/>
              </w:rPr>
              <w:t>C&gt;</w:t>
            </w:r>
            <w:proofErr w:type="gramStart"/>
            <w:r>
              <w:rPr>
                <w:color w:val="000000"/>
                <w:sz w:val="16"/>
                <w:szCs w:val="16"/>
              </w:rPr>
              <w:t>G,T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42536CFC" w14:textId="77777777" w:rsidR="00CB0062" w:rsidRDefault="00CB0062" w:rsidP="00223E56">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1588C71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3B4B1C3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12F497F2"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78B610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917577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2F84247D" w14:textId="77777777" w:rsidR="00CB0062" w:rsidRDefault="00CB0062" w:rsidP="00223E56">
            <w:pPr>
              <w:rPr>
                <w:color w:val="000000"/>
                <w:sz w:val="16"/>
                <w:szCs w:val="16"/>
              </w:rPr>
            </w:pPr>
            <w:r>
              <w:rPr>
                <w:color w:val="000000"/>
                <w:sz w:val="16"/>
                <w:szCs w:val="16"/>
              </w:rPr>
              <w:t>rs1537516</w:t>
            </w:r>
          </w:p>
        </w:tc>
        <w:tc>
          <w:tcPr>
            <w:tcW w:w="851" w:type="dxa"/>
            <w:tcBorders>
              <w:top w:val="single" w:sz="4" w:space="0" w:color="D0CECE"/>
              <w:bottom w:val="single" w:sz="4" w:space="0" w:color="D0CECE"/>
            </w:tcBorders>
            <w:tcMar>
              <w:top w:w="-113" w:type="dxa"/>
              <w:left w:w="-113" w:type="dxa"/>
              <w:bottom w:w="-113" w:type="dxa"/>
              <w:right w:w="-113" w:type="dxa"/>
            </w:tcMar>
          </w:tcPr>
          <w:p w14:paraId="7B788D39" w14:textId="77777777" w:rsidR="00CB0062" w:rsidRDefault="00CB0062" w:rsidP="00223E56">
            <w:pPr>
              <w:rPr>
                <w:color w:val="000000"/>
                <w:sz w:val="16"/>
                <w:szCs w:val="16"/>
              </w:rPr>
            </w:pPr>
            <w:r>
              <w:rPr>
                <w:color w:val="000000"/>
                <w:sz w:val="16"/>
                <w:szCs w:val="16"/>
              </w:rPr>
              <w:t>G&gt;A</w:t>
            </w:r>
          </w:p>
        </w:tc>
        <w:tc>
          <w:tcPr>
            <w:tcW w:w="1701" w:type="dxa"/>
            <w:tcBorders>
              <w:top w:val="single" w:sz="4" w:space="0" w:color="D0CECE"/>
              <w:bottom w:val="single" w:sz="4" w:space="0" w:color="D0CECE"/>
            </w:tcBorders>
            <w:tcMar>
              <w:top w:w="-113" w:type="dxa"/>
              <w:left w:w="-113" w:type="dxa"/>
              <w:bottom w:w="-113" w:type="dxa"/>
              <w:right w:w="-113" w:type="dxa"/>
            </w:tcMar>
          </w:tcPr>
          <w:p w14:paraId="5ACEBE4A" w14:textId="77777777" w:rsidR="00CB0062" w:rsidRDefault="00CB0062" w:rsidP="00223E56">
            <w:pPr>
              <w:rPr>
                <w:color w:val="000000"/>
                <w:sz w:val="16"/>
                <w:szCs w:val="16"/>
              </w:rPr>
            </w:pPr>
            <w:r>
              <w:rPr>
                <w:sz w:val="16"/>
                <w:szCs w:val="16"/>
              </w:rPr>
              <w:t>3 Prime UTR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4866FD0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32055E0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680D9C6F"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C75E63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20ED5B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6E2A2E6A" w14:textId="77777777" w:rsidR="00CB0062" w:rsidRDefault="00CB0062" w:rsidP="00223E56">
            <w:pPr>
              <w:rPr>
                <w:color w:val="000000"/>
                <w:sz w:val="16"/>
                <w:szCs w:val="16"/>
              </w:rPr>
            </w:pPr>
            <w:r>
              <w:rPr>
                <w:color w:val="000000"/>
                <w:sz w:val="16"/>
                <w:szCs w:val="16"/>
              </w:rPr>
              <w:t>rs17037388</w:t>
            </w:r>
          </w:p>
        </w:tc>
        <w:tc>
          <w:tcPr>
            <w:tcW w:w="851" w:type="dxa"/>
            <w:tcBorders>
              <w:top w:val="single" w:sz="4" w:space="0" w:color="D0CECE"/>
              <w:bottom w:val="single" w:sz="4" w:space="0" w:color="D0CECE"/>
            </w:tcBorders>
            <w:tcMar>
              <w:top w:w="-113" w:type="dxa"/>
              <w:left w:w="-113" w:type="dxa"/>
              <w:bottom w:w="-113" w:type="dxa"/>
              <w:right w:w="-113" w:type="dxa"/>
            </w:tcMar>
          </w:tcPr>
          <w:p w14:paraId="63437D49" w14:textId="77777777" w:rsidR="00CB0062" w:rsidRDefault="00CB0062" w:rsidP="00223E56">
            <w:pPr>
              <w:rPr>
                <w:color w:val="000000"/>
                <w:sz w:val="16"/>
                <w:szCs w:val="16"/>
              </w:rPr>
            </w:pPr>
            <w:r>
              <w:rPr>
                <w:color w:val="000000"/>
                <w:sz w:val="16"/>
                <w:szCs w:val="16"/>
              </w:rPr>
              <w:t>A&gt;G</w:t>
            </w:r>
          </w:p>
        </w:tc>
        <w:tc>
          <w:tcPr>
            <w:tcW w:w="1701" w:type="dxa"/>
            <w:tcBorders>
              <w:top w:val="single" w:sz="4" w:space="0" w:color="D0CECE"/>
              <w:bottom w:val="single" w:sz="4" w:space="0" w:color="D0CECE"/>
            </w:tcBorders>
            <w:tcMar>
              <w:top w:w="-113" w:type="dxa"/>
              <w:left w:w="-113" w:type="dxa"/>
              <w:bottom w:w="-113" w:type="dxa"/>
              <w:right w:w="-113" w:type="dxa"/>
            </w:tcMar>
          </w:tcPr>
          <w:p w14:paraId="2F2A3F33" w14:textId="77777777" w:rsidR="00CB0062" w:rsidRDefault="00CB0062" w:rsidP="00223E56">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02C74DA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32FB26D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50B97D72"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D37441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C3CD4B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4B86125" w14:textId="77777777" w:rsidR="00CB0062" w:rsidRDefault="00CB0062" w:rsidP="00223E56">
            <w:pPr>
              <w:rPr>
                <w:color w:val="000000"/>
                <w:sz w:val="16"/>
                <w:szCs w:val="16"/>
              </w:rPr>
            </w:pPr>
            <w:r>
              <w:rPr>
                <w:color w:val="000000"/>
                <w:sz w:val="16"/>
                <w:szCs w:val="16"/>
              </w:rPr>
              <w:t>rs17037390</w:t>
            </w:r>
          </w:p>
        </w:tc>
        <w:tc>
          <w:tcPr>
            <w:tcW w:w="851" w:type="dxa"/>
            <w:tcBorders>
              <w:top w:val="single" w:sz="4" w:space="0" w:color="D0CECE"/>
              <w:bottom w:val="single" w:sz="4" w:space="0" w:color="D0CECE"/>
            </w:tcBorders>
            <w:tcMar>
              <w:top w:w="-113" w:type="dxa"/>
              <w:left w:w="-113" w:type="dxa"/>
              <w:bottom w:w="-113" w:type="dxa"/>
              <w:right w:w="-113" w:type="dxa"/>
            </w:tcMar>
          </w:tcPr>
          <w:p w14:paraId="70738FFF" w14:textId="77777777" w:rsidR="00CB0062" w:rsidRDefault="00CB0062" w:rsidP="00223E56">
            <w:pPr>
              <w:rPr>
                <w:color w:val="000000"/>
                <w:sz w:val="16"/>
                <w:szCs w:val="16"/>
              </w:rPr>
            </w:pPr>
            <w:r>
              <w:rPr>
                <w:color w:val="000000"/>
                <w:sz w:val="16"/>
                <w:szCs w:val="16"/>
              </w:rPr>
              <w:t>G&gt;A</w:t>
            </w:r>
          </w:p>
        </w:tc>
        <w:tc>
          <w:tcPr>
            <w:tcW w:w="1701" w:type="dxa"/>
            <w:tcBorders>
              <w:top w:val="single" w:sz="4" w:space="0" w:color="D0CECE"/>
              <w:bottom w:val="single" w:sz="4" w:space="0" w:color="D0CECE"/>
            </w:tcBorders>
            <w:tcMar>
              <w:top w:w="-113" w:type="dxa"/>
              <w:left w:w="-113" w:type="dxa"/>
              <w:bottom w:w="-113" w:type="dxa"/>
              <w:right w:w="-113" w:type="dxa"/>
            </w:tcMar>
          </w:tcPr>
          <w:p w14:paraId="1C681563" w14:textId="77777777" w:rsidR="00CB0062" w:rsidRDefault="00CB0062" w:rsidP="00223E56">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6009321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BD3358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5B438716"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70E4C7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A993B9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638FE426" w14:textId="77777777" w:rsidR="00CB0062" w:rsidRDefault="00CB0062" w:rsidP="00223E56">
            <w:pPr>
              <w:rPr>
                <w:color w:val="000000"/>
                <w:sz w:val="16"/>
                <w:szCs w:val="16"/>
              </w:rPr>
            </w:pPr>
            <w:r>
              <w:rPr>
                <w:color w:val="000000"/>
                <w:sz w:val="16"/>
                <w:szCs w:val="16"/>
              </w:rPr>
              <w:t>rs17037404</w:t>
            </w:r>
          </w:p>
        </w:tc>
        <w:tc>
          <w:tcPr>
            <w:tcW w:w="851" w:type="dxa"/>
            <w:tcBorders>
              <w:top w:val="single" w:sz="4" w:space="0" w:color="D0CECE"/>
              <w:bottom w:val="single" w:sz="4" w:space="0" w:color="D0CECE"/>
            </w:tcBorders>
            <w:tcMar>
              <w:top w:w="-113" w:type="dxa"/>
              <w:left w:w="-113" w:type="dxa"/>
              <w:bottom w:w="-113" w:type="dxa"/>
              <w:right w:w="-113" w:type="dxa"/>
            </w:tcMar>
          </w:tcPr>
          <w:p w14:paraId="22306CFC" w14:textId="77777777" w:rsidR="00CB0062" w:rsidRDefault="00CB0062" w:rsidP="00223E56">
            <w:pPr>
              <w:rPr>
                <w:color w:val="000000"/>
                <w:sz w:val="16"/>
                <w:szCs w:val="16"/>
              </w:rPr>
            </w:pPr>
            <w:r>
              <w:rPr>
                <w:color w:val="000000"/>
                <w:sz w:val="16"/>
                <w:szCs w:val="16"/>
              </w:rPr>
              <w:t>G&gt;A</w:t>
            </w:r>
          </w:p>
        </w:tc>
        <w:tc>
          <w:tcPr>
            <w:tcW w:w="1701" w:type="dxa"/>
            <w:tcBorders>
              <w:top w:val="single" w:sz="4" w:space="0" w:color="D0CECE"/>
              <w:bottom w:val="single" w:sz="4" w:space="0" w:color="D0CECE"/>
            </w:tcBorders>
            <w:tcMar>
              <w:top w:w="-113" w:type="dxa"/>
              <w:left w:w="-113" w:type="dxa"/>
              <w:bottom w:w="-113" w:type="dxa"/>
              <w:right w:w="-113" w:type="dxa"/>
            </w:tcMar>
          </w:tcPr>
          <w:p w14:paraId="36D1B798" w14:textId="77777777" w:rsidR="00CB0062" w:rsidRDefault="00CB0062" w:rsidP="00223E56">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267D16F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27E6C5E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5FDA6592"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8A2321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1690AD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5D22D42" w14:textId="77777777" w:rsidR="00CB0062" w:rsidRDefault="00CB0062" w:rsidP="00223E56">
            <w:pPr>
              <w:rPr>
                <w:color w:val="000000"/>
                <w:sz w:val="16"/>
                <w:szCs w:val="16"/>
              </w:rPr>
            </w:pPr>
            <w:r>
              <w:rPr>
                <w:color w:val="000000"/>
                <w:sz w:val="16"/>
                <w:szCs w:val="16"/>
              </w:rPr>
              <w:t>rs17367504</w:t>
            </w:r>
          </w:p>
        </w:tc>
        <w:tc>
          <w:tcPr>
            <w:tcW w:w="851" w:type="dxa"/>
            <w:tcBorders>
              <w:top w:val="single" w:sz="4" w:space="0" w:color="D0CECE"/>
              <w:bottom w:val="single" w:sz="4" w:space="0" w:color="D0CECE"/>
            </w:tcBorders>
            <w:tcMar>
              <w:top w:w="-113" w:type="dxa"/>
              <w:left w:w="-113" w:type="dxa"/>
              <w:bottom w:w="-113" w:type="dxa"/>
              <w:right w:w="-113" w:type="dxa"/>
            </w:tcMar>
          </w:tcPr>
          <w:p w14:paraId="6B1EEB34" w14:textId="77777777" w:rsidR="00CB0062" w:rsidRDefault="00CB0062" w:rsidP="00223E56">
            <w:pPr>
              <w:rPr>
                <w:color w:val="000000"/>
                <w:sz w:val="16"/>
                <w:szCs w:val="16"/>
              </w:rPr>
            </w:pPr>
            <w:r>
              <w:rPr>
                <w:color w:val="000000"/>
                <w:sz w:val="16"/>
                <w:szCs w:val="16"/>
              </w:rPr>
              <w:t>A&gt;G</w:t>
            </w:r>
          </w:p>
        </w:tc>
        <w:tc>
          <w:tcPr>
            <w:tcW w:w="1701" w:type="dxa"/>
            <w:tcBorders>
              <w:top w:val="single" w:sz="4" w:space="0" w:color="D0CECE"/>
              <w:bottom w:val="single" w:sz="4" w:space="0" w:color="D0CECE"/>
            </w:tcBorders>
            <w:tcMar>
              <w:top w:w="-113" w:type="dxa"/>
              <w:left w:w="-113" w:type="dxa"/>
              <w:bottom w:w="-113" w:type="dxa"/>
              <w:right w:w="-113" w:type="dxa"/>
            </w:tcMar>
          </w:tcPr>
          <w:p w14:paraId="1C322CDE" w14:textId="77777777" w:rsidR="00CB0062" w:rsidRDefault="00CB0062" w:rsidP="00223E56">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4BF0079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2609FA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6D3B81C2"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87774F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9CE38C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77646A4D" w14:textId="77777777" w:rsidR="00CB0062" w:rsidRDefault="00CB0062" w:rsidP="00223E56">
            <w:pPr>
              <w:rPr>
                <w:color w:val="000000"/>
                <w:sz w:val="16"/>
                <w:szCs w:val="16"/>
              </w:rPr>
            </w:pPr>
            <w:r>
              <w:rPr>
                <w:color w:val="000000"/>
                <w:sz w:val="16"/>
                <w:szCs w:val="16"/>
              </w:rPr>
              <w:t>rs17367629</w:t>
            </w:r>
          </w:p>
        </w:tc>
        <w:tc>
          <w:tcPr>
            <w:tcW w:w="851" w:type="dxa"/>
            <w:tcBorders>
              <w:top w:val="single" w:sz="4" w:space="0" w:color="D0CECE"/>
              <w:bottom w:val="single" w:sz="4" w:space="0" w:color="D0CECE"/>
            </w:tcBorders>
            <w:tcMar>
              <w:top w:w="-113" w:type="dxa"/>
              <w:left w:w="-113" w:type="dxa"/>
              <w:bottom w:w="-113" w:type="dxa"/>
              <w:right w:w="-113" w:type="dxa"/>
            </w:tcMar>
          </w:tcPr>
          <w:p w14:paraId="624F0787" w14:textId="77777777" w:rsidR="00CB0062" w:rsidRDefault="00CB0062" w:rsidP="00223E56">
            <w:pPr>
              <w:rPr>
                <w:color w:val="000000"/>
                <w:sz w:val="16"/>
                <w:szCs w:val="16"/>
              </w:rPr>
            </w:pPr>
            <w:r>
              <w:rPr>
                <w:color w:val="000000"/>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0CE0B41E" w14:textId="77777777" w:rsidR="00CB0062" w:rsidRDefault="00CB0062" w:rsidP="00223E56">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236A8FD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4A1D9DC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21B998D5"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EEDE9D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830820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67F9CEE3" w14:textId="77777777" w:rsidR="00CB0062" w:rsidRDefault="00CB0062" w:rsidP="00223E56">
            <w:pPr>
              <w:rPr>
                <w:color w:val="000000"/>
                <w:sz w:val="16"/>
                <w:szCs w:val="16"/>
              </w:rPr>
            </w:pPr>
            <w:r>
              <w:rPr>
                <w:color w:val="000000"/>
                <w:sz w:val="16"/>
                <w:szCs w:val="16"/>
              </w:rPr>
              <w:t>rs17421462</w:t>
            </w:r>
          </w:p>
        </w:tc>
        <w:tc>
          <w:tcPr>
            <w:tcW w:w="851" w:type="dxa"/>
            <w:tcBorders>
              <w:top w:val="single" w:sz="4" w:space="0" w:color="D0CECE"/>
              <w:bottom w:val="single" w:sz="4" w:space="0" w:color="D0CECE"/>
            </w:tcBorders>
            <w:tcMar>
              <w:top w:w="-113" w:type="dxa"/>
              <w:left w:w="-113" w:type="dxa"/>
              <w:bottom w:w="-113" w:type="dxa"/>
              <w:right w:w="-113" w:type="dxa"/>
            </w:tcMar>
          </w:tcPr>
          <w:p w14:paraId="7582D412" w14:textId="77777777" w:rsidR="00CB0062" w:rsidRDefault="00CB0062" w:rsidP="00223E56">
            <w:pPr>
              <w:rPr>
                <w:color w:val="000000"/>
                <w:sz w:val="16"/>
                <w:szCs w:val="16"/>
              </w:rPr>
            </w:pPr>
            <w:r>
              <w:rPr>
                <w:color w:val="000000"/>
                <w:sz w:val="16"/>
                <w:szCs w:val="16"/>
              </w:rPr>
              <w:t>G&gt;</w:t>
            </w:r>
            <w:proofErr w:type="gramStart"/>
            <w:r>
              <w:rPr>
                <w:color w:val="000000"/>
                <w:sz w:val="16"/>
                <w:szCs w:val="16"/>
              </w:rPr>
              <w:t>A,T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370EAF2D" w14:textId="77777777" w:rsidR="00CB0062" w:rsidRDefault="00CB0062" w:rsidP="00223E56">
            <w:pPr>
              <w:rPr>
                <w:b/>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496315C2" w14:textId="77777777" w:rsidR="00CB0062" w:rsidRDefault="00CB0062" w:rsidP="00223E56">
            <w:pPr>
              <w:widowControl w:val="0"/>
              <w:pBdr>
                <w:top w:val="nil"/>
                <w:left w:val="nil"/>
                <w:bottom w:val="nil"/>
                <w:right w:val="nil"/>
                <w:between w:val="nil"/>
              </w:pBdr>
              <w:spacing w:line="276" w:lineRule="auto"/>
              <w:rPr>
                <w:b/>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79468718" w14:textId="77777777" w:rsidR="00CB0062" w:rsidRDefault="00CB0062" w:rsidP="00223E56">
            <w:pPr>
              <w:widowControl w:val="0"/>
              <w:pBdr>
                <w:top w:val="nil"/>
                <w:left w:val="nil"/>
                <w:bottom w:val="nil"/>
                <w:right w:val="nil"/>
                <w:between w:val="nil"/>
              </w:pBdr>
              <w:spacing w:line="276" w:lineRule="auto"/>
              <w:rPr>
                <w:b/>
                <w:color w:val="000000"/>
                <w:sz w:val="16"/>
                <w:szCs w:val="16"/>
              </w:rPr>
            </w:pPr>
          </w:p>
        </w:tc>
      </w:tr>
      <w:tr w:rsidR="00CB0062" w14:paraId="0C80CEB2"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828F99F" w14:textId="77777777" w:rsidR="00CB0062" w:rsidRDefault="00CB0062" w:rsidP="00223E56">
            <w:pPr>
              <w:widowControl w:val="0"/>
              <w:pBdr>
                <w:top w:val="nil"/>
                <w:left w:val="nil"/>
                <w:bottom w:val="nil"/>
                <w:right w:val="nil"/>
                <w:between w:val="nil"/>
              </w:pBdr>
              <w:spacing w:line="276" w:lineRule="auto"/>
              <w:rPr>
                <w:b/>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6FD253A" w14:textId="77777777" w:rsidR="00CB0062" w:rsidRDefault="00CB0062" w:rsidP="00223E56">
            <w:pPr>
              <w:widowControl w:val="0"/>
              <w:pBdr>
                <w:top w:val="nil"/>
                <w:left w:val="nil"/>
                <w:bottom w:val="nil"/>
                <w:right w:val="nil"/>
                <w:between w:val="nil"/>
              </w:pBdr>
              <w:spacing w:line="276" w:lineRule="auto"/>
              <w:rPr>
                <w:b/>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889DB17" w14:textId="77777777" w:rsidR="00CB0062" w:rsidRDefault="00CB0062" w:rsidP="00223E56">
            <w:pPr>
              <w:rPr>
                <w:color w:val="000000"/>
                <w:sz w:val="16"/>
                <w:szCs w:val="16"/>
              </w:rPr>
            </w:pPr>
            <w:r>
              <w:rPr>
                <w:color w:val="000000"/>
                <w:sz w:val="16"/>
                <w:szCs w:val="16"/>
              </w:rPr>
              <w:t>rs17421511</w:t>
            </w:r>
          </w:p>
        </w:tc>
        <w:tc>
          <w:tcPr>
            <w:tcW w:w="851" w:type="dxa"/>
            <w:tcBorders>
              <w:top w:val="single" w:sz="4" w:space="0" w:color="D0CECE"/>
              <w:bottom w:val="single" w:sz="4" w:space="0" w:color="D0CECE"/>
            </w:tcBorders>
            <w:tcMar>
              <w:top w:w="-113" w:type="dxa"/>
              <w:left w:w="-113" w:type="dxa"/>
              <w:bottom w:w="-113" w:type="dxa"/>
              <w:right w:w="-113" w:type="dxa"/>
            </w:tcMar>
          </w:tcPr>
          <w:p w14:paraId="1BA6E3F7" w14:textId="77777777" w:rsidR="00CB0062" w:rsidRDefault="00CB0062" w:rsidP="00223E56">
            <w:pPr>
              <w:rPr>
                <w:color w:val="000000"/>
                <w:sz w:val="16"/>
                <w:szCs w:val="16"/>
              </w:rPr>
            </w:pPr>
            <w:r>
              <w:rPr>
                <w:color w:val="000000"/>
                <w:sz w:val="16"/>
                <w:szCs w:val="16"/>
              </w:rPr>
              <w:t>G&gt;A</w:t>
            </w:r>
          </w:p>
        </w:tc>
        <w:tc>
          <w:tcPr>
            <w:tcW w:w="1701" w:type="dxa"/>
            <w:tcBorders>
              <w:top w:val="single" w:sz="4" w:space="0" w:color="D0CECE"/>
              <w:bottom w:val="single" w:sz="4" w:space="0" w:color="D0CECE"/>
            </w:tcBorders>
            <w:tcMar>
              <w:top w:w="-113" w:type="dxa"/>
              <w:left w:w="-113" w:type="dxa"/>
              <w:bottom w:w="-113" w:type="dxa"/>
              <w:right w:w="-113" w:type="dxa"/>
            </w:tcMar>
          </w:tcPr>
          <w:p w14:paraId="6C842FB4" w14:textId="77777777" w:rsidR="00CB0062" w:rsidRDefault="00CB0062" w:rsidP="00223E56">
            <w:pPr>
              <w:rPr>
                <w:b/>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2626F657" w14:textId="77777777" w:rsidR="00CB0062" w:rsidRDefault="00CB0062" w:rsidP="00223E56">
            <w:pPr>
              <w:widowControl w:val="0"/>
              <w:pBdr>
                <w:top w:val="nil"/>
                <w:left w:val="nil"/>
                <w:bottom w:val="nil"/>
                <w:right w:val="nil"/>
                <w:between w:val="nil"/>
              </w:pBdr>
              <w:spacing w:line="276" w:lineRule="auto"/>
              <w:rPr>
                <w:b/>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3FC53B4D" w14:textId="77777777" w:rsidR="00CB0062" w:rsidRDefault="00CB0062" w:rsidP="00223E56">
            <w:pPr>
              <w:widowControl w:val="0"/>
              <w:pBdr>
                <w:top w:val="nil"/>
                <w:left w:val="nil"/>
                <w:bottom w:val="nil"/>
                <w:right w:val="nil"/>
                <w:between w:val="nil"/>
              </w:pBdr>
              <w:spacing w:line="276" w:lineRule="auto"/>
              <w:rPr>
                <w:b/>
                <w:color w:val="000000"/>
                <w:sz w:val="16"/>
                <w:szCs w:val="16"/>
              </w:rPr>
            </w:pPr>
          </w:p>
        </w:tc>
      </w:tr>
      <w:tr w:rsidR="00CB0062" w14:paraId="298FE440"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4862E59" w14:textId="77777777" w:rsidR="00CB0062" w:rsidRDefault="00CB0062" w:rsidP="00223E56">
            <w:pPr>
              <w:widowControl w:val="0"/>
              <w:pBdr>
                <w:top w:val="nil"/>
                <w:left w:val="nil"/>
                <w:bottom w:val="nil"/>
                <w:right w:val="nil"/>
                <w:between w:val="nil"/>
              </w:pBdr>
              <w:spacing w:line="276" w:lineRule="auto"/>
              <w:rPr>
                <w:b/>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AACE233" w14:textId="77777777" w:rsidR="00CB0062" w:rsidRDefault="00CB0062" w:rsidP="00223E56">
            <w:pPr>
              <w:widowControl w:val="0"/>
              <w:pBdr>
                <w:top w:val="nil"/>
                <w:left w:val="nil"/>
                <w:bottom w:val="nil"/>
                <w:right w:val="nil"/>
                <w:between w:val="nil"/>
              </w:pBdr>
              <w:spacing w:line="276" w:lineRule="auto"/>
              <w:rPr>
                <w:b/>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56E9E84" w14:textId="77777777" w:rsidR="00CB0062" w:rsidRDefault="00CB0062" w:rsidP="00223E56">
            <w:pPr>
              <w:rPr>
                <w:color w:val="000000"/>
                <w:sz w:val="16"/>
                <w:szCs w:val="16"/>
              </w:rPr>
            </w:pPr>
            <w:r>
              <w:rPr>
                <w:color w:val="000000"/>
                <w:sz w:val="16"/>
                <w:szCs w:val="16"/>
              </w:rPr>
              <w:t>rs1801131</w:t>
            </w:r>
          </w:p>
        </w:tc>
        <w:tc>
          <w:tcPr>
            <w:tcW w:w="851" w:type="dxa"/>
            <w:tcBorders>
              <w:top w:val="single" w:sz="4" w:space="0" w:color="D0CECE"/>
              <w:bottom w:val="single" w:sz="4" w:space="0" w:color="D0CECE"/>
            </w:tcBorders>
            <w:tcMar>
              <w:top w:w="-113" w:type="dxa"/>
              <w:left w:w="-113" w:type="dxa"/>
              <w:bottom w:w="-113" w:type="dxa"/>
              <w:right w:w="-113" w:type="dxa"/>
            </w:tcMar>
          </w:tcPr>
          <w:p w14:paraId="7FC3D536" w14:textId="77777777" w:rsidR="00CB0062" w:rsidRDefault="00CB0062" w:rsidP="00223E56">
            <w:pPr>
              <w:rPr>
                <w:color w:val="000000"/>
                <w:sz w:val="16"/>
                <w:szCs w:val="16"/>
              </w:rPr>
            </w:pPr>
            <w:r>
              <w:rPr>
                <w:color w:val="000000"/>
                <w:sz w:val="16"/>
                <w:szCs w:val="16"/>
              </w:rPr>
              <w:t>T&gt;G</w:t>
            </w:r>
          </w:p>
        </w:tc>
        <w:tc>
          <w:tcPr>
            <w:tcW w:w="1701" w:type="dxa"/>
            <w:tcBorders>
              <w:top w:val="single" w:sz="4" w:space="0" w:color="D0CECE"/>
              <w:bottom w:val="single" w:sz="4" w:space="0" w:color="D0CECE"/>
            </w:tcBorders>
            <w:tcMar>
              <w:top w:w="-113" w:type="dxa"/>
              <w:left w:w="-113" w:type="dxa"/>
              <w:bottom w:w="-113" w:type="dxa"/>
              <w:right w:w="-113" w:type="dxa"/>
            </w:tcMar>
          </w:tcPr>
          <w:p w14:paraId="16D77FB7" w14:textId="77777777" w:rsidR="00CB0062" w:rsidRDefault="00CB0062" w:rsidP="00223E56">
            <w:pPr>
              <w:rPr>
                <w:color w:val="000000"/>
                <w:sz w:val="16"/>
                <w:szCs w:val="16"/>
              </w:rPr>
            </w:pPr>
            <w:r>
              <w:rPr>
                <w:color w:val="000000"/>
                <w:sz w:val="16"/>
                <w:szCs w:val="16"/>
              </w:rPr>
              <w:t>Missense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644B562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3934619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07E151E7"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034264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BADEA2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19FDC5DF" w14:textId="77777777" w:rsidR="00CB0062" w:rsidRDefault="00CB0062" w:rsidP="00223E56">
            <w:pPr>
              <w:rPr>
                <w:color w:val="000000"/>
                <w:sz w:val="16"/>
                <w:szCs w:val="16"/>
              </w:rPr>
            </w:pPr>
            <w:r>
              <w:rPr>
                <w:color w:val="000000"/>
                <w:sz w:val="16"/>
                <w:szCs w:val="16"/>
              </w:rPr>
              <w:t>rs1801133</w:t>
            </w:r>
          </w:p>
        </w:tc>
        <w:tc>
          <w:tcPr>
            <w:tcW w:w="851" w:type="dxa"/>
            <w:tcBorders>
              <w:top w:val="single" w:sz="4" w:space="0" w:color="D0CECE"/>
              <w:bottom w:val="single" w:sz="4" w:space="0" w:color="D0CECE"/>
            </w:tcBorders>
            <w:tcMar>
              <w:top w:w="-113" w:type="dxa"/>
              <w:left w:w="-113" w:type="dxa"/>
              <w:bottom w:w="-113" w:type="dxa"/>
              <w:right w:w="-113" w:type="dxa"/>
            </w:tcMar>
          </w:tcPr>
          <w:p w14:paraId="379CC9B7" w14:textId="77777777" w:rsidR="00CB0062" w:rsidRDefault="00CB0062" w:rsidP="00223E56">
            <w:pPr>
              <w:rPr>
                <w:color w:val="000000"/>
                <w:sz w:val="16"/>
                <w:szCs w:val="16"/>
              </w:rPr>
            </w:pPr>
            <w:r>
              <w:rPr>
                <w:color w:val="000000"/>
                <w:sz w:val="16"/>
                <w:szCs w:val="16"/>
              </w:rPr>
              <w:t>G&gt;</w:t>
            </w:r>
            <w:proofErr w:type="gramStart"/>
            <w:r>
              <w:rPr>
                <w:color w:val="000000"/>
                <w:sz w:val="16"/>
                <w:szCs w:val="16"/>
              </w:rPr>
              <w:t>A,C</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14F332D2" w14:textId="77777777" w:rsidR="00CB0062" w:rsidRDefault="00CB0062" w:rsidP="00223E56">
            <w:pPr>
              <w:rPr>
                <w:color w:val="000000"/>
                <w:sz w:val="16"/>
                <w:szCs w:val="16"/>
              </w:rPr>
            </w:pPr>
            <w:r>
              <w:rPr>
                <w:color w:val="000000"/>
                <w:sz w:val="16"/>
                <w:szCs w:val="16"/>
              </w:rPr>
              <w:t>Missense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50F164C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7B2F80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4C860D74"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A0FB0F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705718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26E090BF" w14:textId="77777777" w:rsidR="00CB0062" w:rsidRDefault="00CB0062" w:rsidP="00223E56">
            <w:pPr>
              <w:rPr>
                <w:color w:val="000000"/>
                <w:sz w:val="16"/>
                <w:szCs w:val="16"/>
              </w:rPr>
            </w:pPr>
            <w:r>
              <w:rPr>
                <w:color w:val="000000"/>
                <w:sz w:val="16"/>
                <w:szCs w:val="16"/>
              </w:rPr>
              <w:t>rs1994798</w:t>
            </w:r>
          </w:p>
        </w:tc>
        <w:tc>
          <w:tcPr>
            <w:tcW w:w="851" w:type="dxa"/>
            <w:tcBorders>
              <w:top w:val="single" w:sz="4" w:space="0" w:color="D0CECE"/>
              <w:bottom w:val="single" w:sz="4" w:space="0" w:color="D0CECE"/>
            </w:tcBorders>
            <w:tcMar>
              <w:top w:w="-113" w:type="dxa"/>
              <w:left w:w="-113" w:type="dxa"/>
              <w:bottom w:w="-113" w:type="dxa"/>
              <w:right w:w="-113" w:type="dxa"/>
            </w:tcMar>
          </w:tcPr>
          <w:p w14:paraId="101DC748" w14:textId="77777777" w:rsidR="00CB0062" w:rsidRDefault="00CB0062" w:rsidP="00223E56">
            <w:pPr>
              <w:rPr>
                <w:color w:val="000000"/>
                <w:sz w:val="16"/>
                <w:szCs w:val="16"/>
              </w:rPr>
            </w:pPr>
            <w:r>
              <w:rPr>
                <w:color w:val="000000"/>
                <w:sz w:val="16"/>
                <w:szCs w:val="16"/>
              </w:rPr>
              <w:t>G&gt;A</w:t>
            </w:r>
          </w:p>
        </w:tc>
        <w:tc>
          <w:tcPr>
            <w:tcW w:w="1701" w:type="dxa"/>
            <w:tcBorders>
              <w:top w:val="single" w:sz="4" w:space="0" w:color="D0CECE"/>
              <w:bottom w:val="single" w:sz="4" w:space="0" w:color="D0CECE"/>
            </w:tcBorders>
            <w:tcMar>
              <w:top w:w="-113" w:type="dxa"/>
              <w:left w:w="-113" w:type="dxa"/>
              <w:bottom w:w="-113" w:type="dxa"/>
              <w:right w:w="-113" w:type="dxa"/>
            </w:tcMar>
          </w:tcPr>
          <w:p w14:paraId="6172CB1A" w14:textId="77777777" w:rsidR="00CB0062" w:rsidRDefault="00CB0062" w:rsidP="00223E56">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0BE69C4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2905547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729F743B"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DBF0C2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5414AE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24E3052A" w14:textId="77777777" w:rsidR="00CB0062" w:rsidRDefault="00CB0062" w:rsidP="00223E56">
            <w:pPr>
              <w:rPr>
                <w:color w:val="000000"/>
                <w:sz w:val="16"/>
                <w:szCs w:val="16"/>
              </w:rPr>
            </w:pPr>
            <w:r>
              <w:rPr>
                <w:color w:val="000000"/>
                <w:sz w:val="16"/>
                <w:szCs w:val="16"/>
              </w:rPr>
              <w:t>rs2066461</w:t>
            </w:r>
          </w:p>
        </w:tc>
        <w:tc>
          <w:tcPr>
            <w:tcW w:w="851" w:type="dxa"/>
            <w:tcBorders>
              <w:top w:val="single" w:sz="4" w:space="0" w:color="D0CECE"/>
              <w:bottom w:val="single" w:sz="4" w:space="0" w:color="D0CECE"/>
            </w:tcBorders>
            <w:tcMar>
              <w:top w:w="-113" w:type="dxa"/>
              <w:left w:w="-113" w:type="dxa"/>
              <w:bottom w:w="-113" w:type="dxa"/>
              <w:right w:w="-113" w:type="dxa"/>
            </w:tcMar>
          </w:tcPr>
          <w:p w14:paraId="3449EB29" w14:textId="77777777" w:rsidR="00CB0062" w:rsidRDefault="00CB0062" w:rsidP="00223E56">
            <w:pPr>
              <w:rPr>
                <w:color w:val="000000"/>
                <w:sz w:val="16"/>
                <w:szCs w:val="16"/>
              </w:rPr>
            </w:pPr>
            <w:r>
              <w:rPr>
                <w:color w:val="000000"/>
                <w:sz w:val="16"/>
                <w:szCs w:val="16"/>
              </w:rPr>
              <w:t>G&gt;</w:t>
            </w:r>
            <w:proofErr w:type="gramStart"/>
            <w:r>
              <w:rPr>
                <w:color w:val="000000"/>
                <w:sz w:val="16"/>
                <w:szCs w:val="16"/>
              </w:rPr>
              <w:t>A,T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12CF41A3" w14:textId="77777777" w:rsidR="00CB0062" w:rsidRDefault="00CB0062" w:rsidP="00223E56">
            <w:pPr>
              <w:rPr>
                <w:color w:val="000000"/>
                <w:sz w:val="16"/>
                <w:szCs w:val="16"/>
              </w:rPr>
            </w:pPr>
            <w:r>
              <w:rPr>
                <w:color w:val="000000"/>
                <w:sz w:val="16"/>
                <w:szCs w:val="16"/>
              </w:rPr>
              <w:t>Synonymous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3415D77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44F7D47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31B4B58C"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A3AFDC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427CA2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58275AF" w14:textId="77777777" w:rsidR="00CB0062" w:rsidRDefault="00CB0062" w:rsidP="00223E56">
            <w:pPr>
              <w:rPr>
                <w:color w:val="000000"/>
                <w:sz w:val="16"/>
                <w:szCs w:val="16"/>
              </w:rPr>
            </w:pPr>
            <w:r>
              <w:rPr>
                <w:color w:val="000000"/>
                <w:sz w:val="16"/>
                <w:szCs w:val="16"/>
              </w:rPr>
              <w:t>rs2066466</w:t>
            </w:r>
          </w:p>
        </w:tc>
        <w:tc>
          <w:tcPr>
            <w:tcW w:w="851" w:type="dxa"/>
            <w:tcBorders>
              <w:top w:val="single" w:sz="4" w:space="0" w:color="D0CECE"/>
              <w:bottom w:val="single" w:sz="4" w:space="0" w:color="D0CECE"/>
            </w:tcBorders>
            <w:tcMar>
              <w:top w:w="-113" w:type="dxa"/>
              <w:left w:w="-113" w:type="dxa"/>
              <w:bottom w:w="-113" w:type="dxa"/>
              <w:right w:w="-113" w:type="dxa"/>
            </w:tcMar>
          </w:tcPr>
          <w:p w14:paraId="68E993A9" w14:textId="77777777" w:rsidR="00CB0062" w:rsidRDefault="00CB0062" w:rsidP="00223E56">
            <w:pPr>
              <w:rPr>
                <w:color w:val="000000"/>
                <w:sz w:val="16"/>
                <w:szCs w:val="16"/>
              </w:rPr>
            </w:pPr>
            <w:r>
              <w:rPr>
                <w:color w:val="000000"/>
                <w:sz w:val="16"/>
                <w:szCs w:val="16"/>
              </w:rPr>
              <w:t>C&gt;</w:t>
            </w:r>
            <w:proofErr w:type="gramStart"/>
            <w:r>
              <w:rPr>
                <w:color w:val="000000"/>
                <w:sz w:val="16"/>
                <w:szCs w:val="16"/>
              </w:rPr>
              <w:t>A,G</w:t>
            </w:r>
            <w:proofErr w:type="gramEnd"/>
            <w:r>
              <w:rPr>
                <w:color w:val="000000"/>
                <w:sz w:val="16"/>
                <w:szCs w:val="16"/>
              </w:rPr>
              <w:t>,T</w:t>
            </w:r>
          </w:p>
        </w:tc>
        <w:tc>
          <w:tcPr>
            <w:tcW w:w="1701" w:type="dxa"/>
            <w:tcBorders>
              <w:top w:val="single" w:sz="4" w:space="0" w:color="D0CECE"/>
              <w:bottom w:val="single" w:sz="4" w:space="0" w:color="D0CECE"/>
            </w:tcBorders>
            <w:tcMar>
              <w:top w:w="-113" w:type="dxa"/>
              <w:left w:w="-113" w:type="dxa"/>
              <w:bottom w:w="-113" w:type="dxa"/>
              <w:right w:w="-113" w:type="dxa"/>
            </w:tcMar>
          </w:tcPr>
          <w:p w14:paraId="63D2B979" w14:textId="77777777" w:rsidR="00CB0062" w:rsidRDefault="00CB0062" w:rsidP="00223E56">
            <w:pPr>
              <w:rPr>
                <w:color w:val="000000"/>
                <w:sz w:val="16"/>
                <w:szCs w:val="16"/>
              </w:rPr>
            </w:pPr>
            <w:r>
              <w:rPr>
                <w:color w:val="000000"/>
                <w:sz w:val="16"/>
                <w:szCs w:val="16"/>
              </w:rPr>
              <w:t>Synonymous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2622333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0912CFA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778D2CFA"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CA5961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77B250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A494EF2" w14:textId="77777777" w:rsidR="00CB0062" w:rsidRDefault="00CB0062" w:rsidP="00223E56">
            <w:pPr>
              <w:rPr>
                <w:color w:val="000000"/>
                <w:sz w:val="16"/>
                <w:szCs w:val="16"/>
              </w:rPr>
            </w:pPr>
            <w:r>
              <w:rPr>
                <w:color w:val="000000"/>
                <w:sz w:val="16"/>
                <w:szCs w:val="16"/>
              </w:rPr>
              <w:t>rs2066471</w:t>
            </w:r>
          </w:p>
        </w:tc>
        <w:tc>
          <w:tcPr>
            <w:tcW w:w="851" w:type="dxa"/>
            <w:tcBorders>
              <w:top w:val="single" w:sz="4" w:space="0" w:color="D0CECE"/>
              <w:bottom w:val="single" w:sz="4" w:space="0" w:color="D0CECE"/>
            </w:tcBorders>
            <w:tcMar>
              <w:top w:w="-113" w:type="dxa"/>
              <w:left w:w="-113" w:type="dxa"/>
              <w:bottom w:w="-113" w:type="dxa"/>
              <w:right w:w="-113" w:type="dxa"/>
            </w:tcMar>
          </w:tcPr>
          <w:p w14:paraId="7966710D" w14:textId="77777777" w:rsidR="00CB0062" w:rsidRDefault="00CB0062" w:rsidP="00223E56">
            <w:pPr>
              <w:rPr>
                <w:color w:val="000000"/>
                <w:sz w:val="16"/>
                <w:szCs w:val="16"/>
              </w:rPr>
            </w:pPr>
            <w:r>
              <w:rPr>
                <w:color w:val="000000"/>
                <w:sz w:val="16"/>
                <w:szCs w:val="16"/>
              </w:rPr>
              <w:t>C&gt;</w:t>
            </w:r>
            <w:proofErr w:type="gramStart"/>
            <w:r>
              <w:rPr>
                <w:color w:val="000000"/>
                <w:sz w:val="16"/>
                <w:szCs w:val="16"/>
              </w:rPr>
              <w:t>G,T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6A0C0970" w14:textId="77777777" w:rsidR="00CB0062" w:rsidRDefault="00CB0062" w:rsidP="00223E56">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6AD3085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3CF3FF1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3251F1CE"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E03720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53B208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285BEA15" w14:textId="77777777" w:rsidR="00CB0062" w:rsidRDefault="00CB0062" w:rsidP="00223E56">
            <w:pPr>
              <w:rPr>
                <w:color w:val="000000"/>
                <w:sz w:val="16"/>
                <w:szCs w:val="16"/>
              </w:rPr>
            </w:pPr>
            <w:r>
              <w:rPr>
                <w:color w:val="000000"/>
                <w:sz w:val="16"/>
                <w:szCs w:val="16"/>
              </w:rPr>
              <w:t>rs2077360</w:t>
            </w:r>
          </w:p>
        </w:tc>
        <w:tc>
          <w:tcPr>
            <w:tcW w:w="851" w:type="dxa"/>
            <w:tcBorders>
              <w:top w:val="single" w:sz="4" w:space="0" w:color="D0CECE"/>
              <w:bottom w:val="single" w:sz="4" w:space="0" w:color="D0CECE"/>
            </w:tcBorders>
            <w:tcMar>
              <w:top w:w="-113" w:type="dxa"/>
              <w:left w:w="-113" w:type="dxa"/>
              <w:bottom w:w="-113" w:type="dxa"/>
              <w:right w:w="-113" w:type="dxa"/>
            </w:tcMar>
          </w:tcPr>
          <w:p w14:paraId="692FF7F3" w14:textId="77777777" w:rsidR="00CB0062" w:rsidRDefault="00CB0062" w:rsidP="00223E56">
            <w:pPr>
              <w:rPr>
                <w:color w:val="000000"/>
                <w:sz w:val="16"/>
                <w:szCs w:val="16"/>
              </w:rPr>
            </w:pPr>
            <w:r>
              <w:rPr>
                <w:color w:val="000000"/>
                <w:sz w:val="16"/>
                <w:szCs w:val="16"/>
              </w:rPr>
              <w:t>A&gt;</w:t>
            </w:r>
            <w:proofErr w:type="gramStart"/>
            <w:r>
              <w:rPr>
                <w:color w:val="000000"/>
                <w:sz w:val="16"/>
                <w:szCs w:val="16"/>
              </w:rPr>
              <w:t>G,T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70481AB0" w14:textId="77777777" w:rsidR="00CB0062" w:rsidRDefault="00CB0062" w:rsidP="00223E56">
            <w:pPr>
              <w:rPr>
                <w:color w:val="000000"/>
                <w:sz w:val="16"/>
                <w:szCs w:val="16"/>
              </w:rPr>
            </w:pPr>
            <w:r>
              <w:rPr>
                <w:sz w:val="16"/>
                <w:szCs w:val="16"/>
              </w:rPr>
              <w:t>3 Prime UTR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1934C3F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184F393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17E57CAA"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CB63FF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6C1595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28D8B05" w14:textId="77777777" w:rsidR="00CB0062" w:rsidRDefault="00CB0062" w:rsidP="00223E56">
            <w:pPr>
              <w:rPr>
                <w:color w:val="000000"/>
                <w:sz w:val="16"/>
                <w:szCs w:val="16"/>
              </w:rPr>
            </w:pPr>
            <w:r>
              <w:rPr>
                <w:color w:val="000000"/>
                <w:sz w:val="16"/>
                <w:szCs w:val="16"/>
              </w:rPr>
              <w:t>rs2184226</w:t>
            </w:r>
          </w:p>
        </w:tc>
        <w:tc>
          <w:tcPr>
            <w:tcW w:w="851" w:type="dxa"/>
            <w:tcBorders>
              <w:top w:val="single" w:sz="4" w:space="0" w:color="D0CECE"/>
              <w:bottom w:val="single" w:sz="4" w:space="0" w:color="D0CECE"/>
            </w:tcBorders>
            <w:tcMar>
              <w:top w:w="-113" w:type="dxa"/>
              <w:left w:w="-113" w:type="dxa"/>
              <w:bottom w:w="-113" w:type="dxa"/>
              <w:right w:w="-113" w:type="dxa"/>
            </w:tcMar>
          </w:tcPr>
          <w:p w14:paraId="0B1AF093" w14:textId="77777777" w:rsidR="00CB0062" w:rsidRDefault="00CB0062" w:rsidP="00223E56">
            <w:pPr>
              <w:rPr>
                <w:color w:val="000000"/>
                <w:sz w:val="16"/>
                <w:szCs w:val="16"/>
              </w:rPr>
            </w:pPr>
            <w:r>
              <w:rPr>
                <w:color w:val="000000"/>
                <w:sz w:val="16"/>
                <w:szCs w:val="16"/>
              </w:rPr>
              <w:t>T&gt;C</w:t>
            </w:r>
          </w:p>
        </w:tc>
        <w:tc>
          <w:tcPr>
            <w:tcW w:w="1701" w:type="dxa"/>
            <w:tcBorders>
              <w:top w:val="single" w:sz="4" w:space="0" w:color="D0CECE"/>
              <w:bottom w:val="single" w:sz="4" w:space="0" w:color="D0CECE"/>
            </w:tcBorders>
            <w:tcMar>
              <w:top w:w="-113" w:type="dxa"/>
              <w:left w:w="-113" w:type="dxa"/>
              <w:bottom w:w="-113" w:type="dxa"/>
              <w:right w:w="-113" w:type="dxa"/>
            </w:tcMar>
          </w:tcPr>
          <w:p w14:paraId="238BDBE6" w14:textId="77777777" w:rsidR="00CB0062" w:rsidRDefault="00CB0062" w:rsidP="00223E56">
            <w:pPr>
              <w:rPr>
                <w:color w:val="000000"/>
                <w:sz w:val="16"/>
                <w:szCs w:val="16"/>
              </w:rPr>
            </w:pPr>
            <w:r>
              <w:rPr>
                <w:sz w:val="16"/>
                <w:szCs w:val="16"/>
              </w:rPr>
              <w:t>3 Prime UTR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477FBC4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0A6676B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0E241FA3"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9EC36F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606485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A126043" w14:textId="77777777" w:rsidR="00CB0062" w:rsidRDefault="00CB0062" w:rsidP="00223E56">
            <w:pPr>
              <w:rPr>
                <w:color w:val="000000"/>
                <w:sz w:val="16"/>
                <w:szCs w:val="16"/>
              </w:rPr>
            </w:pPr>
            <w:r>
              <w:rPr>
                <w:color w:val="000000"/>
                <w:sz w:val="16"/>
                <w:szCs w:val="16"/>
              </w:rPr>
              <w:t>rs28484963</w:t>
            </w:r>
          </w:p>
        </w:tc>
        <w:tc>
          <w:tcPr>
            <w:tcW w:w="851" w:type="dxa"/>
            <w:tcBorders>
              <w:top w:val="single" w:sz="4" w:space="0" w:color="D0CECE"/>
              <w:bottom w:val="single" w:sz="4" w:space="0" w:color="D0CECE"/>
            </w:tcBorders>
            <w:tcMar>
              <w:top w:w="-113" w:type="dxa"/>
              <w:left w:w="-113" w:type="dxa"/>
              <w:bottom w:w="-113" w:type="dxa"/>
              <w:right w:w="-113" w:type="dxa"/>
            </w:tcMar>
          </w:tcPr>
          <w:p w14:paraId="3E03D3B1" w14:textId="77777777" w:rsidR="00CB0062" w:rsidRDefault="00CB0062" w:rsidP="00223E56">
            <w:pPr>
              <w:rPr>
                <w:color w:val="000000"/>
                <w:sz w:val="16"/>
                <w:szCs w:val="16"/>
              </w:rPr>
            </w:pPr>
            <w:r>
              <w:rPr>
                <w:color w:val="000000"/>
                <w:sz w:val="16"/>
                <w:szCs w:val="16"/>
              </w:rPr>
              <w:t>T&gt;</w:t>
            </w:r>
            <w:proofErr w:type="gramStart"/>
            <w:r>
              <w:rPr>
                <w:color w:val="000000"/>
                <w:sz w:val="16"/>
                <w:szCs w:val="16"/>
              </w:rPr>
              <w:t>C,G</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33DCEF9D" w14:textId="77777777" w:rsidR="00CB0062" w:rsidRDefault="00CB0062" w:rsidP="00223E56">
            <w:pPr>
              <w:rPr>
                <w:color w:val="000000"/>
                <w:sz w:val="16"/>
                <w:szCs w:val="16"/>
              </w:rPr>
            </w:pPr>
            <w:r>
              <w:rPr>
                <w:sz w:val="16"/>
                <w:szCs w:val="16"/>
              </w:rPr>
              <w:t>3 Prime UTR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3DE12A5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0222DA7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16AB5939"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ADE753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34407B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3E8C28F" w14:textId="77777777" w:rsidR="00CB0062" w:rsidRDefault="00CB0062" w:rsidP="00223E56">
            <w:pPr>
              <w:rPr>
                <w:color w:val="000000"/>
                <w:sz w:val="16"/>
                <w:szCs w:val="16"/>
              </w:rPr>
            </w:pPr>
            <w:r>
              <w:rPr>
                <w:color w:val="000000"/>
                <w:sz w:val="16"/>
                <w:szCs w:val="16"/>
              </w:rPr>
              <w:t>rs3737965</w:t>
            </w:r>
          </w:p>
        </w:tc>
        <w:tc>
          <w:tcPr>
            <w:tcW w:w="851" w:type="dxa"/>
            <w:tcBorders>
              <w:top w:val="single" w:sz="4" w:space="0" w:color="D0CECE"/>
              <w:bottom w:val="single" w:sz="4" w:space="0" w:color="D0CECE"/>
            </w:tcBorders>
            <w:tcMar>
              <w:top w:w="-113" w:type="dxa"/>
              <w:left w:w="-113" w:type="dxa"/>
              <w:bottom w:w="-113" w:type="dxa"/>
              <w:right w:w="-113" w:type="dxa"/>
            </w:tcMar>
          </w:tcPr>
          <w:p w14:paraId="537CC1F0" w14:textId="77777777" w:rsidR="00CB0062" w:rsidRDefault="00CB0062" w:rsidP="00223E56">
            <w:pPr>
              <w:rPr>
                <w:color w:val="000000"/>
                <w:sz w:val="16"/>
                <w:szCs w:val="16"/>
              </w:rPr>
            </w:pPr>
            <w:r>
              <w:rPr>
                <w:color w:val="000000"/>
                <w:sz w:val="16"/>
                <w:szCs w:val="16"/>
              </w:rPr>
              <w:t>G&gt;A</w:t>
            </w:r>
          </w:p>
        </w:tc>
        <w:tc>
          <w:tcPr>
            <w:tcW w:w="1701" w:type="dxa"/>
            <w:tcBorders>
              <w:top w:val="single" w:sz="4" w:space="0" w:color="D0CECE"/>
              <w:bottom w:val="single" w:sz="4" w:space="0" w:color="D0CECE"/>
            </w:tcBorders>
            <w:tcMar>
              <w:top w:w="-113" w:type="dxa"/>
              <w:left w:w="-113" w:type="dxa"/>
              <w:bottom w:w="-113" w:type="dxa"/>
              <w:right w:w="-113" w:type="dxa"/>
            </w:tcMar>
          </w:tcPr>
          <w:p w14:paraId="7428F3CB" w14:textId="77777777" w:rsidR="00CB0062" w:rsidRDefault="00CB0062" w:rsidP="00223E56">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621DAA4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2719750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23487D5A"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68AA4B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FDDE57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EB99A32" w14:textId="77777777" w:rsidR="00CB0062" w:rsidRDefault="00CB0062" w:rsidP="00223E56">
            <w:pPr>
              <w:rPr>
                <w:color w:val="000000"/>
                <w:sz w:val="16"/>
                <w:szCs w:val="16"/>
              </w:rPr>
            </w:pPr>
            <w:r>
              <w:rPr>
                <w:color w:val="000000"/>
                <w:sz w:val="16"/>
                <w:szCs w:val="16"/>
              </w:rPr>
              <w:t>rs3753582</w:t>
            </w:r>
          </w:p>
        </w:tc>
        <w:tc>
          <w:tcPr>
            <w:tcW w:w="851" w:type="dxa"/>
            <w:tcBorders>
              <w:top w:val="single" w:sz="4" w:space="0" w:color="D0CECE"/>
              <w:bottom w:val="single" w:sz="4" w:space="0" w:color="D0CECE"/>
            </w:tcBorders>
            <w:tcMar>
              <w:top w:w="-113" w:type="dxa"/>
              <w:left w:w="-113" w:type="dxa"/>
              <w:bottom w:w="-113" w:type="dxa"/>
              <w:right w:w="-113" w:type="dxa"/>
            </w:tcMar>
          </w:tcPr>
          <w:p w14:paraId="015D22F8" w14:textId="77777777" w:rsidR="00CB0062" w:rsidRDefault="00CB0062" w:rsidP="00223E56">
            <w:pPr>
              <w:rPr>
                <w:color w:val="000000"/>
                <w:sz w:val="16"/>
                <w:szCs w:val="16"/>
              </w:rPr>
            </w:pPr>
            <w:r>
              <w:rPr>
                <w:color w:val="000000"/>
                <w:sz w:val="16"/>
                <w:szCs w:val="16"/>
              </w:rPr>
              <w:t>A&gt;C</w:t>
            </w:r>
          </w:p>
        </w:tc>
        <w:tc>
          <w:tcPr>
            <w:tcW w:w="1701" w:type="dxa"/>
            <w:tcBorders>
              <w:top w:val="single" w:sz="4" w:space="0" w:color="D0CECE"/>
              <w:bottom w:val="single" w:sz="4" w:space="0" w:color="D0CECE"/>
            </w:tcBorders>
            <w:tcMar>
              <w:top w:w="-113" w:type="dxa"/>
              <w:left w:w="-113" w:type="dxa"/>
              <w:bottom w:w="-113" w:type="dxa"/>
              <w:right w:w="-113" w:type="dxa"/>
            </w:tcMar>
          </w:tcPr>
          <w:p w14:paraId="6D133D69" w14:textId="77777777" w:rsidR="00CB0062" w:rsidRDefault="00CB0062" w:rsidP="00223E56">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1627E3A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1354478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2A27D96A"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EFDBCD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742411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23C83061" w14:textId="77777777" w:rsidR="00CB0062" w:rsidRDefault="00CB0062" w:rsidP="00223E56">
            <w:pPr>
              <w:rPr>
                <w:color w:val="000000"/>
                <w:sz w:val="16"/>
                <w:szCs w:val="16"/>
              </w:rPr>
            </w:pPr>
            <w:r>
              <w:rPr>
                <w:color w:val="000000"/>
                <w:sz w:val="16"/>
                <w:szCs w:val="16"/>
              </w:rPr>
              <w:t>rs3753584</w:t>
            </w:r>
          </w:p>
        </w:tc>
        <w:tc>
          <w:tcPr>
            <w:tcW w:w="851" w:type="dxa"/>
            <w:tcBorders>
              <w:top w:val="single" w:sz="4" w:space="0" w:color="D0CECE"/>
              <w:bottom w:val="single" w:sz="4" w:space="0" w:color="D0CECE"/>
            </w:tcBorders>
            <w:tcMar>
              <w:top w:w="-113" w:type="dxa"/>
              <w:left w:w="-113" w:type="dxa"/>
              <w:bottom w:w="-113" w:type="dxa"/>
              <w:right w:w="-113" w:type="dxa"/>
            </w:tcMar>
          </w:tcPr>
          <w:p w14:paraId="51F4B9FA" w14:textId="77777777" w:rsidR="00CB0062" w:rsidRDefault="00CB0062" w:rsidP="00223E56">
            <w:pPr>
              <w:rPr>
                <w:color w:val="000000"/>
                <w:sz w:val="16"/>
                <w:szCs w:val="16"/>
              </w:rPr>
            </w:pPr>
            <w:r>
              <w:rPr>
                <w:color w:val="000000"/>
                <w:sz w:val="16"/>
                <w:szCs w:val="16"/>
              </w:rPr>
              <w:t>T&gt;C</w:t>
            </w:r>
          </w:p>
        </w:tc>
        <w:tc>
          <w:tcPr>
            <w:tcW w:w="1701" w:type="dxa"/>
            <w:tcBorders>
              <w:top w:val="single" w:sz="4" w:space="0" w:color="D0CECE"/>
              <w:bottom w:val="single" w:sz="4" w:space="0" w:color="D0CECE"/>
            </w:tcBorders>
            <w:tcMar>
              <w:top w:w="-113" w:type="dxa"/>
              <w:left w:w="-113" w:type="dxa"/>
              <w:bottom w:w="-113" w:type="dxa"/>
              <w:right w:w="-113" w:type="dxa"/>
            </w:tcMar>
          </w:tcPr>
          <w:p w14:paraId="348F8343" w14:textId="77777777" w:rsidR="00CB0062" w:rsidRDefault="00CB0062" w:rsidP="00223E56">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00AB7A3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4D7C071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4CFB2ECE"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5CC8C5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3303DA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CBAAA15" w14:textId="77777777" w:rsidR="00CB0062" w:rsidRDefault="00CB0062" w:rsidP="00223E56">
            <w:pPr>
              <w:rPr>
                <w:color w:val="000000"/>
                <w:sz w:val="16"/>
                <w:szCs w:val="16"/>
              </w:rPr>
            </w:pPr>
            <w:r>
              <w:rPr>
                <w:color w:val="000000"/>
                <w:sz w:val="16"/>
                <w:szCs w:val="16"/>
              </w:rPr>
              <w:t>rs3753588</w:t>
            </w:r>
          </w:p>
        </w:tc>
        <w:tc>
          <w:tcPr>
            <w:tcW w:w="851" w:type="dxa"/>
            <w:tcBorders>
              <w:top w:val="single" w:sz="4" w:space="0" w:color="D0CECE"/>
              <w:bottom w:val="single" w:sz="4" w:space="0" w:color="D0CECE"/>
            </w:tcBorders>
            <w:tcMar>
              <w:top w:w="-113" w:type="dxa"/>
              <w:left w:w="-113" w:type="dxa"/>
              <w:bottom w:w="-113" w:type="dxa"/>
              <w:right w:w="-113" w:type="dxa"/>
            </w:tcMar>
          </w:tcPr>
          <w:p w14:paraId="701B9CC0" w14:textId="77777777" w:rsidR="00CB0062" w:rsidRDefault="00CB0062" w:rsidP="00223E56">
            <w:pPr>
              <w:rPr>
                <w:color w:val="000000"/>
                <w:sz w:val="16"/>
                <w:szCs w:val="16"/>
              </w:rPr>
            </w:pPr>
            <w:r>
              <w:rPr>
                <w:color w:val="000000"/>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6E5969A2" w14:textId="77777777" w:rsidR="00CB0062" w:rsidRDefault="00CB0062" w:rsidP="00223E56">
            <w:pPr>
              <w:rPr>
                <w:color w:val="000000"/>
                <w:sz w:val="16"/>
                <w:szCs w:val="16"/>
              </w:rPr>
            </w:pPr>
            <w:r>
              <w:rPr>
                <w:color w:val="000000"/>
                <w:sz w:val="16"/>
                <w:szCs w:val="16"/>
              </w:rPr>
              <w:t>Noncoding transcript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77365DA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7BB43FA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359C8499"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B3F6AC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AF03B3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5D1DA964" w14:textId="77777777" w:rsidR="00CB0062" w:rsidRDefault="00CB0062" w:rsidP="00223E56">
            <w:pPr>
              <w:rPr>
                <w:color w:val="000000"/>
                <w:sz w:val="16"/>
                <w:szCs w:val="16"/>
              </w:rPr>
            </w:pPr>
            <w:r>
              <w:rPr>
                <w:color w:val="000000"/>
                <w:sz w:val="16"/>
                <w:szCs w:val="16"/>
              </w:rPr>
              <w:t>rs41452445</w:t>
            </w:r>
          </w:p>
        </w:tc>
        <w:tc>
          <w:tcPr>
            <w:tcW w:w="851" w:type="dxa"/>
            <w:tcBorders>
              <w:top w:val="single" w:sz="4" w:space="0" w:color="D0CECE"/>
              <w:bottom w:val="single" w:sz="4" w:space="0" w:color="D0CECE"/>
            </w:tcBorders>
            <w:tcMar>
              <w:top w:w="-113" w:type="dxa"/>
              <w:left w:w="-113" w:type="dxa"/>
              <w:bottom w:w="-113" w:type="dxa"/>
              <w:right w:w="-113" w:type="dxa"/>
            </w:tcMar>
          </w:tcPr>
          <w:p w14:paraId="55F8426F" w14:textId="77777777" w:rsidR="00CB0062" w:rsidRDefault="00CB0062" w:rsidP="00223E56">
            <w:pPr>
              <w:rPr>
                <w:color w:val="000000"/>
                <w:sz w:val="16"/>
                <w:szCs w:val="16"/>
              </w:rPr>
            </w:pPr>
            <w:r>
              <w:rPr>
                <w:color w:val="000000"/>
                <w:sz w:val="16"/>
                <w:szCs w:val="16"/>
              </w:rPr>
              <w:t>T&gt;C</w:t>
            </w:r>
          </w:p>
        </w:tc>
        <w:tc>
          <w:tcPr>
            <w:tcW w:w="1701" w:type="dxa"/>
            <w:tcBorders>
              <w:top w:val="single" w:sz="4" w:space="0" w:color="D0CECE"/>
              <w:bottom w:val="single" w:sz="4" w:space="0" w:color="D0CECE"/>
            </w:tcBorders>
            <w:tcMar>
              <w:top w:w="-113" w:type="dxa"/>
              <w:left w:w="-113" w:type="dxa"/>
              <w:bottom w:w="-113" w:type="dxa"/>
              <w:right w:w="-113" w:type="dxa"/>
            </w:tcMar>
          </w:tcPr>
          <w:p w14:paraId="301985C0" w14:textId="77777777" w:rsidR="00CB0062" w:rsidRDefault="00CB0062" w:rsidP="00223E56">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5E2CE00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7A9B5F1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070BE14F"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097A9B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5578E6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6AFFD279" w14:textId="77777777" w:rsidR="00CB0062" w:rsidRDefault="00CB0062" w:rsidP="00223E56">
            <w:pPr>
              <w:rPr>
                <w:color w:val="000000"/>
                <w:sz w:val="16"/>
                <w:szCs w:val="16"/>
              </w:rPr>
            </w:pPr>
            <w:r>
              <w:rPr>
                <w:color w:val="000000"/>
                <w:sz w:val="16"/>
                <w:szCs w:val="16"/>
              </w:rPr>
              <w:t>rs4845884</w:t>
            </w:r>
          </w:p>
        </w:tc>
        <w:tc>
          <w:tcPr>
            <w:tcW w:w="851" w:type="dxa"/>
            <w:tcBorders>
              <w:top w:val="single" w:sz="4" w:space="0" w:color="D0CECE"/>
              <w:bottom w:val="single" w:sz="4" w:space="0" w:color="D0CECE"/>
            </w:tcBorders>
            <w:tcMar>
              <w:top w:w="-113" w:type="dxa"/>
              <w:left w:w="-113" w:type="dxa"/>
              <w:bottom w:w="-113" w:type="dxa"/>
              <w:right w:w="-113" w:type="dxa"/>
            </w:tcMar>
          </w:tcPr>
          <w:p w14:paraId="733A54DB" w14:textId="77777777" w:rsidR="00CB0062" w:rsidRDefault="00CB0062" w:rsidP="00223E56">
            <w:pPr>
              <w:rPr>
                <w:color w:val="000000"/>
                <w:sz w:val="16"/>
                <w:szCs w:val="16"/>
              </w:rPr>
            </w:pPr>
            <w:r>
              <w:rPr>
                <w:color w:val="000000"/>
                <w:sz w:val="16"/>
                <w:szCs w:val="16"/>
              </w:rPr>
              <w:t>G&gt;</w:t>
            </w:r>
            <w:proofErr w:type="gramStart"/>
            <w:r>
              <w:rPr>
                <w:color w:val="000000"/>
                <w:sz w:val="16"/>
                <w:szCs w:val="16"/>
              </w:rPr>
              <w:t>A,C</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1FD63ACA" w14:textId="77777777" w:rsidR="00CB0062" w:rsidRDefault="00CB0062" w:rsidP="00223E56">
            <w:pPr>
              <w:rPr>
                <w:color w:val="000000"/>
                <w:sz w:val="16"/>
                <w:szCs w:val="16"/>
              </w:rPr>
            </w:pPr>
            <w:r>
              <w:rPr>
                <w:sz w:val="16"/>
                <w:szCs w:val="16"/>
              </w:rPr>
              <w:t>3 Prime UTR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789A1A2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4AE9D13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4811C33B"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DCF3B4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2214F9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12F6E3AB" w14:textId="77777777" w:rsidR="00CB0062" w:rsidRDefault="00CB0062" w:rsidP="00223E56">
            <w:pPr>
              <w:rPr>
                <w:color w:val="000000"/>
                <w:sz w:val="16"/>
                <w:szCs w:val="16"/>
              </w:rPr>
            </w:pPr>
            <w:r>
              <w:rPr>
                <w:color w:val="000000"/>
                <w:sz w:val="16"/>
                <w:szCs w:val="16"/>
              </w:rPr>
              <w:t>rs4846048</w:t>
            </w:r>
          </w:p>
        </w:tc>
        <w:tc>
          <w:tcPr>
            <w:tcW w:w="851" w:type="dxa"/>
            <w:tcBorders>
              <w:top w:val="single" w:sz="4" w:space="0" w:color="D0CECE"/>
              <w:bottom w:val="single" w:sz="4" w:space="0" w:color="D0CECE"/>
            </w:tcBorders>
            <w:tcMar>
              <w:top w:w="-113" w:type="dxa"/>
              <w:left w:w="-113" w:type="dxa"/>
              <w:bottom w:w="-113" w:type="dxa"/>
              <w:right w:w="-113" w:type="dxa"/>
            </w:tcMar>
          </w:tcPr>
          <w:p w14:paraId="2488D71D" w14:textId="77777777" w:rsidR="00CB0062" w:rsidRDefault="00CB0062" w:rsidP="00223E56">
            <w:pPr>
              <w:rPr>
                <w:color w:val="000000"/>
                <w:sz w:val="16"/>
                <w:szCs w:val="16"/>
              </w:rPr>
            </w:pPr>
            <w:r>
              <w:rPr>
                <w:color w:val="000000"/>
                <w:sz w:val="16"/>
                <w:szCs w:val="16"/>
              </w:rPr>
              <w:t>G&gt;</w:t>
            </w:r>
            <w:proofErr w:type="gramStart"/>
            <w:r>
              <w:rPr>
                <w:color w:val="000000"/>
                <w:sz w:val="16"/>
                <w:szCs w:val="16"/>
              </w:rPr>
              <w:t>A,C</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30B12BA8" w14:textId="77777777" w:rsidR="00CB0062" w:rsidRDefault="00CB0062" w:rsidP="00223E56">
            <w:pPr>
              <w:rPr>
                <w:color w:val="000000"/>
                <w:sz w:val="16"/>
                <w:szCs w:val="16"/>
              </w:rPr>
            </w:pPr>
            <w:r>
              <w:rPr>
                <w:sz w:val="16"/>
                <w:szCs w:val="16"/>
              </w:rPr>
              <w:t>3 Prime UTR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17E4A7B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3A040A7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6C49B187"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C7B860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9D17AF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5467D11D" w14:textId="77777777" w:rsidR="00CB0062" w:rsidRDefault="00CB0062" w:rsidP="00223E56">
            <w:pPr>
              <w:rPr>
                <w:color w:val="000000"/>
                <w:sz w:val="16"/>
                <w:szCs w:val="16"/>
              </w:rPr>
            </w:pPr>
            <w:r>
              <w:rPr>
                <w:color w:val="000000"/>
                <w:sz w:val="16"/>
                <w:szCs w:val="16"/>
              </w:rPr>
              <w:t>rs4846049</w:t>
            </w:r>
          </w:p>
        </w:tc>
        <w:tc>
          <w:tcPr>
            <w:tcW w:w="851" w:type="dxa"/>
            <w:tcBorders>
              <w:top w:val="single" w:sz="4" w:space="0" w:color="D0CECE"/>
              <w:bottom w:val="single" w:sz="4" w:space="0" w:color="D0CECE"/>
            </w:tcBorders>
            <w:tcMar>
              <w:top w:w="-113" w:type="dxa"/>
              <w:left w:w="-113" w:type="dxa"/>
              <w:bottom w:w="-113" w:type="dxa"/>
              <w:right w:w="-113" w:type="dxa"/>
            </w:tcMar>
          </w:tcPr>
          <w:p w14:paraId="2DCE2EE3" w14:textId="77777777" w:rsidR="00CB0062" w:rsidRDefault="00CB0062" w:rsidP="00223E56">
            <w:pPr>
              <w:rPr>
                <w:color w:val="000000"/>
                <w:sz w:val="16"/>
                <w:szCs w:val="16"/>
              </w:rPr>
            </w:pPr>
            <w:r>
              <w:rPr>
                <w:color w:val="000000"/>
                <w:sz w:val="16"/>
                <w:szCs w:val="16"/>
              </w:rPr>
              <w:t>T&lt;</w:t>
            </w:r>
            <w:proofErr w:type="gramStart"/>
            <w:r>
              <w:rPr>
                <w:color w:val="000000"/>
                <w:sz w:val="16"/>
                <w:szCs w:val="16"/>
              </w:rPr>
              <w:t>A,G</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59E97CC6" w14:textId="77777777" w:rsidR="00CB0062" w:rsidRDefault="00CB0062" w:rsidP="00223E56">
            <w:pPr>
              <w:rPr>
                <w:color w:val="000000"/>
                <w:sz w:val="16"/>
                <w:szCs w:val="16"/>
              </w:rPr>
            </w:pPr>
            <w:r>
              <w:rPr>
                <w:sz w:val="16"/>
                <w:szCs w:val="16"/>
              </w:rPr>
              <w:t>3 Prime UTR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6D64AE9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4A8BB27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211B2501"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22C7A6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F5FE27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7C808390" w14:textId="77777777" w:rsidR="00CB0062" w:rsidRDefault="00CB0062" w:rsidP="00223E56">
            <w:pPr>
              <w:rPr>
                <w:color w:val="000000"/>
                <w:sz w:val="16"/>
                <w:szCs w:val="16"/>
              </w:rPr>
            </w:pPr>
            <w:r>
              <w:rPr>
                <w:color w:val="000000"/>
                <w:sz w:val="16"/>
                <w:szCs w:val="16"/>
              </w:rPr>
              <w:t>rs4846050</w:t>
            </w:r>
          </w:p>
        </w:tc>
        <w:tc>
          <w:tcPr>
            <w:tcW w:w="851" w:type="dxa"/>
            <w:tcBorders>
              <w:top w:val="single" w:sz="4" w:space="0" w:color="D0CECE"/>
              <w:bottom w:val="single" w:sz="4" w:space="0" w:color="D0CECE"/>
            </w:tcBorders>
            <w:tcMar>
              <w:top w:w="-113" w:type="dxa"/>
              <w:left w:w="-113" w:type="dxa"/>
              <w:bottom w:w="-113" w:type="dxa"/>
              <w:right w:w="-113" w:type="dxa"/>
            </w:tcMar>
          </w:tcPr>
          <w:p w14:paraId="69442751" w14:textId="77777777" w:rsidR="00CB0062" w:rsidRDefault="00CB0062" w:rsidP="00223E56">
            <w:pPr>
              <w:rPr>
                <w:color w:val="000000"/>
                <w:sz w:val="16"/>
                <w:szCs w:val="16"/>
              </w:rPr>
            </w:pPr>
            <w:r>
              <w:rPr>
                <w:color w:val="000000"/>
                <w:sz w:val="16"/>
                <w:szCs w:val="16"/>
              </w:rPr>
              <w:t>T&gt;</w:t>
            </w:r>
            <w:proofErr w:type="gramStart"/>
            <w:r>
              <w:rPr>
                <w:color w:val="000000"/>
                <w:sz w:val="16"/>
                <w:szCs w:val="16"/>
              </w:rPr>
              <w:t>A,C</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76A53FF0" w14:textId="77777777" w:rsidR="00CB0062" w:rsidRDefault="00CB0062" w:rsidP="00223E56">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3C92E18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69E213B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5786F915"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96762D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E46C26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7B9C67B1" w14:textId="77777777" w:rsidR="00CB0062" w:rsidRDefault="00CB0062" w:rsidP="00223E56">
            <w:pPr>
              <w:rPr>
                <w:color w:val="000000"/>
                <w:sz w:val="16"/>
                <w:szCs w:val="16"/>
              </w:rPr>
            </w:pPr>
            <w:r>
              <w:rPr>
                <w:color w:val="000000"/>
                <w:sz w:val="16"/>
                <w:szCs w:val="16"/>
              </w:rPr>
              <w:t>rs4846052</w:t>
            </w:r>
          </w:p>
        </w:tc>
        <w:tc>
          <w:tcPr>
            <w:tcW w:w="851" w:type="dxa"/>
            <w:tcBorders>
              <w:top w:val="single" w:sz="4" w:space="0" w:color="D0CECE"/>
              <w:bottom w:val="single" w:sz="4" w:space="0" w:color="D0CECE"/>
            </w:tcBorders>
            <w:tcMar>
              <w:top w:w="-113" w:type="dxa"/>
              <w:left w:w="-113" w:type="dxa"/>
              <w:bottom w:w="-113" w:type="dxa"/>
              <w:right w:w="-113" w:type="dxa"/>
            </w:tcMar>
          </w:tcPr>
          <w:p w14:paraId="3A42EAC3" w14:textId="77777777" w:rsidR="00CB0062" w:rsidRDefault="00CB0062" w:rsidP="00223E56">
            <w:pPr>
              <w:rPr>
                <w:color w:val="000000"/>
                <w:sz w:val="16"/>
                <w:szCs w:val="16"/>
              </w:rPr>
            </w:pPr>
            <w:r>
              <w:rPr>
                <w:color w:val="000000"/>
                <w:sz w:val="16"/>
                <w:szCs w:val="16"/>
              </w:rPr>
              <w:t>T&gt;</w:t>
            </w:r>
            <w:proofErr w:type="gramStart"/>
            <w:r>
              <w:rPr>
                <w:color w:val="000000"/>
                <w:sz w:val="16"/>
                <w:szCs w:val="16"/>
              </w:rPr>
              <w:t>A,C</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3434FF40" w14:textId="77777777" w:rsidR="00CB0062" w:rsidRDefault="00CB0062" w:rsidP="00223E56">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70310DD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24EDF2C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073C81D6"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00E771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5FB8CB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E531157" w14:textId="77777777" w:rsidR="00CB0062" w:rsidRDefault="00CB0062" w:rsidP="00223E56">
            <w:pPr>
              <w:rPr>
                <w:color w:val="000000"/>
                <w:sz w:val="16"/>
                <w:szCs w:val="16"/>
              </w:rPr>
            </w:pPr>
            <w:r>
              <w:rPr>
                <w:color w:val="000000"/>
                <w:sz w:val="16"/>
                <w:szCs w:val="16"/>
              </w:rPr>
              <w:t>rs6541003</w:t>
            </w:r>
          </w:p>
        </w:tc>
        <w:tc>
          <w:tcPr>
            <w:tcW w:w="851" w:type="dxa"/>
            <w:tcBorders>
              <w:top w:val="single" w:sz="4" w:space="0" w:color="D0CECE"/>
              <w:bottom w:val="single" w:sz="4" w:space="0" w:color="D0CECE"/>
            </w:tcBorders>
            <w:tcMar>
              <w:top w:w="-113" w:type="dxa"/>
              <w:left w:w="-113" w:type="dxa"/>
              <w:bottom w:w="-113" w:type="dxa"/>
              <w:right w:w="-113" w:type="dxa"/>
            </w:tcMar>
          </w:tcPr>
          <w:p w14:paraId="63CD18FC" w14:textId="77777777" w:rsidR="00CB0062" w:rsidRDefault="00CB0062" w:rsidP="00223E56">
            <w:pPr>
              <w:rPr>
                <w:color w:val="000000"/>
                <w:sz w:val="16"/>
                <w:szCs w:val="16"/>
              </w:rPr>
            </w:pPr>
            <w:r>
              <w:rPr>
                <w:color w:val="000000"/>
                <w:sz w:val="16"/>
                <w:szCs w:val="16"/>
              </w:rPr>
              <w:t>G&gt;</w:t>
            </w:r>
            <w:proofErr w:type="gramStart"/>
            <w:r>
              <w:rPr>
                <w:color w:val="000000"/>
                <w:sz w:val="16"/>
                <w:szCs w:val="16"/>
              </w:rPr>
              <w:t>A,C</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4E446858" w14:textId="77777777" w:rsidR="00CB0062" w:rsidRDefault="00CB0062" w:rsidP="00223E56">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3163C7E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BF954F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3429F0EE"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74DB1E1"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AADD4F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9D0B5FE" w14:textId="77777777" w:rsidR="00CB0062" w:rsidRDefault="00CB0062" w:rsidP="00223E56">
            <w:pPr>
              <w:rPr>
                <w:color w:val="000000"/>
                <w:sz w:val="16"/>
                <w:szCs w:val="16"/>
              </w:rPr>
            </w:pPr>
            <w:r>
              <w:rPr>
                <w:color w:val="000000"/>
                <w:sz w:val="16"/>
                <w:szCs w:val="16"/>
              </w:rPr>
              <w:t>rs6700268</w:t>
            </w:r>
          </w:p>
        </w:tc>
        <w:tc>
          <w:tcPr>
            <w:tcW w:w="851" w:type="dxa"/>
            <w:tcBorders>
              <w:top w:val="single" w:sz="4" w:space="0" w:color="D0CECE"/>
              <w:bottom w:val="single" w:sz="4" w:space="0" w:color="D0CECE"/>
            </w:tcBorders>
            <w:tcMar>
              <w:top w:w="-113" w:type="dxa"/>
              <w:left w:w="-113" w:type="dxa"/>
              <w:bottom w:w="-113" w:type="dxa"/>
              <w:right w:w="-113" w:type="dxa"/>
            </w:tcMar>
          </w:tcPr>
          <w:p w14:paraId="16E2A113" w14:textId="77777777" w:rsidR="00CB0062" w:rsidRDefault="00CB0062" w:rsidP="00223E56">
            <w:pPr>
              <w:rPr>
                <w:color w:val="000000"/>
                <w:sz w:val="16"/>
                <w:szCs w:val="16"/>
              </w:rPr>
            </w:pPr>
            <w:r>
              <w:rPr>
                <w:color w:val="000000"/>
                <w:sz w:val="16"/>
                <w:szCs w:val="16"/>
              </w:rPr>
              <w:t>C&gt;</w:t>
            </w:r>
            <w:proofErr w:type="gramStart"/>
            <w:r>
              <w:rPr>
                <w:color w:val="000000"/>
                <w:sz w:val="16"/>
                <w:szCs w:val="16"/>
              </w:rPr>
              <w:t>A,G</w:t>
            </w:r>
            <w:proofErr w:type="gramEnd"/>
            <w:r>
              <w:rPr>
                <w:color w:val="000000"/>
                <w:sz w:val="16"/>
                <w:szCs w:val="16"/>
              </w:rPr>
              <w:t>,T</w:t>
            </w:r>
          </w:p>
        </w:tc>
        <w:tc>
          <w:tcPr>
            <w:tcW w:w="1701" w:type="dxa"/>
            <w:tcBorders>
              <w:top w:val="single" w:sz="4" w:space="0" w:color="D0CECE"/>
              <w:bottom w:val="single" w:sz="4" w:space="0" w:color="D0CECE"/>
            </w:tcBorders>
            <w:tcMar>
              <w:top w:w="-113" w:type="dxa"/>
              <w:left w:w="-113" w:type="dxa"/>
              <w:bottom w:w="-113" w:type="dxa"/>
              <w:right w:w="-113" w:type="dxa"/>
            </w:tcMar>
          </w:tcPr>
          <w:p w14:paraId="0F4A1A8A" w14:textId="77777777" w:rsidR="00CB0062" w:rsidRDefault="00CB0062" w:rsidP="00223E56">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28E8E24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093E400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50EF4F06"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80CA56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831B96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16A1A617" w14:textId="77777777" w:rsidR="00CB0062" w:rsidRDefault="00CB0062" w:rsidP="00223E56">
            <w:pPr>
              <w:rPr>
                <w:color w:val="000000"/>
                <w:sz w:val="16"/>
                <w:szCs w:val="16"/>
              </w:rPr>
            </w:pPr>
            <w:r>
              <w:rPr>
                <w:color w:val="000000"/>
                <w:sz w:val="16"/>
                <w:szCs w:val="16"/>
              </w:rPr>
              <w:t>rs7518348</w:t>
            </w:r>
          </w:p>
        </w:tc>
        <w:tc>
          <w:tcPr>
            <w:tcW w:w="851" w:type="dxa"/>
            <w:tcBorders>
              <w:top w:val="single" w:sz="4" w:space="0" w:color="D0CECE"/>
              <w:bottom w:val="single" w:sz="4" w:space="0" w:color="D0CECE"/>
            </w:tcBorders>
            <w:tcMar>
              <w:top w:w="-113" w:type="dxa"/>
              <w:left w:w="-113" w:type="dxa"/>
              <w:bottom w:w="-113" w:type="dxa"/>
              <w:right w:w="-113" w:type="dxa"/>
            </w:tcMar>
          </w:tcPr>
          <w:p w14:paraId="526D90C1" w14:textId="77777777" w:rsidR="00CB0062" w:rsidRDefault="00CB0062" w:rsidP="00223E56">
            <w:pPr>
              <w:rPr>
                <w:color w:val="000000"/>
                <w:sz w:val="16"/>
                <w:szCs w:val="16"/>
              </w:rPr>
            </w:pPr>
            <w:r>
              <w:rPr>
                <w:color w:val="000000"/>
                <w:sz w:val="16"/>
                <w:szCs w:val="16"/>
              </w:rPr>
              <w:t>A&gt;</w:t>
            </w:r>
            <w:proofErr w:type="gramStart"/>
            <w:r>
              <w:rPr>
                <w:color w:val="000000"/>
                <w:sz w:val="16"/>
                <w:szCs w:val="16"/>
              </w:rPr>
              <w:t>C,G</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50571221" w14:textId="77777777" w:rsidR="00CB0062" w:rsidRDefault="00CB0062" w:rsidP="00223E56">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375F69E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626ED50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1CD6E870"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7B77F1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59323A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18CC2533" w14:textId="77777777" w:rsidR="00CB0062" w:rsidRDefault="00CB0062" w:rsidP="00223E56">
            <w:pPr>
              <w:rPr>
                <w:color w:val="000000"/>
                <w:sz w:val="16"/>
                <w:szCs w:val="16"/>
              </w:rPr>
            </w:pPr>
            <w:r>
              <w:rPr>
                <w:color w:val="000000"/>
                <w:sz w:val="16"/>
                <w:szCs w:val="16"/>
              </w:rPr>
              <w:t>rs7533315</w:t>
            </w:r>
          </w:p>
        </w:tc>
        <w:tc>
          <w:tcPr>
            <w:tcW w:w="851" w:type="dxa"/>
            <w:tcBorders>
              <w:top w:val="single" w:sz="4" w:space="0" w:color="D0CECE"/>
              <w:bottom w:val="single" w:sz="4" w:space="0" w:color="D0CECE"/>
            </w:tcBorders>
            <w:tcMar>
              <w:top w:w="-113" w:type="dxa"/>
              <w:left w:w="-113" w:type="dxa"/>
              <w:bottom w:w="-113" w:type="dxa"/>
              <w:right w:w="-113" w:type="dxa"/>
            </w:tcMar>
          </w:tcPr>
          <w:p w14:paraId="6ABBD357" w14:textId="77777777" w:rsidR="00CB0062" w:rsidRDefault="00CB0062" w:rsidP="00223E56">
            <w:pPr>
              <w:rPr>
                <w:color w:val="000000"/>
                <w:sz w:val="16"/>
                <w:szCs w:val="16"/>
              </w:rPr>
            </w:pPr>
            <w:r>
              <w:rPr>
                <w:color w:val="000000"/>
                <w:sz w:val="16"/>
                <w:szCs w:val="16"/>
              </w:rPr>
              <w:t>T&gt;C</w:t>
            </w:r>
          </w:p>
        </w:tc>
        <w:tc>
          <w:tcPr>
            <w:tcW w:w="1701" w:type="dxa"/>
            <w:tcBorders>
              <w:top w:val="single" w:sz="4" w:space="0" w:color="D0CECE"/>
              <w:bottom w:val="single" w:sz="4" w:space="0" w:color="D0CECE"/>
            </w:tcBorders>
            <w:tcMar>
              <w:top w:w="-113" w:type="dxa"/>
              <w:left w:w="-113" w:type="dxa"/>
              <w:bottom w:w="-113" w:type="dxa"/>
              <w:right w:w="-113" w:type="dxa"/>
            </w:tcMar>
          </w:tcPr>
          <w:p w14:paraId="42A7AB30" w14:textId="77777777" w:rsidR="00CB0062" w:rsidRDefault="00CB0062" w:rsidP="00223E56">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355F309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1FD72C9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16347E62"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B9FD80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E2F0EA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2E5230F4" w14:textId="77777777" w:rsidR="00CB0062" w:rsidRDefault="00CB0062" w:rsidP="00223E56">
            <w:pPr>
              <w:rPr>
                <w:color w:val="000000"/>
                <w:sz w:val="16"/>
                <w:szCs w:val="16"/>
              </w:rPr>
            </w:pPr>
            <w:r>
              <w:rPr>
                <w:color w:val="000000"/>
                <w:sz w:val="16"/>
                <w:szCs w:val="16"/>
              </w:rPr>
              <w:t>rs7547068</w:t>
            </w:r>
          </w:p>
        </w:tc>
        <w:tc>
          <w:tcPr>
            <w:tcW w:w="851" w:type="dxa"/>
            <w:tcBorders>
              <w:top w:val="single" w:sz="4" w:space="0" w:color="D0CECE"/>
              <w:bottom w:val="single" w:sz="4" w:space="0" w:color="D0CECE"/>
            </w:tcBorders>
            <w:tcMar>
              <w:top w:w="-113" w:type="dxa"/>
              <w:left w:w="-113" w:type="dxa"/>
              <w:bottom w:w="-113" w:type="dxa"/>
              <w:right w:w="-113" w:type="dxa"/>
            </w:tcMar>
          </w:tcPr>
          <w:p w14:paraId="222CC607" w14:textId="77777777" w:rsidR="00CB0062" w:rsidRDefault="00CB0062" w:rsidP="00223E56">
            <w:pPr>
              <w:rPr>
                <w:color w:val="000000"/>
                <w:sz w:val="16"/>
                <w:szCs w:val="16"/>
              </w:rPr>
            </w:pPr>
            <w:r>
              <w:rPr>
                <w:color w:val="000000"/>
                <w:sz w:val="16"/>
                <w:szCs w:val="16"/>
              </w:rPr>
              <w:t>G&gt;A</w:t>
            </w:r>
          </w:p>
        </w:tc>
        <w:tc>
          <w:tcPr>
            <w:tcW w:w="1701" w:type="dxa"/>
            <w:tcBorders>
              <w:top w:val="single" w:sz="4" w:space="0" w:color="D0CECE"/>
              <w:bottom w:val="single" w:sz="4" w:space="0" w:color="D0CECE"/>
            </w:tcBorders>
            <w:tcMar>
              <w:top w:w="-113" w:type="dxa"/>
              <w:left w:w="-113" w:type="dxa"/>
              <w:bottom w:w="-113" w:type="dxa"/>
              <w:right w:w="-113" w:type="dxa"/>
            </w:tcMar>
          </w:tcPr>
          <w:p w14:paraId="2AB5B5AA" w14:textId="77777777" w:rsidR="00CB0062" w:rsidRDefault="00CB0062" w:rsidP="00223E56">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1806FA4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EBD10A5"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02565A1B"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6E1336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87E641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63D2A67D" w14:textId="77777777" w:rsidR="00CB0062" w:rsidRDefault="00CB0062" w:rsidP="00223E56">
            <w:pPr>
              <w:rPr>
                <w:sz w:val="16"/>
                <w:szCs w:val="16"/>
              </w:rPr>
            </w:pPr>
            <w:r>
              <w:rPr>
                <w:color w:val="000000"/>
                <w:sz w:val="16"/>
                <w:szCs w:val="16"/>
              </w:rPr>
              <w:t>rs9651118</w:t>
            </w:r>
          </w:p>
          <w:p w14:paraId="2349E4F9" w14:textId="77777777" w:rsidR="00CB0062" w:rsidRDefault="00CB0062" w:rsidP="00223E56">
            <w:pPr>
              <w:rPr>
                <w:sz w:val="16"/>
                <w:szCs w:val="16"/>
              </w:rPr>
            </w:pPr>
          </w:p>
        </w:tc>
        <w:tc>
          <w:tcPr>
            <w:tcW w:w="851" w:type="dxa"/>
            <w:vMerge w:val="restart"/>
            <w:tcBorders>
              <w:top w:val="single" w:sz="4" w:space="0" w:color="D0CECE"/>
              <w:bottom w:val="single" w:sz="4" w:space="0" w:color="D0CECE"/>
            </w:tcBorders>
            <w:tcMar>
              <w:top w:w="-113" w:type="dxa"/>
              <w:left w:w="-113" w:type="dxa"/>
              <w:bottom w:w="-113" w:type="dxa"/>
              <w:right w:w="-113" w:type="dxa"/>
            </w:tcMar>
          </w:tcPr>
          <w:p w14:paraId="64E1FCF2" w14:textId="77777777" w:rsidR="00CB0062" w:rsidRDefault="00CB0062" w:rsidP="00223E56">
            <w:pPr>
              <w:rPr>
                <w:color w:val="000000"/>
                <w:sz w:val="16"/>
                <w:szCs w:val="16"/>
              </w:rPr>
            </w:pPr>
            <w:r>
              <w:rPr>
                <w:color w:val="000000"/>
                <w:sz w:val="16"/>
                <w:szCs w:val="16"/>
              </w:rPr>
              <w:t>T&gt;</w:t>
            </w:r>
            <w:proofErr w:type="gramStart"/>
            <w:r>
              <w:rPr>
                <w:color w:val="000000"/>
                <w:sz w:val="16"/>
                <w:szCs w:val="16"/>
              </w:rPr>
              <w:t>A,C</w:t>
            </w:r>
            <w:proofErr w:type="gramEnd"/>
          </w:p>
        </w:tc>
        <w:tc>
          <w:tcPr>
            <w:tcW w:w="1701" w:type="dxa"/>
            <w:vMerge w:val="restart"/>
            <w:tcBorders>
              <w:top w:val="single" w:sz="4" w:space="0" w:color="D0CECE"/>
              <w:bottom w:val="single" w:sz="4" w:space="0" w:color="D0CECE"/>
            </w:tcBorders>
            <w:tcMar>
              <w:top w:w="-113" w:type="dxa"/>
              <w:left w:w="-113" w:type="dxa"/>
              <w:bottom w:w="-113" w:type="dxa"/>
              <w:right w:w="-113" w:type="dxa"/>
            </w:tcMar>
          </w:tcPr>
          <w:p w14:paraId="4CB1BD9C" w14:textId="77777777" w:rsidR="00CB0062" w:rsidRDefault="00CB0062" w:rsidP="00223E56">
            <w:pPr>
              <w:rPr>
                <w:color w:val="000000"/>
                <w:sz w:val="16"/>
                <w:szCs w:val="16"/>
              </w:rPr>
            </w:pPr>
            <w:r>
              <w:rPr>
                <w:sz w:val="16"/>
                <w:szCs w:val="16"/>
              </w:rPr>
              <w:t>Intron variant</w:t>
            </w:r>
          </w:p>
        </w:tc>
        <w:tc>
          <w:tcPr>
            <w:tcW w:w="708" w:type="dxa"/>
            <w:tcBorders>
              <w:top w:val="single" w:sz="4" w:space="0" w:color="D0CECE"/>
              <w:bottom w:val="single" w:sz="4" w:space="0" w:color="D0CECE"/>
            </w:tcBorders>
            <w:tcMar>
              <w:top w:w="-113" w:type="dxa"/>
              <w:left w:w="-113" w:type="dxa"/>
              <w:bottom w:w="-113" w:type="dxa"/>
              <w:right w:w="-113" w:type="dxa"/>
            </w:tcMar>
          </w:tcPr>
          <w:p w14:paraId="59C3E083" w14:textId="77777777" w:rsidR="00CB0062" w:rsidRDefault="00CB0062" w:rsidP="00223E56">
            <w:pPr>
              <w:rPr>
                <w:color w:val="000000"/>
                <w:sz w:val="16"/>
                <w:szCs w:val="16"/>
              </w:rPr>
            </w:pPr>
            <w:r>
              <w:rPr>
                <w:color w:val="000000"/>
                <w:sz w:val="16"/>
                <w:szCs w:val="16"/>
              </w:rPr>
              <w:t>BP</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4A88EF6F" w14:textId="77777777" w:rsidR="00CB0062" w:rsidRDefault="00CB0062" w:rsidP="00223E56">
            <w:pPr>
              <w:rPr>
                <w:color w:val="000000"/>
                <w:sz w:val="16"/>
                <w:szCs w:val="16"/>
              </w:rPr>
            </w:pPr>
            <w:r>
              <w:rPr>
                <w:sz w:val="16"/>
                <w:szCs w:val="16"/>
              </w:rPr>
              <w:t xml:space="preserve">Farzan </w:t>
            </w:r>
            <w:r>
              <w:rPr>
                <w:i/>
                <w:sz w:val="16"/>
                <w:szCs w:val="16"/>
              </w:rPr>
              <w:t>et al.</w:t>
            </w:r>
            <w:r>
              <w:rPr>
                <w:sz w:val="16"/>
                <w:szCs w:val="16"/>
              </w:rPr>
              <w:t xml:space="preserve"> 2016</w:t>
            </w:r>
          </w:p>
        </w:tc>
      </w:tr>
      <w:tr w:rsidR="00CB0062" w:rsidRPr="0030321B" w14:paraId="2BD49AB9"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5CB7D0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A891AE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68D96C0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tcMar>
              <w:top w:w="-113" w:type="dxa"/>
              <w:left w:w="-113" w:type="dxa"/>
              <w:bottom w:w="-113" w:type="dxa"/>
              <w:right w:w="-113" w:type="dxa"/>
            </w:tcMar>
          </w:tcPr>
          <w:p w14:paraId="7812222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tcMar>
              <w:top w:w="-113" w:type="dxa"/>
              <w:left w:w="-113" w:type="dxa"/>
              <w:bottom w:w="-113" w:type="dxa"/>
              <w:right w:w="-113" w:type="dxa"/>
            </w:tcMar>
          </w:tcPr>
          <w:p w14:paraId="6AB53BA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708" w:type="dxa"/>
            <w:tcBorders>
              <w:top w:val="single" w:sz="4" w:space="0" w:color="D0CECE"/>
              <w:bottom w:val="single" w:sz="4" w:space="0" w:color="000000"/>
            </w:tcBorders>
            <w:tcMar>
              <w:top w:w="-113" w:type="dxa"/>
              <w:left w:w="-113" w:type="dxa"/>
              <w:bottom w:w="-113" w:type="dxa"/>
              <w:right w:w="-113" w:type="dxa"/>
            </w:tcMar>
          </w:tcPr>
          <w:p w14:paraId="45BEA839" w14:textId="77777777" w:rsidR="00CB0062" w:rsidRDefault="00CB0062" w:rsidP="00223E56">
            <w:pPr>
              <w:rPr>
                <w:color w:val="000000"/>
                <w:sz w:val="16"/>
                <w:szCs w:val="16"/>
              </w:rPr>
            </w:pPr>
            <w:r>
              <w:rPr>
                <w:color w:val="000000"/>
                <w:sz w:val="16"/>
                <w:szCs w:val="16"/>
              </w:rPr>
              <w:t>CVD</w:t>
            </w:r>
          </w:p>
          <w:p w14:paraId="3E4866C7" w14:textId="77777777" w:rsidR="00CB0062" w:rsidRDefault="00CB0062" w:rsidP="00223E56">
            <w:pPr>
              <w:rPr>
                <w:sz w:val="16"/>
                <w:szCs w:val="16"/>
              </w:rPr>
            </w:pPr>
            <w:r>
              <w:rPr>
                <w:sz w:val="16"/>
                <w:szCs w:val="16"/>
              </w:rPr>
              <w:t>CIMT</w:t>
            </w:r>
          </w:p>
        </w:tc>
        <w:tc>
          <w:tcPr>
            <w:tcW w:w="1838" w:type="dxa"/>
            <w:tcBorders>
              <w:top w:val="single" w:sz="4" w:space="0" w:color="D0CECE"/>
              <w:bottom w:val="single" w:sz="4" w:space="0" w:color="000000"/>
              <w:right w:val="single" w:sz="4" w:space="0" w:color="000000" w:themeColor="text1"/>
            </w:tcBorders>
            <w:tcMar>
              <w:top w:w="-113" w:type="dxa"/>
              <w:left w:w="-113" w:type="dxa"/>
              <w:bottom w:w="-113" w:type="dxa"/>
              <w:right w:w="-113" w:type="dxa"/>
            </w:tcMar>
          </w:tcPr>
          <w:p w14:paraId="7A9BB27C"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421B4937"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tc>
      </w:tr>
      <w:tr w:rsidR="00CB0062" w14:paraId="028739E8"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6407996" w14:textId="77777777" w:rsidR="00CB0062" w:rsidRDefault="00CB0062" w:rsidP="00223E56">
            <w:pPr>
              <w:rPr>
                <w:i/>
                <w:color w:val="000000"/>
                <w:sz w:val="16"/>
                <w:szCs w:val="16"/>
              </w:rPr>
            </w:pPr>
            <w:r>
              <w:rPr>
                <w:i/>
                <w:color w:val="000000"/>
                <w:sz w:val="16"/>
                <w:szCs w:val="16"/>
              </w:rPr>
              <w:t>NCF2</w:t>
            </w:r>
          </w:p>
          <w:p w14:paraId="428522D1"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8959607" w14:textId="77777777" w:rsidR="00CB0062" w:rsidRDefault="00CB0062" w:rsidP="00223E56">
            <w:pPr>
              <w:rPr>
                <w:color w:val="000000"/>
                <w:sz w:val="16"/>
                <w:szCs w:val="16"/>
              </w:rPr>
            </w:pPr>
            <w:r>
              <w:rPr>
                <w:color w:val="000000"/>
                <w:sz w:val="16"/>
                <w:szCs w:val="16"/>
              </w:rPr>
              <w:t>Neutrophil Cytosolic Factor 2</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6DA945CF" w14:textId="77777777" w:rsidR="00CB0062" w:rsidRDefault="00CB0062" w:rsidP="00223E56">
            <w:pPr>
              <w:rPr>
                <w:color w:val="000000"/>
                <w:sz w:val="16"/>
                <w:szCs w:val="16"/>
              </w:rPr>
            </w:pPr>
            <w:r>
              <w:rPr>
                <w:color w:val="000000"/>
                <w:sz w:val="16"/>
                <w:szCs w:val="16"/>
              </w:rPr>
              <w:t>rs2274064</w:t>
            </w:r>
          </w:p>
        </w:tc>
        <w:tc>
          <w:tcPr>
            <w:tcW w:w="851" w:type="dxa"/>
            <w:tcBorders>
              <w:top w:val="single" w:sz="4" w:space="0" w:color="000000"/>
              <w:bottom w:val="single" w:sz="4" w:space="0" w:color="D0CECE"/>
            </w:tcBorders>
            <w:tcMar>
              <w:top w:w="-113" w:type="dxa"/>
              <w:left w:w="-113" w:type="dxa"/>
              <w:bottom w:w="-113" w:type="dxa"/>
              <w:right w:w="-113" w:type="dxa"/>
            </w:tcMar>
          </w:tcPr>
          <w:p w14:paraId="11E80A0B" w14:textId="77777777" w:rsidR="00CB0062" w:rsidRDefault="00CB0062" w:rsidP="00223E56">
            <w:pPr>
              <w:rPr>
                <w:color w:val="000000"/>
                <w:sz w:val="16"/>
                <w:szCs w:val="16"/>
              </w:rPr>
            </w:pPr>
            <w:r>
              <w:rPr>
                <w:color w:val="000000"/>
                <w:sz w:val="16"/>
                <w:szCs w:val="16"/>
              </w:rPr>
              <w:t>T&gt;</w:t>
            </w:r>
            <w:proofErr w:type="gramStart"/>
            <w:r>
              <w:rPr>
                <w:color w:val="000000"/>
                <w:sz w:val="16"/>
                <w:szCs w:val="16"/>
              </w:rPr>
              <w:t>A,C</w:t>
            </w:r>
            <w:proofErr w:type="gramEnd"/>
            <w:r>
              <w:rPr>
                <w:color w:val="000000"/>
                <w:sz w:val="16"/>
                <w:szCs w:val="16"/>
              </w:rPr>
              <w:t>,G</w:t>
            </w:r>
          </w:p>
        </w:tc>
        <w:tc>
          <w:tcPr>
            <w:tcW w:w="1701" w:type="dxa"/>
            <w:tcBorders>
              <w:top w:val="single" w:sz="4" w:space="0" w:color="000000"/>
              <w:bottom w:val="single" w:sz="4" w:space="0" w:color="D0CECE"/>
            </w:tcBorders>
            <w:tcMar>
              <w:top w:w="-113" w:type="dxa"/>
              <w:left w:w="-113" w:type="dxa"/>
              <w:bottom w:w="-113" w:type="dxa"/>
              <w:right w:w="-113" w:type="dxa"/>
            </w:tcMar>
          </w:tcPr>
          <w:p w14:paraId="0DD5F46F" w14:textId="77777777" w:rsidR="00CB0062" w:rsidRDefault="00CB0062" w:rsidP="00223E56">
            <w:pPr>
              <w:rPr>
                <w:color w:val="000000"/>
                <w:sz w:val="16"/>
                <w:szCs w:val="16"/>
              </w:rPr>
            </w:pPr>
            <w:r>
              <w:rPr>
                <w:color w:val="000000"/>
                <w:sz w:val="16"/>
                <w:szCs w:val="16"/>
              </w:rPr>
              <w:t>Missense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640EEEC9" w14:textId="77777777" w:rsidR="00CB0062" w:rsidRDefault="00CB0062" w:rsidP="00223E56">
            <w:pPr>
              <w:rPr>
                <w:sz w:val="16"/>
                <w:szCs w:val="16"/>
              </w:rPr>
            </w:pPr>
            <w:r>
              <w:rPr>
                <w:color w:val="000000"/>
                <w:sz w:val="16"/>
                <w:szCs w:val="16"/>
              </w:rPr>
              <w:t>T2DM</w:t>
            </w: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2BEB7228" w14:textId="77777777" w:rsidR="00CB0062" w:rsidRDefault="00CB0062" w:rsidP="00223E56">
            <w:pPr>
              <w:rPr>
                <w:sz w:val="16"/>
                <w:szCs w:val="16"/>
              </w:rPr>
            </w:pPr>
            <w:r>
              <w:rPr>
                <w:sz w:val="16"/>
                <w:szCs w:val="16"/>
              </w:rPr>
              <w:t>Grau-Perez et al. 2018</w:t>
            </w:r>
          </w:p>
        </w:tc>
      </w:tr>
      <w:tr w:rsidR="00CB0062" w14:paraId="4AC3774B"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8C536CD" w14:textId="77777777" w:rsidR="00CB0062" w:rsidRDefault="00CB0062" w:rsidP="00223E56">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0D40ED2" w14:textId="77777777" w:rsidR="00CB0062" w:rsidRDefault="00CB0062" w:rsidP="00223E56">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42496F8C" w14:textId="77777777" w:rsidR="00CB0062" w:rsidRDefault="00CB0062" w:rsidP="00223E56">
            <w:pPr>
              <w:rPr>
                <w:color w:val="000000"/>
                <w:sz w:val="16"/>
                <w:szCs w:val="16"/>
              </w:rPr>
            </w:pPr>
            <w:r>
              <w:rPr>
                <w:color w:val="000000"/>
                <w:sz w:val="16"/>
                <w:szCs w:val="16"/>
              </w:rPr>
              <w:t>rs2296164</w:t>
            </w:r>
          </w:p>
        </w:tc>
        <w:tc>
          <w:tcPr>
            <w:tcW w:w="851" w:type="dxa"/>
            <w:tcBorders>
              <w:top w:val="single" w:sz="4" w:space="0" w:color="D0CECE"/>
              <w:bottom w:val="single" w:sz="4" w:space="0" w:color="000000"/>
            </w:tcBorders>
            <w:tcMar>
              <w:top w:w="-113" w:type="dxa"/>
              <w:left w:w="-113" w:type="dxa"/>
              <w:bottom w:w="-113" w:type="dxa"/>
              <w:right w:w="-113" w:type="dxa"/>
            </w:tcMar>
          </w:tcPr>
          <w:p w14:paraId="16491EDC" w14:textId="77777777" w:rsidR="00CB0062" w:rsidRDefault="00CB0062" w:rsidP="00223E56">
            <w:pPr>
              <w:rPr>
                <w:color w:val="000000"/>
                <w:sz w:val="16"/>
                <w:szCs w:val="16"/>
              </w:rPr>
            </w:pPr>
            <w:r>
              <w:rPr>
                <w:color w:val="000000"/>
                <w:sz w:val="16"/>
                <w:szCs w:val="16"/>
              </w:rPr>
              <w:t>C&gt;</w:t>
            </w:r>
            <w:proofErr w:type="gramStart"/>
            <w:r>
              <w:rPr>
                <w:color w:val="000000"/>
                <w:sz w:val="16"/>
                <w:szCs w:val="16"/>
              </w:rPr>
              <w:t>G,T</w:t>
            </w:r>
            <w:proofErr w:type="gramEnd"/>
          </w:p>
        </w:tc>
        <w:tc>
          <w:tcPr>
            <w:tcW w:w="1701" w:type="dxa"/>
            <w:tcBorders>
              <w:top w:val="single" w:sz="4" w:space="0" w:color="D0CECE"/>
              <w:bottom w:val="single" w:sz="4" w:space="0" w:color="000000"/>
            </w:tcBorders>
            <w:tcMar>
              <w:top w:w="-113" w:type="dxa"/>
              <w:left w:w="-113" w:type="dxa"/>
              <w:bottom w:w="-113" w:type="dxa"/>
              <w:right w:w="-113" w:type="dxa"/>
            </w:tcMar>
          </w:tcPr>
          <w:p w14:paraId="0E319EF7" w14:textId="77777777" w:rsidR="00CB0062" w:rsidRDefault="00CB0062" w:rsidP="00223E56">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20AC105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03FAE22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7DF1F8E9"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7C452C2" w14:textId="77777777" w:rsidR="00CB0062" w:rsidRDefault="00CB0062" w:rsidP="00223E56">
            <w:pPr>
              <w:rPr>
                <w:i/>
                <w:color w:val="000000"/>
                <w:sz w:val="16"/>
                <w:szCs w:val="16"/>
              </w:rPr>
            </w:pPr>
            <w:r>
              <w:rPr>
                <w:i/>
                <w:color w:val="000000"/>
                <w:sz w:val="16"/>
                <w:szCs w:val="16"/>
              </w:rPr>
              <w:t>NCF4</w:t>
            </w:r>
          </w:p>
          <w:p w14:paraId="51A7C680"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C76F72A" w14:textId="77777777" w:rsidR="00CB0062" w:rsidRDefault="00CB0062" w:rsidP="00223E56">
            <w:pPr>
              <w:rPr>
                <w:color w:val="000000"/>
                <w:sz w:val="16"/>
                <w:szCs w:val="16"/>
              </w:rPr>
            </w:pPr>
            <w:r>
              <w:rPr>
                <w:color w:val="000000"/>
                <w:sz w:val="16"/>
                <w:szCs w:val="16"/>
              </w:rPr>
              <w:t>Neutrophil Cytosolic Factor 4</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6AF4D7DA" w14:textId="77777777" w:rsidR="00CB0062" w:rsidRDefault="00CB0062" w:rsidP="00223E56">
            <w:pPr>
              <w:rPr>
                <w:color w:val="000000"/>
                <w:sz w:val="16"/>
                <w:szCs w:val="16"/>
              </w:rPr>
            </w:pPr>
            <w:r>
              <w:rPr>
                <w:color w:val="000000"/>
                <w:sz w:val="16"/>
                <w:szCs w:val="16"/>
              </w:rPr>
              <w:t>rs2075939</w:t>
            </w:r>
          </w:p>
        </w:tc>
        <w:tc>
          <w:tcPr>
            <w:tcW w:w="851" w:type="dxa"/>
            <w:tcBorders>
              <w:top w:val="single" w:sz="4" w:space="0" w:color="000000"/>
              <w:bottom w:val="single" w:sz="4" w:space="0" w:color="D0CECE"/>
            </w:tcBorders>
            <w:tcMar>
              <w:top w:w="-113" w:type="dxa"/>
              <w:left w:w="-113" w:type="dxa"/>
              <w:bottom w:w="-113" w:type="dxa"/>
              <w:right w:w="-113" w:type="dxa"/>
            </w:tcMar>
          </w:tcPr>
          <w:p w14:paraId="4E09BEFB" w14:textId="77777777" w:rsidR="00CB0062" w:rsidRDefault="00CB0062" w:rsidP="00223E56">
            <w:pPr>
              <w:rPr>
                <w:color w:val="000000"/>
                <w:sz w:val="16"/>
                <w:szCs w:val="16"/>
              </w:rPr>
            </w:pPr>
            <w:r>
              <w:rPr>
                <w:color w:val="000000"/>
                <w:sz w:val="16"/>
                <w:szCs w:val="16"/>
              </w:rPr>
              <w:t>T&gt;</w:t>
            </w:r>
            <w:proofErr w:type="gramStart"/>
            <w:r>
              <w:rPr>
                <w:color w:val="000000"/>
                <w:sz w:val="16"/>
                <w:szCs w:val="16"/>
              </w:rPr>
              <w:t>A,C</w:t>
            </w:r>
            <w:proofErr w:type="gramEnd"/>
            <w:r>
              <w:rPr>
                <w:color w:val="000000"/>
                <w:sz w:val="16"/>
                <w:szCs w:val="16"/>
              </w:rPr>
              <w:t>,G</w:t>
            </w:r>
          </w:p>
        </w:tc>
        <w:tc>
          <w:tcPr>
            <w:tcW w:w="1701" w:type="dxa"/>
            <w:tcBorders>
              <w:top w:val="single" w:sz="4" w:space="0" w:color="000000"/>
              <w:bottom w:val="single" w:sz="4" w:space="0" w:color="D0CECE"/>
            </w:tcBorders>
            <w:tcMar>
              <w:top w:w="-113" w:type="dxa"/>
              <w:left w:w="-113" w:type="dxa"/>
              <w:bottom w:w="-113" w:type="dxa"/>
              <w:right w:w="-113" w:type="dxa"/>
            </w:tcMar>
          </w:tcPr>
          <w:p w14:paraId="66F07587" w14:textId="77777777" w:rsidR="00CB0062" w:rsidRDefault="00CB0062" w:rsidP="00223E56">
            <w:pPr>
              <w:rPr>
                <w:color w:val="000000"/>
                <w:sz w:val="16"/>
                <w:szCs w:val="16"/>
              </w:rPr>
            </w:pPr>
            <w:r>
              <w:rPr>
                <w:color w:val="000000"/>
                <w:sz w:val="16"/>
                <w:szCs w:val="16"/>
              </w:rPr>
              <w:t>Missense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31D9ADC9" w14:textId="77777777" w:rsidR="00CB0062" w:rsidRDefault="00CB0062" w:rsidP="00223E56">
            <w:pPr>
              <w:rPr>
                <w:sz w:val="16"/>
                <w:szCs w:val="16"/>
              </w:rPr>
            </w:pPr>
            <w:r>
              <w:rPr>
                <w:color w:val="000000"/>
                <w:sz w:val="16"/>
                <w:szCs w:val="16"/>
              </w:rPr>
              <w:t>T2DM</w:t>
            </w:r>
          </w:p>
          <w:p w14:paraId="06ECC786" w14:textId="77777777" w:rsidR="00CB0062" w:rsidRDefault="00CB0062" w:rsidP="00223E56">
            <w:pPr>
              <w:rPr>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44AF0871" w14:textId="77777777" w:rsidR="00CB0062" w:rsidRDefault="00CB0062" w:rsidP="00223E56">
            <w:pPr>
              <w:rPr>
                <w:sz w:val="16"/>
                <w:szCs w:val="16"/>
              </w:rPr>
            </w:pPr>
            <w:r>
              <w:rPr>
                <w:sz w:val="16"/>
                <w:szCs w:val="16"/>
              </w:rPr>
              <w:t>Grau-Perez et al. 2018</w:t>
            </w:r>
          </w:p>
          <w:p w14:paraId="09E3A9B3" w14:textId="77777777" w:rsidR="00CB0062" w:rsidRDefault="00CB0062" w:rsidP="00223E56">
            <w:pPr>
              <w:rPr>
                <w:sz w:val="16"/>
                <w:szCs w:val="16"/>
              </w:rPr>
            </w:pPr>
          </w:p>
        </w:tc>
      </w:tr>
      <w:tr w:rsidR="00CB0062" w14:paraId="44C72685"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6E70E63" w14:textId="77777777" w:rsidR="00CB0062" w:rsidRDefault="00CB0062" w:rsidP="00223E56">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91FBCAA" w14:textId="77777777" w:rsidR="00CB0062" w:rsidRDefault="00CB0062" w:rsidP="00223E56">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41959149" w14:textId="77777777" w:rsidR="00CB0062" w:rsidRDefault="00CB0062" w:rsidP="00223E56">
            <w:pPr>
              <w:rPr>
                <w:color w:val="000000"/>
                <w:sz w:val="16"/>
                <w:szCs w:val="16"/>
              </w:rPr>
            </w:pPr>
            <w:r>
              <w:rPr>
                <w:color w:val="000000"/>
                <w:sz w:val="16"/>
                <w:szCs w:val="16"/>
              </w:rPr>
              <w:t>rs4820258</w:t>
            </w:r>
          </w:p>
        </w:tc>
        <w:tc>
          <w:tcPr>
            <w:tcW w:w="851" w:type="dxa"/>
            <w:tcBorders>
              <w:top w:val="single" w:sz="4" w:space="0" w:color="D0CECE"/>
              <w:bottom w:val="single" w:sz="4" w:space="0" w:color="000000"/>
            </w:tcBorders>
            <w:tcMar>
              <w:top w:w="-113" w:type="dxa"/>
              <w:left w:w="-113" w:type="dxa"/>
              <w:bottom w:w="-113" w:type="dxa"/>
              <w:right w:w="-113" w:type="dxa"/>
            </w:tcMar>
          </w:tcPr>
          <w:p w14:paraId="21F37AF5" w14:textId="77777777" w:rsidR="00CB0062" w:rsidRDefault="00CB0062" w:rsidP="00223E56">
            <w:pPr>
              <w:rPr>
                <w:color w:val="000000"/>
                <w:sz w:val="16"/>
                <w:szCs w:val="16"/>
              </w:rPr>
            </w:pPr>
            <w:r>
              <w:rPr>
                <w:color w:val="000000"/>
                <w:sz w:val="16"/>
                <w:szCs w:val="16"/>
              </w:rPr>
              <w:t>T&gt;C</w:t>
            </w:r>
          </w:p>
        </w:tc>
        <w:tc>
          <w:tcPr>
            <w:tcW w:w="1701" w:type="dxa"/>
            <w:tcBorders>
              <w:top w:val="single" w:sz="4" w:space="0" w:color="D0CECE"/>
              <w:bottom w:val="single" w:sz="4" w:space="0" w:color="000000"/>
            </w:tcBorders>
            <w:tcMar>
              <w:top w:w="-113" w:type="dxa"/>
              <w:left w:w="-113" w:type="dxa"/>
              <w:bottom w:w="-113" w:type="dxa"/>
              <w:right w:w="-113" w:type="dxa"/>
            </w:tcMar>
          </w:tcPr>
          <w:p w14:paraId="14C0CFE4" w14:textId="77777777" w:rsidR="00CB0062" w:rsidRDefault="00CB0062" w:rsidP="00223E56">
            <w:pPr>
              <w:rPr>
                <w:color w:val="000000"/>
                <w:sz w:val="16"/>
                <w:szCs w:val="16"/>
              </w:rPr>
            </w:pPr>
            <w:r>
              <w:rPr>
                <w:sz w:val="16"/>
                <w:szCs w:val="16"/>
              </w:rPr>
              <w:t>2KB Upstream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43F40AD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04517A2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453B874D"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271D90B0" w14:textId="77777777" w:rsidR="00CB0062" w:rsidRDefault="00CB0062" w:rsidP="00223E56">
            <w:pPr>
              <w:rPr>
                <w:i/>
                <w:color w:val="000000"/>
                <w:sz w:val="16"/>
                <w:szCs w:val="16"/>
              </w:rPr>
            </w:pPr>
            <w:r>
              <w:rPr>
                <w:i/>
                <w:color w:val="000000"/>
                <w:sz w:val="16"/>
                <w:szCs w:val="16"/>
              </w:rPr>
              <w:t>NDUFS1</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344477A5" w14:textId="77777777" w:rsidR="00CB0062" w:rsidRDefault="00CB0062" w:rsidP="00223E56">
            <w:pPr>
              <w:rPr>
                <w:color w:val="000000"/>
                <w:sz w:val="16"/>
                <w:szCs w:val="16"/>
              </w:rPr>
            </w:pPr>
            <w:proofErr w:type="spellStart"/>
            <w:proofErr w:type="gramStart"/>
            <w:r>
              <w:rPr>
                <w:color w:val="000000"/>
                <w:sz w:val="16"/>
                <w:szCs w:val="16"/>
              </w:rPr>
              <w:t>NADH:Ubiquinone</w:t>
            </w:r>
            <w:proofErr w:type="spellEnd"/>
            <w:proofErr w:type="gramEnd"/>
            <w:r>
              <w:rPr>
                <w:color w:val="000000"/>
                <w:sz w:val="16"/>
                <w:szCs w:val="16"/>
              </w:rPr>
              <w:t xml:space="preserve"> Oxidoreductase Core Subunit S1</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41AEC843" w14:textId="77777777" w:rsidR="00CB0062" w:rsidRDefault="00CB0062" w:rsidP="00223E56">
            <w:pPr>
              <w:rPr>
                <w:color w:val="000000"/>
                <w:sz w:val="16"/>
                <w:szCs w:val="16"/>
              </w:rPr>
            </w:pPr>
            <w:r>
              <w:rPr>
                <w:color w:val="000000"/>
                <w:sz w:val="16"/>
                <w:szCs w:val="16"/>
              </w:rPr>
              <w:t>rs1053517</w:t>
            </w:r>
          </w:p>
        </w:tc>
        <w:tc>
          <w:tcPr>
            <w:tcW w:w="851" w:type="dxa"/>
            <w:tcBorders>
              <w:top w:val="single" w:sz="4" w:space="0" w:color="000000"/>
              <w:bottom w:val="single" w:sz="4" w:space="0" w:color="000000"/>
            </w:tcBorders>
            <w:tcMar>
              <w:top w:w="-113" w:type="dxa"/>
              <w:left w:w="-113" w:type="dxa"/>
              <w:bottom w:w="-113" w:type="dxa"/>
              <w:right w:w="-113" w:type="dxa"/>
            </w:tcMar>
          </w:tcPr>
          <w:p w14:paraId="69458B94" w14:textId="77777777" w:rsidR="00CB0062" w:rsidRDefault="00CB0062" w:rsidP="00223E56">
            <w:pPr>
              <w:rPr>
                <w:color w:val="000000"/>
                <w:sz w:val="16"/>
                <w:szCs w:val="16"/>
              </w:rPr>
            </w:pPr>
            <w:r>
              <w:rPr>
                <w:color w:val="000000"/>
                <w:sz w:val="16"/>
                <w:szCs w:val="16"/>
              </w:rPr>
              <w:t>A&gt;G</w:t>
            </w:r>
          </w:p>
        </w:tc>
        <w:tc>
          <w:tcPr>
            <w:tcW w:w="1701" w:type="dxa"/>
            <w:tcBorders>
              <w:top w:val="single" w:sz="4" w:space="0" w:color="000000"/>
              <w:bottom w:val="single" w:sz="4" w:space="0" w:color="000000"/>
            </w:tcBorders>
            <w:tcMar>
              <w:top w:w="-113" w:type="dxa"/>
              <w:left w:w="-113" w:type="dxa"/>
              <w:bottom w:w="-113" w:type="dxa"/>
              <w:right w:w="-113" w:type="dxa"/>
            </w:tcMar>
          </w:tcPr>
          <w:p w14:paraId="2C08936B" w14:textId="77777777" w:rsidR="00CB0062" w:rsidRDefault="00CB0062" w:rsidP="00223E56">
            <w:pPr>
              <w:rPr>
                <w:color w:val="000000"/>
                <w:sz w:val="16"/>
                <w:szCs w:val="16"/>
              </w:rPr>
            </w:pPr>
            <w:r>
              <w:rPr>
                <w:sz w:val="16"/>
                <w:szCs w:val="16"/>
              </w:rPr>
              <w:t>3 Prime UTR variant</w:t>
            </w:r>
          </w:p>
        </w:tc>
        <w:tc>
          <w:tcPr>
            <w:tcW w:w="708" w:type="dxa"/>
            <w:tcBorders>
              <w:top w:val="single" w:sz="4" w:space="0" w:color="000000"/>
              <w:bottom w:val="single" w:sz="4" w:space="0" w:color="000000"/>
            </w:tcBorders>
            <w:tcMar>
              <w:top w:w="-113" w:type="dxa"/>
              <w:left w:w="-113" w:type="dxa"/>
              <w:bottom w:w="-113" w:type="dxa"/>
              <w:right w:w="-113" w:type="dxa"/>
            </w:tcMar>
          </w:tcPr>
          <w:p w14:paraId="600C43DD" w14:textId="77777777" w:rsidR="00CB0062" w:rsidRDefault="00CB0062" w:rsidP="00223E56">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519466E0" w14:textId="77777777" w:rsidR="00CB0062" w:rsidRDefault="00CB0062" w:rsidP="00223E56">
            <w:pPr>
              <w:rPr>
                <w:color w:val="000000"/>
                <w:sz w:val="16"/>
                <w:szCs w:val="16"/>
              </w:rPr>
            </w:pPr>
            <w:r>
              <w:rPr>
                <w:sz w:val="16"/>
                <w:szCs w:val="16"/>
              </w:rPr>
              <w:t>Grau-Perez et al. 2018</w:t>
            </w:r>
          </w:p>
        </w:tc>
      </w:tr>
      <w:tr w:rsidR="00CB0062" w14:paraId="4977746C"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7C26C58" w14:textId="77777777" w:rsidR="00CB0062" w:rsidRDefault="00CB0062" w:rsidP="00223E56">
            <w:pPr>
              <w:rPr>
                <w:i/>
                <w:color w:val="000000"/>
                <w:sz w:val="16"/>
                <w:szCs w:val="16"/>
              </w:rPr>
            </w:pPr>
            <w:r>
              <w:rPr>
                <w:i/>
                <w:color w:val="000000"/>
                <w:sz w:val="16"/>
                <w:szCs w:val="16"/>
              </w:rPr>
              <w:t>NDUFS2</w:t>
            </w:r>
          </w:p>
          <w:p w14:paraId="18C31781"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F6977CC" w14:textId="77777777" w:rsidR="00CB0062" w:rsidRDefault="00CB0062" w:rsidP="00223E56">
            <w:pPr>
              <w:rPr>
                <w:color w:val="000000"/>
                <w:sz w:val="16"/>
                <w:szCs w:val="16"/>
              </w:rPr>
            </w:pPr>
            <w:proofErr w:type="spellStart"/>
            <w:proofErr w:type="gramStart"/>
            <w:r>
              <w:rPr>
                <w:color w:val="000000"/>
                <w:sz w:val="16"/>
                <w:szCs w:val="16"/>
              </w:rPr>
              <w:t>NADH:Ubiquinone</w:t>
            </w:r>
            <w:proofErr w:type="spellEnd"/>
            <w:proofErr w:type="gramEnd"/>
            <w:r>
              <w:rPr>
                <w:color w:val="000000"/>
                <w:sz w:val="16"/>
                <w:szCs w:val="16"/>
              </w:rPr>
              <w:t xml:space="preserve"> Oxidoreductase Core Subunit S2</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5C258EF8" w14:textId="77777777" w:rsidR="00CB0062" w:rsidRDefault="00CB0062" w:rsidP="00223E56">
            <w:pPr>
              <w:rPr>
                <w:color w:val="000000"/>
                <w:sz w:val="16"/>
                <w:szCs w:val="16"/>
              </w:rPr>
            </w:pPr>
            <w:r>
              <w:rPr>
                <w:color w:val="000000"/>
                <w:sz w:val="16"/>
                <w:szCs w:val="16"/>
              </w:rPr>
              <w:t>rs11587213</w:t>
            </w:r>
          </w:p>
        </w:tc>
        <w:tc>
          <w:tcPr>
            <w:tcW w:w="851" w:type="dxa"/>
            <w:tcBorders>
              <w:top w:val="single" w:sz="4" w:space="0" w:color="000000"/>
              <w:bottom w:val="single" w:sz="4" w:space="0" w:color="D0CECE"/>
            </w:tcBorders>
            <w:tcMar>
              <w:top w:w="-113" w:type="dxa"/>
              <w:left w:w="-113" w:type="dxa"/>
              <w:bottom w:w="-113" w:type="dxa"/>
              <w:right w:w="-113" w:type="dxa"/>
            </w:tcMar>
          </w:tcPr>
          <w:p w14:paraId="27EAB356" w14:textId="77777777" w:rsidR="00CB0062" w:rsidRDefault="00CB0062" w:rsidP="00223E56">
            <w:pPr>
              <w:rPr>
                <w:color w:val="000000"/>
                <w:sz w:val="16"/>
                <w:szCs w:val="16"/>
              </w:rPr>
            </w:pPr>
            <w:r>
              <w:rPr>
                <w:color w:val="000000"/>
                <w:sz w:val="16"/>
                <w:szCs w:val="16"/>
              </w:rPr>
              <w:t>A&gt;G</w:t>
            </w:r>
          </w:p>
        </w:tc>
        <w:tc>
          <w:tcPr>
            <w:tcW w:w="1701" w:type="dxa"/>
            <w:tcBorders>
              <w:top w:val="single" w:sz="4" w:space="0" w:color="000000"/>
              <w:bottom w:val="single" w:sz="4" w:space="0" w:color="D0CECE"/>
            </w:tcBorders>
            <w:tcMar>
              <w:top w:w="-113" w:type="dxa"/>
              <w:left w:w="-113" w:type="dxa"/>
              <w:bottom w:w="-113" w:type="dxa"/>
              <w:right w:w="-113" w:type="dxa"/>
            </w:tcMar>
          </w:tcPr>
          <w:p w14:paraId="71EEABA7" w14:textId="77777777" w:rsidR="00CB0062" w:rsidRDefault="00CB0062" w:rsidP="00223E56">
            <w:pPr>
              <w:rPr>
                <w:color w:val="000000"/>
                <w:sz w:val="16"/>
                <w:szCs w:val="16"/>
              </w:rPr>
            </w:pPr>
            <w:r>
              <w:rPr>
                <w:sz w:val="16"/>
                <w:szCs w:val="16"/>
              </w:rPr>
              <w:t>2KB Upstream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6C3C1575" w14:textId="77777777" w:rsidR="00CB0062" w:rsidRDefault="00CB0062" w:rsidP="00223E56">
            <w:pPr>
              <w:rPr>
                <w:sz w:val="16"/>
                <w:szCs w:val="16"/>
              </w:rPr>
            </w:pPr>
            <w:r>
              <w:rPr>
                <w:color w:val="000000"/>
                <w:sz w:val="16"/>
                <w:szCs w:val="16"/>
              </w:rPr>
              <w:t>T2DM</w:t>
            </w: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8102A01" w14:textId="77777777" w:rsidR="00CB0062" w:rsidRDefault="00CB0062" w:rsidP="00223E56">
            <w:pPr>
              <w:rPr>
                <w:sz w:val="16"/>
                <w:szCs w:val="16"/>
              </w:rPr>
            </w:pPr>
            <w:r>
              <w:rPr>
                <w:sz w:val="16"/>
                <w:szCs w:val="16"/>
              </w:rPr>
              <w:t>Grau-Perez et al. 2018</w:t>
            </w:r>
          </w:p>
          <w:p w14:paraId="7F2855FB" w14:textId="77777777" w:rsidR="00CB0062" w:rsidRDefault="00CB0062" w:rsidP="00223E56">
            <w:pPr>
              <w:rPr>
                <w:sz w:val="16"/>
                <w:szCs w:val="16"/>
              </w:rPr>
            </w:pPr>
          </w:p>
        </w:tc>
      </w:tr>
      <w:tr w:rsidR="00CB0062" w14:paraId="3D6EDDDF"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6BA1ED7" w14:textId="77777777" w:rsidR="00CB0062" w:rsidRDefault="00CB0062" w:rsidP="00223E56">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D3DDC26" w14:textId="77777777" w:rsidR="00CB0062" w:rsidRDefault="00CB0062" w:rsidP="00223E56">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39336091" w14:textId="77777777" w:rsidR="00CB0062" w:rsidRDefault="00CB0062" w:rsidP="00223E56">
            <w:pPr>
              <w:rPr>
                <w:color w:val="000000"/>
                <w:sz w:val="16"/>
                <w:szCs w:val="16"/>
              </w:rPr>
            </w:pPr>
            <w:r>
              <w:rPr>
                <w:color w:val="000000"/>
                <w:sz w:val="16"/>
                <w:szCs w:val="16"/>
              </w:rPr>
              <w:t>rs4656993</w:t>
            </w:r>
          </w:p>
        </w:tc>
        <w:tc>
          <w:tcPr>
            <w:tcW w:w="851" w:type="dxa"/>
            <w:tcBorders>
              <w:top w:val="single" w:sz="4" w:space="0" w:color="D0CECE"/>
              <w:bottom w:val="single" w:sz="4" w:space="0" w:color="000000"/>
            </w:tcBorders>
            <w:tcMar>
              <w:top w:w="-113" w:type="dxa"/>
              <w:left w:w="-113" w:type="dxa"/>
              <w:bottom w:w="-113" w:type="dxa"/>
              <w:right w:w="-113" w:type="dxa"/>
            </w:tcMar>
          </w:tcPr>
          <w:p w14:paraId="030C6E73" w14:textId="77777777" w:rsidR="00CB0062" w:rsidRDefault="00CB0062" w:rsidP="00223E56">
            <w:pPr>
              <w:rPr>
                <w:color w:val="000000"/>
                <w:sz w:val="16"/>
                <w:szCs w:val="16"/>
              </w:rPr>
            </w:pPr>
            <w:r>
              <w:rPr>
                <w:color w:val="000000"/>
                <w:sz w:val="16"/>
                <w:szCs w:val="16"/>
              </w:rPr>
              <w:t>A&gt;G</w:t>
            </w:r>
          </w:p>
        </w:tc>
        <w:tc>
          <w:tcPr>
            <w:tcW w:w="1701" w:type="dxa"/>
            <w:tcBorders>
              <w:top w:val="single" w:sz="4" w:space="0" w:color="D0CECE"/>
              <w:bottom w:val="single" w:sz="4" w:space="0" w:color="000000"/>
            </w:tcBorders>
            <w:tcMar>
              <w:top w:w="-113" w:type="dxa"/>
              <w:left w:w="-113" w:type="dxa"/>
              <w:bottom w:w="-113" w:type="dxa"/>
              <w:right w:w="-113" w:type="dxa"/>
            </w:tcMar>
          </w:tcPr>
          <w:p w14:paraId="0EF5E81B" w14:textId="77777777" w:rsidR="00CB0062" w:rsidRDefault="00CB0062" w:rsidP="00223E56">
            <w:pPr>
              <w:rPr>
                <w:color w:val="000000"/>
                <w:sz w:val="16"/>
                <w:szCs w:val="16"/>
              </w:rPr>
            </w:pPr>
            <w:r>
              <w:rPr>
                <w:color w:val="000000"/>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0AD5FB60"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4E1958C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0111F4C7"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1429438" w14:textId="77777777" w:rsidR="00CB0062" w:rsidRDefault="00CB0062" w:rsidP="00223E56">
            <w:pPr>
              <w:rPr>
                <w:i/>
                <w:color w:val="000000"/>
                <w:sz w:val="16"/>
                <w:szCs w:val="16"/>
              </w:rPr>
            </w:pPr>
            <w:r>
              <w:rPr>
                <w:i/>
                <w:color w:val="000000"/>
                <w:sz w:val="16"/>
                <w:szCs w:val="16"/>
              </w:rPr>
              <w:t>NDUFS3</w:t>
            </w:r>
          </w:p>
          <w:p w14:paraId="523D0AE0"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AD707BF" w14:textId="77777777" w:rsidR="00CB0062" w:rsidRDefault="00CB0062" w:rsidP="00223E56">
            <w:pPr>
              <w:rPr>
                <w:color w:val="000000"/>
                <w:sz w:val="16"/>
                <w:szCs w:val="16"/>
              </w:rPr>
            </w:pPr>
            <w:proofErr w:type="spellStart"/>
            <w:proofErr w:type="gramStart"/>
            <w:r>
              <w:rPr>
                <w:color w:val="000000"/>
                <w:sz w:val="16"/>
                <w:szCs w:val="16"/>
              </w:rPr>
              <w:t>NADH:Ubiquinone</w:t>
            </w:r>
            <w:proofErr w:type="spellEnd"/>
            <w:proofErr w:type="gramEnd"/>
            <w:r>
              <w:rPr>
                <w:color w:val="000000"/>
                <w:sz w:val="16"/>
                <w:szCs w:val="16"/>
              </w:rPr>
              <w:t xml:space="preserve"> Oxidoreductase Core Subunit S3</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7650F217" w14:textId="77777777" w:rsidR="00CB0062" w:rsidRDefault="00CB0062" w:rsidP="00223E56">
            <w:pPr>
              <w:rPr>
                <w:color w:val="000000"/>
                <w:sz w:val="16"/>
                <w:szCs w:val="16"/>
              </w:rPr>
            </w:pPr>
            <w:r>
              <w:rPr>
                <w:color w:val="000000"/>
                <w:sz w:val="16"/>
                <w:szCs w:val="16"/>
              </w:rPr>
              <w:t>rs10838732</w:t>
            </w:r>
          </w:p>
        </w:tc>
        <w:tc>
          <w:tcPr>
            <w:tcW w:w="851" w:type="dxa"/>
            <w:tcBorders>
              <w:top w:val="single" w:sz="4" w:space="0" w:color="000000"/>
              <w:bottom w:val="single" w:sz="4" w:space="0" w:color="D0CECE"/>
            </w:tcBorders>
            <w:tcMar>
              <w:top w:w="-113" w:type="dxa"/>
              <w:left w:w="-113" w:type="dxa"/>
              <w:bottom w:w="-113" w:type="dxa"/>
              <w:right w:w="-113" w:type="dxa"/>
            </w:tcMar>
          </w:tcPr>
          <w:p w14:paraId="1A64560B" w14:textId="77777777" w:rsidR="00CB0062" w:rsidRDefault="00CB0062" w:rsidP="00223E56">
            <w:pPr>
              <w:rPr>
                <w:color w:val="000000"/>
                <w:sz w:val="16"/>
                <w:szCs w:val="16"/>
              </w:rPr>
            </w:pPr>
            <w:r>
              <w:rPr>
                <w:color w:val="000000"/>
                <w:sz w:val="16"/>
                <w:szCs w:val="16"/>
              </w:rPr>
              <w:t>C&gt;</w:t>
            </w:r>
            <w:proofErr w:type="gramStart"/>
            <w:r>
              <w:rPr>
                <w:color w:val="000000"/>
                <w:sz w:val="16"/>
                <w:szCs w:val="16"/>
              </w:rPr>
              <w:t>A,G</w:t>
            </w:r>
            <w:proofErr w:type="gramEnd"/>
            <w:r>
              <w:rPr>
                <w:color w:val="000000"/>
                <w:sz w:val="16"/>
                <w:szCs w:val="16"/>
              </w:rPr>
              <w:t>,T</w:t>
            </w:r>
          </w:p>
        </w:tc>
        <w:tc>
          <w:tcPr>
            <w:tcW w:w="1701" w:type="dxa"/>
            <w:tcBorders>
              <w:top w:val="single" w:sz="4" w:space="0" w:color="000000"/>
              <w:bottom w:val="single" w:sz="4" w:space="0" w:color="D0CECE"/>
            </w:tcBorders>
            <w:tcMar>
              <w:top w:w="-113" w:type="dxa"/>
              <w:left w:w="-113" w:type="dxa"/>
              <w:bottom w:w="-113" w:type="dxa"/>
              <w:right w:w="-113" w:type="dxa"/>
            </w:tcMar>
          </w:tcPr>
          <w:p w14:paraId="164596E0" w14:textId="77777777" w:rsidR="00CB0062" w:rsidRDefault="00CB0062" w:rsidP="00223E56">
            <w:pPr>
              <w:rPr>
                <w:color w:val="000000"/>
                <w:sz w:val="16"/>
                <w:szCs w:val="16"/>
              </w:rPr>
            </w:pPr>
            <w:r>
              <w:rPr>
                <w:sz w:val="16"/>
                <w:szCs w:val="16"/>
              </w:rPr>
              <w:t>2KB Upstream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06B9CFAB" w14:textId="77777777" w:rsidR="00CB0062" w:rsidRDefault="00CB0062" w:rsidP="00223E56">
            <w:pPr>
              <w:rPr>
                <w:sz w:val="16"/>
                <w:szCs w:val="16"/>
              </w:rPr>
            </w:pPr>
            <w:r>
              <w:rPr>
                <w:color w:val="000000"/>
                <w:sz w:val="16"/>
                <w:szCs w:val="16"/>
              </w:rPr>
              <w:t>T2DM</w:t>
            </w:r>
          </w:p>
          <w:p w14:paraId="216080C1" w14:textId="77777777" w:rsidR="00CB0062" w:rsidRDefault="00CB0062" w:rsidP="00223E56">
            <w:pPr>
              <w:rPr>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0E383758" w14:textId="77777777" w:rsidR="00CB0062" w:rsidRDefault="00CB0062" w:rsidP="00223E56">
            <w:pPr>
              <w:rPr>
                <w:sz w:val="16"/>
                <w:szCs w:val="16"/>
              </w:rPr>
            </w:pPr>
            <w:r>
              <w:rPr>
                <w:sz w:val="16"/>
                <w:szCs w:val="16"/>
              </w:rPr>
              <w:t>Grau-Perez et al. 2018</w:t>
            </w:r>
          </w:p>
          <w:p w14:paraId="1DAFEC89" w14:textId="77777777" w:rsidR="00CB0062" w:rsidRDefault="00CB0062" w:rsidP="00223E56">
            <w:pPr>
              <w:rPr>
                <w:sz w:val="16"/>
                <w:szCs w:val="16"/>
              </w:rPr>
            </w:pPr>
          </w:p>
        </w:tc>
      </w:tr>
      <w:tr w:rsidR="00CB0062" w14:paraId="1AE27E2C"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8E821D4" w14:textId="77777777" w:rsidR="00CB0062" w:rsidRDefault="00CB0062" w:rsidP="00223E56">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C6689F2" w14:textId="77777777" w:rsidR="00CB0062" w:rsidRDefault="00CB0062" w:rsidP="00223E56">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34C6FCA4" w14:textId="77777777" w:rsidR="00CB0062" w:rsidRDefault="00CB0062" w:rsidP="00223E56">
            <w:pPr>
              <w:rPr>
                <w:color w:val="000000"/>
                <w:sz w:val="16"/>
                <w:szCs w:val="16"/>
              </w:rPr>
            </w:pPr>
            <w:r>
              <w:rPr>
                <w:color w:val="000000"/>
                <w:sz w:val="16"/>
                <w:szCs w:val="16"/>
              </w:rPr>
              <w:t>rs2280231</w:t>
            </w:r>
          </w:p>
        </w:tc>
        <w:tc>
          <w:tcPr>
            <w:tcW w:w="851" w:type="dxa"/>
            <w:tcBorders>
              <w:top w:val="single" w:sz="4" w:space="0" w:color="D0CECE"/>
              <w:bottom w:val="single" w:sz="4" w:space="0" w:color="000000"/>
            </w:tcBorders>
            <w:tcMar>
              <w:top w:w="-113" w:type="dxa"/>
              <w:left w:w="-113" w:type="dxa"/>
              <w:bottom w:w="-113" w:type="dxa"/>
              <w:right w:w="-113" w:type="dxa"/>
            </w:tcMar>
          </w:tcPr>
          <w:p w14:paraId="50D6FB11" w14:textId="77777777" w:rsidR="00CB0062" w:rsidRDefault="00CB0062" w:rsidP="00223E56">
            <w:pPr>
              <w:rPr>
                <w:color w:val="000000"/>
                <w:sz w:val="16"/>
                <w:szCs w:val="16"/>
              </w:rPr>
            </w:pPr>
            <w:r>
              <w:rPr>
                <w:color w:val="000000"/>
                <w:sz w:val="16"/>
                <w:szCs w:val="16"/>
              </w:rPr>
              <w:t>C&gt;T</w:t>
            </w:r>
          </w:p>
        </w:tc>
        <w:tc>
          <w:tcPr>
            <w:tcW w:w="1701" w:type="dxa"/>
            <w:tcBorders>
              <w:top w:val="single" w:sz="4" w:space="0" w:color="D0CECE"/>
              <w:bottom w:val="single" w:sz="4" w:space="0" w:color="000000"/>
            </w:tcBorders>
            <w:tcMar>
              <w:top w:w="-113" w:type="dxa"/>
              <w:left w:w="-113" w:type="dxa"/>
              <w:bottom w:w="-113" w:type="dxa"/>
              <w:right w:w="-113" w:type="dxa"/>
            </w:tcMar>
          </w:tcPr>
          <w:p w14:paraId="626A8CB2" w14:textId="77777777" w:rsidR="00CB0062" w:rsidRDefault="00CB0062" w:rsidP="00223E56">
            <w:pPr>
              <w:rPr>
                <w:color w:val="000000"/>
                <w:sz w:val="16"/>
                <w:szCs w:val="16"/>
              </w:rPr>
            </w:pPr>
            <w:r>
              <w:rPr>
                <w:sz w:val="16"/>
                <w:szCs w:val="16"/>
              </w:rPr>
              <w:t>2KB Upstream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2CA47A7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3CFB972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1691B3BC"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E0F3100" w14:textId="77777777" w:rsidR="00CB0062" w:rsidRDefault="00CB0062" w:rsidP="00223E56">
            <w:pPr>
              <w:rPr>
                <w:i/>
                <w:color w:val="000000"/>
                <w:sz w:val="16"/>
                <w:szCs w:val="16"/>
              </w:rPr>
            </w:pPr>
            <w:r>
              <w:rPr>
                <w:i/>
                <w:color w:val="000000"/>
                <w:sz w:val="16"/>
                <w:szCs w:val="16"/>
              </w:rPr>
              <w:t>NDUFS4</w:t>
            </w: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7D7D718" w14:textId="77777777" w:rsidR="00CB0062" w:rsidRDefault="00CB0062" w:rsidP="00223E56">
            <w:pPr>
              <w:rPr>
                <w:color w:val="000000"/>
                <w:sz w:val="16"/>
                <w:szCs w:val="16"/>
              </w:rPr>
            </w:pPr>
            <w:proofErr w:type="spellStart"/>
            <w:proofErr w:type="gramStart"/>
            <w:r>
              <w:rPr>
                <w:color w:val="000000"/>
                <w:sz w:val="16"/>
                <w:szCs w:val="16"/>
              </w:rPr>
              <w:t>NADH:Ubiquinone</w:t>
            </w:r>
            <w:proofErr w:type="spellEnd"/>
            <w:proofErr w:type="gramEnd"/>
            <w:r>
              <w:rPr>
                <w:color w:val="000000"/>
                <w:sz w:val="16"/>
                <w:szCs w:val="16"/>
              </w:rPr>
              <w:t xml:space="preserve"> Oxidoreductase Core Subunit S4</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1E638492" w14:textId="77777777" w:rsidR="00CB0062" w:rsidRDefault="00CB0062" w:rsidP="00223E56">
            <w:pPr>
              <w:rPr>
                <w:color w:val="000000"/>
                <w:sz w:val="16"/>
                <w:szCs w:val="16"/>
              </w:rPr>
            </w:pPr>
            <w:r>
              <w:rPr>
                <w:color w:val="000000"/>
                <w:sz w:val="16"/>
                <w:szCs w:val="16"/>
              </w:rPr>
              <w:t>rs535277</w:t>
            </w:r>
          </w:p>
        </w:tc>
        <w:tc>
          <w:tcPr>
            <w:tcW w:w="851" w:type="dxa"/>
            <w:tcBorders>
              <w:top w:val="single" w:sz="4" w:space="0" w:color="000000"/>
              <w:bottom w:val="single" w:sz="4" w:space="0" w:color="D0CECE"/>
            </w:tcBorders>
            <w:tcMar>
              <w:top w:w="-113" w:type="dxa"/>
              <w:left w:w="-113" w:type="dxa"/>
              <w:bottom w:w="-113" w:type="dxa"/>
              <w:right w:w="-113" w:type="dxa"/>
            </w:tcMar>
          </w:tcPr>
          <w:p w14:paraId="6AE18823" w14:textId="77777777" w:rsidR="00CB0062" w:rsidRDefault="00CB0062" w:rsidP="00223E56">
            <w:pPr>
              <w:rPr>
                <w:color w:val="000000"/>
                <w:sz w:val="16"/>
                <w:szCs w:val="16"/>
              </w:rPr>
            </w:pPr>
            <w:r>
              <w:rPr>
                <w:color w:val="000000"/>
                <w:sz w:val="16"/>
                <w:szCs w:val="16"/>
              </w:rPr>
              <w:t>T&gt;</w:t>
            </w:r>
            <w:proofErr w:type="gramStart"/>
            <w:r>
              <w:rPr>
                <w:color w:val="000000"/>
                <w:sz w:val="16"/>
                <w:szCs w:val="16"/>
              </w:rPr>
              <w:t>A,G</w:t>
            </w:r>
            <w:proofErr w:type="gramEnd"/>
          </w:p>
        </w:tc>
        <w:tc>
          <w:tcPr>
            <w:tcW w:w="1701" w:type="dxa"/>
            <w:tcBorders>
              <w:top w:val="single" w:sz="4" w:space="0" w:color="000000"/>
              <w:bottom w:val="single" w:sz="4" w:space="0" w:color="D0CECE"/>
            </w:tcBorders>
            <w:tcMar>
              <w:top w:w="-113" w:type="dxa"/>
              <w:left w:w="-113" w:type="dxa"/>
              <w:bottom w:w="-113" w:type="dxa"/>
              <w:right w:w="-113" w:type="dxa"/>
            </w:tcMar>
          </w:tcPr>
          <w:p w14:paraId="6930A245" w14:textId="77777777" w:rsidR="00CB0062" w:rsidRDefault="00CB0062" w:rsidP="00223E56">
            <w:pPr>
              <w:rPr>
                <w:color w:val="000000"/>
                <w:sz w:val="16"/>
                <w:szCs w:val="16"/>
              </w:rPr>
            </w:pPr>
            <w:r>
              <w:rPr>
                <w:sz w:val="16"/>
                <w:szCs w:val="16"/>
              </w:rPr>
              <w:t>Intron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09CE1F24" w14:textId="77777777" w:rsidR="00CB0062" w:rsidRDefault="00CB0062" w:rsidP="00223E56">
            <w:pPr>
              <w:rPr>
                <w:sz w:val="16"/>
                <w:szCs w:val="16"/>
              </w:rPr>
            </w:pPr>
            <w:r>
              <w:rPr>
                <w:color w:val="000000"/>
                <w:sz w:val="16"/>
                <w:szCs w:val="16"/>
              </w:rPr>
              <w:t>T2DM</w:t>
            </w:r>
          </w:p>
          <w:p w14:paraId="438D5509" w14:textId="77777777" w:rsidR="00CB0062" w:rsidRDefault="00CB0062" w:rsidP="00223E56">
            <w:pPr>
              <w:rPr>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20041383" w14:textId="77777777" w:rsidR="00CB0062" w:rsidRDefault="00CB0062" w:rsidP="00223E56">
            <w:pPr>
              <w:rPr>
                <w:sz w:val="16"/>
                <w:szCs w:val="16"/>
              </w:rPr>
            </w:pPr>
            <w:r>
              <w:rPr>
                <w:sz w:val="16"/>
                <w:szCs w:val="16"/>
              </w:rPr>
              <w:t>Grau-Perez et al. 2018</w:t>
            </w:r>
          </w:p>
          <w:p w14:paraId="576D48E1" w14:textId="77777777" w:rsidR="00CB0062" w:rsidRDefault="00CB0062" w:rsidP="00223E56">
            <w:pPr>
              <w:rPr>
                <w:sz w:val="16"/>
                <w:szCs w:val="16"/>
              </w:rPr>
            </w:pPr>
          </w:p>
        </w:tc>
      </w:tr>
      <w:tr w:rsidR="00CB0062" w14:paraId="60D1992D"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EA8FE86" w14:textId="77777777" w:rsidR="00CB0062" w:rsidRDefault="00CB0062" w:rsidP="00223E56">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439429A" w14:textId="77777777" w:rsidR="00CB0062" w:rsidRDefault="00CB0062" w:rsidP="00223E56">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03BD0BC1" w14:textId="77777777" w:rsidR="00CB0062" w:rsidRDefault="00CB0062" w:rsidP="00223E56">
            <w:pPr>
              <w:rPr>
                <w:color w:val="000000"/>
                <w:sz w:val="16"/>
                <w:szCs w:val="16"/>
              </w:rPr>
            </w:pPr>
            <w:r>
              <w:rPr>
                <w:color w:val="000000"/>
                <w:sz w:val="16"/>
                <w:szCs w:val="16"/>
              </w:rPr>
              <w:t>rs567</w:t>
            </w:r>
          </w:p>
        </w:tc>
        <w:tc>
          <w:tcPr>
            <w:tcW w:w="851" w:type="dxa"/>
            <w:tcBorders>
              <w:top w:val="single" w:sz="4" w:space="0" w:color="D0CECE"/>
              <w:bottom w:val="single" w:sz="4" w:space="0" w:color="000000"/>
            </w:tcBorders>
            <w:tcMar>
              <w:top w:w="-113" w:type="dxa"/>
              <w:left w:w="-113" w:type="dxa"/>
              <w:bottom w:w="-113" w:type="dxa"/>
              <w:right w:w="-113" w:type="dxa"/>
            </w:tcMar>
          </w:tcPr>
          <w:p w14:paraId="06789D9E" w14:textId="77777777" w:rsidR="00CB0062" w:rsidRDefault="00CB0062" w:rsidP="00223E56">
            <w:pPr>
              <w:rPr>
                <w:color w:val="000000"/>
                <w:sz w:val="16"/>
                <w:szCs w:val="16"/>
              </w:rPr>
            </w:pPr>
            <w:r>
              <w:rPr>
                <w:color w:val="000000"/>
                <w:sz w:val="16"/>
                <w:szCs w:val="16"/>
              </w:rPr>
              <w:t>G&gt;A</w:t>
            </w:r>
          </w:p>
        </w:tc>
        <w:tc>
          <w:tcPr>
            <w:tcW w:w="1701" w:type="dxa"/>
            <w:tcBorders>
              <w:top w:val="single" w:sz="4" w:space="0" w:color="D0CECE"/>
              <w:bottom w:val="single" w:sz="4" w:space="0" w:color="000000"/>
            </w:tcBorders>
            <w:tcMar>
              <w:top w:w="-113" w:type="dxa"/>
              <w:left w:w="-113" w:type="dxa"/>
              <w:bottom w:w="-113" w:type="dxa"/>
              <w:right w:w="-113" w:type="dxa"/>
            </w:tcMar>
          </w:tcPr>
          <w:p w14:paraId="5C437A35" w14:textId="77777777" w:rsidR="00CB0062" w:rsidRDefault="00CB0062" w:rsidP="00223E56">
            <w:pPr>
              <w:rPr>
                <w:color w:val="000000"/>
                <w:sz w:val="16"/>
                <w:szCs w:val="16"/>
              </w:rPr>
            </w:pPr>
            <w:r>
              <w:rPr>
                <w:color w:val="000000"/>
                <w:sz w:val="16"/>
                <w:szCs w:val="16"/>
              </w:rPr>
              <w:t>Noncoding transcript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23B42BD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20339E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002AE9C9"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63EE4503" w14:textId="77777777" w:rsidR="00CB0062" w:rsidRDefault="00CB0062" w:rsidP="00223E56">
            <w:pPr>
              <w:rPr>
                <w:i/>
                <w:color w:val="000000"/>
                <w:sz w:val="16"/>
                <w:szCs w:val="16"/>
              </w:rPr>
            </w:pPr>
            <w:r>
              <w:rPr>
                <w:i/>
                <w:color w:val="000000"/>
                <w:sz w:val="16"/>
                <w:szCs w:val="16"/>
              </w:rPr>
              <w:t>NDUFS6</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46DA72FC" w14:textId="77777777" w:rsidR="00CB0062" w:rsidRDefault="00CB0062" w:rsidP="00223E56">
            <w:pPr>
              <w:rPr>
                <w:color w:val="000000"/>
                <w:sz w:val="16"/>
                <w:szCs w:val="16"/>
              </w:rPr>
            </w:pPr>
            <w:proofErr w:type="spellStart"/>
            <w:proofErr w:type="gramStart"/>
            <w:r>
              <w:rPr>
                <w:color w:val="000000"/>
                <w:sz w:val="16"/>
                <w:szCs w:val="16"/>
              </w:rPr>
              <w:t>NADH:Ubiquinone</w:t>
            </w:r>
            <w:proofErr w:type="spellEnd"/>
            <w:proofErr w:type="gramEnd"/>
            <w:r>
              <w:rPr>
                <w:color w:val="000000"/>
                <w:sz w:val="16"/>
                <w:szCs w:val="16"/>
              </w:rPr>
              <w:t xml:space="preserve"> Oxidoreductase Core Subunit S6</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457A00CB" w14:textId="77777777" w:rsidR="00CB0062" w:rsidRDefault="00CB0062" w:rsidP="00223E56">
            <w:pPr>
              <w:rPr>
                <w:color w:val="000000"/>
                <w:sz w:val="16"/>
                <w:szCs w:val="16"/>
              </w:rPr>
            </w:pPr>
            <w:r>
              <w:rPr>
                <w:color w:val="000000"/>
                <w:sz w:val="16"/>
                <w:szCs w:val="16"/>
              </w:rPr>
              <w:t>rs11953620</w:t>
            </w:r>
          </w:p>
        </w:tc>
        <w:tc>
          <w:tcPr>
            <w:tcW w:w="851" w:type="dxa"/>
            <w:tcBorders>
              <w:top w:val="single" w:sz="4" w:space="0" w:color="000000"/>
              <w:bottom w:val="single" w:sz="4" w:space="0" w:color="000000"/>
            </w:tcBorders>
            <w:tcMar>
              <w:top w:w="-113" w:type="dxa"/>
              <w:left w:w="-113" w:type="dxa"/>
              <w:bottom w:w="-113" w:type="dxa"/>
              <w:right w:w="-113" w:type="dxa"/>
            </w:tcMar>
          </w:tcPr>
          <w:p w14:paraId="747D3E04" w14:textId="77777777" w:rsidR="00CB0062" w:rsidRDefault="00CB0062" w:rsidP="00223E56">
            <w:pPr>
              <w:rPr>
                <w:color w:val="000000"/>
                <w:sz w:val="16"/>
                <w:szCs w:val="16"/>
              </w:rPr>
            </w:pPr>
            <w:r>
              <w:rPr>
                <w:color w:val="000000"/>
                <w:sz w:val="16"/>
                <w:szCs w:val="16"/>
              </w:rPr>
              <w:t>C&gt;T</w:t>
            </w:r>
          </w:p>
        </w:tc>
        <w:tc>
          <w:tcPr>
            <w:tcW w:w="1701" w:type="dxa"/>
            <w:tcBorders>
              <w:top w:val="single" w:sz="4" w:space="0" w:color="000000"/>
              <w:bottom w:val="single" w:sz="4" w:space="0" w:color="000000"/>
            </w:tcBorders>
            <w:tcMar>
              <w:top w:w="-113" w:type="dxa"/>
              <w:left w:w="-113" w:type="dxa"/>
              <w:bottom w:w="-113" w:type="dxa"/>
              <w:right w:w="-113" w:type="dxa"/>
            </w:tcMar>
          </w:tcPr>
          <w:p w14:paraId="03C10A3B" w14:textId="77777777" w:rsidR="00CB0062" w:rsidRDefault="00CB0062" w:rsidP="00223E56">
            <w:pPr>
              <w:rPr>
                <w:color w:val="000000"/>
                <w:sz w:val="16"/>
                <w:szCs w:val="16"/>
              </w:rPr>
            </w:pPr>
            <w:r>
              <w:rPr>
                <w:color w:val="000000"/>
                <w:sz w:val="16"/>
                <w:szCs w:val="16"/>
              </w:rPr>
              <w:t>None</w:t>
            </w:r>
          </w:p>
        </w:tc>
        <w:tc>
          <w:tcPr>
            <w:tcW w:w="708" w:type="dxa"/>
            <w:tcBorders>
              <w:top w:val="single" w:sz="4" w:space="0" w:color="000000"/>
              <w:bottom w:val="single" w:sz="4" w:space="0" w:color="000000"/>
            </w:tcBorders>
            <w:tcMar>
              <w:top w:w="-113" w:type="dxa"/>
              <w:left w:w="-113" w:type="dxa"/>
              <w:bottom w:w="-113" w:type="dxa"/>
              <w:right w:w="-113" w:type="dxa"/>
            </w:tcMar>
          </w:tcPr>
          <w:p w14:paraId="1FB226C4" w14:textId="77777777" w:rsidR="00CB0062" w:rsidRDefault="00CB0062" w:rsidP="00223E56">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108602ED" w14:textId="77777777" w:rsidR="00CB0062" w:rsidRDefault="00CB0062" w:rsidP="00223E56">
            <w:pPr>
              <w:rPr>
                <w:color w:val="000000"/>
                <w:sz w:val="16"/>
                <w:szCs w:val="16"/>
              </w:rPr>
            </w:pPr>
            <w:r>
              <w:rPr>
                <w:sz w:val="16"/>
                <w:szCs w:val="16"/>
              </w:rPr>
              <w:t>Grau-Perez et al. 2018</w:t>
            </w:r>
          </w:p>
        </w:tc>
      </w:tr>
      <w:tr w:rsidR="00CB0062" w14:paraId="2D32B40E"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9577387" w14:textId="77777777" w:rsidR="00CB0062" w:rsidRDefault="00CB0062" w:rsidP="00223E56">
            <w:pPr>
              <w:rPr>
                <w:i/>
                <w:color w:val="000000"/>
                <w:sz w:val="16"/>
                <w:szCs w:val="16"/>
              </w:rPr>
            </w:pPr>
            <w:r>
              <w:rPr>
                <w:i/>
                <w:color w:val="000000"/>
                <w:sz w:val="16"/>
                <w:szCs w:val="16"/>
              </w:rPr>
              <w:t>NDUFS7</w:t>
            </w: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AF7BBA9" w14:textId="77777777" w:rsidR="00CB0062" w:rsidRDefault="00CB0062" w:rsidP="00223E56">
            <w:pPr>
              <w:rPr>
                <w:color w:val="000000"/>
                <w:sz w:val="16"/>
                <w:szCs w:val="16"/>
              </w:rPr>
            </w:pPr>
            <w:proofErr w:type="spellStart"/>
            <w:proofErr w:type="gramStart"/>
            <w:r>
              <w:rPr>
                <w:color w:val="000000"/>
                <w:sz w:val="16"/>
                <w:szCs w:val="16"/>
              </w:rPr>
              <w:t>NADH:Ubiquinone</w:t>
            </w:r>
            <w:proofErr w:type="spellEnd"/>
            <w:proofErr w:type="gramEnd"/>
            <w:r>
              <w:rPr>
                <w:color w:val="000000"/>
                <w:sz w:val="16"/>
                <w:szCs w:val="16"/>
              </w:rPr>
              <w:t xml:space="preserve"> Oxidoreductase Core Subunit S7</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0CE744C4" w14:textId="77777777" w:rsidR="00CB0062" w:rsidRDefault="00CB0062" w:rsidP="00223E56">
            <w:pPr>
              <w:rPr>
                <w:color w:val="000000"/>
                <w:sz w:val="16"/>
                <w:szCs w:val="16"/>
              </w:rPr>
            </w:pPr>
            <w:r>
              <w:rPr>
                <w:color w:val="000000"/>
                <w:sz w:val="16"/>
                <w:szCs w:val="16"/>
              </w:rPr>
              <w:t>rs11666067</w:t>
            </w:r>
          </w:p>
        </w:tc>
        <w:tc>
          <w:tcPr>
            <w:tcW w:w="851" w:type="dxa"/>
            <w:tcBorders>
              <w:top w:val="single" w:sz="4" w:space="0" w:color="000000"/>
              <w:bottom w:val="single" w:sz="4" w:space="0" w:color="D0CECE"/>
            </w:tcBorders>
            <w:tcMar>
              <w:top w:w="-113" w:type="dxa"/>
              <w:left w:w="-113" w:type="dxa"/>
              <w:bottom w:w="-113" w:type="dxa"/>
              <w:right w:w="-113" w:type="dxa"/>
            </w:tcMar>
          </w:tcPr>
          <w:p w14:paraId="1F45B97E" w14:textId="77777777" w:rsidR="00CB0062" w:rsidRDefault="00CB0062" w:rsidP="00223E56">
            <w:pPr>
              <w:rPr>
                <w:color w:val="000000"/>
                <w:sz w:val="16"/>
                <w:szCs w:val="16"/>
              </w:rPr>
            </w:pPr>
            <w:r>
              <w:rPr>
                <w:color w:val="000000"/>
                <w:sz w:val="16"/>
                <w:szCs w:val="16"/>
              </w:rPr>
              <w:t>C&gt;</w:t>
            </w:r>
            <w:proofErr w:type="gramStart"/>
            <w:r>
              <w:rPr>
                <w:color w:val="000000"/>
                <w:sz w:val="16"/>
                <w:szCs w:val="16"/>
              </w:rPr>
              <w:t>A,G</w:t>
            </w:r>
            <w:proofErr w:type="gramEnd"/>
            <w:r>
              <w:rPr>
                <w:color w:val="000000"/>
                <w:sz w:val="16"/>
                <w:szCs w:val="16"/>
              </w:rPr>
              <w:t>,T</w:t>
            </w:r>
          </w:p>
        </w:tc>
        <w:tc>
          <w:tcPr>
            <w:tcW w:w="1701" w:type="dxa"/>
            <w:tcBorders>
              <w:top w:val="single" w:sz="4" w:space="0" w:color="000000"/>
              <w:bottom w:val="single" w:sz="4" w:space="0" w:color="D0CECE"/>
            </w:tcBorders>
            <w:tcMar>
              <w:top w:w="-113" w:type="dxa"/>
              <w:left w:w="-113" w:type="dxa"/>
              <w:bottom w:w="-113" w:type="dxa"/>
              <w:right w:w="-113" w:type="dxa"/>
            </w:tcMar>
          </w:tcPr>
          <w:p w14:paraId="50E9E9A5" w14:textId="77777777" w:rsidR="00CB0062" w:rsidRDefault="00CB0062" w:rsidP="00223E56">
            <w:pPr>
              <w:rPr>
                <w:color w:val="000000"/>
                <w:sz w:val="16"/>
                <w:szCs w:val="16"/>
              </w:rPr>
            </w:pPr>
            <w:r>
              <w:rPr>
                <w:color w:val="000000"/>
                <w:sz w:val="16"/>
                <w:szCs w:val="16"/>
              </w:rPr>
              <w:t>Missense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38B534BC" w14:textId="77777777" w:rsidR="00CB0062" w:rsidRDefault="00CB0062" w:rsidP="00223E56">
            <w:pPr>
              <w:rPr>
                <w:sz w:val="16"/>
                <w:szCs w:val="16"/>
              </w:rPr>
            </w:pPr>
            <w:r>
              <w:rPr>
                <w:color w:val="000000"/>
                <w:sz w:val="16"/>
                <w:szCs w:val="16"/>
              </w:rPr>
              <w:t>T2DM</w:t>
            </w:r>
          </w:p>
          <w:p w14:paraId="1AB4E950" w14:textId="77777777" w:rsidR="00CB0062" w:rsidRDefault="00CB0062" w:rsidP="00223E56">
            <w:pPr>
              <w:rPr>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296773D0" w14:textId="77777777" w:rsidR="00CB0062" w:rsidRDefault="00CB0062" w:rsidP="00223E56">
            <w:pPr>
              <w:rPr>
                <w:sz w:val="16"/>
                <w:szCs w:val="16"/>
              </w:rPr>
            </w:pPr>
            <w:r>
              <w:rPr>
                <w:sz w:val="16"/>
                <w:szCs w:val="16"/>
              </w:rPr>
              <w:lastRenderedPageBreak/>
              <w:t>Grau-Perez et al. 2018</w:t>
            </w:r>
          </w:p>
          <w:p w14:paraId="00D2AC90" w14:textId="77777777" w:rsidR="00CB0062" w:rsidRDefault="00CB0062" w:rsidP="00223E56">
            <w:pPr>
              <w:rPr>
                <w:sz w:val="16"/>
                <w:szCs w:val="16"/>
              </w:rPr>
            </w:pPr>
          </w:p>
        </w:tc>
      </w:tr>
      <w:tr w:rsidR="00CB0062" w14:paraId="0B717851"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D324938" w14:textId="77777777" w:rsidR="00CB0062" w:rsidRDefault="00CB0062" w:rsidP="00223E56">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D2F96F0" w14:textId="77777777" w:rsidR="00CB0062" w:rsidRDefault="00CB0062" w:rsidP="00223E56">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05BE501E" w14:textId="77777777" w:rsidR="00CB0062" w:rsidRDefault="00CB0062" w:rsidP="00223E56">
            <w:pPr>
              <w:rPr>
                <w:color w:val="000000"/>
                <w:sz w:val="16"/>
                <w:szCs w:val="16"/>
              </w:rPr>
            </w:pPr>
            <w:r>
              <w:rPr>
                <w:color w:val="000000"/>
                <w:sz w:val="16"/>
                <w:szCs w:val="16"/>
              </w:rPr>
              <w:t>rs3848638</w:t>
            </w:r>
          </w:p>
        </w:tc>
        <w:tc>
          <w:tcPr>
            <w:tcW w:w="851" w:type="dxa"/>
            <w:tcBorders>
              <w:top w:val="single" w:sz="4" w:space="0" w:color="D0CECE"/>
              <w:bottom w:val="single" w:sz="4" w:space="0" w:color="000000"/>
            </w:tcBorders>
            <w:tcMar>
              <w:top w:w="-113" w:type="dxa"/>
              <w:left w:w="-113" w:type="dxa"/>
              <w:bottom w:w="-113" w:type="dxa"/>
              <w:right w:w="-113" w:type="dxa"/>
            </w:tcMar>
          </w:tcPr>
          <w:p w14:paraId="71143F60" w14:textId="77777777" w:rsidR="00CB0062" w:rsidRDefault="00CB0062" w:rsidP="00223E56">
            <w:pPr>
              <w:rPr>
                <w:color w:val="000000"/>
                <w:sz w:val="16"/>
                <w:szCs w:val="16"/>
              </w:rPr>
            </w:pPr>
            <w:r>
              <w:rPr>
                <w:color w:val="000000"/>
                <w:sz w:val="16"/>
                <w:szCs w:val="16"/>
              </w:rPr>
              <w:t>G&gt;</w:t>
            </w:r>
            <w:proofErr w:type="gramStart"/>
            <w:r>
              <w:rPr>
                <w:color w:val="000000"/>
                <w:sz w:val="16"/>
                <w:szCs w:val="16"/>
              </w:rPr>
              <w:t>A,C</w:t>
            </w:r>
            <w:proofErr w:type="gramEnd"/>
            <w:r>
              <w:rPr>
                <w:color w:val="000000"/>
                <w:sz w:val="16"/>
                <w:szCs w:val="16"/>
              </w:rPr>
              <w:t>,T</w:t>
            </w:r>
          </w:p>
        </w:tc>
        <w:tc>
          <w:tcPr>
            <w:tcW w:w="1701" w:type="dxa"/>
            <w:tcBorders>
              <w:top w:val="single" w:sz="4" w:space="0" w:color="D0CECE"/>
              <w:bottom w:val="single" w:sz="4" w:space="0" w:color="000000"/>
            </w:tcBorders>
            <w:tcMar>
              <w:top w:w="-113" w:type="dxa"/>
              <w:left w:w="-113" w:type="dxa"/>
              <w:bottom w:w="-113" w:type="dxa"/>
              <w:right w:w="-113" w:type="dxa"/>
            </w:tcMar>
          </w:tcPr>
          <w:p w14:paraId="30D033B9" w14:textId="77777777" w:rsidR="00CB0062" w:rsidRDefault="00CB0062" w:rsidP="00223E56">
            <w:pPr>
              <w:rPr>
                <w:color w:val="000000"/>
                <w:sz w:val="16"/>
                <w:szCs w:val="16"/>
              </w:rPr>
            </w:pPr>
            <w:r>
              <w:rPr>
                <w:sz w:val="16"/>
                <w:szCs w:val="16"/>
              </w:rPr>
              <w:t>2KB Upstream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3E5CFE9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10A0FF5E"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47B05DDC"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B2173A0" w14:textId="77777777" w:rsidR="00CB0062" w:rsidRDefault="00CB0062" w:rsidP="00223E56">
            <w:pPr>
              <w:rPr>
                <w:i/>
                <w:color w:val="000000"/>
                <w:sz w:val="16"/>
                <w:szCs w:val="16"/>
              </w:rPr>
            </w:pPr>
            <w:r>
              <w:rPr>
                <w:i/>
                <w:color w:val="000000"/>
                <w:sz w:val="16"/>
                <w:szCs w:val="16"/>
              </w:rPr>
              <w:t>NDUFS8</w:t>
            </w:r>
          </w:p>
          <w:p w14:paraId="6D5D7D71"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6A23A5C" w14:textId="77777777" w:rsidR="00CB0062" w:rsidRDefault="00CB0062" w:rsidP="00223E56">
            <w:pPr>
              <w:rPr>
                <w:color w:val="000000"/>
                <w:sz w:val="16"/>
                <w:szCs w:val="16"/>
              </w:rPr>
            </w:pPr>
            <w:proofErr w:type="spellStart"/>
            <w:proofErr w:type="gramStart"/>
            <w:r>
              <w:rPr>
                <w:color w:val="000000"/>
                <w:sz w:val="16"/>
                <w:szCs w:val="16"/>
              </w:rPr>
              <w:t>NADH:Ubiquinone</w:t>
            </w:r>
            <w:proofErr w:type="spellEnd"/>
            <w:proofErr w:type="gramEnd"/>
            <w:r>
              <w:rPr>
                <w:color w:val="000000"/>
                <w:sz w:val="16"/>
                <w:szCs w:val="16"/>
              </w:rPr>
              <w:t xml:space="preserve"> Oxidoreductase Core Subunit S8</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08A59AE4" w14:textId="77777777" w:rsidR="00CB0062" w:rsidRDefault="00CB0062" w:rsidP="00223E56">
            <w:pPr>
              <w:rPr>
                <w:color w:val="000000"/>
                <w:sz w:val="16"/>
                <w:szCs w:val="16"/>
              </w:rPr>
            </w:pPr>
            <w:r>
              <w:rPr>
                <w:color w:val="000000"/>
                <w:sz w:val="16"/>
                <w:szCs w:val="16"/>
              </w:rPr>
              <w:t>rs10896288</w:t>
            </w:r>
          </w:p>
        </w:tc>
        <w:tc>
          <w:tcPr>
            <w:tcW w:w="851" w:type="dxa"/>
            <w:tcBorders>
              <w:top w:val="single" w:sz="4" w:space="0" w:color="000000"/>
              <w:bottom w:val="single" w:sz="4" w:space="0" w:color="D0CECE"/>
            </w:tcBorders>
            <w:tcMar>
              <w:top w:w="-113" w:type="dxa"/>
              <w:left w:w="-113" w:type="dxa"/>
              <w:bottom w:w="-113" w:type="dxa"/>
              <w:right w:w="-113" w:type="dxa"/>
            </w:tcMar>
          </w:tcPr>
          <w:p w14:paraId="5433CA89" w14:textId="77777777" w:rsidR="00CB0062" w:rsidRDefault="00CB0062" w:rsidP="00223E56">
            <w:pPr>
              <w:rPr>
                <w:color w:val="000000"/>
                <w:sz w:val="16"/>
                <w:szCs w:val="16"/>
              </w:rPr>
            </w:pPr>
            <w:r>
              <w:rPr>
                <w:color w:val="000000"/>
                <w:sz w:val="16"/>
                <w:szCs w:val="16"/>
              </w:rPr>
              <w:t>C&gt;</w:t>
            </w:r>
            <w:proofErr w:type="gramStart"/>
            <w:r>
              <w:rPr>
                <w:color w:val="000000"/>
                <w:sz w:val="16"/>
                <w:szCs w:val="16"/>
              </w:rPr>
              <w:t>A,G</w:t>
            </w:r>
            <w:proofErr w:type="gramEnd"/>
          </w:p>
        </w:tc>
        <w:tc>
          <w:tcPr>
            <w:tcW w:w="1701" w:type="dxa"/>
            <w:tcBorders>
              <w:top w:val="single" w:sz="4" w:space="0" w:color="000000"/>
              <w:bottom w:val="single" w:sz="4" w:space="0" w:color="D0CECE"/>
            </w:tcBorders>
            <w:tcMar>
              <w:top w:w="-113" w:type="dxa"/>
              <w:left w:w="-113" w:type="dxa"/>
              <w:bottom w:w="-113" w:type="dxa"/>
              <w:right w:w="-113" w:type="dxa"/>
            </w:tcMar>
          </w:tcPr>
          <w:p w14:paraId="61EDBBF7" w14:textId="77777777" w:rsidR="00CB0062" w:rsidRDefault="00CB0062" w:rsidP="00223E56">
            <w:pPr>
              <w:rPr>
                <w:color w:val="000000"/>
                <w:sz w:val="16"/>
                <w:szCs w:val="16"/>
              </w:rPr>
            </w:pPr>
            <w:r>
              <w:rPr>
                <w:sz w:val="16"/>
                <w:szCs w:val="16"/>
              </w:rPr>
              <w:t>2KB Upstream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7850D688" w14:textId="77777777" w:rsidR="00CB0062" w:rsidRDefault="00CB0062" w:rsidP="00223E56">
            <w:pPr>
              <w:rPr>
                <w:sz w:val="16"/>
                <w:szCs w:val="16"/>
              </w:rPr>
            </w:pPr>
            <w:r>
              <w:rPr>
                <w:color w:val="000000"/>
                <w:sz w:val="16"/>
                <w:szCs w:val="16"/>
              </w:rPr>
              <w:t>T2DM</w:t>
            </w:r>
          </w:p>
          <w:p w14:paraId="50431D83" w14:textId="77777777" w:rsidR="00CB0062" w:rsidRDefault="00CB0062" w:rsidP="00223E56">
            <w:pPr>
              <w:rPr>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39CFF90A" w14:textId="77777777" w:rsidR="00CB0062" w:rsidRDefault="00CB0062" w:rsidP="00223E56">
            <w:pPr>
              <w:rPr>
                <w:sz w:val="16"/>
                <w:szCs w:val="16"/>
              </w:rPr>
            </w:pPr>
            <w:r>
              <w:rPr>
                <w:sz w:val="16"/>
                <w:szCs w:val="16"/>
              </w:rPr>
              <w:t>Grau-Perez et al. 2018</w:t>
            </w:r>
          </w:p>
          <w:p w14:paraId="7A91D549" w14:textId="77777777" w:rsidR="00CB0062" w:rsidRDefault="00CB0062" w:rsidP="00223E56">
            <w:pPr>
              <w:rPr>
                <w:sz w:val="16"/>
                <w:szCs w:val="16"/>
              </w:rPr>
            </w:pPr>
          </w:p>
        </w:tc>
      </w:tr>
      <w:tr w:rsidR="00CB0062" w14:paraId="4F0C5A05"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40DA301" w14:textId="77777777" w:rsidR="00CB0062" w:rsidRDefault="00CB0062" w:rsidP="00223E56">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A332E4A" w14:textId="77777777" w:rsidR="00CB0062" w:rsidRDefault="00CB0062" w:rsidP="00223E56">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88386F5" w14:textId="77777777" w:rsidR="00CB0062" w:rsidRDefault="00CB0062" w:rsidP="00223E56">
            <w:pPr>
              <w:rPr>
                <w:color w:val="000000"/>
                <w:sz w:val="16"/>
                <w:szCs w:val="16"/>
              </w:rPr>
            </w:pPr>
            <w:r>
              <w:rPr>
                <w:color w:val="000000"/>
                <w:sz w:val="16"/>
                <w:szCs w:val="16"/>
              </w:rPr>
              <w:t>rs4147779</w:t>
            </w:r>
          </w:p>
        </w:tc>
        <w:tc>
          <w:tcPr>
            <w:tcW w:w="851" w:type="dxa"/>
            <w:tcBorders>
              <w:top w:val="single" w:sz="4" w:space="0" w:color="D0CECE"/>
              <w:bottom w:val="single" w:sz="4" w:space="0" w:color="D0CECE"/>
            </w:tcBorders>
            <w:tcMar>
              <w:top w:w="-113" w:type="dxa"/>
              <w:left w:w="-113" w:type="dxa"/>
              <w:bottom w:w="-113" w:type="dxa"/>
              <w:right w:w="-113" w:type="dxa"/>
            </w:tcMar>
          </w:tcPr>
          <w:p w14:paraId="38DD0FB7" w14:textId="77777777" w:rsidR="00CB0062" w:rsidRDefault="00CB0062" w:rsidP="00223E56">
            <w:pPr>
              <w:rPr>
                <w:color w:val="000000"/>
                <w:sz w:val="16"/>
                <w:szCs w:val="16"/>
              </w:rPr>
            </w:pPr>
            <w:r>
              <w:rPr>
                <w:color w:val="000000"/>
                <w:sz w:val="16"/>
                <w:szCs w:val="16"/>
              </w:rPr>
              <w:t>G&gt;</w:t>
            </w:r>
            <w:proofErr w:type="gramStart"/>
            <w:r>
              <w:rPr>
                <w:color w:val="000000"/>
                <w:sz w:val="16"/>
                <w:szCs w:val="16"/>
              </w:rPr>
              <w:t>A,C</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13B0A77D" w14:textId="77777777" w:rsidR="00CB0062" w:rsidRDefault="00CB0062" w:rsidP="00223E56">
            <w:pPr>
              <w:rPr>
                <w:color w:val="000000"/>
                <w:sz w:val="16"/>
                <w:szCs w:val="16"/>
              </w:rPr>
            </w:pPr>
            <w:r>
              <w:rPr>
                <w:sz w:val="16"/>
                <w:szCs w:val="16"/>
              </w:rPr>
              <w:t>2KB Upstream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7B162F3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1D1F264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33955E7E"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7E63EB2"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6FFF41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64436CB2" w14:textId="77777777" w:rsidR="00CB0062" w:rsidRDefault="00CB0062" w:rsidP="00223E56">
            <w:pPr>
              <w:rPr>
                <w:color w:val="000000"/>
                <w:sz w:val="16"/>
                <w:szCs w:val="16"/>
              </w:rPr>
            </w:pPr>
            <w:r>
              <w:rPr>
                <w:color w:val="000000"/>
                <w:sz w:val="16"/>
                <w:szCs w:val="16"/>
              </w:rPr>
              <w:t>rs4147780</w:t>
            </w:r>
          </w:p>
        </w:tc>
        <w:tc>
          <w:tcPr>
            <w:tcW w:w="851" w:type="dxa"/>
            <w:tcBorders>
              <w:top w:val="single" w:sz="4" w:space="0" w:color="D0CECE"/>
              <w:bottom w:val="single" w:sz="4" w:space="0" w:color="000000"/>
            </w:tcBorders>
            <w:tcMar>
              <w:top w:w="-113" w:type="dxa"/>
              <w:left w:w="-113" w:type="dxa"/>
              <w:bottom w:w="-113" w:type="dxa"/>
              <w:right w:w="-113" w:type="dxa"/>
            </w:tcMar>
          </w:tcPr>
          <w:p w14:paraId="09ADC2CE" w14:textId="77777777" w:rsidR="00CB0062" w:rsidRDefault="00CB0062" w:rsidP="00223E56">
            <w:pPr>
              <w:rPr>
                <w:color w:val="000000"/>
                <w:sz w:val="16"/>
                <w:szCs w:val="16"/>
              </w:rPr>
            </w:pPr>
            <w:r>
              <w:rPr>
                <w:color w:val="000000"/>
                <w:sz w:val="16"/>
                <w:szCs w:val="16"/>
              </w:rPr>
              <w:t>G&gt;A</w:t>
            </w:r>
          </w:p>
        </w:tc>
        <w:tc>
          <w:tcPr>
            <w:tcW w:w="1701" w:type="dxa"/>
            <w:tcBorders>
              <w:top w:val="single" w:sz="4" w:space="0" w:color="D0CECE"/>
              <w:bottom w:val="single" w:sz="4" w:space="0" w:color="000000"/>
            </w:tcBorders>
            <w:tcMar>
              <w:top w:w="-113" w:type="dxa"/>
              <w:left w:w="-113" w:type="dxa"/>
              <w:bottom w:w="-113" w:type="dxa"/>
              <w:right w:w="-113" w:type="dxa"/>
            </w:tcMar>
          </w:tcPr>
          <w:p w14:paraId="6A172004" w14:textId="77777777" w:rsidR="00CB0062" w:rsidRDefault="00CB0062" w:rsidP="00223E56">
            <w:pPr>
              <w:rPr>
                <w:color w:val="000000"/>
                <w:sz w:val="16"/>
                <w:szCs w:val="16"/>
              </w:rPr>
            </w:pPr>
            <w:r>
              <w:rPr>
                <w:sz w:val="16"/>
                <w:szCs w:val="16"/>
              </w:rPr>
              <w:t>2KB Upstream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143428B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300B10E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554C1CA1"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456CE0F" w14:textId="77777777" w:rsidR="00CB0062" w:rsidRDefault="00CB0062" w:rsidP="00223E56">
            <w:pPr>
              <w:rPr>
                <w:i/>
                <w:color w:val="000000"/>
                <w:sz w:val="16"/>
                <w:szCs w:val="16"/>
              </w:rPr>
            </w:pPr>
            <w:r>
              <w:rPr>
                <w:i/>
                <w:color w:val="000000"/>
                <w:sz w:val="16"/>
                <w:szCs w:val="16"/>
              </w:rPr>
              <w:t>NEGR1</w:t>
            </w:r>
          </w:p>
          <w:p w14:paraId="112BD777"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9F5A4AE" w14:textId="77777777" w:rsidR="00CB0062" w:rsidRDefault="00CB0062" w:rsidP="00223E56">
            <w:pPr>
              <w:rPr>
                <w:color w:val="000000"/>
                <w:sz w:val="16"/>
                <w:szCs w:val="16"/>
              </w:rPr>
            </w:pPr>
            <w:r>
              <w:rPr>
                <w:color w:val="000000"/>
                <w:sz w:val="16"/>
                <w:szCs w:val="16"/>
              </w:rPr>
              <w:t>Neuronal Growth Regulator 1</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3FBB86BF" w14:textId="77777777" w:rsidR="00CB0062" w:rsidRDefault="00CB0062" w:rsidP="00223E56">
            <w:pPr>
              <w:rPr>
                <w:color w:val="000000"/>
                <w:sz w:val="16"/>
                <w:szCs w:val="16"/>
              </w:rPr>
            </w:pPr>
            <w:r>
              <w:rPr>
                <w:color w:val="000000"/>
                <w:sz w:val="16"/>
                <w:szCs w:val="16"/>
              </w:rPr>
              <w:t>rs2568958</w:t>
            </w:r>
          </w:p>
        </w:tc>
        <w:tc>
          <w:tcPr>
            <w:tcW w:w="851" w:type="dxa"/>
            <w:tcBorders>
              <w:top w:val="single" w:sz="4" w:space="0" w:color="000000"/>
              <w:bottom w:val="single" w:sz="4" w:space="0" w:color="D0CECE"/>
            </w:tcBorders>
            <w:tcMar>
              <w:top w:w="-113" w:type="dxa"/>
              <w:left w:w="-113" w:type="dxa"/>
              <w:bottom w:w="-113" w:type="dxa"/>
              <w:right w:w="-113" w:type="dxa"/>
            </w:tcMar>
          </w:tcPr>
          <w:p w14:paraId="182D1792" w14:textId="77777777" w:rsidR="00CB0062" w:rsidRDefault="00CB0062" w:rsidP="00223E56">
            <w:pPr>
              <w:rPr>
                <w:color w:val="000000"/>
                <w:sz w:val="16"/>
                <w:szCs w:val="16"/>
              </w:rPr>
            </w:pPr>
            <w:r>
              <w:rPr>
                <w:color w:val="000000"/>
                <w:sz w:val="16"/>
                <w:szCs w:val="16"/>
              </w:rPr>
              <w:t>G&gt;A</w:t>
            </w:r>
          </w:p>
        </w:tc>
        <w:tc>
          <w:tcPr>
            <w:tcW w:w="1701" w:type="dxa"/>
            <w:tcBorders>
              <w:top w:val="single" w:sz="4" w:space="0" w:color="000000"/>
              <w:bottom w:val="single" w:sz="4" w:space="0" w:color="D0CECE"/>
            </w:tcBorders>
            <w:tcMar>
              <w:top w:w="-113" w:type="dxa"/>
              <w:left w:w="-113" w:type="dxa"/>
              <w:bottom w:w="-113" w:type="dxa"/>
              <w:right w:w="-113" w:type="dxa"/>
            </w:tcMar>
          </w:tcPr>
          <w:p w14:paraId="14EDE8C6" w14:textId="77777777" w:rsidR="00CB0062" w:rsidRDefault="00CB0062" w:rsidP="00223E56">
            <w:pPr>
              <w:rPr>
                <w:color w:val="000000"/>
                <w:sz w:val="16"/>
                <w:szCs w:val="16"/>
              </w:rPr>
            </w:pPr>
            <w:r>
              <w:rPr>
                <w:sz w:val="16"/>
                <w:szCs w:val="16"/>
              </w:rPr>
              <w:t>3 Prime UTR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0607B845" w14:textId="77777777" w:rsidR="00CB0062" w:rsidRDefault="00CB0062" w:rsidP="00223E56">
            <w:pPr>
              <w:rPr>
                <w:sz w:val="16"/>
                <w:szCs w:val="16"/>
              </w:rPr>
            </w:pPr>
            <w:r>
              <w:rPr>
                <w:color w:val="000000"/>
                <w:sz w:val="16"/>
                <w:szCs w:val="16"/>
              </w:rPr>
              <w:t>T2DM</w:t>
            </w:r>
          </w:p>
          <w:p w14:paraId="7134D55A" w14:textId="77777777" w:rsidR="00CB0062" w:rsidRDefault="00CB0062" w:rsidP="00223E56">
            <w:pPr>
              <w:rPr>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12E9D6EF" w14:textId="77777777" w:rsidR="00CB0062" w:rsidRDefault="00CB0062" w:rsidP="00223E56">
            <w:pPr>
              <w:rPr>
                <w:sz w:val="16"/>
                <w:szCs w:val="16"/>
              </w:rPr>
            </w:pPr>
            <w:r>
              <w:rPr>
                <w:sz w:val="16"/>
                <w:szCs w:val="16"/>
              </w:rPr>
              <w:t>Grau-Perez et al. 2018</w:t>
            </w:r>
          </w:p>
          <w:p w14:paraId="2FE73E41" w14:textId="77777777" w:rsidR="00CB0062" w:rsidRDefault="00CB0062" w:rsidP="00223E56">
            <w:pPr>
              <w:rPr>
                <w:sz w:val="16"/>
                <w:szCs w:val="16"/>
              </w:rPr>
            </w:pPr>
          </w:p>
        </w:tc>
      </w:tr>
      <w:tr w:rsidR="00CB0062" w14:paraId="7A7E96AB"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3F31E3C" w14:textId="77777777" w:rsidR="00CB0062" w:rsidRDefault="00CB0062" w:rsidP="00223E56">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0DBC429" w14:textId="77777777" w:rsidR="00CB0062" w:rsidRDefault="00CB0062" w:rsidP="00223E56">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A00FCA4" w14:textId="77777777" w:rsidR="00CB0062" w:rsidRDefault="00CB0062" w:rsidP="00223E56">
            <w:pPr>
              <w:rPr>
                <w:color w:val="000000"/>
                <w:sz w:val="16"/>
                <w:szCs w:val="16"/>
              </w:rPr>
            </w:pPr>
            <w:r>
              <w:rPr>
                <w:color w:val="000000"/>
                <w:sz w:val="16"/>
                <w:szCs w:val="16"/>
              </w:rPr>
              <w:t>rs2815752</w:t>
            </w:r>
          </w:p>
        </w:tc>
        <w:tc>
          <w:tcPr>
            <w:tcW w:w="851" w:type="dxa"/>
            <w:tcBorders>
              <w:top w:val="single" w:sz="4" w:space="0" w:color="D0CECE"/>
              <w:bottom w:val="single" w:sz="4" w:space="0" w:color="D0CECE"/>
            </w:tcBorders>
            <w:tcMar>
              <w:top w:w="-113" w:type="dxa"/>
              <w:left w:w="-113" w:type="dxa"/>
              <w:bottom w:w="-113" w:type="dxa"/>
              <w:right w:w="-113" w:type="dxa"/>
            </w:tcMar>
          </w:tcPr>
          <w:p w14:paraId="62E8C557" w14:textId="77777777" w:rsidR="00CB0062" w:rsidRDefault="00CB0062" w:rsidP="00223E56">
            <w:pPr>
              <w:rPr>
                <w:color w:val="000000"/>
                <w:sz w:val="16"/>
                <w:szCs w:val="16"/>
              </w:rPr>
            </w:pPr>
            <w:r>
              <w:rPr>
                <w:color w:val="000000"/>
                <w:sz w:val="16"/>
                <w:szCs w:val="16"/>
              </w:rPr>
              <w:t>G&gt;</w:t>
            </w:r>
            <w:proofErr w:type="gramStart"/>
            <w:r>
              <w:rPr>
                <w:color w:val="000000"/>
                <w:sz w:val="16"/>
                <w:szCs w:val="16"/>
              </w:rPr>
              <w:t>A,C</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16E794EE" w14:textId="77777777" w:rsidR="00CB0062" w:rsidRDefault="00CB0062" w:rsidP="00223E56">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4D49230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09D2E3E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786FFD84"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567185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F1D323F"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5E1D6BA8" w14:textId="77777777" w:rsidR="00CB0062" w:rsidRDefault="00CB0062" w:rsidP="00223E56">
            <w:pPr>
              <w:rPr>
                <w:color w:val="000000"/>
                <w:sz w:val="16"/>
                <w:szCs w:val="16"/>
              </w:rPr>
            </w:pPr>
            <w:r>
              <w:rPr>
                <w:color w:val="000000"/>
                <w:sz w:val="16"/>
                <w:szCs w:val="16"/>
              </w:rPr>
              <w:t>rs3101336</w:t>
            </w:r>
          </w:p>
        </w:tc>
        <w:tc>
          <w:tcPr>
            <w:tcW w:w="851" w:type="dxa"/>
            <w:tcBorders>
              <w:top w:val="single" w:sz="4" w:space="0" w:color="D0CECE"/>
              <w:bottom w:val="single" w:sz="4" w:space="0" w:color="000000"/>
            </w:tcBorders>
            <w:tcMar>
              <w:top w:w="-113" w:type="dxa"/>
              <w:left w:w="-113" w:type="dxa"/>
              <w:bottom w:w="-113" w:type="dxa"/>
              <w:right w:w="-113" w:type="dxa"/>
            </w:tcMar>
          </w:tcPr>
          <w:p w14:paraId="29B804E4" w14:textId="77777777" w:rsidR="00CB0062" w:rsidRDefault="00CB0062" w:rsidP="00223E56">
            <w:pPr>
              <w:rPr>
                <w:color w:val="000000"/>
                <w:sz w:val="16"/>
                <w:szCs w:val="16"/>
              </w:rPr>
            </w:pPr>
            <w:r>
              <w:rPr>
                <w:color w:val="000000"/>
                <w:sz w:val="16"/>
                <w:szCs w:val="16"/>
              </w:rPr>
              <w:t>T&gt;C</w:t>
            </w:r>
          </w:p>
        </w:tc>
        <w:tc>
          <w:tcPr>
            <w:tcW w:w="1701" w:type="dxa"/>
            <w:tcBorders>
              <w:top w:val="single" w:sz="4" w:space="0" w:color="D0CECE"/>
              <w:bottom w:val="single" w:sz="4" w:space="0" w:color="000000"/>
            </w:tcBorders>
            <w:tcMar>
              <w:top w:w="-113" w:type="dxa"/>
              <w:left w:w="-113" w:type="dxa"/>
              <w:bottom w:w="-113" w:type="dxa"/>
              <w:right w:w="-113" w:type="dxa"/>
            </w:tcMar>
          </w:tcPr>
          <w:p w14:paraId="13A07825" w14:textId="77777777" w:rsidR="00CB0062" w:rsidRDefault="00CB0062" w:rsidP="00223E56">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0E2DEAB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1291A4E7"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4314263C"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B5DBBB8" w14:textId="77777777" w:rsidR="00CB0062" w:rsidRDefault="00CB0062" w:rsidP="00223E56">
            <w:pPr>
              <w:rPr>
                <w:i/>
                <w:color w:val="000000"/>
                <w:sz w:val="16"/>
                <w:szCs w:val="16"/>
              </w:rPr>
            </w:pPr>
            <w:r>
              <w:rPr>
                <w:i/>
                <w:color w:val="000000"/>
                <w:sz w:val="16"/>
                <w:szCs w:val="16"/>
              </w:rPr>
              <w:t>NOS1</w:t>
            </w:r>
          </w:p>
          <w:p w14:paraId="55F76AF8" w14:textId="77777777" w:rsidR="00CB0062" w:rsidRDefault="00CB0062" w:rsidP="00223E56">
            <w:pPr>
              <w:rPr>
                <w:i/>
                <w:color w:val="000000"/>
                <w:sz w:val="16"/>
                <w:szCs w:val="16"/>
              </w:rPr>
            </w:pPr>
          </w:p>
          <w:p w14:paraId="0FCF7FF1"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66BFDD8" w14:textId="77777777" w:rsidR="00CB0062" w:rsidRDefault="00CB0062" w:rsidP="00223E56">
            <w:pPr>
              <w:rPr>
                <w:color w:val="000000"/>
                <w:sz w:val="16"/>
                <w:szCs w:val="16"/>
              </w:rPr>
            </w:pPr>
            <w:r>
              <w:rPr>
                <w:color w:val="000000"/>
                <w:sz w:val="16"/>
                <w:szCs w:val="16"/>
              </w:rPr>
              <w:t>Nitric oxide synthase 1</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17F61147" w14:textId="77777777" w:rsidR="00CB0062" w:rsidRDefault="00CB0062" w:rsidP="00223E56">
            <w:pPr>
              <w:rPr>
                <w:color w:val="000000"/>
                <w:sz w:val="16"/>
                <w:szCs w:val="16"/>
              </w:rPr>
            </w:pPr>
            <w:r>
              <w:rPr>
                <w:color w:val="000000"/>
                <w:sz w:val="16"/>
                <w:szCs w:val="16"/>
              </w:rPr>
              <w:t>rs2682826</w:t>
            </w:r>
          </w:p>
        </w:tc>
        <w:tc>
          <w:tcPr>
            <w:tcW w:w="851" w:type="dxa"/>
            <w:tcBorders>
              <w:top w:val="single" w:sz="4" w:space="0" w:color="000000"/>
              <w:bottom w:val="single" w:sz="4" w:space="0" w:color="D0CECE"/>
            </w:tcBorders>
            <w:tcMar>
              <w:top w:w="-113" w:type="dxa"/>
              <w:left w:w="-113" w:type="dxa"/>
              <w:bottom w:w="-113" w:type="dxa"/>
              <w:right w:w="-113" w:type="dxa"/>
            </w:tcMar>
          </w:tcPr>
          <w:p w14:paraId="5601810C" w14:textId="77777777" w:rsidR="00CB0062" w:rsidRDefault="00CB0062" w:rsidP="00223E56">
            <w:pPr>
              <w:rPr>
                <w:color w:val="000000"/>
                <w:sz w:val="16"/>
                <w:szCs w:val="16"/>
              </w:rPr>
            </w:pPr>
            <w:r>
              <w:rPr>
                <w:color w:val="000000"/>
                <w:sz w:val="16"/>
                <w:szCs w:val="16"/>
              </w:rPr>
              <w:t>G&gt;A</w:t>
            </w:r>
          </w:p>
        </w:tc>
        <w:tc>
          <w:tcPr>
            <w:tcW w:w="1701" w:type="dxa"/>
            <w:tcBorders>
              <w:top w:val="single" w:sz="4" w:space="0" w:color="000000"/>
              <w:bottom w:val="single" w:sz="4" w:space="0" w:color="D0CECE"/>
            </w:tcBorders>
            <w:tcMar>
              <w:top w:w="-113" w:type="dxa"/>
              <w:left w:w="-113" w:type="dxa"/>
              <w:bottom w:w="-113" w:type="dxa"/>
              <w:right w:w="-113" w:type="dxa"/>
            </w:tcMar>
          </w:tcPr>
          <w:p w14:paraId="12C0824D" w14:textId="77777777" w:rsidR="00CB0062" w:rsidRDefault="00CB0062" w:rsidP="00223E56">
            <w:pPr>
              <w:rPr>
                <w:color w:val="000000"/>
                <w:sz w:val="16"/>
                <w:szCs w:val="16"/>
              </w:rPr>
            </w:pPr>
            <w:r>
              <w:rPr>
                <w:sz w:val="16"/>
                <w:szCs w:val="16"/>
              </w:rPr>
              <w:t>3 Prime UTR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7E538EBF" w14:textId="77777777" w:rsidR="00CB0062" w:rsidRDefault="00CB0062" w:rsidP="00223E56">
            <w:pPr>
              <w:rPr>
                <w:sz w:val="16"/>
                <w:szCs w:val="16"/>
              </w:rPr>
            </w:pPr>
            <w:r>
              <w:rPr>
                <w:color w:val="000000"/>
                <w:sz w:val="16"/>
                <w:szCs w:val="16"/>
              </w:rPr>
              <w:t>T2DM</w:t>
            </w:r>
          </w:p>
          <w:p w14:paraId="6698403A" w14:textId="77777777" w:rsidR="00CB0062" w:rsidRDefault="00CB0062" w:rsidP="00223E56">
            <w:pPr>
              <w:rPr>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79E4E13C" w14:textId="77777777" w:rsidR="00CB0062" w:rsidRDefault="00CB0062" w:rsidP="00223E56">
            <w:pPr>
              <w:rPr>
                <w:sz w:val="16"/>
                <w:szCs w:val="16"/>
              </w:rPr>
            </w:pPr>
            <w:r>
              <w:rPr>
                <w:sz w:val="16"/>
                <w:szCs w:val="16"/>
              </w:rPr>
              <w:t>Grau-Perez et al. 2018</w:t>
            </w:r>
          </w:p>
          <w:p w14:paraId="5CA1B7C7" w14:textId="77777777" w:rsidR="00CB0062" w:rsidRDefault="00CB0062" w:rsidP="00223E56">
            <w:pPr>
              <w:rPr>
                <w:sz w:val="16"/>
                <w:szCs w:val="16"/>
              </w:rPr>
            </w:pPr>
          </w:p>
        </w:tc>
      </w:tr>
      <w:tr w:rsidR="00CB0062" w14:paraId="7B998E23"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70B9693" w14:textId="77777777" w:rsidR="00CB0062" w:rsidRDefault="00CB0062" w:rsidP="00223E56">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29C69E2" w14:textId="77777777" w:rsidR="00CB0062" w:rsidRDefault="00CB0062" w:rsidP="00223E56">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1596CCE9" w14:textId="77777777" w:rsidR="00CB0062" w:rsidRDefault="00CB0062" w:rsidP="00223E56">
            <w:pPr>
              <w:rPr>
                <w:color w:val="000000"/>
                <w:sz w:val="16"/>
                <w:szCs w:val="16"/>
              </w:rPr>
            </w:pPr>
            <w:r>
              <w:rPr>
                <w:color w:val="000000"/>
                <w:sz w:val="16"/>
                <w:szCs w:val="16"/>
              </w:rPr>
              <w:t>rs9658251</w:t>
            </w:r>
          </w:p>
        </w:tc>
        <w:tc>
          <w:tcPr>
            <w:tcW w:w="851" w:type="dxa"/>
            <w:tcBorders>
              <w:top w:val="single" w:sz="4" w:space="0" w:color="D0CECE"/>
              <w:bottom w:val="single" w:sz="4" w:space="0" w:color="D0CECE"/>
            </w:tcBorders>
            <w:tcMar>
              <w:top w:w="-113" w:type="dxa"/>
              <w:left w:w="-113" w:type="dxa"/>
              <w:bottom w:w="-113" w:type="dxa"/>
              <w:right w:w="-113" w:type="dxa"/>
            </w:tcMar>
          </w:tcPr>
          <w:p w14:paraId="553FB6E6" w14:textId="77777777" w:rsidR="00CB0062" w:rsidRDefault="00CB0062" w:rsidP="00223E56">
            <w:pPr>
              <w:rPr>
                <w:color w:val="000000"/>
                <w:sz w:val="16"/>
                <w:szCs w:val="16"/>
              </w:rPr>
            </w:pPr>
            <w:r>
              <w:rPr>
                <w:color w:val="000000"/>
                <w:sz w:val="16"/>
                <w:szCs w:val="16"/>
              </w:rPr>
              <w:t>A&gt;</w:t>
            </w:r>
            <w:proofErr w:type="gramStart"/>
            <w:r>
              <w:rPr>
                <w:color w:val="000000"/>
                <w:sz w:val="16"/>
                <w:szCs w:val="16"/>
              </w:rPr>
              <w:t>C,G</w:t>
            </w:r>
            <w:proofErr w:type="gramEnd"/>
            <w:r>
              <w:rPr>
                <w:color w:val="000000"/>
                <w:sz w:val="16"/>
                <w:szCs w:val="16"/>
              </w:rPr>
              <w:t>,T</w:t>
            </w:r>
          </w:p>
        </w:tc>
        <w:tc>
          <w:tcPr>
            <w:tcW w:w="1701" w:type="dxa"/>
            <w:tcBorders>
              <w:top w:val="single" w:sz="4" w:space="0" w:color="D0CECE"/>
              <w:bottom w:val="single" w:sz="4" w:space="0" w:color="D0CECE"/>
            </w:tcBorders>
            <w:tcMar>
              <w:top w:w="-113" w:type="dxa"/>
              <w:left w:w="-113" w:type="dxa"/>
              <w:bottom w:w="-113" w:type="dxa"/>
              <w:right w:w="-113" w:type="dxa"/>
            </w:tcMar>
          </w:tcPr>
          <w:p w14:paraId="08586E80" w14:textId="77777777" w:rsidR="00CB0062" w:rsidRDefault="00CB0062" w:rsidP="00223E56">
            <w:pPr>
              <w:rPr>
                <w:color w:val="000000"/>
                <w:sz w:val="16"/>
                <w:szCs w:val="16"/>
              </w:rPr>
            </w:pPr>
            <w:r>
              <w:rPr>
                <w:sz w:val="16"/>
                <w:szCs w:val="16"/>
              </w:rPr>
              <w:t>2KB Upstream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4393C8E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178F9D7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13C95C94"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CEECABA"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FE41EB4"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6D7AD720" w14:textId="77777777" w:rsidR="00CB0062" w:rsidRDefault="00CB0062" w:rsidP="00223E56">
            <w:pPr>
              <w:rPr>
                <w:color w:val="000000"/>
                <w:sz w:val="16"/>
                <w:szCs w:val="16"/>
              </w:rPr>
            </w:pPr>
            <w:r>
              <w:rPr>
                <w:color w:val="000000"/>
                <w:sz w:val="16"/>
                <w:szCs w:val="16"/>
              </w:rPr>
              <w:t>rs9658253</w:t>
            </w:r>
          </w:p>
        </w:tc>
        <w:tc>
          <w:tcPr>
            <w:tcW w:w="851" w:type="dxa"/>
            <w:tcBorders>
              <w:top w:val="single" w:sz="4" w:space="0" w:color="D0CECE"/>
              <w:bottom w:val="single" w:sz="4" w:space="0" w:color="000000"/>
            </w:tcBorders>
            <w:tcMar>
              <w:top w:w="-113" w:type="dxa"/>
              <w:left w:w="-113" w:type="dxa"/>
              <w:bottom w:w="-113" w:type="dxa"/>
              <w:right w:w="-113" w:type="dxa"/>
            </w:tcMar>
          </w:tcPr>
          <w:p w14:paraId="1C9BCA82" w14:textId="77777777" w:rsidR="00CB0062" w:rsidRDefault="00CB0062" w:rsidP="00223E56">
            <w:pPr>
              <w:rPr>
                <w:color w:val="000000"/>
                <w:sz w:val="16"/>
                <w:szCs w:val="16"/>
              </w:rPr>
            </w:pPr>
            <w:r>
              <w:rPr>
                <w:color w:val="000000"/>
                <w:sz w:val="16"/>
                <w:szCs w:val="16"/>
              </w:rPr>
              <w:t>C&gt;T</w:t>
            </w:r>
          </w:p>
        </w:tc>
        <w:tc>
          <w:tcPr>
            <w:tcW w:w="1701" w:type="dxa"/>
            <w:tcBorders>
              <w:top w:val="single" w:sz="4" w:space="0" w:color="D0CECE"/>
              <w:bottom w:val="single" w:sz="4" w:space="0" w:color="000000"/>
            </w:tcBorders>
            <w:tcMar>
              <w:top w:w="-113" w:type="dxa"/>
              <w:left w:w="-113" w:type="dxa"/>
              <w:bottom w:w="-113" w:type="dxa"/>
              <w:right w:w="-113" w:type="dxa"/>
            </w:tcMar>
          </w:tcPr>
          <w:p w14:paraId="1FB495A6" w14:textId="77777777" w:rsidR="00CB0062" w:rsidRDefault="00CB0062" w:rsidP="00223E56">
            <w:pPr>
              <w:rPr>
                <w:color w:val="000000"/>
                <w:sz w:val="16"/>
                <w:szCs w:val="16"/>
              </w:rPr>
            </w:pPr>
            <w:r>
              <w:rPr>
                <w:sz w:val="16"/>
                <w:szCs w:val="16"/>
              </w:rPr>
              <w:t>2KB Upstream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6DDDD286"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71E25AFC"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26EE636E"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EF143F4" w14:textId="77777777" w:rsidR="00CB0062" w:rsidRDefault="00CB0062" w:rsidP="00223E56">
            <w:pPr>
              <w:rPr>
                <w:i/>
                <w:color w:val="000000"/>
                <w:sz w:val="16"/>
                <w:szCs w:val="16"/>
              </w:rPr>
            </w:pPr>
            <w:r>
              <w:rPr>
                <w:i/>
                <w:color w:val="000000"/>
                <w:sz w:val="16"/>
                <w:szCs w:val="16"/>
              </w:rPr>
              <w:t>NOS2A</w:t>
            </w:r>
          </w:p>
          <w:p w14:paraId="78C8A53B"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477AE1D" w14:textId="77777777" w:rsidR="00CB0062" w:rsidRDefault="00CB0062" w:rsidP="00223E56">
            <w:pPr>
              <w:rPr>
                <w:color w:val="000000"/>
                <w:sz w:val="16"/>
                <w:szCs w:val="16"/>
              </w:rPr>
            </w:pPr>
            <w:r>
              <w:rPr>
                <w:color w:val="000000"/>
                <w:sz w:val="16"/>
                <w:szCs w:val="16"/>
              </w:rPr>
              <w:t>Nitric oxide synthase 2</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3E5F54BE" w14:textId="77777777" w:rsidR="00CB0062" w:rsidRDefault="00CB0062" w:rsidP="00223E56">
            <w:pPr>
              <w:rPr>
                <w:color w:val="000000"/>
                <w:sz w:val="16"/>
                <w:szCs w:val="16"/>
              </w:rPr>
            </w:pPr>
            <w:r>
              <w:rPr>
                <w:color w:val="000000"/>
                <w:sz w:val="16"/>
                <w:szCs w:val="16"/>
              </w:rPr>
              <w:t>rs1060826</w:t>
            </w:r>
          </w:p>
        </w:tc>
        <w:tc>
          <w:tcPr>
            <w:tcW w:w="851" w:type="dxa"/>
            <w:tcBorders>
              <w:top w:val="single" w:sz="4" w:space="0" w:color="000000"/>
              <w:bottom w:val="single" w:sz="4" w:space="0" w:color="D0CECE"/>
            </w:tcBorders>
            <w:tcMar>
              <w:top w:w="-113" w:type="dxa"/>
              <w:left w:w="-113" w:type="dxa"/>
              <w:bottom w:w="-113" w:type="dxa"/>
              <w:right w:w="-113" w:type="dxa"/>
            </w:tcMar>
          </w:tcPr>
          <w:p w14:paraId="6A42DE6E" w14:textId="77777777" w:rsidR="00CB0062" w:rsidRDefault="00CB0062" w:rsidP="00223E56">
            <w:pPr>
              <w:rPr>
                <w:color w:val="000000"/>
                <w:sz w:val="16"/>
                <w:szCs w:val="16"/>
              </w:rPr>
            </w:pPr>
            <w:r>
              <w:rPr>
                <w:color w:val="000000"/>
                <w:sz w:val="16"/>
                <w:szCs w:val="16"/>
              </w:rPr>
              <w:t>T&gt;</w:t>
            </w:r>
            <w:proofErr w:type="gramStart"/>
            <w:r>
              <w:rPr>
                <w:color w:val="000000"/>
                <w:sz w:val="16"/>
                <w:szCs w:val="16"/>
              </w:rPr>
              <w:t>A,C</w:t>
            </w:r>
            <w:proofErr w:type="gramEnd"/>
          </w:p>
        </w:tc>
        <w:tc>
          <w:tcPr>
            <w:tcW w:w="1701" w:type="dxa"/>
            <w:tcBorders>
              <w:top w:val="single" w:sz="4" w:space="0" w:color="000000"/>
              <w:bottom w:val="single" w:sz="4" w:space="0" w:color="D0CECE"/>
            </w:tcBorders>
            <w:tcMar>
              <w:top w:w="-113" w:type="dxa"/>
              <w:left w:w="-113" w:type="dxa"/>
              <w:bottom w:w="-113" w:type="dxa"/>
              <w:right w:w="-113" w:type="dxa"/>
            </w:tcMar>
          </w:tcPr>
          <w:p w14:paraId="225C00E6" w14:textId="77777777" w:rsidR="00CB0062" w:rsidRDefault="00CB0062" w:rsidP="00223E56">
            <w:pPr>
              <w:rPr>
                <w:color w:val="000000"/>
                <w:sz w:val="16"/>
                <w:szCs w:val="16"/>
              </w:rPr>
            </w:pPr>
            <w:r>
              <w:rPr>
                <w:color w:val="000000"/>
                <w:sz w:val="16"/>
                <w:szCs w:val="16"/>
              </w:rPr>
              <w:t>Synonymous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3E9B305A" w14:textId="77777777" w:rsidR="00CB0062" w:rsidRDefault="00CB0062" w:rsidP="00223E56">
            <w:pPr>
              <w:rPr>
                <w:sz w:val="16"/>
                <w:szCs w:val="16"/>
              </w:rPr>
            </w:pPr>
            <w:r>
              <w:rPr>
                <w:color w:val="000000"/>
                <w:sz w:val="16"/>
                <w:szCs w:val="16"/>
              </w:rPr>
              <w:t>T2DM</w:t>
            </w:r>
          </w:p>
          <w:p w14:paraId="629ABA65" w14:textId="77777777" w:rsidR="00CB0062" w:rsidRDefault="00CB0062" w:rsidP="00223E56">
            <w:pPr>
              <w:rPr>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64ED9C64" w14:textId="77777777" w:rsidR="00CB0062" w:rsidRDefault="00CB0062" w:rsidP="00223E56">
            <w:pPr>
              <w:rPr>
                <w:sz w:val="16"/>
                <w:szCs w:val="16"/>
              </w:rPr>
            </w:pPr>
            <w:r>
              <w:rPr>
                <w:sz w:val="16"/>
                <w:szCs w:val="16"/>
              </w:rPr>
              <w:t>Grau-Perez et al. 2018</w:t>
            </w:r>
          </w:p>
          <w:p w14:paraId="0A959128" w14:textId="77777777" w:rsidR="00CB0062" w:rsidRDefault="00CB0062" w:rsidP="00223E56">
            <w:pPr>
              <w:rPr>
                <w:sz w:val="16"/>
                <w:szCs w:val="16"/>
              </w:rPr>
            </w:pPr>
          </w:p>
        </w:tc>
      </w:tr>
      <w:tr w:rsidR="00CB0062" w14:paraId="6D392AD4"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26939C5" w14:textId="77777777" w:rsidR="00CB0062" w:rsidRDefault="00CB0062" w:rsidP="00223E56">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9DA06FE" w14:textId="77777777" w:rsidR="00CB0062" w:rsidRDefault="00CB0062" w:rsidP="00223E56">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7C4B2299" w14:textId="77777777" w:rsidR="00CB0062" w:rsidRDefault="00CB0062" w:rsidP="00223E56">
            <w:pPr>
              <w:rPr>
                <w:color w:val="000000"/>
                <w:sz w:val="16"/>
                <w:szCs w:val="16"/>
              </w:rPr>
            </w:pPr>
            <w:r>
              <w:rPr>
                <w:color w:val="000000"/>
                <w:sz w:val="16"/>
                <w:szCs w:val="16"/>
              </w:rPr>
              <w:t>rs2297520</w:t>
            </w:r>
          </w:p>
        </w:tc>
        <w:tc>
          <w:tcPr>
            <w:tcW w:w="851" w:type="dxa"/>
            <w:tcBorders>
              <w:top w:val="single" w:sz="4" w:space="0" w:color="D0CECE"/>
              <w:bottom w:val="single" w:sz="4" w:space="0" w:color="D0CECE"/>
            </w:tcBorders>
            <w:tcMar>
              <w:top w:w="-113" w:type="dxa"/>
              <w:left w:w="-113" w:type="dxa"/>
              <w:bottom w:w="-113" w:type="dxa"/>
              <w:right w:w="-113" w:type="dxa"/>
            </w:tcMar>
          </w:tcPr>
          <w:p w14:paraId="697B5019" w14:textId="77777777" w:rsidR="00CB0062" w:rsidRDefault="00CB0062" w:rsidP="00223E56">
            <w:pPr>
              <w:rPr>
                <w:color w:val="000000"/>
                <w:sz w:val="16"/>
                <w:szCs w:val="16"/>
              </w:rPr>
            </w:pPr>
            <w:r>
              <w:rPr>
                <w:color w:val="000000"/>
                <w:sz w:val="16"/>
                <w:szCs w:val="16"/>
              </w:rPr>
              <w:t>T&gt;C</w:t>
            </w:r>
          </w:p>
        </w:tc>
        <w:tc>
          <w:tcPr>
            <w:tcW w:w="1701" w:type="dxa"/>
            <w:tcBorders>
              <w:top w:val="single" w:sz="4" w:space="0" w:color="D0CECE"/>
              <w:bottom w:val="single" w:sz="4" w:space="0" w:color="D0CECE"/>
            </w:tcBorders>
            <w:tcMar>
              <w:top w:w="-113" w:type="dxa"/>
              <w:left w:w="-113" w:type="dxa"/>
              <w:bottom w:w="-113" w:type="dxa"/>
              <w:right w:w="-113" w:type="dxa"/>
            </w:tcMar>
          </w:tcPr>
          <w:p w14:paraId="3ABCCD56" w14:textId="77777777" w:rsidR="00CB0062" w:rsidRDefault="00CB0062" w:rsidP="00223E56">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781E388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3A6C710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14:paraId="13D0C774"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52CE893"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6E315E8"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30CC6290" w14:textId="77777777" w:rsidR="00CB0062" w:rsidRDefault="00CB0062" w:rsidP="00223E56">
            <w:pPr>
              <w:rPr>
                <w:color w:val="000000"/>
                <w:sz w:val="16"/>
                <w:szCs w:val="16"/>
              </w:rPr>
            </w:pPr>
            <w:r>
              <w:rPr>
                <w:color w:val="000000"/>
                <w:sz w:val="16"/>
                <w:szCs w:val="16"/>
              </w:rPr>
              <w:t>rs2779248</w:t>
            </w:r>
          </w:p>
        </w:tc>
        <w:tc>
          <w:tcPr>
            <w:tcW w:w="851" w:type="dxa"/>
            <w:tcBorders>
              <w:top w:val="single" w:sz="4" w:space="0" w:color="D0CECE"/>
              <w:bottom w:val="single" w:sz="4" w:space="0" w:color="000000"/>
            </w:tcBorders>
            <w:tcMar>
              <w:top w:w="-113" w:type="dxa"/>
              <w:left w:w="-113" w:type="dxa"/>
              <w:bottom w:w="-113" w:type="dxa"/>
              <w:right w:w="-113" w:type="dxa"/>
            </w:tcMar>
          </w:tcPr>
          <w:p w14:paraId="2BEDFCC4" w14:textId="77777777" w:rsidR="00CB0062" w:rsidRDefault="00CB0062" w:rsidP="00223E56">
            <w:pPr>
              <w:rPr>
                <w:color w:val="000000"/>
                <w:sz w:val="16"/>
                <w:szCs w:val="16"/>
              </w:rPr>
            </w:pPr>
            <w:r>
              <w:rPr>
                <w:color w:val="000000"/>
                <w:sz w:val="16"/>
                <w:szCs w:val="16"/>
              </w:rPr>
              <w:t>T&gt;C</w:t>
            </w:r>
          </w:p>
        </w:tc>
        <w:tc>
          <w:tcPr>
            <w:tcW w:w="1701" w:type="dxa"/>
            <w:tcBorders>
              <w:top w:val="single" w:sz="4" w:space="0" w:color="D0CECE"/>
              <w:bottom w:val="single" w:sz="4" w:space="0" w:color="000000"/>
            </w:tcBorders>
            <w:tcMar>
              <w:top w:w="-113" w:type="dxa"/>
              <w:left w:w="-113" w:type="dxa"/>
              <w:bottom w:w="-113" w:type="dxa"/>
              <w:right w:w="-113" w:type="dxa"/>
            </w:tcMar>
          </w:tcPr>
          <w:p w14:paraId="6406A57F" w14:textId="77777777" w:rsidR="00CB0062" w:rsidRDefault="00CB0062" w:rsidP="00223E56">
            <w:pPr>
              <w:rPr>
                <w:color w:val="000000"/>
                <w:sz w:val="16"/>
                <w:szCs w:val="16"/>
              </w:rPr>
            </w:pPr>
            <w:r>
              <w:rPr>
                <w:sz w:val="16"/>
                <w:szCs w:val="16"/>
              </w:rPr>
              <w:t>2KB Upstream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6E07DF1D"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3F073D8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CB0062" w:rsidRPr="0030321B" w14:paraId="657F9D84"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B806B55" w14:textId="77777777" w:rsidR="00CB0062" w:rsidRDefault="00CB0062" w:rsidP="00223E56">
            <w:pPr>
              <w:rPr>
                <w:i/>
                <w:color w:val="000000"/>
                <w:sz w:val="16"/>
                <w:szCs w:val="16"/>
              </w:rPr>
            </w:pPr>
            <w:r>
              <w:rPr>
                <w:i/>
                <w:color w:val="000000"/>
                <w:sz w:val="16"/>
                <w:szCs w:val="16"/>
              </w:rPr>
              <w:t>NOS3</w:t>
            </w:r>
          </w:p>
          <w:p w14:paraId="18A26C94" w14:textId="77777777" w:rsidR="00CB0062" w:rsidRDefault="00CB0062" w:rsidP="00223E56">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A2C354C" w14:textId="77777777" w:rsidR="00CB0062" w:rsidRDefault="00CB0062" w:rsidP="00223E56">
            <w:pPr>
              <w:rPr>
                <w:color w:val="000000"/>
                <w:sz w:val="16"/>
                <w:szCs w:val="16"/>
              </w:rPr>
            </w:pPr>
            <w:r>
              <w:rPr>
                <w:color w:val="000000"/>
                <w:sz w:val="16"/>
                <w:szCs w:val="16"/>
              </w:rPr>
              <w:t>Nitric Oxide Synthase 3</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7D055BAE" w14:textId="77777777" w:rsidR="00CB0062" w:rsidRDefault="00CB0062" w:rsidP="00223E56">
            <w:pPr>
              <w:rPr>
                <w:color w:val="000000"/>
                <w:sz w:val="16"/>
                <w:szCs w:val="16"/>
              </w:rPr>
            </w:pPr>
            <w:r>
              <w:rPr>
                <w:color w:val="000000"/>
                <w:sz w:val="16"/>
                <w:szCs w:val="16"/>
              </w:rPr>
              <w:t>rs1008140</w:t>
            </w:r>
          </w:p>
        </w:tc>
        <w:tc>
          <w:tcPr>
            <w:tcW w:w="851" w:type="dxa"/>
            <w:tcBorders>
              <w:top w:val="single" w:sz="4" w:space="0" w:color="000000"/>
              <w:bottom w:val="single" w:sz="4" w:space="0" w:color="D0CECE"/>
            </w:tcBorders>
            <w:tcMar>
              <w:top w:w="-113" w:type="dxa"/>
              <w:left w:w="-113" w:type="dxa"/>
              <w:bottom w:w="-113" w:type="dxa"/>
              <w:right w:w="-113" w:type="dxa"/>
            </w:tcMar>
          </w:tcPr>
          <w:p w14:paraId="519B0F75" w14:textId="77777777" w:rsidR="00CB0062" w:rsidRDefault="00CB0062" w:rsidP="00223E56">
            <w:pPr>
              <w:rPr>
                <w:color w:val="000000"/>
                <w:sz w:val="16"/>
                <w:szCs w:val="16"/>
              </w:rPr>
            </w:pPr>
            <w:r>
              <w:rPr>
                <w:color w:val="000000"/>
                <w:sz w:val="16"/>
                <w:szCs w:val="16"/>
              </w:rPr>
              <w:t>T&gt;C</w:t>
            </w:r>
          </w:p>
        </w:tc>
        <w:tc>
          <w:tcPr>
            <w:tcW w:w="1701" w:type="dxa"/>
            <w:tcBorders>
              <w:top w:val="single" w:sz="4" w:space="0" w:color="000000"/>
              <w:bottom w:val="single" w:sz="4" w:space="0" w:color="D0CECE"/>
            </w:tcBorders>
            <w:tcMar>
              <w:top w:w="-113" w:type="dxa"/>
              <w:left w:w="-113" w:type="dxa"/>
              <w:bottom w:w="-113" w:type="dxa"/>
              <w:right w:w="-113" w:type="dxa"/>
            </w:tcMar>
          </w:tcPr>
          <w:p w14:paraId="44ACCEE6" w14:textId="77777777" w:rsidR="00CB0062" w:rsidRDefault="00CB0062" w:rsidP="00223E56">
            <w:pPr>
              <w:rPr>
                <w:color w:val="000000"/>
                <w:sz w:val="16"/>
                <w:szCs w:val="16"/>
              </w:rPr>
            </w:pPr>
            <w:r>
              <w:rPr>
                <w:sz w:val="16"/>
                <w:szCs w:val="16"/>
              </w:rPr>
              <w:t>Intron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348A2DC3" w14:textId="77777777" w:rsidR="00CB0062" w:rsidRDefault="00CB0062" w:rsidP="00223E56">
            <w:pPr>
              <w:rPr>
                <w:sz w:val="16"/>
                <w:szCs w:val="16"/>
              </w:rPr>
            </w:pPr>
            <w:r>
              <w:rPr>
                <w:color w:val="000000"/>
                <w:sz w:val="16"/>
                <w:szCs w:val="16"/>
              </w:rPr>
              <w:t>CVD</w:t>
            </w:r>
          </w:p>
          <w:p w14:paraId="340A745F" w14:textId="77777777" w:rsidR="00CB0062" w:rsidRDefault="00CB0062" w:rsidP="00223E56">
            <w:pPr>
              <w:rPr>
                <w:sz w:val="16"/>
                <w:szCs w:val="16"/>
              </w:rPr>
            </w:pPr>
            <w:r>
              <w:rPr>
                <w:sz w:val="16"/>
                <w:szCs w:val="16"/>
              </w:rPr>
              <w:t>CIMT</w:t>
            </w: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101F34E2" w14:textId="77777777" w:rsidR="00CB0062" w:rsidRPr="00641BD3" w:rsidRDefault="00CB0062" w:rsidP="00223E56">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183C89D0" w14:textId="77777777" w:rsidR="00CB0062" w:rsidRPr="00641BD3" w:rsidRDefault="00CB0062" w:rsidP="00223E56">
            <w:pPr>
              <w:rPr>
                <w:sz w:val="16"/>
                <w:szCs w:val="16"/>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tc>
      </w:tr>
      <w:tr w:rsidR="00CB0062" w14:paraId="6BA1464D"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BCAD08E" w14:textId="77777777" w:rsidR="00CB0062" w:rsidRPr="00641BD3" w:rsidRDefault="00CB0062" w:rsidP="00223E56">
            <w:pPr>
              <w:widowControl w:val="0"/>
              <w:pBdr>
                <w:top w:val="nil"/>
                <w:left w:val="nil"/>
                <w:bottom w:val="nil"/>
                <w:right w:val="nil"/>
                <w:between w:val="nil"/>
              </w:pBdr>
              <w:spacing w:line="276" w:lineRule="auto"/>
              <w:rPr>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EAFBE3C" w14:textId="77777777" w:rsidR="00CB0062" w:rsidRPr="00641BD3" w:rsidRDefault="00CB0062" w:rsidP="00223E56">
            <w:pPr>
              <w:widowControl w:val="0"/>
              <w:pBdr>
                <w:top w:val="nil"/>
                <w:left w:val="nil"/>
                <w:bottom w:val="nil"/>
                <w:right w:val="nil"/>
                <w:between w:val="nil"/>
              </w:pBdr>
              <w:spacing w:line="276" w:lineRule="auto"/>
              <w:rPr>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1721FE28" w14:textId="77777777" w:rsidR="00CB0062" w:rsidRDefault="00CB0062" w:rsidP="00223E56">
            <w:pPr>
              <w:rPr>
                <w:color w:val="000000"/>
                <w:sz w:val="16"/>
                <w:szCs w:val="16"/>
              </w:rPr>
            </w:pPr>
            <w:r>
              <w:rPr>
                <w:color w:val="000000"/>
                <w:sz w:val="16"/>
                <w:szCs w:val="16"/>
              </w:rPr>
              <w:t>rs1541861</w:t>
            </w:r>
          </w:p>
        </w:tc>
        <w:tc>
          <w:tcPr>
            <w:tcW w:w="851" w:type="dxa"/>
            <w:tcBorders>
              <w:top w:val="single" w:sz="4" w:space="0" w:color="D0CECE"/>
              <w:bottom w:val="single" w:sz="4" w:space="0" w:color="D0CECE"/>
            </w:tcBorders>
            <w:tcMar>
              <w:top w:w="-113" w:type="dxa"/>
              <w:left w:w="-113" w:type="dxa"/>
              <w:bottom w:w="-113" w:type="dxa"/>
              <w:right w:w="-113" w:type="dxa"/>
            </w:tcMar>
          </w:tcPr>
          <w:p w14:paraId="0E200FC3" w14:textId="77777777" w:rsidR="00CB0062" w:rsidRDefault="00CB0062" w:rsidP="00223E56">
            <w:pPr>
              <w:rPr>
                <w:color w:val="000000"/>
                <w:sz w:val="16"/>
                <w:szCs w:val="16"/>
              </w:rPr>
            </w:pPr>
            <w:r>
              <w:rPr>
                <w:color w:val="000000"/>
                <w:sz w:val="16"/>
                <w:szCs w:val="16"/>
              </w:rPr>
              <w:t>C&gt;A</w:t>
            </w:r>
          </w:p>
        </w:tc>
        <w:tc>
          <w:tcPr>
            <w:tcW w:w="1701" w:type="dxa"/>
            <w:tcBorders>
              <w:top w:val="single" w:sz="4" w:space="0" w:color="D0CECE"/>
              <w:bottom w:val="single" w:sz="4" w:space="0" w:color="D0CECE"/>
            </w:tcBorders>
            <w:tcMar>
              <w:top w:w="-113" w:type="dxa"/>
              <w:left w:w="-113" w:type="dxa"/>
              <w:bottom w:w="-113" w:type="dxa"/>
              <w:right w:w="-113" w:type="dxa"/>
            </w:tcMar>
          </w:tcPr>
          <w:p w14:paraId="7F096D66" w14:textId="77777777" w:rsidR="00CB0062" w:rsidRDefault="00CB0062" w:rsidP="00223E56">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27B6DFC9"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2DB3F3EB" w14:textId="77777777" w:rsidR="00CB0062" w:rsidRDefault="00CB0062" w:rsidP="00223E56">
            <w:pPr>
              <w:widowControl w:val="0"/>
              <w:pBdr>
                <w:top w:val="nil"/>
                <w:left w:val="nil"/>
                <w:bottom w:val="nil"/>
                <w:right w:val="nil"/>
                <w:between w:val="nil"/>
              </w:pBdr>
              <w:spacing w:line="276" w:lineRule="auto"/>
              <w:rPr>
                <w:color w:val="000000"/>
                <w:sz w:val="16"/>
                <w:szCs w:val="16"/>
              </w:rPr>
            </w:pPr>
          </w:p>
        </w:tc>
      </w:tr>
      <w:tr w:rsidR="00830D35" w:rsidRPr="0030321B" w14:paraId="321104DC" w14:textId="77777777" w:rsidTr="006E6E29">
        <w:trPr>
          <w:trHeight w:val="358"/>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512E033" w14:textId="77777777" w:rsidR="00830D35" w:rsidRDefault="00830D35" w:rsidP="00223E56">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02FD17A" w14:textId="77777777" w:rsidR="00830D35" w:rsidRDefault="00830D35" w:rsidP="00223E56">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tcBorders>
            <w:shd w:val="clear" w:color="auto" w:fill="auto"/>
            <w:tcMar>
              <w:top w:w="-113" w:type="dxa"/>
              <w:left w:w="-113" w:type="dxa"/>
              <w:bottom w:w="-113" w:type="dxa"/>
              <w:right w:w="-113" w:type="dxa"/>
            </w:tcMar>
          </w:tcPr>
          <w:p w14:paraId="25842411" w14:textId="77777777" w:rsidR="00830D35" w:rsidRDefault="00830D35" w:rsidP="00223E56">
            <w:pPr>
              <w:rPr>
                <w:color w:val="000000"/>
                <w:sz w:val="16"/>
                <w:szCs w:val="16"/>
              </w:rPr>
            </w:pPr>
            <w:r>
              <w:rPr>
                <w:color w:val="000000"/>
                <w:sz w:val="16"/>
                <w:szCs w:val="16"/>
              </w:rPr>
              <w:t>rs1799983</w:t>
            </w:r>
          </w:p>
        </w:tc>
        <w:tc>
          <w:tcPr>
            <w:tcW w:w="851" w:type="dxa"/>
            <w:tcBorders>
              <w:top w:val="single" w:sz="4" w:space="0" w:color="D0CECE"/>
            </w:tcBorders>
            <w:shd w:val="clear" w:color="auto" w:fill="auto"/>
            <w:tcMar>
              <w:top w:w="-113" w:type="dxa"/>
              <w:left w:w="-113" w:type="dxa"/>
              <w:bottom w:w="-113" w:type="dxa"/>
              <w:right w:w="-113" w:type="dxa"/>
            </w:tcMar>
          </w:tcPr>
          <w:p w14:paraId="5968657C" w14:textId="77777777" w:rsidR="00830D35" w:rsidRDefault="00830D35" w:rsidP="00223E56">
            <w:pPr>
              <w:rPr>
                <w:color w:val="000000"/>
                <w:sz w:val="16"/>
                <w:szCs w:val="16"/>
              </w:rPr>
            </w:pPr>
            <w:r>
              <w:rPr>
                <w:color w:val="000000"/>
                <w:sz w:val="16"/>
                <w:szCs w:val="16"/>
              </w:rPr>
              <w:t>T&gt;</w:t>
            </w:r>
            <w:proofErr w:type="gramStart"/>
            <w:r>
              <w:rPr>
                <w:color w:val="000000"/>
                <w:sz w:val="16"/>
                <w:szCs w:val="16"/>
              </w:rPr>
              <w:t>A,G</w:t>
            </w:r>
            <w:proofErr w:type="gramEnd"/>
          </w:p>
        </w:tc>
        <w:tc>
          <w:tcPr>
            <w:tcW w:w="1701" w:type="dxa"/>
            <w:tcBorders>
              <w:top w:val="single" w:sz="4" w:space="0" w:color="D0CECE"/>
            </w:tcBorders>
            <w:shd w:val="clear" w:color="auto" w:fill="auto"/>
            <w:tcMar>
              <w:top w:w="-113" w:type="dxa"/>
              <w:left w:w="-113" w:type="dxa"/>
              <w:bottom w:w="-113" w:type="dxa"/>
              <w:right w:w="-113" w:type="dxa"/>
            </w:tcMar>
          </w:tcPr>
          <w:p w14:paraId="150A2090" w14:textId="77777777" w:rsidR="00830D35" w:rsidRDefault="00830D35" w:rsidP="00223E56">
            <w:pPr>
              <w:rPr>
                <w:color w:val="000000"/>
                <w:sz w:val="16"/>
                <w:szCs w:val="16"/>
              </w:rPr>
            </w:pPr>
            <w:r>
              <w:rPr>
                <w:color w:val="000000"/>
                <w:sz w:val="16"/>
                <w:szCs w:val="16"/>
              </w:rPr>
              <w:t>Missense variant</w:t>
            </w:r>
          </w:p>
        </w:tc>
        <w:tc>
          <w:tcPr>
            <w:tcW w:w="708" w:type="dxa"/>
            <w:tcBorders>
              <w:top w:val="single" w:sz="4" w:space="0" w:color="D0CECE"/>
            </w:tcBorders>
            <w:shd w:val="clear" w:color="auto" w:fill="auto"/>
            <w:tcMar>
              <w:top w:w="-113" w:type="dxa"/>
              <w:left w:w="-113" w:type="dxa"/>
              <w:bottom w:w="-113" w:type="dxa"/>
              <w:right w:w="-113" w:type="dxa"/>
            </w:tcMar>
          </w:tcPr>
          <w:p w14:paraId="324CBA0A" w14:textId="77777777" w:rsidR="00830D35" w:rsidRDefault="00830D35" w:rsidP="00223E56">
            <w:pPr>
              <w:rPr>
                <w:color w:val="000000"/>
                <w:sz w:val="16"/>
                <w:szCs w:val="16"/>
              </w:rPr>
            </w:pPr>
            <w:r>
              <w:rPr>
                <w:color w:val="000000"/>
                <w:sz w:val="16"/>
                <w:szCs w:val="16"/>
              </w:rPr>
              <w:t>SBP</w:t>
            </w:r>
          </w:p>
          <w:p w14:paraId="408FF7F9" w14:textId="4489D2BF" w:rsidR="00830D35" w:rsidRDefault="00830D35" w:rsidP="00830D35">
            <w:pPr>
              <w:rPr>
                <w:color w:val="000000"/>
                <w:sz w:val="16"/>
                <w:szCs w:val="16"/>
              </w:rPr>
            </w:pPr>
            <w:r>
              <w:rPr>
                <w:color w:val="000000"/>
                <w:sz w:val="16"/>
                <w:szCs w:val="16"/>
              </w:rPr>
              <w:t>HTN</w:t>
            </w:r>
          </w:p>
        </w:tc>
        <w:tc>
          <w:tcPr>
            <w:tcW w:w="1838" w:type="dxa"/>
            <w:tcBorders>
              <w:top w:val="single" w:sz="4" w:space="0" w:color="D0CECE"/>
              <w:right w:val="single" w:sz="4" w:space="0" w:color="000000" w:themeColor="text1"/>
            </w:tcBorders>
            <w:tcMar>
              <w:top w:w="-113" w:type="dxa"/>
              <w:left w:w="-113" w:type="dxa"/>
              <w:bottom w:w="-113" w:type="dxa"/>
              <w:right w:w="-113" w:type="dxa"/>
            </w:tcMar>
          </w:tcPr>
          <w:p w14:paraId="5088C804" w14:textId="77777777" w:rsidR="00830D35" w:rsidRPr="0030321B" w:rsidRDefault="00830D35" w:rsidP="00223E56">
            <w:pPr>
              <w:rPr>
                <w:color w:val="000000"/>
                <w:sz w:val="16"/>
                <w:szCs w:val="16"/>
                <w:lang w:val="es-ES"/>
              </w:rPr>
            </w:pPr>
            <w:proofErr w:type="spellStart"/>
            <w:r w:rsidRPr="0030321B">
              <w:rPr>
                <w:sz w:val="16"/>
                <w:szCs w:val="16"/>
                <w:lang w:val="es-ES"/>
              </w:rPr>
              <w:t>Farzan</w:t>
            </w:r>
            <w:proofErr w:type="spellEnd"/>
            <w:r w:rsidRPr="0030321B">
              <w:rPr>
                <w:sz w:val="16"/>
                <w:szCs w:val="16"/>
                <w:lang w:val="es-ES"/>
              </w:rPr>
              <w:t xml:space="preserve"> </w:t>
            </w:r>
            <w:r w:rsidRPr="0030321B">
              <w:rPr>
                <w:i/>
                <w:sz w:val="16"/>
                <w:szCs w:val="16"/>
                <w:lang w:val="es-ES"/>
              </w:rPr>
              <w:t>et al.</w:t>
            </w:r>
            <w:r w:rsidRPr="0030321B">
              <w:rPr>
                <w:sz w:val="16"/>
                <w:szCs w:val="16"/>
                <w:lang w:val="es-ES"/>
              </w:rPr>
              <w:t xml:space="preserve"> 2016</w:t>
            </w:r>
          </w:p>
          <w:p w14:paraId="6E28E61E" w14:textId="2A6E2316" w:rsidR="00830D35" w:rsidRPr="0030321B" w:rsidRDefault="00830D35" w:rsidP="00830D35">
            <w:pPr>
              <w:rPr>
                <w:color w:val="000000"/>
                <w:sz w:val="16"/>
                <w:szCs w:val="16"/>
                <w:lang w:val="es-ES"/>
              </w:rPr>
            </w:pPr>
            <w:proofErr w:type="spellStart"/>
            <w:r w:rsidRPr="0030321B">
              <w:rPr>
                <w:sz w:val="16"/>
                <w:szCs w:val="16"/>
                <w:lang w:val="es-ES"/>
              </w:rPr>
              <w:t>Hsueh</w:t>
            </w:r>
            <w:proofErr w:type="spellEnd"/>
            <w:r w:rsidRPr="0030321B">
              <w:rPr>
                <w:sz w:val="16"/>
                <w:szCs w:val="16"/>
                <w:lang w:val="es-ES"/>
              </w:rPr>
              <w:t xml:space="preserve"> </w:t>
            </w:r>
            <w:r w:rsidRPr="0030321B">
              <w:rPr>
                <w:i/>
                <w:sz w:val="16"/>
                <w:szCs w:val="16"/>
                <w:lang w:val="es-ES"/>
              </w:rPr>
              <w:t>et al.</w:t>
            </w:r>
            <w:r w:rsidRPr="0030321B">
              <w:rPr>
                <w:sz w:val="16"/>
                <w:szCs w:val="16"/>
                <w:lang w:val="es-ES"/>
              </w:rPr>
              <w:t xml:space="preserve"> 2005</w:t>
            </w:r>
          </w:p>
        </w:tc>
      </w:tr>
      <w:tr w:rsidR="00830D35" w:rsidRPr="0030321B" w14:paraId="3E4CE64D"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1F43E6B" w14:textId="77777777" w:rsidR="00830D35" w:rsidRPr="00830D35" w:rsidRDefault="00830D35" w:rsidP="00830D35">
            <w:pPr>
              <w:widowControl w:val="0"/>
              <w:pBdr>
                <w:top w:val="nil"/>
                <w:left w:val="nil"/>
                <w:bottom w:val="nil"/>
                <w:right w:val="nil"/>
                <w:between w:val="nil"/>
              </w:pBdr>
              <w:spacing w:line="276" w:lineRule="auto"/>
              <w:rPr>
                <w:color w:val="000000"/>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20B6830" w14:textId="77777777" w:rsidR="00830D35" w:rsidRPr="00830D35" w:rsidRDefault="00830D35" w:rsidP="00830D35">
            <w:pPr>
              <w:widowControl w:val="0"/>
              <w:pBdr>
                <w:top w:val="nil"/>
                <w:left w:val="nil"/>
                <w:bottom w:val="nil"/>
                <w:right w:val="nil"/>
                <w:between w:val="nil"/>
              </w:pBdr>
              <w:spacing w:line="276" w:lineRule="auto"/>
              <w:rPr>
                <w:color w:val="000000"/>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2AA8C0B2" w14:textId="77777777" w:rsidR="00830D35" w:rsidRDefault="00830D35" w:rsidP="00830D35">
            <w:pPr>
              <w:rPr>
                <w:color w:val="000000"/>
                <w:sz w:val="16"/>
                <w:szCs w:val="16"/>
              </w:rPr>
            </w:pPr>
            <w:r>
              <w:rPr>
                <w:color w:val="000000"/>
                <w:sz w:val="16"/>
                <w:szCs w:val="16"/>
              </w:rPr>
              <w:t>rs1800779</w:t>
            </w:r>
          </w:p>
        </w:tc>
        <w:tc>
          <w:tcPr>
            <w:tcW w:w="851" w:type="dxa"/>
            <w:tcBorders>
              <w:top w:val="single" w:sz="4" w:space="0" w:color="D0CECE"/>
              <w:bottom w:val="single" w:sz="4" w:space="0" w:color="D0CECE"/>
            </w:tcBorders>
            <w:tcMar>
              <w:top w:w="-113" w:type="dxa"/>
              <w:left w:w="-113" w:type="dxa"/>
              <w:bottom w:w="-113" w:type="dxa"/>
              <w:right w:w="-113" w:type="dxa"/>
            </w:tcMar>
          </w:tcPr>
          <w:p w14:paraId="26F53C8A" w14:textId="77777777" w:rsidR="00830D35" w:rsidRDefault="00830D35" w:rsidP="00830D35">
            <w:pPr>
              <w:rPr>
                <w:color w:val="000000"/>
                <w:sz w:val="16"/>
                <w:szCs w:val="16"/>
              </w:rPr>
            </w:pPr>
            <w:r>
              <w:rPr>
                <w:color w:val="000000"/>
                <w:sz w:val="16"/>
                <w:szCs w:val="16"/>
              </w:rPr>
              <w:t>G&gt;</w:t>
            </w:r>
            <w:proofErr w:type="gramStart"/>
            <w:r>
              <w:rPr>
                <w:color w:val="000000"/>
                <w:sz w:val="16"/>
                <w:szCs w:val="16"/>
              </w:rPr>
              <w:t>A,C</w:t>
            </w:r>
            <w:proofErr w:type="gramEnd"/>
            <w:r>
              <w:rPr>
                <w:color w:val="000000"/>
                <w:sz w:val="16"/>
                <w:szCs w:val="16"/>
              </w:rPr>
              <w:t>,T</w:t>
            </w:r>
          </w:p>
        </w:tc>
        <w:tc>
          <w:tcPr>
            <w:tcW w:w="1701" w:type="dxa"/>
            <w:tcBorders>
              <w:top w:val="single" w:sz="4" w:space="0" w:color="D0CECE"/>
              <w:bottom w:val="single" w:sz="4" w:space="0" w:color="D0CECE"/>
            </w:tcBorders>
            <w:tcMar>
              <w:top w:w="-113" w:type="dxa"/>
              <w:left w:w="-113" w:type="dxa"/>
              <w:bottom w:w="-113" w:type="dxa"/>
              <w:right w:w="-113" w:type="dxa"/>
            </w:tcMar>
          </w:tcPr>
          <w:p w14:paraId="292045BD" w14:textId="77777777" w:rsidR="00830D35" w:rsidRDefault="00830D35" w:rsidP="00830D35">
            <w:pPr>
              <w:rPr>
                <w:color w:val="000000"/>
                <w:sz w:val="16"/>
                <w:szCs w:val="16"/>
              </w:rPr>
            </w:pPr>
            <w:r>
              <w:rPr>
                <w:sz w:val="16"/>
                <w:szCs w:val="16"/>
              </w:rPr>
              <w:t>Intron variant</w:t>
            </w:r>
          </w:p>
        </w:tc>
        <w:tc>
          <w:tcPr>
            <w:tcW w:w="708" w:type="dxa"/>
            <w:vMerge w:val="restart"/>
            <w:tcBorders>
              <w:top w:val="single" w:sz="4" w:space="0" w:color="D0CECE"/>
              <w:bottom w:val="single" w:sz="4" w:space="0" w:color="D0CECE"/>
            </w:tcBorders>
            <w:tcMar>
              <w:top w:w="-113" w:type="dxa"/>
              <w:left w:w="-113" w:type="dxa"/>
              <w:bottom w:w="-113" w:type="dxa"/>
              <w:right w:w="-113" w:type="dxa"/>
            </w:tcMar>
          </w:tcPr>
          <w:p w14:paraId="562021B3" w14:textId="77777777" w:rsidR="00830D35" w:rsidRDefault="00830D35" w:rsidP="00830D35">
            <w:pPr>
              <w:rPr>
                <w:sz w:val="16"/>
                <w:szCs w:val="16"/>
              </w:rPr>
            </w:pPr>
            <w:r>
              <w:rPr>
                <w:color w:val="000000"/>
                <w:sz w:val="16"/>
                <w:szCs w:val="16"/>
              </w:rPr>
              <w:t>C</w:t>
            </w:r>
            <w:r>
              <w:rPr>
                <w:sz w:val="16"/>
                <w:szCs w:val="16"/>
              </w:rPr>
              <w:t>VD</w:t>
            </w:r>
          </w:p>
          <w:p w14:paraId="29B9B927" w14:textId="77777777" w:rsidR="00830D35" w:rsidRDefault="00830D35" w:rsidP="00830D35">
            <w:pPr>
              <w:rPr>
                <w:sz w:val="16"/>
                <w:szCs w:val="16"/>
              </w:rPr>
            </w:pPr>
            <w:r>
              <w:rPr>
                <w:sz w:val="16"/>
                <w:szCs w:val="16"/>
              </w:rPr>
              <w:t>CIMT</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5500E0F0" w14:textId="77777777" w:rsidR="00830D35" w:rsidRPr="00641BD3" w:rsidRDefault="00830D35" w:rsidP="00830D35">
            <w:pPr>
              <w:rPr>
                <w:sz w:val="16"/>
                <w:szCs w:val="16"/>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1DC233E0" w14:textId="77777777" w:rsidR="00830D35" w:rsidRPr="00641BD3" w:rsidRDefault="00830D35" w:rsidP="00830D35">
            <w:pPr>
              <w:rPr>
                <w:sz w:val="16"/>
                <w:szCs w:val="16"/>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tc>
      </w:tr>
      <w:tr w:rsidR="00830D35" w14:paraId="4539C73C"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72BEE38" w14:textId="77777777" w:rsidR="00830D35" w:rsidRPr="00641BD3" w:rsidRDefault="00830D35" w:rsidP="00830D35">
            <w:pPr>
              <w:widowControl w:val="0"/>
              <w:pBdr>
                <w:top w:val="nil"/>
                <w:left w:val="nil"/>
                <w:bottom w:val="nil"/>
                <w:right w:val="nil"/>
                <w:between w:val="nil"/>
              </w:pBdr>
              <w:spacing w:line="276" w:lineRule="auto"/>
              <w:rPr>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B5E9071" w14:textId="77777777" w:rsidR="00830D35" w:rsidRPr="00641BD3" w:rsidRDefault="00830D35" w:rsidP="00830D35">
            <w:pPr>
              <w:widowControl w:val="0"/>
              <w:pBdr>
                <w:top w:val="nil"/>
                <w:left w:val="nil"/>
                <w:bottom w:val="nil"/>
                <w:right w:val="nil"/>
                <w:between w:val="nil"/>
              </w:pBdr>
              <w:spacing w:line="276" w:lineRule="auto"/>
              <w:rPr>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55D81E6F" w14:textId="77777777" w:rsidR="00830D35" w:rsidRDefault="00830D35" w:rsidP="00830D35">
            <w:pPr>
              <w:rPr>
                <w:color w:val="000000"/>
                <w:sz w:val="16"/>
                <w:szCs w:val="16"/>
              </w:rPr>
            </w:pPr>
            <w:r>
              <w:rPr>
                <w:color w:val="000000"/>
                <w:sz w:val="16"/>
                <w:szCs w:val="16"/>
              </w:rPr>
              <w:t>rs1800783</w:t>
            </w:r>
          </w:p>
        </w:tc>
        <w:tc>
          <w:tcPr>
            <w:tcW w:w="851" w:type="dxa"/>
            <w:tcBorders>
              <w:top w:val="single" w:sz="4" w:space="0" w:color="D0CECE"/>
              <w:bottom w:val="single" w:sz="4" w:space="0" w:color="D0CECE"/>
            </w:tcBorders>
            <w:tcMar>
              <w:top w:w="-113" w:type="dxa"/>
              <w:left w:w="-113" w:type="dxa"/>
              <w:bottom w:w="-113" w:type="dxa"/>
              <w:right w:w="-113" w:type="dxa"/>
            </w:tcMar>
          </w:tcPr>
          <w:p w14:paraId="5F146AEE" w14:textId="77777777" w:rsidR="00830D35" w:rsidRDefault="00830D35" w:rsidP="00830D35">
            <w:pPr>
              <w:rPr>
                <w:color w:val="000000"/>
                <w:sz w:val="16"/>
                <w:szCs w:val="16"/>
              </w:rPr>
            </w:pPr>
            <w:r>
              <w:rPr>
                <w:color w:val="000000"/>
                <w:sz w:val="16"/>
                <w:szCs w:val="16"/>
              </w:rPr>
              <w:t>A&gt;</w:t>
            </w:r>
            <w:proofErr w:type="gramStart"/>
            <w:r>
              <w:rPr>
                <w:color w:val="000000"/>
                <w:sz w:val="16"/>
                <w:szCs w:val="16"/>
              </w:rPr>
              <w:t>C,G</w:t>
            </w:r>
            <w:proofErr w:type="gramEnd"/>
            <w:r>
              <w:rPr>
                <w:color w:val="000000"/>
                <w:sz w:val="16"/>
                <w:szCs w:val="16"/>
              </w:rPr>
              <w:t>,T</w:t>
            </w:r>
          </w:p>
        </w:tc>
        <w:tc>
          <w:tcPr>
            <w:tcW w:w="1701" w:type="dxa"/>
            <w:tcBorders>
              <w:top w:val="single" w:sz="4" w:space="0" w:color="D0CECE"/>
              <w:bottom w:val="single" w:sz="4" w:space="0" w:color="D0CECE"/>
            </w:tcBorders>
            <w:tcMar>
              <w:top w:w="-113" w:type="dxa"/>
              <w:left w:w="-113" w:type="dxa"/>
              <w:bottom w:w="-113" w:type="dxa"/>
              <w:right w:w="-113" w:type="dxa"/>
            </w:tcMar>
          </w:tcPr>
          <w:p w14:paraId="2D5707CD"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7ED3070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0C29E26"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52228E65"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49D21D0"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B2705C6"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13155546" w14:textId="77777777" w:rsidR="00830D35" w:rsidRDefault="00830D35" w:rsidP="00830D35">
            <w:pPr>
              <w:rPr>
                <w:sz w:val="16"/>
                <w:szCs w:val="16"/>
              </w:rPr>
            </w:pPr>
            <w:r>
              <w:rPr>
                <w:color w:val="000000"/>
                <w:sz w:val="16"/>
                <w:szCs w:val="16"/>
              </w:rPr>
              <w:t>rs1808593</w:t>
            </w:r>
          </w:p>
          <w:p w14:paraId="347517D3" w14:textId="77777777" w:rsidR="00830D35" w:rsidRDefault="00830D35" w:rsidP="00830D35">
            <w:pPr>
              <w:rPr>
                <w:sz w:val="16"/>
                <w:szCs w:val="16"/>
              </w:rPr>
            </w:pPr>
          </w:p>
        </w:tc>
        <w:tc>
          <w:tcPr>
            <w:tcW w:w="851" w:type="dxa"/>
            <w:vMerge w:val="restart"/>
            <w:tcBorders>
              <w:top w:val="single" w:sz="4" w:space="0" w:color="D0CECE"/>
              <w:bottom w:val="single" w:sz="4" w:space="0" w:color="D0CECE"/>
            </w:tcBorders>
            <w:tcMar>
              <w:top w:w="-113" w:type="dxa"/>
              <w:left w:w="-113" w:type="dxa"/>
              <w:bottom w:w="-113" w:type="dxa"/>
              <w:right w:w="-113" w:type="dxa"/>
            </w:tcMar>
          </w:tcPr>
          <w:p w14:paraId="0B1FD8BD" w14:textId="77777777" w:rsidR="00830D35" w:rsidRDefault="00830D35" w:rsidP="00830D35">
            <w:pPr>
              <w:rPr>
                <w:color w:val="000000"/>
                <w:sz w:val="16"/>
                <w:szCs w:val="16"/>
              </w:rPr>
            </w:pPr>
            <w:r>
              <w:rPr>
                <w:color w:val="000000"/>
                <w:sz w:val="16"/>
                <w:szCs w:val="16"/>
              </w:rPr>
              <w:t>G&gt;</w:t>
            </w:r>
            <w:proofErr w:type="gramStart"/>
            <w:r>
              <w:rPr>
                <w:color w:val="000000"/>
                <w:sz w:val="16"/>
                <w:szCs w:val="16"/>
              </w:rPr>
              <w:t>A,C</w:t>
            </w:r>
            <w:proofErr w:type="gramEnd"/>
            <w:r>
              <w:rPr>
                <w:color w:val="000000"/>
                <w:sz w:val="16"/>
                <w:szCs w:val="16"/>
              </w:rPr>
              <w:t>,T</w:t>
            </w:r>
          </w:p>
        </w:tc>
        <w:tc>
          <w:tcPr>
            <w:tcW w:w="1701" w:type="dxa"/>
            <w:vMerge w:val="restart"/>
            <w:tcBorders>
              <w:top w:val="single" w:sz="4" w:space="0" w:color="D0CECE"/>
              <w:bottom w:val="single" w:sz="4" w:space="0" w:color="D0CECE"/>
            </w:tcBorders>
            <w:tcMar>
              <w:top w:w="-113" w:type="dxa"/>
              <w:left w:w="-113" w:type="dxa"/>
              <w:bottom w:w="-113" w:type="dxa"/>
              <w:right w:w="-113" w:type="dxa"/>
            </w:tcMar>
          </w:tcPr>
          <w:p w14:paraId="5FCA9164" w14:textId="77777777" w:rsidR="00830D35" w:rsidRDefault="00830D35" w:rsidP="00830D35">
            <w:pPr>
              <w:rPr>
                <w:color w:val="000000"/>
                <w:sz w:val="16"/>
                <w:szCs w:val="16"/>
              </w:rPr>
            </w:pPr>
            <w:r>
              <w:rPr>
                <w:sz w:val="16"/>
                <w:szCs w:val="16"/>
              </w:rPr>
              <w:t>Intron variant</w:t>
            </w:r>
          </w:p>
        </w:tc>
        <w:tc>
          <w:tcPr>
            <w:tcW w:w="708" w:type="dxa"/>
            <w:tcBorders>
              <w:top w:val="single" w:sz="4" w:space="0" w:color="D0CECE"/>
              <w:bottom w:val="single" w:sz="4" w:space="0" w:color="D0CECE"/>
            </w:tcBorders>
            <w:tcMar>
              <w:top w:w="-113" w:type="dxa"/>
              <w:left w:w="-113" w:type="dxa"/>
              <w:bottom w:w="-113" w:type="dxa"/>
              <w:right w:w="-113" w:type="dxa"/>
            </w:tcMar>
          </w:tcPr>
          <w:p w14:paraId="79389526" w14:textId="77777777" w:rsidR="00830D35" w:rsidRDefault="00830D35" w:rsidP="00830D35">
            <w:pPr>
              <w:rPr>
                <w:color w:val="000000"/>
                <w:sz w:val="16"/>
                <w:szCs w:val="16"/>
              </w:rPr>
            </w:pPr>
            <w:r>
              <w:rPr>
                <w:color w:val="000000"/>
                <w:sz w:val="16"/>
                <w:szCs w:val="16"/>
              </w:rPr>
              <w:t>BP</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ABEBB42" w14:textId="77777777" w:rsidR="00830D35" w:rsidRDefault="00830D35" w:rsidP="00830D35">
            <w:pPr>
              <w:rPr>
                <w:color w:val="000000"/>
                <w:sz w:val="16"/>
                <w:szCs w:val="16"/>
              </w:rPr>
            </w:pPr>
            <w:r>
              <w:rPr>
                <w:sz w:val="16"/>
                <w:szCs w:val="16"/>
              </w:rPr>
              <w:t xml:space="preserve">Farzan </w:t>
            </w:r>
            <w:r>
              <w:rPr>
                <w:i/>
                <w:sz w:val="16"/>
                <w:szCs w:val="16"/>
              </w:rPr>
              <w:t>et al.</w:t>
            </w:r>
            <w:r>
              <w:rPr>
                <w:sz w:val="16"/>
                <w:szCs w:val="16"/>
              </w:rPr>
              <w:t xml:space="preserve"> 2016</w:t>
            </w:r>
          </w:p>
        </w:tc>
      </w:tr>
      <w:tr w:rsidR="00830D35" w:rsidRPr="0030321B" w14:paraId="4E8F6711" w14:textId="77777777" w:rsidTr="00923C73">
        <w:trPr>
          <w:trHeight w:val="317"/>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2BD941B"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DE79A5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0919B15D"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tcMar>
              <w:top w:w="-113" w:type="dxa"/>
              <w:left w:w="-113" w:type="dxa"/>
              <w:bottom w:w="-113" w:type="dxa"/>
              <w:right w:w="-113" w:type="dxa"/>
            </w:tcMar>
          </w:tcPr>
          <w:p w14:paraId="39B5EC84"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tcMar>
              <w:top w:w="-113" w:type="dxa"/>
              <w:left w:w="-113" w:type="dxa"/>
              <w:bottom w:w="-113" w:type="dxa"/>
              <w:right w:w="-113" w:type="dxa"/>
            </w:tcMar>
          </w:tcPr>
          <w:p w14:paraId="133F527B"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708" w:type="dxa"/>
            <w:vMerge w:val="restart"/>
            <w:tcBorders>
              <w:top w:val="single" w:sz="4" w:space="0" w:color="D0CECE"/>
              <w:bottom w:val="single" w:sz="4" w:space="0" w:color="D0CECE"/>
            </w:tcBorders>
            <w:tcMar>
              <w:top w:w="-113" w:type="dxa"/>
              <w:left w:w="-113" w:type="dxa"/>
              <w:bottom w:w="-113" w:type="dxa"/>
              <w:right w:w="-113" w:type="dxa"/>
            </w:tcMar>
          </w:tcPr>
          <w:p w14:paraId="7F4BF9F1" w14:textId="77777777" w:rsidR="00830D35" w:rsidRDefault="00830D35" w:rsidP="00830D35">
            <w:pPr>
              <w:rPr>
                <w:sz w:val="16"/>
                <w:szCs w:val="16"/>
              </w:rPr>
            </w:pPr>
            <w:r>
              <w:rPr>
                <w:color w:val="000000"/>
                <w:sz w:val="16"/>
                <w:szCs w:val="16"/>
              </w:rPr>
              <w:t>CVD</w:t>
            </w:r>
          </w:p>
          <w:p w14:paraId="20C09AC6" w14:textId="77777777" w:rsidR="00830D35" w:rsidRDefault="00830D35" w:rsidP="00830D35">
            <w:pPr>
              <w:rPr>
                <w:sz w:val="16"/>
                <w:szCs w:val="16"/>
              </w:rPr>
            </w:pPr>
            <w:r>
              <w:rPr>
                <w:sz w:val="16"/>
                <w:szCs w:val="16"/>
              </w:rPr>
              <w:t>CIMT</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17FE59F3" w14:textId="77777777" w:rsidR="00830D35" w:rsidRPr="00641BD3" w:rsidRDefault="00830D35" w:rsidP="00830D35">
            <w:pPr>
              <w:rPr>
                <w:sz w:val="16"/>
                <w:szCs w:val="16"/>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13CD85B7" w14:textId="77777777" w:rsidR="00830D35" w:rsidRPr="00641BD3" w:rsidRDefault="00830D35" w:rsidP="00830D35">
            <w:pPr>
              <w:rPr>
                <w:sz w:val="16"/>
                <w:szCs w:val="16"/>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tc>
      </w:tr>
      <w:tr w:rsidR="00830D35" w14:paraId="063C4C1A"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E71C9BF" w14:textId="77777777" w:rsidR="00830D35" w:rsidRPr="00641BD3" w:rsidRDefault="00830D35" w:rsidP="00830D35">
            <w:pPr>
              <w:widowControl w:val="0"/>
              <w:pBdr>
                <w:top w:val="nil"/>
                <w:left w:val="nil"/>
                <w:bottom w:val="nil"/>
                <w:right w:val="nil"/>
                <w:between w:val="nil"/>
              </w:pBdr>
              <w:spacing w:line="276" w:lineRule="auto"/>
              <w:rPr>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E5584AC" w14:textId="77777777" w:rsidR="00830D35" w:rsidRPr="00641BD3" w:rsidRDefault="00830D35" w:rsidP="00830D35">
            <w:pPr>
              <w:widowControl w:val="0"/>
              <w:pBdr>
                <w:top w:val="nil"/>
                <w:left w:val="nil"/>
                <w:bottom w:val="nil"/>
                <w:right w:val="nil"/>
                <w:between w:val="nil"/>
              </w:pBdr>
              <w:spacing w:line="276" w:lineRule="auto"/>
              <w:rPr>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51CF7DB2" w14:textId="77777777" w:rsidR="00830D35" w:rsidRDefault="00830D35" w:rsidP="00830D35">
            <w:pPr>
              <w:rPr>
                <w:color w:val="000000"/>
                <w:sz w:val="16"/>
                <w:szCs w:val="16"/>
              </w:rPr>
            </w:pPr>
            <w:r>
              <w:rPr>
                <w:color w:val="000000"/>
                <w:sz w:val="16"/>
                <w:szCs w:val="16"/>
              </w:rPr>
              <w:t>rs2853792</w:t>
            </w:r>
          </w:p>
        </w:tc>
        <w:tc>
          <w:tcPr>
            <w:tcW w:w="851" w:type="dxa"/>
            <w:tcBorders>
              <w:top w:val="single" w:sz="4" w:space="0" w:color="D0CECE"/>
              <w:bottom w:val="single" w:sz="4" w:space="0" w:color="D0CECE"/>
            </w:tcBorders>
            <w:tcMar>
              <w:top w:w="-113" w:type="dxa"/>
              <w:left w:w="-113" w:type="dxa"/>
              <w:bottom w:w="-113" w:type="dxa"/>
              <w:right w:w="-113" w:type="dxa"/>
            </w:tcMar>
          </w:tcPr>
          <w:p w14:paraId="2015ECE2" w14:textId="77777777" w:rsidR="00830D35" w:rsidRDefault="00830D35" w:rsidP="00830D35">
            <w:pPr>
              <w:rPr>
                <w:color w:val="000000"/>
                <w:sz w:val="16"/>
                <w:szCs w:val="16"/>
              </w:rPr>
            </w:pPr>
            <w:r>
              <w:rPr>
                <w:color w:val="000000"/>
                <w:sz w:val="16"/>
                <w:szCs w:val="16"/>
              </w:rPr>
              <w:t>G&gt;A</w:t>
            </w:r>
          </w:p>
        </w:tc>
        <w:tc>
          <w:tcPr>
            <w:tcW w:w="1701" w:type="dxa"/>
            <w:tcBorders>
              <w:top w:val="single" w:sz="4" w:space="0" w:color="D0CECE"/>
              <w:bottom w:val="single" w:sz="4" w:space="0" w:color="D0CECE"/>
            </w:tcBorders>
            <w:tcMar>
              <w:top w:w="-113" w:type="dxa"/>
              <w:left w:w="-113" w:type="dxa"/>
              <w:bottom w:w="-113" w:type="dxa"/>
              <w:right w:w="-113" w:type="dxa"/>
            </w:tcMar>
          </w:tcPr>
          <w:p w14:paraId="042D5E11"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5B7E5BF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199BBA0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5940A78A"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24045B4"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6BEF67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6700FDAD" w14:textId="77777777" w:rsidR="00830D35" w:rsidRDefault="00830D35" w:rsidP="00830D35">
            <w:pPr>
              <w:rPr>
                <w:color w:val="000000"/>
                <w:sz w:val="16"/>
                <w:szCs w:val="16"/>
              </w:rPr>
            </w:pPr>
            <w:r>
              <w:rPr>
                <w:color w:val="000000"/>
                <w:sz w:val="16"/>
                <w:szCs w:val="16"/>
              </w:rPr>
              <w:t>rs2853795</w:t>
            </w:r>
          </w:p>
        </w:tc>
        <w:tc>
          <w:tcPr>
            <w:tcW w:w="851" w:type="dxa"/>
            <w:tcBorders>
              <w:top w:val="single" w:sz="4" w:space="0" w:color="D0CECE"/>
              <w:bottom w:val="single" w:sz="4" w:space="0" w:color="D0CECE"/>
            </w:tcBorders>
            <w:tcMar>
              <w:top w:w="-113" w:type="dxa"/>
              <w:left w:w="-113" w:type="dxa"/>
              <w:bottom w:w="-113" w:type="dxa"/>
              <w:right w:w="-113" w:type="dxa"/>
            </w:tcMar>
          </w:tcPr>
          <w:p w14:paraId="2C10D1A1" w14:textId="77777777" w:rsidR="00830D35" w:rsidRDefault="00830D35" w:rsidP="00830D35">
            <w:pPr>
              <w:rPr>
                <w:color w:val="000000"/>
                <w:sz w:val="16"/>
                <w:szCs w:val="16"/>
              </w:rPr>
            </w:pPr>
            <w:r>
              <w:rPr>
                <w:color w:val="000000"/>
                <w:sz w:val="16"/>
                <w:szCs w:val="16"/>
              </w:rPr>
              <w:t>A&gt;G</w:t>
            </w:r>
          </w:p>
        </w:tc>
        <w:tc>
          <w:tcPr>
            <w:tcW w:w="1701" w:type="dxa"/>
            <w:tcBorders>
              <w:top w:val="single" w:sz="4" w:space="0" w:color="D0CECE"/>
              <w:bottom w:val="single" w:sz="4" w:space="0" w:color="D0CECE"/>
            </w:tcBorders>
            <w:tcMar>
              <w:top w:w="-113" w:type="dxa"/>
              <w:left w:w="-113" w:type="dxa"/>
              <w:bottom w:w="-113" w:type="dxa"/>
              <w:right w:w="-113" w:type="dxa"/>
            </w:tcMar>
          </w:tcPr>
          <w:p w14:paraId="1C46EA07"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678CCE8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1FDC15E5"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4A00ADEA"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0683F90"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A5B366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7842E502" w14:textId="77777777" w:rsidR="00830D35" w:rsidRDefault="00830D35" w:rsidP="00830D35">
            <w:pPr>
              <w:rPr>
                <w:color w:val="000000"/>
                <w:sz w:val="16"/>
                <w:szCs w:val="16"/>
              </w:rPr>
            </w:pPr>
            <w:r>
              <w:rPr>
                <w:color w:val="000000"/>
                <w:sz w:val="16"/>
                <w:szCs w:val="16"/>
              </w:rPr>
              <w:t>rs3793342</w:t>
            </w:r>
          </w:p>
        </w:tc>
        <w:tc>
          <w:tcPr>
            <w:tcW w:w="851" w:type="dxa"/>
            <w:tcBorders>
              <w:top w:val="single" w:sz="4" w:space="0" w:color="D0CECE"/>
              <w:bottom w:val="single" w:sz="4" w:space="0" w:color="D0CECE"/>
            </w:tcBorders>
            <w:tcMar>
              <w:top w:w="-113" w:type="dxa"/>
              <w:left w:w="-113" w:type="dxa"/>
              <w:bottom w:w="-113" w:type="dxa"/>
              <w:right w:w="-113" w:type="dxa"/>
            </w:tcMar>
          </w:tcPr>
          <w:p w14:paraId="39586487" w14:textId="77777777" w:rsidR="00830D35" w:rsidRDefault="00830D35" w:rsidP="00830D35">
            <w:pPr>
              <w:rPr>
                <w:color w:val="000000"/>
                <w:sz w:val="16"/>
                <w:szCs w:val="16"/>
              </w:rPr>
            </w:pPr>
            <w:r>
              <w:rPr>
                <w:color w:val="000000"/>
                <w:sz w:val="16"/>
                <w:szCs w:val="16"/>
              </w:rPr>
              <w:t>G&gt;A</w:t>
            </w:r>
          </w:p>
        </w:tc>
        <w:tc>
          <w:tcPr>
            <w:tcW w:w="1701" w:type="dxa"/>
            <w:tcBorders>
              <w:top w:val="single" w:sz="4" w:space="0" w:color="D0CECE"/>
              <w:bottom w:val="single" w:sz="4" w:space="0" w:color="D0CECE"/>
            </w:tcBorders>
            <w:tcMar>
              <w:top w:w="-113" w:type="dxa"/>
              <w:left w:w="-113" w:type="dxa"/>
              <w:bottom w:w="-113" w:type="dxa"/>
              <w:right w:w="-113" w:type="dxa"/>
            </w:tcMar>
          </w:tcPr>
          <w:p w14:paraId="0F1570FA"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449BE9C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2C656C83"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02B15A2D"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71CB90F"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3F44020"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C4CF700" w14:textId="77777777" w:rsidR="00830D35" w:rsidRDefault="00830D35" w:rsidP="00830D35">
            <w:pPr>
              <w:rPr>
                <w:color w:val="000000"/>
                <w:sz w:val="16"/>
                <w:szCs w:val="16"/>
              </w:rPr>
            </w:pPr>
            <w:r>
              <w:rPr>
                <w:color w:val="000000"/>
                <w:sz w:val="16"/>
                <w:szCs w:val="16"/>
              </w:rPr>
              <w:t>rs3834873</w:t>
            </w:r>
          </w:p>
        </w:tc>
        <w:tc>
          <w:tcPr>
            <w:tcW w:w="851" w:type="dxa"/>
            <w:tcBorders>
              <w:top w:val="single" w:sz="4" w:space="0" w:color="D0CECE"/>
              <w:bottom w:val="single" w:sz="4" w:space="0" w:color="D0CECE"/>
            </w:tcBorders>
            <w:tcMar>
              <w:top w:w="-113" w:type="dxa"/>
              <w:left w:w="-113" w:type="dxa"/>
              <w:bottom w:w="-113" w:type="dxa"/>
              <w:right w:w="-113" w:type="dxa"/>
            </w:tcMar>
          </w:tcPr>
          <w:p w14:paraId="7FAC79A3" w14:textId="77777777" w:rsidR="00830D35" w:rsidRDefault="00830D35" w:rsidP="00830D35">
            <w:pPr>
              <w:rPr>
                <w:color w:val="000000"/>
                <w:sz w:val="16"/>
                <w:szCs w:val="16"/>
              </w:rPr>
            </w:pPr>
            <w:r>
              <w:rPr>
                <w:color w:val="000000"/>
                <w:sz w:val="16"/>
                <w:szCs w:val="16"/>
              </w:rPr>
              <w:t>-&gt;T</w:t>
            </w:r>
          </w:p>
        </w:tc>
        <w:tc>
          <w:tcPr>
            <w:tcW w:w="1701" w:type="dxa"/>
            <w:tcBorders>
              <w:top w:val="single" w:sz="4" w:space="0" w:color="D0CECE"/>
              <w:bottom w:val="single" w:sz="4" w:space="0" w:color="D0CECE"/>
            </w:tcBorders>
            <w:tcMar>
              <w:top w:w="-113" w:type="dxa"/>
              <w:left w:w="-113" w:type="dxa"/>
              <w:bottom w:w="-113" w:type="dxa"/>
              <w:right w:w="-113" w:type="dxa"/>
            </w:tcMar>
          </w:tcPr>
          <w:p w14:paraId="16C35CBA"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5FC8FE7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3CD6421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0C53BEFD"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8DD1536"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483A08D"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8B2E2DE" w14:textId="77777777" w:rsidR="00830D35" w:rsidRDefault="00830D35" w:rsidP="00830D35">
            <w:pPr>
              <w:rPr>
                <w:color w:val="000000"/>
                <w:sz w:val="16"/>
                <w:szCs w:val="16"/>
              </w:rPr>
            </w:pPr>
            <w:r>
              <w:rPr>
                <w:color w:val="000000"/>
                <w:sz w:val="16"/>
                <w:szCs w:val="16"/>
              </w:rPr>
              <w:t>rs3918166</w:t>
            </w:r>
          </w:p>
        </w:tc>
        <w:tc>
          <w:tcPr>
            <w:tcW w:w="851" w:type="dxa"/>
            <w:tcBorders>
              <w:top w:val="single" w:sz="4" w:space="0" w:color="D0CECE"/>
              <w:bottom w:val="single" w:sz="4" w:space="0" w:color="D0CECE"/>
            </w:tcBorders>
            <w:tcMar>
              <w:top w:w="-113" w:type="dxa"/>
              <w:left w:w="-113" w:type="dxa"/>
              <w:bottom w:w="-113" w:type="dxa"/>
              <w:right w:w="-113" w:type="dxa"/>
            </w:tcMar>
          </w:tcPr>
          <w:p w14:paraId="11B6277B" w14:textId="77777777" w:rsidR="00830D35" w:rsidRDefault="00830D35" w:rsidP="00830D35">
            <w:pPr>
              <w:rPr>
                <w:color w:val="000000"/>
                <w:sz w:val="16"/>
                <w:szCs w:val="16"/>
              </w:rPr>
            </w:pPr>
            <w:r>
              <w:rPr>
                <w:color w:val="000000"/>
                <w:sz w:val="16"/>
                <w:szCs w:val="16"/>
              </w:rPr>
              <w:t>G&gt;</w:t>
            </w:r>
            <w:proofErr w:type="gramStart"/>
            <w:r>
              <w:rPr>
                <w:color w:val="000000"/>
                <w:sz w:val="16"/>
                <w:szCs w:val="16"/>
              </w:rPr>
              <w:t>A,C</w:t>
            </w:r>
            <w:proofErr w:type="gramEnd"/>
            <w:r>
              <w:rPr>
                <w:color w:val="000000"/>
                <w:sz w:val="16"/>
                <w:szCs w:val="16"/>
              </w:rPr>
              <w:t>,T</w:t>
            </w:r>
          </w:p>
        </w:tc>
        <w:tc>
          <w:tcPr>
            <w:tcW w:w="1701" w:type="dxa"/>
            <w:tcBorders>
              <w:top w:val="single" w:sz="4" w:space="0" w:color="D0CECE"/>
              <w:bottom w:val="single" w:sz="4" w:space="0" w:color="D0CECE"/>
            </w:tcBorders>
            <w:tcMar>
              <w:top w:w="-113" w:type="dxa"/>
              <w:left w:w="-113" w:type="dxa"/>
              <w:bottom w:w="-113" w:type="dxa"/>
              <w:right w:w="-113" w:type="dxa"/>
            </w:tcMar>
          </w:tcPr>
          <w:p w14:paraId="14156271" w14:textId="77777777" w:rsidR="00830D35" w:rsidRDefault="00830D35" w:rsidP="00830D35">
            <w:pPr>
              <w:rPr>
                <w:color w:val="000000"/>
                <w:sz w:val="16"/>
                <w:szCs w:val="16"/>
              </w:rPr>
            </w:pPr>
            <w:r>
              <w:rPr>
                <w:color w:val="000000"/>
                <w:sz w:val="16"/>
                <w:szCs w:val="16"/>
              </w:rPr>
              <w:t>Missense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136E4AD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939E004"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170C1546"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3D2B8F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60EB964"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DEB0D1E" w14:textId="77777777" w:rsidR="00830D35" w:rsidRDefault="00830D35" w:rsidP="00830D35">
            <w:pPr>
              <w:rPr>
                <w:color w:val="000000"/>
                <w:sz w:val="16"/>
                <w:szCs w:val="16"/>
              </w:rPr>
            </w:pPr>
            <w:r>
              <w:rPr>
                <w:color w:val="000000"/>
                <w:sz w:val="16"/>
                <w:szCs w:val="16"/>
              </w:rPr>
              <w:t>rs3918169</w:t>
            </w:r>
          </w:p>
        </w:tc>
        <w:tc>
          <w:tcPr>
            <w:tcW w:w="851" w:type="dxa"/>
            <w:tcBorders>
              <w:top w:val="single" w:sz="4" w:space="0" w:color="D0CECE"/>
              <w:bottom w:val="single" w:sz="4" w:space="0" w:color="D0CECE"/>
            </w:tcBorders>
            <w:tcMar>
              <w:top w:w="-113" w:type="dxa"/>
              <w:left w:w="-113" w:type="dxa"/>
              <w:bottom w:w="-113" w:type="dxa"/>
              <w:right w:w="-113" w:type="dxa"/>
            </w:tcMar>
          </w:tcPr>
          <w:p w14:paraId="7D62FEED" w14:textId="77777777" w:rsidR="00830D35" w:rsidRDefault="00830D35" w:rsidP="00830D35">
            <w:pPr>
              <w:rPr>
                <w:color w:val="000000"/>
                <w:sz w:val="16"/>
                <w:szCs w:val="16"/>
              </w:rPr>
            </w:pPr>
            <w:r>
              <w:rPr>
                <w:color w:val="000000"/>
                <w:sz w:val="16"/>
                <w:szCs w:val="16"/>
              </w:rPr>
              <w:t>A&gt;G</w:t>
            </w:r>
          </w:p>
        </w:tc>
        <w:tc>
          <w:tcPr>
            <w:tcW w:w="1701" w:type="dxa"/>
            <w:tcBorders>
              <w:top w:val="single" w:sz="4" w:space="0" w:color="D0CECE"/>
              <w:bottom w:val="single" w:sz="4" w:space="0" w:color="D0CECE"/>
            </w:tcBorders>
            <w:tcMar>
              <w:top w:w="-113" w:type="dxa"/>
              <w:left w:w="-113" w:type="dxa"/>
              <w:bottom w:w="-113" w:type="dxa"/>
              <w:right w:w="-113" w:type="dxa"/>
            </w:tcMar>
          </w:tcPr>
          <w:p w14:paraId="59DAD1CB"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3AAF30CA"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6DEF7944"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1CD2C123"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598E3BD"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565A42D"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77581601" w14:textId="77777777" w:rsidR="00830D35" w:rsidRDefault="00830D35" w:rsidP="00830D35">
            <w:pPr>
              <w:rPr>
                <w:color w:val="000000"/>
                <w:sz w:val="16"/>
                <w:szCs w:val="16"/>
              </w:rPr>
            </w:pPr>
            <w:r>
              <w:rPr>
                <w:color w:val="000000"/>
                <w:sz w:val="16"/>
                <w:szCs w:val="16"/>
              </w:rPr>
              <w:t>rs3918171</w:t>
            </w:r>
          </w:p>
        </w:tc>
        <w:tc>
          <w:tcPr>
            <w:tcW w:w="851" w:type="dxa"/>
            <w:tcBorders>
              <w:top w:val="single" w:sz="4" w:space="0" w:color="D0CECE"/>
              <w:bottom w:val="single" w:sz="4" w:space="0" w:color="D0CECE"/>
            </w:tcBorders>
            <w:tcMar>
              <w:top w:w="-113" w:type="dxa"/>
              <w:left w:w="-113" w:type="dxa"/>
              <w:bottom w:w="-113" w:type="dxa"/>
              <w:right w:w="-113" w:type="dxa"/>
            </w:tcMar>
          </w:tcPr>
          <w:p w14:paraId="09512565" w14:textId="77777777" w:rsidR="00830D35" w:rsidRDefault="00830D35" w:rsidP="00830D35">
            <w:pPr>
              <w:rPr>
                <w:color w:val="000000"/>
                <w:sz w:val="16"/>
                <w:szCs w:val="16"/>
              </w:rPr>
            </w:pPr>
            <w:r>
              <w:rPr>
                <w:color w:val="000000"/>
                <w:sz w:val="16"/>
                <w:szCs w:val="16"/>
              </w:rPr>
              <w:t>G&gt;A</w:t>
            </w:r>
          </w:p>
        </w:tc>
        <w:tc>
          <w:tcPr>
            <w:tcW w:w="1701" w:type="dxa"/>
            <w:tcBorders>
              <w:top w:val="single" w:sz="4" w:space="0" w:color="D0CECE"/>
              <w:bottom w:val="single" w:sz="4" w:space="0" w:color="D0CECE"/>
            </w:tcBorders>
            <w:tcMar>
              <w:top w:w="-113" w:type="dxa"/>
              <w:left w:w="-113" w:type="dxa"/>
              <w:bottom w:w="-113" w:type="dxa"/>
              <w:right w:w="-113" w:type="dxa"/>
            </w:tcMar>
          </w:tcPr>
          <w:p w14:paraId="09143EEE"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68BEDC84"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7D1EACA9"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42F02CAB"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C482B36"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7AEAC1B"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630D5A74" w14:textId="77777777" w:rsidR="00830D35" w:rsidRDefault="00830D35" w:rsidP="00830D35">
            <w:pPr>
              <w:rPr>
                <w:color w:val="000000"/>
                <w:sz w:val="16"/>
                <w:szCs w:val="16"/>
              </w:rPr>
            </w:pPr>
            <w:r>
              <w:rPr>
                <w:color w:val="000000"/>
                <w:sz w:val="16"/>
                <w:szCs w:val="16"/>
              </w:rPr>
              <w:t>rs3918181</w:t>
            </w:r>
          </w:p>
        </w:tc>
        <w:tc>
          <w:tcPr>
            <w:tcW w:w="851" w:type="dxa"/>
            <w:tcBorders>
              <w:top w:val="single" w:sz="4" w:space="0" w:color="D0CECE"/>
              <w:bottom w:val="single" w:sz="4" w:space="0" w:color="D0CECE"/>
            </w:tcBorders>
            <w:tcMar>
              <w:top w:w="-113" w:type="dxa"/>
              <w:left w:w="-113" w:type="dxa"/>
              <w:bottom w:w="-113" w:type="dxa"/>
              <w:right w:w="-113" w:type="dxa"/>
            </w:tcMar>
          </w:tcPr>
          <w:p w14:paraId="1253FB65" w14:textId="77777777" w:rsidR="00830D35" w:rsidRDefault="00830D35" w:rsidP="00830D35">
            <w:pPr>
              <w:rPr>
                <w:color w:val="000000"/>
                <w:sz w:val="16"/>
                <w:szCs w:val="16"/>
              </w:rPr>
            </w:pPr>
            <w:r>
              <w:rPr>
                <w:color w:val="000000"/>
                <w:sz w:val="16"/>
                <w:szCs w:val="16"/>
              </w:rPr>
              <w:t>G&gt;A</w:t>
            </w:r>
          </w:p>
        </w:tc>
        <w:tc>
          <w:tcPr>
            <w:tcW w:w="1701" w:type="dxa"/>
            <w:tcBorders>
              <w:top w:val="single" w:sz="4" w:space="0" w:color="D0CECE"/>
              <w:bottom w:val="single" w:sz="4" w:space="0" w:color="D0CECE"/>
            </w:tcBorders>
            <w:tcMar>
              <w:top w:w="-113" w:type="dxa"/>
              <w:left w:w="-113" w:type="dxa"/>
              <w:bottom w:w="-113" w:type="dxa"/>
              <w:right w:w="-113" w:type="dxa"/>
            </w:tcMar>
          </w:tcPr>
          <w:p w14:paraId="3AE010B5"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40EDC06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7BFA0DCB"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2760E851"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2EE62A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E4A916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6DB9113B" w14:textId="77777777" w:rsidR="00830D35" w:rsidRDefault="00830D35" w:rsidP="00830D35">
            <w:pPr>
              <w:rPr>
                <w:color w:val="000000"/>
                <w:sz w:val="16"/>
                <w:szCs w:val="16"/>
              </w:rPr>
            </w:pPr>
            <w:r>
              <w:rPr>
                <w:color w:val="000000"/>
                <w:sz w:val="16"/>
                <w:szCs w:val="16"/>
              </w:rPr>
              <w:t>rs3918186</w:t>
            </w:r>
          </w:p>
        </w:tc>
        <w:tc>
          <w:tcPr>
            <w:tcW w:w="851" w:type="dxa"/>
            <w:tcBorders>
              <w:top w:val="single" w:sz="4" w:space="0" w:color="D0CECE"/>
              <w:bottom w:val="single" w:sz="4" w:space="0" w:color="D0CECE"/>
            </w:tcBorders>
            <w:tcMar>
              <w:top w:w="-113" w:type="dxa"/>
              <w:left w:w="-113" w:type="dxa"/>
              <w:bottom w:w="-113" w:type="dxa"/>
              <w:right w:w="-113" w:type="dxa"/>
            </w:tcMar>
          </w:tcPr>
          <w:p w14:paraId="6FD6E517" w14:textId="77777777" w:rsidR="00830D35" w:rsidRDefault="00830D35" w:rsidP="00830D35">
            <w:pPr>
              <w:rPr>
                <w:color w:val="000000"/>
                <w:sz w:val="16"/>
                <w:szCs w:val="16"/>
              </w:rPr>
            </w:pPr>
            <w:r>
              <w:rPr>
                <w:color w:val="000000"/>
                <w:sz w:val="16"/>
                <w:szCs w:val="16"/>
              </w:rPr>
              <w:t>A&gt;T</w:t>
            </w:r>
          </w:p>
        </w:tc>
        <w:tc>
          <w:tcPr>
            <w:tcW w:w="1701" w:type="dxa"/>
            <w:tcBorders>
              <w:top w:val="single" w:sz="4" w:space="0" w:color="D0CECE"/>
              <w:bottom w:val="single" w:sz="4" w:space="0" w:color="D0CECE"/>
            </w:tcBorders>
            <w:tcMar>
              <w:top w:w="-113" w:type="dxa"/>
              <w:left w:w="-113" w:type="dxa"/>
              <w:bottom w:w="-113" w:type="dxa"/>
              <w:right w:w="-113" w:type="dxa"/>
            </w:tcMar>
          </w:tcPr>
          <w:p w14:paraId="221F8956"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2EE463F6"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ADBA54B"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30ACCFFB"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BBD3C7F"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5C6C28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2520BE0F" w14:textId="77777777" w:rsidR="00830D35" w:rsidRDefault="00830D35" w:rsidP="00830D35">
            <w:pPr>
              <w:rPr>
                <w:color w:val="000000"/>
                <w:sz w:val="16"/>
                <w:szCs w:val="16"/>
              </w:rPr>
            </w:pPr>
            <w:r>
              <w:rPr>
                <w:color w:val="000000"/>
                <w:sz w:val="16"/>
                <w:szCs w:val="16"/>
              </w:rPr>
              <w:t>rs3918188</w:t>
            </w:r>
          </w:p>
        </w:tc>
        <w:tc>
          <w:tcPr>
            <w:tcW w:w="851" w:type="dxa"/>
            <w:tcBorders>
              <w:top w:val="single" w:sz="4" w:space="0" w:color="D0CECE"/>
              <w:bottom w:val="single" w:sz="4" w:space="0" w:color="D0CECE"/>
            </w:tcBorders>
            <w:tcMar>
              <w:top w:w="-113" w:type="dxa"/>
              <w:left w:w="-113" w:type="dxa"/>
              <w:bottom w:w="-113" w:type="dxa"/>
              <w:right w:w="-113" w:type="dxa"/>
            </w:tcMar>
          </w:tcPr>
          <w:p w14:paraId="74280E34" w14:textId="77777777" w:rsidR="00830D35" w:rsidRDefault="00830D35" w:rsidP="00830D35">
            <w:pPr>
              <w:rPr>
                <w:color w:val="000000"/>
                <w:sz w:val="16"/>
                <w:szCs w:val="16"/>
              </w:rPr>
            </w:pPr>
            <w:r>
              <w:rPr>
                <w:color w:val="000000"/>
                <w:sz w:val="16"/>
                <w:szCs w:val="16"/>
              </w:rPr>
              <w:t>C&gt;</w:t>
            </w:r>
            <w:proofErr w:type="gramStart"/>
            <w:r>
              <w:rPr>
                <w:color w:val="000000"/>
                <w:sz w:val="16"/>
                <w:szCs w:val="16"/>
              </w:rPr>
              <w:t>A,T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3FB5C90B"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3BEE70E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456E39D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2DF12547"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0B3ADD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821134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67EC9215" w14:textId="77777777" w:rsidR="00830D35" w:rsidRDefault="00830D35" w:rsidP="00830D35">
            <w:pPr>
              <w:rPr>
                <w:color w:val="000000"/>
                <w:sz w:val="16"/>
                <w:szCs w:val="16"/>
              </w:rPr>
            </w:pPr>
            <w:r>
              <w:rPr>
                <w:color w:val="000000"/>
                <w:sz w:val="16"/>
                <w:szCs w:val="16"/>
              </w:rPr>
              <w:t>rs3918194</w:t>
            </w:r>
          </w:p>
        </w:tc>
        <w:tc>
          <w:tcPr>
            <w:tcW w:w="851" w:type="dxa"/>
            <w:tcBorders>
              <w:top w:val="single" w:sz="4" w:space="0" w:color="D0CECE"/>
              <w:bottom w:val="single" w:sz="4" w:space="0" w:color="D0CECE"/>
            </w:tcBorders>
            <w:tcMar>
              <w:top w:w="-113" w:type="dxa"/>
              <w:left w:w="-113" w:type="dxa"/>
              <w:bottom w:w="-113" w:type="dxa"/>
              <w:right w:w="-113" w:type="dxa"/>
            </w:tcMar>
          </w:tcPr>
          <w:p w14:paraId="79AD17ED" w14:textId="77777777" w:rsidR="00830D35" w:rsidRDefault="00830D35" w:rsidP="00830D35">
            <w:pPr>
              <w:rPr>
                <w:color w:val="000000"/>
                <w:sz w:val="16"/>
                <w:szCs w:val="16"/>
              </w:rPr>
            </w:pPr>
            <w:r>
              <w:rPr>
                <w:color w:val="000000"/>
                <w:sz w:val="16"/>
                <w:szCs w:val="16"/>
              </w:rPr>
              <w:t>C&gt;-</w:t>
            </w:r>
          </w:p>
        </w:tc>
        <w:tc>
          <w:tcPr>
            <w:tcW w:w="1701" w:type="dxa"/>
            <w:tcBorders>
              <w:top w:val="single" w:sz="4" w:space="0" w:color="D0CECE"/>
              <w:bottom w:val="single" w:sz="4" w:space="0" w:color="D0CECE"/>
            </w:tcBorders>
            <w:tcMar>
              <w:top w:w="-113" w:type="dxa"/>
              <w:left w:w="-113" w:type="dxa"/>
              <w:bottom w:w="-113" w:type="dxa"/>
              <w:right w:w="-113" w:type="dxa"/>
            </w:tcMar>
          </w:tcPr>
          <w:p w14:paraId="007BD94F"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2A4C691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506781F3"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524585FB"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72FD66F"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142184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7FAAE962" w14:textId="77777777" w:rsidR="00830D35" w:rsidRDefault="00830D35" w:rsidP="00830D35">
            <w:pPr>
              <w:rPr>
                <w:sz w:val="16"/>
                <w:szCs w:val="16"/>
              </w:rPr>
            </w:pPr>
            <w:r>
              <w:rPr>
                <w:color w:val="000000"/>
                <w:sz w:val="16"/>
                <w:szCs w:val="16"/>
              </w:rPr>
              <w:t>rs3918198</w:t>
            </w:r>
          </w:p>
          <w:p w14:paraId="5AC84345" w14:textId="77777777" w:rsidR="00830D35" w:rsidRDefault="00830D35" w:rsidP="00830D35">
            <w:pPr>
              <w:rPr>
                <w:sz w:val="16"/>
                <w:szCs w:val="16"/>
              </w:rPr>
            </w:pPr>
          </w:p>
        </w:tc>
        <w:tc>
          <w:tcPr>
            <w:tcW w:w="85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4FC992D8" w14:textId="77777777" w:rsidR="00830D35" w:rsidRDefault="00830D35" w:rsidP="00830D35">
            <w:pPr>
              <w:rPr>
                <w:color w:val="000000"/>
                <w:sz w:val="16"/>
                <w:szCs w:val="16"/>
              </w:rPr>
            </w:pPr>
            <w:r>
              <w:rPr>
                <w:color w:val="000000"/>
                <w:sz w:val="16"/>
                <w:szCs w:val="16"/>
              </w:rPr>
              <w:t>C&gt;A</w:t>
            </w:r>
          </w:p>
        </w:tc>
        <w:tc>
          <w:tcPr>
            <w:tcW w:w="170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03134E13" w14:textId="77777777" w:rsidR="00830D35" w:rsidRDefault="00830D35" w:rsidP="00830D35">
            <w:pPr>
              <w:rPr>
                <w:color w:val="000000"/>
                <w:sz w:val="16"/>
                <w:szCs w:val="16"/>
              </w:rPr>
            </w:pPr>
            <w:r>
              <w:rPr>
                <w:sz w:val="16"/>
                <w:szCs w:val="16"/>
              </w:rPr>
              <w:t>Intron variant</w:t>
            </w:r>
          </w:p>
        </w:tc>
        <w:tc>
          <w:tcPr>
            <w:tcW w:w="708" w:type="dxa"/>
            <w:tcBorders>
              <w:top w:val="single" w:sz="4" w:space="0" w:color="D0CECE"/>
              <w:bottom w:val="single" w:sz="4" w:space="0" w:color="D0CECE"/>
            </w:tcBorders>
            <w:shd w:val="clear" w:color="auto" w:fill="auto"/>
            <w:tcMar>
              <w:top w:w="-113" w:type="dxa"/>
              <w:left w:w="-113" w:type="dxa"/>
              <w:bottom w:w="-113" w:type="dxa"/>
              <w:right w:w="-113" w:type="dxa"/>
            </w:tcMar>
          </w:tcPr>
          <w:p w14:paraId="16A6EE12" w14:textId="77777777" w:rsidR="00830D35" w:rsidRDefault="00830D35" w:rsidP="00830D35">
            <w:pPr>
              <w:rPr>
                <w:color w:val="000000"/>
                <w:sz w:val="16"/>
                <w:szCs w:val="16"/>
              </w:rPr>
            </w:pPr>
            <w:r>
              <w:rPr>
                <w:color w:val="000000"/>
                <w:sz w:val="16"/>
                <w:szCs w:val="16"/>
              </w:rPr>
              <w:t>SBP</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1D07E0BD" w14:textId="77777777" w:rsidR="00830D35" w:rsidRDefault="00830D35" w:rsidP="00830D35">
            <w:pPr>
              <w:rPr>
                <w:color w:val="000000"/>
                <w:sz w:val="16"/>
                <w:szCs w:val="16"/>
              </w:rPr>
            </w:pPr>
            <w:r>
              <w:rPr>
                <w:sz w:val="16"/>
                <w:szCs w:val="16"/>
              </w:rPr>
              <w:t xml:space="preserve">Farzan </w:t>
            </w:r>
            <w:r>
              <w:rPr>
                <w:i/>
                <w:sz w:val="16"/>
                <w:szCs w:val="16"/>
              </w:rPr>
              <w:t>et al.</w:t>
            </w:r>
            <w:r>
              <w:rPr>
                <w:sz w:val="16"/>
                <w:szCs w:val="16"/>
              </w:rPr>
              <w:t xml:space="preserve"> 2016</w:t>
            </w:r>
          </w:p>
        </w:tc>
      </w:tr>
      <w:tr w:rsidR="00830D35" w:rsidRPr="0030321B" w14:paraId="2B8AAD92" w14:textId="77777777" w:rsidTr="00923C73">
        <w:trPr>
          <w:trHeight w:val="317"/>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031C76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0BC60E3"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75DDB875"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55FA521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7F2C4AA4"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708" w:type="dxa"/>
            <w:vMerge w:val="restart"/>
            <w:tcBorders>
              <w:top w:val="single" w:sz="4" w:space="0" w:color="D0CECE"/>
              <w:bottom w:val="single" w:sz="4" w:space="0" w:color="D0CECE"/>
            </w:tcBorders>
            <w:tcMar>
              <w:top w:w="-113" w:type="dxa"/>
              <w:left w:w="-113" w:type="dxa"/>
              <w:bottom w:w="-113" w:type="dxa"/>
              <w:right w:w="-113" w:type="dxa"/>
            </w:tcMar>
          </w:tcPr>
          <w:p w14:paraId="6138734E" w14:textId="77777777" w:rsidR="00830D35" w:rsidRDefault="00830D35" w:rsidP="00830D35">
            <w:pPr>
              <w:rPr>
                <w:color w:val="000000"/>
                <w:sz w:val="16"/>
                <w:szCs w:val="16"/>
              </w:rPr>
            </w:pPr>
            <w:r>
              <w:rPr>
                <w:color w:val="000000"/>
                <w:sz w:val="16"/>
                <w:szCs w:val="16"/>
              </w:rPr>
              <w:t>CVD</w:t>
            </w:r>
          </w:p>
          <w:p w14:paraId="4DAC6F98" w14:textId="77777777" w:rsidR="00830D35" w:rsidRDefault="00830D35" w:rsidP="00830D35">
            <w:pPr>
              <w:rPr>
                <w:sz w:val="16"/>
                <w:szCs w:val="16"/>
              </w:rPr>
            </w:pPr>
            <w:r>
              <w:rPr>
                <w:sz w:val="16"/>
                <w:szCs w:val="16"/>
              </w:rPr>
              <w:t>CIMT</w:t>
            </w:r>
          </w:p>
          <w:p w14:paraId="6B420883" w14:textId="77777777" w:rsidR="00830D35" w:rsidRDefault="00830D35" w:rsidP="00830D35">
            <w:pPr>
              <w:rPr>
                <w:sz w:val="16"/>
                <w:szCs w:val="16"/>
              </w:rPr>
            </w:pP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5F4D71D0" w14:textId="77777777" w:rsidR="00830D35" w:rsidRPr="00641BD3" w:rsidRDefault="00830D35" w:rsidP="00830D35">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39142BE1" w14:textId="77777777" w:rsidR="00830D35" w:rsidRPr="00641BD3" w:rsidRDefault="00830D35" w:rsidP="00830D35">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p w14:paraId="55E41F1E" w14:textId="77777777" w:rsidR="00830D35" w:rsidRPr="00641BD3" w:rsidRDefault="00830D35" w:rsidP="00830D35">
            <w:pPr>
              <w:rPr>
                <w:sz w:val="16"/>
                <w:szCs w:val="16"/>
                <w:lang w:val="es-ES"/>
              </w:rPr>
            </w:pPr>
          </w:p>
        </w:tc>
      </w:tr>
      <w:tr w:rsidR="00830D35" w14:paraId="64931873"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231948E" w14:textId="77777777" w:rsidR="00830D35" w:rsidRPr="00641BD3" w:rsidRDefault="00830D35" w:rsidP="00830D35">
            <w:pPr>
              <w:widowControl w:val="0"/>
              <w:pBdr>
                <w:top w:val="nil"/>
                <w:left w:val="nil"/>
                <w:bottom w:val="nil"/>
                <w:right w:val="nil"/>
                <w:between w:val="nil"/>
              </w:pBdr>
              <w:spacing w:line="276" w:lineRule="auto"/>
              <w:rPr>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31CCF3F" w14:textId="77777777" w:rsidR="00830D35" w:rsidRPr="00641BD3" w:rsidRDefault="00830D35" w:rsidP="00830D35">
            <w:pPr>
              <w:widowControl w:val="0"/>
              <w:pBdr>
                <w:top w:val="nil"/>
                <w:left w:val="nil"/>
                <w:bottom w:val="nil"/>
                <w:right w:val="nil"/>
                <w:between w:val="nil"/>
              </w:pBdr>
              <w:spacing w:line="276" w:lineRule="auto"/>
              <w:rPr>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3477E8D" w14:textId="77777777" w:rsidR="00830D35" w:rsidRDefault="00830D35" w:rsidP="00830D35">
            <w:pPr>
              <w:rPr>
                <w:color w:val="000000"/>
                <w:sz w:val="16"/>
                <w:szCs w:val="16"/>
              </w:rPr>
            </w:pPr>
            <w:r>
              <w:rPr>
                <w:color w:val="000000"/>
                <w:sz w:val="16"/>
                <w:szCs w:val="16"/>
              </w:rPr>
              <w:t>rs3918204</w:t>
            </w:r>
          </w:p>
        </w:tc>
        <w:tc>
          <w:tcPr>
            <w:tcW w:w="851" w:type="dxa"/>
            <w:tcBorders>
              <w:top w:val="single" w:sz="4" w:space="0" w:color="D0CECE"/>
              <w:bottom w:val="single" w:sz="4" w:space="0" w:color="D0CECE"/>
            </w:tcBorders>
            <w:tcMar>
              <w:top w:w="-113" w:type="dxa"/>
              <w:left w:w="-113" w:type="dxa"/>
              <w:bottom w:w="-113" w:type="dxa"/>
              <w:right w:w="-113" w:type="dxa"/>
            </w:tcMar>
          </w:tcPr>
          <w:p w14:paraId="28CECFD3" w14:textId="77777777" w:rsidR="00830D35" w:rsidRDefault="00830D35" w:rsidP="00830D35">
            <w:pPr>
              <w:rPr>
                <w:color w:val="000000"/>
                <w:sz w:val="16"/>
                <w:szCs w:val="16"/>
              </w:rPr>
            </w:pPr>
            <w:r>
              <w:rPr>
                <w:color w:val="000000"/>
                <w:sz w:val="16"/>
                <w:szCs w:val="16"/>
              </w:rPr>
              <w:t>-&gt;T</w:t>
            </w:r>
          </w:p>
        </w:tc>
        <w:tc>
          <w:tcPr>
            <w:tcW w:w="1701" w:type="dxa"/>
            <w:tcBorders>
              <w:top w:val="single" w:sz="4" w:space="0" w:color="D0CECE"/>
              <w:bottom w:val="single" w:sz="4" w:space="0" w:color="D0CECE"/>
            </w:tcBorders>
            <w:tcMar>
              <w:top w:w="-113" w:type="dxa"/>
              <w:left w:w="-113" w:type="dxa"/>
              <w:bottom w:w="-113" w:type="dxa"/>
              <w:right w:w="-113" w:type="dxa"/>
            </w:tcMar>
          </w:tcPr>
          <w:p w14:paraId="21079B02"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3BD26EE6"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12F538D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7FCC34C2"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A1DED6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928C13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5B8A0591" w14:textId="77777777" w:rsidR="00830D35" w:rsidRDefault="00830D35" w:rsidP="00830D35">
            <w:pPr>
              <w:rPr>
                <w:color w:val="000000"/>
                <w:sz w:val="16"/>
                <w:szCs w:val="16"/>
              </w:rPr>
            </w:pPr>
            <w:r>
              <w:rPr>
                <w:color w:val="000000"/>
                <w:sz w:val="16"/>
                <w:szCs w:val="16"/>
              </w:rPr>
              <w:t>rs3918226</w:t>
            </w:r>
          </w:p>
        </w:tc>
        <w:tc>
          <w:tcPr>
            <w:tcW w:w="851" w:type="dxa"/>
            <w:tcBorders>
              <w:top w:val="single" w:sz="4" w:space="0" w:color="D0CECE"/>
              <w:bottom w:val="single" w:sz="4" w:space="0" w:color="D0CECE"/>
            </w:tcBorders>
            <w:tcMar>
              <w:top w:w="-113" w:type="dxa"/>
              <w:left w:w="-113" w:type="dxa"/>
              <w:bottom w:w="-113" w:type="dxa"/>
              <w:right w:w="-113" w:type="dxa"/>
            </w:tcMar>
          </w:tcPr>
          <w:p w14:paraId="590485A8" w14:textId="77777777" w:rsidR="00830D35" w:rsidRDefault="00830D35" w:rsidP="00830D35">
            <w:pPr>
              <w:rPr>
                <w:color w:val="000000"/>
                <w:sz w:val="16"/>
                <w:szCs w:val="16"/>
              </w:rPr>
            </w:pPr>
            <w:r>
              <w:rPr>
                <w:color w:val="000000"/>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1D887326"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16B6289D"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6540BE2A"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56648338"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810FF1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F16347A"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1E7E51E" w14:textId="77777777" w:rsidR="00830D35" w:rsidRDefault="00830D35" w:rsidP="00830D35">
            <w:pPr>
              <w:rPr>
                <w:color w:val="000000"/>
                <w:sz w:val="16"/>
                <w:szCs w:val="16"/>
              </w:rPr>
            </w:pPr>
            <w:r>
              <w:rPr>
                <w:color w:val="000000"/>
                <w:sz w:val="16"/>
                <w:szCs w:val="16"/>
              </w:rPr>
              <w:t>rs3918227</w:t>
            </w:r>
          </w:p>
        </w:tc>
        <w:tc>
          <w:tcPr>
            <w:tcW w:w="851" w:type="dxa"/>
            <w:tcBorders>
              <w:top w:val="single" w:sz="4" w:space="0" w:color="D0CECE"/>
              <w:bottom w:val="single" w:sz="4" w:space="0" w:color="D0CECE"/>
            </w:tcBorders>
            <w:tcMar>
              <w:top w:w="-113" w:type="dxa"/>
              <w:left w:w="-113" w:type="dxa"/>
              <w:bottom w:w="-113" w:type="dxa"/>
              <w:right w:w="-113" w:type="dxa"/>
            </w:tcMar>
          </w:tcPr>
          <w:p w14:paraId="284D7D9A" w14:textId="77777777" w:rsidR="00830D35" w:rsidRDefault="00830D35" w:rsidP="00830D35">
            <w:pPr>
              <w:rPr>
                <w:color w:val="000000"/>
                <w:sz w:val="16"/>
                <w:szCs w:val="16"/>
              </w:rPr>
            </w:pPr>
            <w:r>
              <w:rPr>
                <w:color w:val="000000"/>
                <w:sz w:val="16"/>
                <w:szCs w:val="16"/>
              </w:rPr>
              <w:t>C&gt;</w:t>
            </w:r>
            <w:proofErr w:type="gramStart"/>
            <w:r>
              <w:rPr>
                <w:color w:val="000000"/>
                <w:sz w:val="16"/>
                <w:szCs w:val="16"/>
              </w:rPr>
              <w:t>A,G</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3FD83E48"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65DA38FB"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7FC8D37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5C90C794"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90AEE35"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361528D"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27A8C942" w14:textId="77777777" w:rsidR="00830D35" w:rsidRDefault="00830D35" w:rsidP="00830D35">
            <w:pPr>
              <w:rPr>
                <w:color w:val="000000"/>
                <w:sz w:val="16"/>
                <w:szCs w:val="16"/>
              </w:rPr>
            </w:pPr>
            <w:r>
              <w:rPr>
                <w:color w:val="000000"/>
                <w:sz w:val="16"/>
                <w:szCs w:val="16"/>
              </w:rPr>
              <w:t>rs6951150</w:t>
            </w:r>
          </w:p>
        </w:tc>
        <w:tc>
          <w:tcPr>
            <w:tcW w:w="851" w:type="dxa"/>
            <w:tcBorders>
              <w:top w:val="single" w:sz="4" w:space="0" w:color="D0CECE"/>
              <w:bottom w:val="single" w:sz="4" w:space="0" w:color="D0CECE"/>
            </w:tcBorders>
            <w:tcMar>
              <w:top w:w="-113" w:type="dxa"/>
              <w:left w:w="-113" w:type="dxa"/>
              <w:bottom w:w="-113" w:type="dxa"/>
              <w:right w:w="-113" w:type="dxa"/>
            </w:tcMar>
          </w:tcPr>
          <w:p w14:paraId="113DC13F" w14:textId="77777777" w:rsidR="00830D35" w:rsidRDefault="00830D35" w:rsidP="00830D35">
            <w:pPr>
              <w:rPr>
                <w:color w:val="000000"/>
                <w:sz w:val="16"/>
                <w:szCs w:val="16"/>
              </w:rPr>
            </w:pPr>
            <w:r>
              <w:rPr>
                <w:color w:val="000000"/>
                <w:sz w:val="16"/>
                <w:szCs w:val="16"/>
              </w:rPr>
              <w:t>T&gt;</w:t>
            </w:r>
            <w:proofErr w:type="gramStart"/>
            <w:r>
              <w:rPr>
                <w:color w:val="000000"/>
                <w:sz w:val="16"/>
                <w:szCs w:val="16"/>
              </w:rPr>
              <w:t>A,C</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092B4051" w14:textId="77777777" w:rsidR="00830D35" w:rsidRDefault="00830D35" w:rsidP="00830D35">
            <w:pPr>
              <w:rPr>
                <w:color w:val="000000"/>
                <w:sz w:val="16"/>
                <w:szCs w:val="16"/>
              </w:rPr>
            </w:pPr>
            <w:r>
              <w:rPr>
                <w:color w:val="000000"/>
                <w:sz w:val="16"/>
                <w:szCs w:val="16"/>
              </w:rPr>
              <w:t>None</w:t>
            </w:r>
          </w:p>
        </w:tc>
        <w:tc>
          <w:tcPr>
            <w:tcW w:w="708" w:type="dxa"/>
            <w:vMerge/>
            <w:tcBorders>
              <w:top w:val="single" w:sz="4" w:space="0" w:color="D0CECE"/>
              <w:bottom w:val="single" w:sz="4" w:space="0" w:color="D0CECE"/>
            </w:tcBorders>
            <w:tcMar>
              <w:top w:w="-113" w:type="dxa"/>
              <w:left w:w="-113" w:type="dxa"/>
              <w:bottom w:w="-113" w:type="dxa"/>
              <w:right w:w="-113" w:type="dxa"/>
            </w:tcMar>
          </w:tcPr>
          <w:p w14:paraId="5B4F2044"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595BD6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767DFDC2"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9454F75"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3061B6A"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0C56782B" w14:textId="77777777" w:rsidR="00830D35" w:rsidRDefault="00830D35" w:rsidP="00830D35">
            <w:pPr>
              <w:rPr>
                <w:sz w:val="16"/>
                <w:szCs w:val="16"/>
              </w:rPr>
            </w:pPr>
            <w:r>
              <w:rPr>
                <w:color w:val="000000"/>
                <w:sz w:val="16"/>
                <w:szCs w:val="16"/>
              </w:rPr>
              <w:t>rs743506</w:t>
            </w:r>
          </w:p>
          <w:p w14:paraId="6C4CC81C" w14:textId="77777777" w:rsidR="00830D35" w:rsidRDefault="00830D35" w:rsidP="00830D35">
            <w:pPr>
              <w:rPr>
                <w:sz w:val="16"/>
                <w:szCs w:val="16"/>
              </w:rPr>
            </w:pPr>
          </w:p>
        </w:tc>
        <w:tc>
          <w:tcPr>
            <w:tcW w:w="85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58A5C6BE" w14:textId="77777777" w:rsidR="00830D35" w:rsidRDefault="00830D35" w:rsidP="00830D35">
            <w:pPr>
              <w:rPr>
                <w:color w:val="000000"/>
                <w:sz w:val="16"/>
                <w:szCs w:val="16"/>
              </w:rPr>
            </w:pPr>
            <w:r>
              <w:rPr>
                <w:color w:val="000000"/>
                <w:sz w:val="16"/>
                <w:szCs w:val="16"/>
              </w:rPr>
              <w:t>G&gt;</w:t>
            </w:r>
            <w:proofErr w:type="gramStart"/>
            <w:r>
              <w:rPr>
                <w:color w:val="000000"/>
                <w:sz w:val="16"/>
                <w:szCs w:val="16"/>
              </w:rPr>
              <w:t>A,C</w:t>
            </w:r>
            <w:proofErr w:type="gramEnd"/>
          </w:p>
        </w:tc>
        <w:tc>
          <w:tcPr>
            <w:tcW w:w="170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6AC64881" w14:textId="77777777" w:rsidR="00830D35" w:rsidRDefault="00830D35" w:rsidP="00830D35">
            <w:pPr>
              <w:rPr>
                <w:color w:val="000000"/>
                <w:sz w:val="16"/>
                <w:szCs w:val="16"/>
              </w:rPr>
            </w:pPr>
            <w:r>
              <w:rPr>
                <w:sz w:val="16"/>
                <w:szCs w:val="16"/>
              </w:rPr>
              <w:t>Intron variant</w:t>
            </w:r>
          </w:p>
        </w:tc>
        <w:tc>
          <w:tcPr>
            <w:tcW w:w="708" w:type="dxa"/>
            <w:tcBorders>
              <w:top w:val="single" w:sz="4" w:space="0" w:color="D0CECE"/>
              <w:bottom w:val="single" w:sz="4" w:space="0" w:color="D0CECE"/>
            </w:tcBorders>
            <w:shd w:val="clear" w:color="auto" w:fill="auto"/>
            <w:tcMar>
              <w:top w:w="-113" w:type="dxa"/>
              <w:left w:w="-113" w:type="dxa"/>
              <w:bottom w:w="-113" w:type="dxa"/>
              <w:right w:w="-113" w:type="dxa"/>
            </w:tcMar>
          </w:tcPr>
          <w:p w14:paraId="53D862C4" w14:textId="77777777" w:rsidR="00830D35" w:rsidRDefault="00830D35" w:rsidP="00830D35">
            <w:pPr>
              <w:rPr>
                <w:color w:val="000000"/>
                <w:sz w:val="16"/>
                <w:szCs w:val="16"/>
              </w:rPr>
            </w:pPr>
            <w:r>
              <w:rPr>
                <w:color w:val="000000"/>
                <w:sz w:val="16"/>
                <w:szCs w:val="16"/>
              </w:rPr>
              <w:t>DBP</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2F51D43E" w14:textId="77777777" w:rsidR="00830D35" w:rsidRDefault="00830D35" w:rsidP="00830D35">
            <w:pPr>
              <w:rPr>
                <w:sz w:val="16"/>
                <w:szCs w:val="16"/>
              </w:rPr>
            </w:pPr>
            <w:r>
              <w:rPr>
                <w:sz w:val="16"/>
                <w:szCs w:val="16"/>
              </w:rPr>
              <w:t xml:space="preserve">Farzan </w:t>
            </w:r>
            <w:r>
              <w:rPr>
                <w:i/>
                <w:sz w:val="16"/>
                <w:szCs w:val="16"/>
              </w:rPr>
              <w:t>et al.</w:t>
            </w:r>
            <w:r>
              <w:rPr>
                <w:sz w:val="16"/>
                <w:szCs w:val="16"/>
              </w:rPr>
              <w:t xml:space="preserve"> 2016</w:t>
            </w:r>
          </w:p>
          <w:p w14:paraId="71481C99" w14:textId="77777777" w:rsidR="00830D35" w:rsidRDefault="00830D35" w:rsidP="00830D35">
            <w:pPr>
              <w:rPr>
                <w:sz w:val="16"/>
                <w:szCs w:val="16"/>
              </w:rPr>
            </w:pPr>
          </w:p>
        </w:tc>
      </w:tr>
      <w:tr w:rsidR="00830D35" w14:paraId="58B498BA"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A7CF622" w14:textId="77777777" w:rsidR="00830D35" w:rsidRDefault="00830D35" w:rsidP="00830D35">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6FB5D88" w14:textId="77777777" w:rsidR="00830D35" w:rsidRDefault="00830D35" w:rsidP="00830D35">
            <w:pPr>
              <w:widowControl w:val="0"/>
              <w:pBdr>
                <w:top w:val="nil"/>
                <w:left w:val="nil"/>
                <w:bottom w:val="nil"/>
                <w:right w:val="nil"/>
                <w:between w:val="nil"/>
              </w:pBdr>
              <w:spacing w:line="276" w:lineRule="auto"/>
              <w:rPr>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743FE273" w14:textId="77777777" w:rsidR="00830D35" w:rsidRDefault="00830D35" w:rsidP="00830D35">
            <w:pPr>
              <w:widowControl w:val="0"/>
              <w:pBdr>
                <w:top w:val="nil"/>
                <w:left w:val="nil"/>
                <w:bottom w:val="nil"/>
                <w:right w:val="nil"/>
                <w:between w:val="nil"/>
              </w:pBdr>
              <w:spacing w:line="276" w:lineRule="auto"/>
              <w:rPr>
                <w:sz w:val="16"/>
                <w:szCs w:val="16"/>
              </w:rPr>
            </w:pPr>
          </w:p>
        </w:tc>
        <w:tc>
          <w:tcPr>
            <w:tcW w:w="85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51DF50E2" w14:textId="77777777" w:rsidR="00830D35" w:rsidRDefault="00830D35" w:rsidP="00830D35">
            <w:pPr>
              <w:widowControl w:val="0"/>
              <w:pBdr>
                <w:top w:val="nil"/>
                <w:left w:val="nil"/>
                <w:bottom w:val="nil"/>
                <w:right w:val="nil"/>
                <w:between w:val="nil"/>
              </w:pBdr>
              <w:spacing w:line="276" w:lineRule="auto"/>
              <w:rPr>
                <w:sz w:val="16"/>
                <w:szCs w:val="16"/>
              </w:rPr>
            </w:pPr>
          </w:p>
        </w:tc>
        <w:tc>
          <w:tcPr>
            <w:tcW w:w="170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7F2ED8B9" w14:textId="77777777" w:rsidR="00830D35" w:rsidRDefault="00830D35" w:rsidP="00830D35">
            <w:pPr>
              <w:widowControl w:val="0"/>
              <w:pBdr>
                <w:top w:val="nil"/>
                <w:left w:val="nil"/>
                <w:bottom w:val="nil"/>
                <w:right w:val="nil"/>
                <w:between w:val="nil"/>
              </w:pBdr>
              <w:spacing w:line="276" w:lineRule="auto"/>
              <w:rPr>
                <w:sz w:val="16"/>
                <w:szCs w:val="16"/>
              </w:rPr>
            </w:pPr>
          </w:p>
        </w:tc>
        <w:tc>
          <w:tcPr>
            <w:tcW w:w="708" w:type="dxa"/>
            <w:tcBorders>
              <w:top w:val="single" w:sz="4" w:space="0" w:color="D0CECE"/>
              <w:bottom w:val="single" w:sz="4" w:space="0" w:color="D0CECE"/>
            </w:tcBorders>
            <w:tcMar>
              <w:top w:w="-113" w:type="dxa"/>
              <w:left w:w="-113" w:type="dxa"/>
              <w:bottom w:w="-113" w:type="dxa"/>
              <w:right w:w="-113" w:type="dxa"/>
            </w:tcMar>
          </w:tcPr>
          <w:p w14:paraId="433D1D41" w14:textId="77777777" w:rsidR="00830D35" w:rsidRDefault="00830D35" w:rsidP="00830D35">
            <w:pPr>
              <w:rPr>
                <w:color w:val="000000"/>
                <w:sz w:val="16"/>
                <w:szCs w:val="16"/>
              </w:rPr>
            </w:pPr>
            <w:r>
              <w:rPr>
                <w:color w:val="000000"/>
                <w:sz w:val="16"/>
                <w:szCs w:val="16"/>
              </w:rPr>
              <w:t>BP</w:t>
            </w: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1A981D9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rsidRPr="0030321B" w14:paraId="392EC108" w14:textId="77777777" w:rsidTr="00923C73">
        <w:trPr>
          <w:trHeight w:val="317"/>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353F41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6C89629"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3835816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77B141F3"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663BEDB4"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708" w:type="dxa"/>
            <w:vMerge w:val="restart"/>
            <w:tcBorders>
              <w:top w:val="single" w:sz="4" w:space="0" w:color="D0CECE"/>
              <w:bottom w:val="single" w:sz="4" w:space="0" w:color="D0CECE"/>
            </w:tcBorders>
            <w:tcMar>
              <w:top w:w="-113" w:type="dxa"/>
              <w:left w:w="-113" w:type="dxa"/>
              <w:bottom w:w="-113" w:type="dxa"/>
              <w:right w:w="-113" w:type="dxa"/>
            </w:tcMar>
          </w:tcPr>
          <w:p w14:paraId="241AF7EC" w14:textId="77777777" w:rsidR="00830D35" w:rsidRDefault="00830D35" w:rsidP="00830D35">
            <w:pPr>
              <w:rPr>
                <w:sz w:val="16"/>
                <w:szCs w:val="16"/>
              </w:rPr>
            </w:pPr>
            <w:r>
              <w:rPr>
                <w:color w:val="000000"/>
                <w:sz w:val="16"/>
                <w:szCs w:val="16"/>
              </w:rPr>
              <w:t>CVD</w:t>
            </w:r>
          </w:p>
          <w:p w14:paraId="39A5D0EE" w14:textId="77777777" w:rsidR="00830D35" w:rsidRDefault="00830D35" w:rsidP="00830D35">
            <w:pPr>
              <w:rPr>
                <w:sz w:val="16"/>
                <w:szCs w:val="16"/>
              </w:rPr>
            </w:pPr>
            <w:r>
              <w:rPr>
                <w:sz w:val="16"/>
                <w:szCs w:val="16"/>
              </w:rPr>
              <w:t>CIMT</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294D1D25" w14:textId="77777777" w:rsidR="00830D35" w:rsidRPr="00641BD3" w:rsidRDefault="00830D35" w:rsidP="00830D35">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0E63D063" w14:textId="77777777" w:rsidR="00830D35" w:rsidRPr="00641BD3" w:rsidRDefault="00830D35" w:rsidP="00830D35">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p w14:paraId="263E256E" w14:textId="77777777" w:rsidR="00830D35" w:rsidRPr="00641BD3" w:rsidRDefault="00830D35" w:rsidP="00830D35">
            <w:pPr>
              <w:rPr>
                <w:sz w:val="16"/>
                <w:szCs w:val="16"/>
                <w:lang w:val="es-ES"/>
              </w:rPr>
            </w:pPr>
          </w:p>
        </w:tc>
      </w:tr>
      <w:tr w:rsidR="00830D35" w14:paraId="0273CC7E"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1B0221A" w14:textId="77777777" w:rsidR="00830D35" w:rsidRPr="00641BD3" w:rsidRDefault="00830D35" w:rsidP="00830D35">
            <w:pPr>
              <w:widowControl w:val="0"/>
              <w:pBdr>
                <w:top w:val="nil"/>
                <w:left w:val="nil"/>
                <w:bottom w:val="nil"/>
                <w:right w:val="nil"/>
                <w:between w:val="nil"/>
              </w:pBdr>
              <w:spacing w:line="276" w:lineRule="auto"/>
              <w:rPr>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D19233F" w14:textId="77777777" w:rsidR="00830D35" w:rsidRPr="00641BD3" w:rsidRDefault="00830D35" w:rsidP="00830D35">
            <w:pPr>
              <w:widowControl w:val="0"/>
              <w:pBdr>
                <w:top w:val="nil"/>
                <w:left w:val="nil"/>
                <w:bottom w:val="nil"/>
                <w:right w:val="nil"/>
                <w:between w:val="nil"/>
              </w:pBdr>
              <w:spacing w:line="276" w:lineRule="auto"/>
              <w:rPr>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786A25FD" w14:textId="77777777" w:rsidR="00830D35" w:rsidRDefault="00830D35" w:rsidP="00830D35">
            <w:pPr>
              <w:rPr>
                <w:color w:val="000000"/>
                <w:sz w:val="16"/>
                <w:szCs w:val="16"/>
              </w:rPr>
            </w:pPr>
            <w:r>
              <w:rPr>
                <w:color w:val="000000"/>
                <w:sz w:val="16"/>
                <w:szCs w:val="16"/>
              </w:rPr>
              <w:t>rs743507</w:t>
            </w:r>
          </w:p>
        </w:tc>
        <w:tc>
          <w:tcPr>
            <w:tcW w:w="851" w:type="dxa"/>
            <w:tcBorders>
              <w:top w:val="single" w:sz="4" w:space="0" w:color="D0CECE"/>
              <w:bottom w:val="single" w:sz="4" w:space="0" w:color="D0CECE"/>
            </w:tcBorders>
            <w:tcMar>
              <w:top w:w="-113" w:type="dxa"/>
              <w:left w:w="-113" w:type="dxa"/>
              <w:bottom w:w="-113" w:type="dxa"/>
              <w:right w:w="-113" w:type="dxa"/>
            </w:tcMar>
          </w:tcPr>
          <w:p w14:paraId="1B404FBA" w14:textId="77777777" w:rsidR="00830D35" w:rsidRDefault="00830D35" w:rsidP="00830D35">
            <w:pPr>
              <w:rPr>
                <w:color w:val="000000"/>
                <w:sz w:val="16"/>
                <w:szCs w:val="16"/>
              </w:rPr>
            </w:pPr>
            <w:r>
              <w:rPr>
                <w:color w:val="000000"/>
                <w:sz w:val="16"/>
                <w:szCs w:val="16"/>
              </w:rPr>
              <w:t>C&gt;</w:t>
            </w:r>
            <w:proofErr w:type="gramStart"/>
            <w:r>
              <w:rPr>
                <w:color w:val="000000"/>
                <w:sz w:val="16"/>
                <w:szCs w:val="16"/>
              </w:rPr>
              <w:t>G,T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0D3F4CF1"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5077802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137B763D"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560F6C6C"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F78B87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548A98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F9BC4A2" w14:textId="77777777" w:rsidR="00830D35" w:rsidRDefault="00830D35" w:rsidP="00830D35">
            <w:pPr>
              <w:rPr>
                <w:color w:val="000000"/>
                <w:sz w:val="16"/>
                <w:szCs w:val="16"/>
              </w:rPr>
            </w:pPr>
            <w:r>
              <w:rPr>
                <w:color w:val="000000"/>
                <w:sz w:val="16"/>
                <w:szCs w:val="16"/>
              </w:rPr>
              <w:t>rs7830</w:t>
            </w:r>
          </w:p>
        </w:tc>
        <w:tc>
          <w:tcPr>
            <w:tcW w:w="851" w:type="dxa"/>
            <w:tcBorders>
              <w:top w:val="single" w:sz="4" w:space="0" w:color="D0CECE"/>
              <w:bottom w:val="single" w:sz="4" w:space="0" w:color="D0CECE"/>
            </w:tcBorders>
            <w:tcMar>
              <w:top w:w="-113" w:type="dxa"/>
              <w:left w:w="-113" w:type="dxa"/>
              <w:bottom w:w="-113" w:type="dxa"/>
              <w:right w:w="-113" w:type="dxa"/>
            </w:tcMar>
          </w:tcPr>
          <w:p w14:paraId="65D33D9C" w14:textId="77777777" w:rsidR="00830D35" w:rsidRDefault="00830D35" w:rsidP="00830D35">
            <w:pPr>
              <w:rPr>
                <w:color w:val="000000"/>
                <w:sz w:val="16"/>
                <w:szCs w:val="16"/>
              </w:rPr>
            </w:pPr>
            <w:r>
              <w:rPr>
                <w:color w:val="000000"/>
                <w:sz w:val="16"/>
                <w:szCs w:val="16"/>
              </w:rPr>
              <w:t>G&gt;T</w:t>
            </w:r>
          </w:p>
        </w:tc>
        <w:tc>
          <w:tcPr>
            <w:tcW w:w="1701" w:type="dxa"/>
            <w:tcBorders>
              <w:top w:val="single" w:sz="4" w:space="0" w:color="D0CECE"/>
              <w:bottom w:val="single" w:sz="4" w:space="0" w:color="D0CECE"/>
            </w:tcBorders>
            <w:tcMar>
              <w:top w:w="-113" w:type="dxa"/>
              <w:left w:w="-113" w:type="dxa"/>
              <w:bottom w:w="-113" w:type="dxa"/>
              <w:right w:w="-113" w:type="dxa"/>
            </w:tcMar>
          </w:tcPr>
          <w:p w14:paraId="73EF83CD"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46A05286"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F8AACAF"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6F383280"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8BF4394"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C903E29"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54AD89FA" w14:textId="77777777" w:rsidR="00830D35" w:rsidRDefault="00830D35" w:rsidP="00830D35">
            <w:pPr>
              <w:rPr>
                <w:color w:val="000000"/>
                <w:sz w:val="16"/>
                <w:szCs w:val="16"/>
              </w:rPr>
            </w:pPr>
            <w:r>
              <w:rPr>
                <w:color w:val="000000"/>
                <w:sz w:val="16"/>
                <w:szCs w:val="16"/>
              </w:rPr>
              <w:t>rs891512</w:t>
            </w:r>
          </w:p>
        </w:tc>
        <w:tc>
          <w:tcPr>
            <w:tcW w:w="851" w:type="dxa"/>
            <w:tcBorders>
              <w:top w:val="single" w:sz="4" w:space="0" w:color="D0CECE"/>
              <w:bottom w:val="single" w:sz="4" w:space="0" w:color="000000"/>
            </w:tcBorders>
            <w:tcMar>
              <w:top w:w="-113" w:type="dxa"/>
              <w:left w:w="-113" w:type="dxa"/>
              <w:bottom w:w="-113" w:type="dxa"/>
              <w:right w:w="-113" w:type="dxa"/>
            </w:tcMar>
          </w:tcPr>
          <w:p w14:paraId="209328EB" w14:textId="77777777" w:rsidR="00830D35" w:rsidRDefault="00830D35" w:rsidP="00830D35">
            <w:pPr>
              <w:rPr>
                <w:color w:val="000000"/>
                <w:sz w:val="16"/>
                <w:szCs w:val="16"/>
              </w:rPr>
            </w:pPr>
            <w:r>
              <w:rPr>
                <w:color w:val="000000"/>
                <w:sz w:val="16"/>
                <w:szCs w:val="16"/>
              </w:rPr>
              <w:t>A&gt;</w:t>
            </w:r>
            <w:proofErr w:type="gramStart"/>
            <w:r>
              <w:rPr>
                <w:color w:val="000000"/>
                <w:sz w:val="16"/>
                <w:szCs w:val="16"/>
              </w:rPr>
              <w:t>C,G</w:t>
            </w:r>
            <w:proofErr w:type="gramEnd"/>
            <w:r>
              <w:rPr>
                <w:color w:val="000000"/>
                <w:sz w:val="16"/>
                <w:szCs w:val="16"/>
              </w:rPr>
              <w:t>,T</w:t>
            </w:r>
          </w:p>
        </w:tc>
        <w:tc>
          <w:tcPr>
            <w:tcW w:w="1701" w:type="dxa"/>
            <w:tcBorders>
              <w:top w:val="single" w:sz="4" w:space="0" w:color="D0CECE"/>
              <w:bottom w:val="single" w:sz="4" w:space="0" w:color="000000"/>
            </w:tcBorders>
            <w:tcMar>
              <w:top w:w="-113" w:type="dxa"/>
              <w:left w:w="-113" w:type="dxa"/>
              <w:bottom w:w="-113" w:type="dxa"/>
              <w:right w:w="-113" w:type="dxa"/>
            </w:tcMar>
          </w:tcPr>
          <w:p w14:paraId="489584D4"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2B15A17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77E0340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50047961"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9F6496A" w14:textId="77777777" w:rsidR="00830D35" w:rsidRDefault="00830D35" w:rsidP="00830D35">
            <w:pPr>
              <w:rPr>
                <w:i/>
                <w:color w:val="000000"/>
                <w:sz w:val="16"/>
                <w:szCs w:val="16"/>
              </w:rPr>
            </w:pPr>
            <w:r>
              <w:rPr>
                <w:i/>
                <w:color w:val="000000"/>
                <w:sz w:val="16"/>
                <w:szCs w:val="16"/>
              </w:rPr>
              <w:t>NOTCH2</w:t>
            </w: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86B5D85" w14:textId="77777777" w:rsidR="00830D35" w:rsidRDefault="00830D35" w:rsidP="00830D35">
            <w:pPr>
              <w:rPr>
                <w:color w:val="000000"/>
                <w:sz w:val="16"/>
                <w:szCs w:val="16"/>
              </w:rPr>
            </w:pPr>
            <w:r>
              <w:rPr>
                <w:color w:val="000000"/>
                <w:sz w:val="16"/>
                <w:szCs w:val="16"/>
              </w:rPr>
              <w:t>Notch Receptor 2</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29EF9461" w14:textId="77777777" w:rsidR="00830D35" w:rsidRDefault="00830D35" w:rsidP="00830D35">
            <w:pPr>
              <w:rPr>
                <w:color w:val="000000"/>
                <w:sz w:val="16"/>
                <w:szCs w:val="16"/>
              </w:rPr>
            </w:pPr>
            <w:r>
              <w:rPr>
                <w:color w:val="000000"/>
                <w:sz w:val="16"/>
                <w:szCs w:val="16"/>
              </w:rPr>
              <w:t>rs1043964</w:t>
            </w:r>
          </w:p>
        </w:tc>
        <w:tc>
          <w:tcPr>
            <w:tcW w:w="851" w:type="dxa"/>
            <w:tcBorders>
              <w:top w:val="single" w:sz="4" w:space="0" w:color="000000"/>
              <w:bottom w:val="single" w:sz="4" w:space="0" w:color="D0CECE"/>
            </w:tcBorders>
            <w:tcMar>
              <w:top w:w="-113" w:type="dxa"/>
              <w:left w:w="-113" w:type="dxa"/>
              <w:bottom w:w="-113" w:type="dxa"/>
              <w:right w:w="-113" w:type="dxa"/>
            </w:tcMar>
          </w:tcPr>
          <w:p w14:paraId="671C17A4" w14:textId="77777777" w:rsidR="00830D35" w:rsidRDefault="00830D35" w:rsidP="00830D35">
            <w:pPr>
              <w:rPr>
                <w:color w:val="000000"/>
                <w:sz w:val="16"/>
                <w:szCs w:val="16"/>
              </w:rPr>
            </w:pPr>
            <w:r>
              <w:rPr>
                <w:color w:val="000000"/>
                <w:sz w:val="16"/>
                <w:szCs w:val="16"/>
              </w:rPr>
              <w:t>T&gt;C</w:t>
            </w:r>
          </w:p>
        </w:tc>
        <w:tc>
          <w:tcPr>
            <w:tcW w:w="1701" w:type="dxa"/>
            <w:tcBorders>
              <w:top w:val="single" w:sz="4" w:space="0" w:color="000000"/>
              <w:bottom w:val="single" w:sz="4" w:space="0" w:color="D0CECE"/>
            </w:tcBorders>
            <w:tcMar>
              <w:top w:w="-113" w:type="dxa"/>
              <w:left w:w="-113" w:type="dxa"/>
              <w:bottom w:w="-113" w:type="dxa"/>
              <w:right w:w="-113" w:type="dxa"/>
            </w:tcMar>
          </w:tcPr>
          <w:p w14:paraId="3BC3D694" w14:textId="77777777" w:rsidR="00830D35" w:rsidRDefault="00830D35" w:rsidP="00830D35">
            <w:pPr>
              <w:rPr>
                <w:color w:val="000000"/>
                <w:sz w:val="16"/>
                <w:szCs w:val="16"/>
              </w:rPr>
            </w:pPr>
            <w:r>
              <w:rPr>
                <w:sz w:val="16"/>
                <w:szCs w:val="16"/>
              </w:rPr>
              <w:t>3 Prime UTR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630BCA19" w14:textId="77777777" w:rsidR="00830D35" w:rsidRDefault="00830D35" w:rsidP="00830D35">
            <w:pPr>
              <w:rPr>
                <w:sz w:val="16"/>
                <w:szCs w:val="16"/>
              </w:rPr>
            </w:pPr>
            <w:r>
              <w:rPr>
                <w:color w:val="000000"/>
                <w:sz w:val="16"/>
                <w:szCs w:val="16"/>
              </w:rPr>
              <w:t>T2DM</w:t>
            </w:r>
          </w:p>
          <w:p w14:paraId="56551538" w14:textId="77777777" w:rsidR="00830D35" w:rsidRDefault="00830D35" w:rsidP="00830D35">
            <w:pPr>
              <w:rPr>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191BF404" w14:textId="77777777" w:rsidR="00830D35" w:rsidRDefault="00830D35" w:rsidP="00830D35">
            <w:pPr>
              <w:rPr>
                <w:sz w:val="16"/>
                <w:szCs w:val="16"/>
              </w:rPr>
            </w:pPr>
            <w:r>
              <w:rPr>
                <w:sz w:val="16"/>
                <w:szCs w:val="16"/>
              </w:rPr>
              <w:t xml:space="preserve">Pan </w:t>
            </w:r>
            <w:r>
              <w:rPr>
                <w:i/>
                <w:sz w:val="16"/>
                <w:szCs w:val="16"/>
              </w:rPr>
              <w:t>et al.</w:t>
            </w:r>
            <w:r>
              <w:rPr>
                <w:sz w:val="16"/>
                <w:szCs w:val="16"/>
              </w:rPr>
              <w:t xml:space="preserve"> 2013</w:t>
            </w:r>
          </w:p>
          <w:p w14:paraId="606CFBCB" w14:textId="77777777" w:rsidR="00830D35" w:rsidRDefault="00830D35" w:rsidP="00830D35">
            <w:pPr>
              <w:rPr>
                <w:sz w:val="16"/>
                <w:szCs w:val="16"/>
              </w:rPr>
            </w:pPr>
          </w:p>
        </w:tc>
      </w:tr>
      <w:tr w:rsidR="00830D35" w14:paraId="4C9619D2"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6B167E3" w14:textId="77777777" w:rsidR="00830D35" w:rsidRDefault="00830D35" w:rsidP="00830D35">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EEB4DA6" w14:textId="77777777" w:rsidR="00830D35" w:rsidRDefault="00830D35" w:rsidP="00830D35">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540EBF82" w14:textId="77777777" w:rsidR="00830D35" w:rsidRDefault="00830D35" w:rsidP="00830D35">
            <w:pPr>
              <w:rPr>
                <w:color w:val="000000"/>
                <w:sz w:val="16"/>
                <w:szCs w:val="16"/>
              </w:rPr>
            </w:pPr>
            <w:r>
              <w:rPr>
                <w:color w:val="000000"/>
                <w:sz w:val="16"/>
                <w:szCs w:val="16"/>
              </w:rPr>
              <w:t>rs699779</w:t>
            </w:r>
          </w:p>
        </w:tc>
        <w:tc>
          <w:tcPr>
            <w:tcW w:w="851" w:type="dxa"/>
            <w:tcBorders>
              <w:top w:val="single" w:sz="4" w:space="0" w:color="D0CECE"/>
              <w:bottom w:val="single" w:sz="4" w:space="0" w:color="D0CECE"/>
            </w:tcBorders>
            <w:tcMar>
              <w:top w:w="-113" w:type="dxa"/>
              <w:left w:w="-113" w:type="dxa"/>
              <w:bottom w:w="-113" w:type="dxa"/>
              <w:right w:w="-113" w:type="dxa"/>
            </w:tcMar>
          </w:tcPr>
          <w:p w14:paraId="54D5AEC6" w14:textId="77777777" w:rsidR="00830D35" w:rsidRDefault="00830D35" w:rsidP="00830D35">
            <w:pPr>
              <w:rPr>
                <w:color w:val="000000"/>
                <w:sz w:val="16"/>
                <w:szCs w:val="16"/>
              </w:rPr>
            </w:pPr>
            <w:r>
              <w:rPr>
                <w:color w:val="000000"/>
                <w:sz w:val="16"/>
                <w:szCs w:val="16"/>
              </w:rPr>
              <w:t>A&gt;G</w:t>
            </w:r>
          </w:p>
        </w:tc>
        <w:tc>
          <w:tcPr>
            <w:tcW w:w="1701" w:type="dxa"/>
            <w:tcBorders>
              <w:top w:val="single" w:sz="4" w:space="0" w:color="D0CECE"/>
              <w:bottom w:val="single" w:sz="4" w:space="0" w:color="D0CECE"/>
            </w:tcBorders>
            <w:tcMar>
              <w:top w:w="-113" w:type="dxa"/>
              <w:left w:w="-113" w:type="dxa"/>
              <w:bottom w:w="-113" w:type="dxa"/>
              <w:right w:w="-113" w:type="dxa"/>
            </w:tcMar>
          </w:tcPr>
          <w:p w14:paraId="249EC5E3" w14:textId="77777777" w:rsidR="00830D35" w:rsidRDefault="00830D35" w:rsidP="00830D35">
            <w:pPr>
              <w:rPr>
                <w:color w:val="000000"/>
                <w:sz w:val="16"/>
                <w:szCs w:val="16"/>
              </w:rPr>
            </w:pPr>
            <w:r>
              <w:rPr>
                <w:sz w:val="16"/>
                <w:szCs w:val="16"/>
              </w:rPr>
              <w:t>3 Prime UTR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7A1A54C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F3342CA"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2C70E7A8"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569705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907BEC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292DC356" w14:textId="77777777" w:rsidR="00830D35" w:rsidRDefault="00830D35" w:rsidP="00830D35">
            <w:pPr>
              <w:rPr>
                <w:color w:val="000000"/>
                <w:sz w:val="16"/>
                <w:szCs w:val="16"/>
              </w:rPr>
            </w:pPr>
            <w:r>
              <w:rPr>
                <w:color w:val="000000"/>
                <w:sz w:val="16"/>
                <w:szCs w:val="16"/>
              </w:rPr>
              <w:t>rs699780</w:t>
            </w:r>
          </w:p>
        </w:tc>
        <w:tc>
          <w:tcPr>
            <w:tcW w:w="851" w:type="dxa"/>
            <w:tcBorders>
              <w:top w:val="single" w:sz="4" w:space="0" w:color="D0CECE"/>
              <w:bottom w:val="single" w:sz="4" w:space="0" w:color="D0CECE"/>
            </w:tcBorders>
            <w:tcMar>
              <w:top w:w="-113" w:type="dxa"/>
              <w:left w:w="-113" w:type="dxa"/>
              <w:bottom w:w="-113" w:type="dxa"/>
              <w:right w:w="-113" w:type="dxa"/>
            </w:tcMar>
          </w:tcPr>
          <w:p w14:paraId="5BAB902F" w14:textId="77777777" w:rsidR="00830D35" w:rsidRDefault="00830D35" w:rsidP="00830D35">
            <w:pPr>
              <w:rPr>
                <w:color w:val="000000"/>
                <w:sz w:val="16"/>
                <w:szCs w:val="16"/>
              </w:rPr>
            </w:pPr>
            <w:r>
              <w:rPr>
                <w:color w:val="000000"/>
                <w:sz w:val="16"/>
                <w:szCs w:val="16"/>
              </w:rPr>
              <w:t>A&gt;</w:t>
            </w:r>
            <w:proofErr w:type="gramStart"/>
            <w:r>
              <w:rPr>
                <w:color w:val="000000"/>
                <w:sz w:val="16"/>
                <w:szCs w:val="16"/>
              </w:rPr>
              <w:t>C,G</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5FC74206" w14:textId="77777777" w:rsidR="00830D35" w:rsidRDefault="00830D35" w:rsidP="00830D35">
            <w:pPr>
              <w:rPr>
                <w:color w:val="000000"/>
                <w:sz w:val="16"/>
                <w:szCs w:val="16"/>
              </w:rPr>
            </w:pPr>
            <w:r>
              <w:rPr>
                <w:sz w:val="16"/>
                <w:szCs w:val="16"/>
              </w:rPr>
              <w:t>3 Prime UTR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7A3CD00B"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0A063D7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10373DDE"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273E15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2978644"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7A06AE20" w14:textId="77777777" w:rsidR="00830D35" w:rsidRDefault="00830D35" w:rsidP="00830D35">
            <w:pPr>
              <w:rPr>
                <w:color w:val="000000"/>
                <w:sz w:val="16"/>
                <w:szCs w:val="16"/>
              </w:rPr>
            </w:pPr>
            <w:r>
              <w:rPr>
                <w:color w:val="000000"/>
                <w:sz w:val="16"/>
                <w:szCs w:val="16"/>
              </w:rPr>
              <w:t>rs7527186</w:t>
            </w:r>
          </w:p>
        </w:tc>
        <w:tc>
          <w:tcPr>
            <w:tcW w:w="851" w:type="dxa"/>
            <w:tcBorders>
              <w:top w:val="single" w:sz="4" w:space="0" w:color="D0CECE"/>
              <w:bottom w:val="single" w:sz="4" w:space="0" w:color="D0CECE"/>
            </w:tcBorders>
            <w:tcMar>
              <w:top w:w="-113" w:type="dxa"/>
              <w:left w:w="-113" w:type="dxa"/>
              <w:bottom w:w="-113" w:type="dxa"/>
              <w:right w:w="-113" w:type="dxa"/>
            </w:tcMar>
          </w:tcPr>
          <w:p w14:paraId="6D530725" w14:textId="77777777" w:rsidR="00830D35" w:rsidRDefault="00830D35" w:rsidP="00830D35">
            <w:pPr>
              <w:rPr>
                <w:color w:val="000000"/>
                <w:sz w:val="16"/>
                <w:szCs w:val="16"/>
              </w:rPr>
            </w:pPr>
            <w:r>
              <w:rPr>
                <w:color w:val="000000"/>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25460A82" w14:textId="77777777" w:rsidR="00830D35" w:rsidRDefault="00830D35" w:rsidP="00830D35">
            <w:pPr>
              <w:rPr>
                <w:color w:val="000000"/>
                <w:sz w:val="16"/>
                <w:szCs w:val="16"/>
              </w:rPr>
            </w:pPr>
            <w:r>
              <w:rPr>
                <w:sz w:val="16"/>
                <w:szCs w:val="16"/>
              </w:rPr>
              <w:t>3 Prime UTR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0B0DDEA4"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2E23030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14976BCF"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24D34D5"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6F0984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670EF83E" w14:textId="77777777" w:rsidR="00830D35" w:rsidRDefault="00830D35" w:rsidP="00830D35">
            <w:pPr>
              <w:rPr>
                <w:color w:val="000000"/>
                <w:sz w:val="16"/>
                <w:szCs w:val="16"/>
              </w:rPr>
            </w:pPr>
            <w:r>
              <w:rPr>
                <w:color w:val="000000"/>
                <w:sz w:val="16"/>
                <w:szCs w:val="16"/>
              </w:rPr>
              <w:t>rs835575</w:t>
            </w:r>
          </w:p>
        </w:tc>
        <w:tc>
          <w:tcPr>
            <w:tcW w:w="851" w:type="dxa"/>
            <w:tcBorders>
              <w:top w:val="single" w:sz="4" w:space="0" w:color="D0CECE"/>
              <w:bottom w:val="single" w:sz="4" w:space="0" w:color="D0CECE"/>
            </w:tcBorders>
            <w:tcMar>
              <w:top w:w="-113" w:type="dxa"/>
              <w:left w:w="-113" w:type="dxa"/>
              <w:bottom w:w="-113" w:type="dxa"/>
              <w:right w:w="-113" w:type="dxa"/>
            </w:tcMar>
          </w:tcPr>
          <w:p w14:paraId="4456468E" w14:textId="77777777" w:rsidR="00830D35" w:rsidRDefault="00830D35" w:rsidP="00830D35">
            <w:pPr>
              <w:rPr>
                <w:color w:val="000000"/>
                <w:sz w:val="16"/>
                <w:szCs w:val="16"/>
              </w:rPr>
            </w:pPr>
            <w:r>
              <w:rPr>
                <w:color w:val="000000"/>
                <w:sz w:val="16"/>
                <w:szCs w:val="16"/>
              </w:rPr>
              <w:t>G&gt;T</w:t>
            </w:r>
          </w:p>
        </w:tc>
        <w:tc>
          <w:tcPr>
            <w:tcW w:w="1701" w:type="dxa"/>
            <w:tcBorders>
              <w:top w:val="single" w:sz="4" w:space="0" w:color="D0CECE"/>
              <w:bottom w:val="single" w:sz="4" w:space="0" w:color="D0CECE"/>
            </w:tcBorders>
            <w:tcMar>
              <w:top w:w="-113" w:type="dxa"/>
              <w:left w:w="-113" w:type="dxa"/>
              <w:bottom w:w="-113" w:type="dxa"/>
              <w:right w:w="-113" w:type="dxa"/>
            </w:tcMar>
          </w:tcPr>
          <w:p w14:paraId="3CDD7BDF" w14:textId="77777777" w:rsidR="00830D35" w:rsidRDefault="00830D35" w:rsidP="00830D35">
            <w:pPr>
              <w:rPr>
                <w:color w:val="000000"/>
                <w:sz w:val="16"/>
                <w:szCs w:val="16"/>
              </w:rPr>
            </w:pPr>
            <w:r>
              <w:rPr>
                <w:sz w:val="16"/>
                <w:szCs w:val="16"/>
              </w:rPr>
              <w:t>3 Prime UTR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17E5DC0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6836ACF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5E13AD4C"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00FAE6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4A19255"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0577B195" w14:textId="77777777" w:rsidR="00830D35" w:rsidRDefault="00830D35" w:rsidP="00830D35">
            <w:pPr>
              <w:rPr>
                <w:color w:val="000000"/>
                <w:sz w:val="16"/>
                <w:szCs w:val="16"/>
              </w:rPr>
            </w:pPr>
            <w:r>
              <w:rPr>
                <w:color w:val="000000"/>
                <w:sz w:val="16"/>
                <w:szCs w:val="16"/>
              </w:rPr>
              <w:t>rs835576</w:t>
            </w:r>
          </w:p>
        </w:tc>
        <w:tc>
          <w:tcPr>
            <w:tcW w:w="851" w:type="dxa"/>
            <w:tcBorders>
              <w:top w:val="single" w:sz="4" w:space="0" w:color="D0CECE"/>
              <w:bottom w:val="single" w:sz="4" w:space="0" w:color="000000"/>
            </w:tcBorders>
            <w:tcMar>
              <w:top w:w="-113" w:type="dxa"/>
              <w:left w:w="-113" w:type="dxa"/>
              <w:bottom w:w="-113" w:type="dxa"/>
              <w:right w:w="-113" w:type="dxa"/>
            </w:tcMar>
          </w:tcPr>
          <w:p w14:paraId="5BE4476A" w14:textId="77777777" w:rsidR="00830D35" w:rsidRDefault="00830D35" w:rsidP="00830D35">
            <w:pPr>
              <w:rPr>
                <w:color w:val="000000"/>
                <w:sz w:val="16"/>
                <w:szCs w:val="16"/>
              </w:rPr>
            </w:pPr>
            <w:r>
              <w:rPr>
                <w:color w:val="000000"/>
                <w:sz w:val="16"/>
                <w:szCs w:val="16"/>
              </w:rPr>
              <w:t>T&gt;C</w:t>
            </w:r>
          </w:p>
        </w:tc>
        <w:tc>
          <w:tcPr>
            <w:tcW w:w="1701" w:type="dxa"/>
            <w:tcBorders>
              <w:top w:val="single" w:sz="4" w:space="0" w:color="D0CECE"/>
              <w:bottom w:val="single" w:sz="4" w:space="0" w:color="000000"/>
            </w:tcBorders>
            <w:tcMar>
              <w:top w:w="-113" w:type="dxa"/>
              <w:left w:w="-113" w:type="dxa"/>
              <w:bottom w:w="-113" w:type="dxa"/>
              <w:right w:w="-113" w:type="dxa"/>
            </w:tcMar>
          </w:tcPr>
          <w:p w14:paraId="5F94A6BD" w14:textId="77777777" w:rsidR="00830D35" w:rsidRDefault="00830D35" w:rsidP="00830D35">
            <w:pPr>
              <w:rPr>
                <w:color w:val="000000"/>
                <w:sz w:val="16"/>
                <w:szCs w:val="16"/>
              </w:rPr>
            </w:pPr>
            <w:r>
              <w:rPr>
                <w:sz w:val="16"/>
                <w:szCs w:val="16"/>
              </w:rPr>
              <w:t>3 Prime UTR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64CD9CD0"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3F05D6F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1E0F4627"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33EC1CF8" w14:textId="77777777" w:rsidR="00830D35" w:rsidRDefault="00830D35" w:rsidP="00830D35">
            <w:pPr>
              <w:rPr>
                <w:i/>
                <w:color w:val="000000"/>
                <w:sz w:val="16"/>
                <w:szCs w:val="16"/>
              </w:rPr>
            </w:pPr>
            <w:r>
              <w:rPr>
                <w:i/>
                <w:color w:val="000000"/>
                <w:sz w:val="16"/>
                <w:szCs w:val="16"/>
              </w:rPr>
              <w:t>NOX3</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04202034" w14:textId="77777777" w:rsidR="00830D35" w:rsidRDefault="00830D35" w:rsidP="00830D35">
            <w:pPr>
              <w:rPr>
                <w:color w:val="000000"/>
                <w:sz w:val="16"/>
                <w:szCs w:val="16"/>
              </w:rPr>
            </w:pPr>
            <w:r>
              <w:rPr>
                <w:color w:val="000000"/>
                <w:sz w:val="16"/>
                <w:szCs w:val="16"/>
              </w:rPr>
              <w:t>NADPH Oxidase 3</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5F8010A7" w14:textId="77777777" w:rsidR="00830D35" w:rsidRDefault="00830D35" w:rsidP="00830D35">
            <w:pPr>
              <w:rPr>
                <w:color w:val="000000"/>
                <w:sz w:val="16"/>
                <w:szCs w:val="16"/>
              </w:rPr>
            </w:pPr>
            <w:r>
              <w:rPr>
                <w:color w:val="000000"/>
                <w:sz w:val="16"/>
                <w:szCs w:val="16"/>
              </w:rPr>
              <w:t>rs231954</w:t>
            </w:r>
          </w:p>
        </w:tc>
        <w:tc>
          <w:tcPr>
            <w:tcW w:w="851" w:type="dxa"/>
            <w:tcBorders>
              <w:top w:val="single" w:sz="4" w:space="0" w:color="000000"/>
              <w:bottom w:val="single" w:sz="4" w:space="0" w:color="000000"/>
            </w:tcBorders>
            <w:tcMar>
              <w:top w:w="-113" w:type="dxa"/>
              <w:left w:w="-113" w:type="dxa"/>
              <w:bottom w:w="-113" w:type="dxa"/>
              <w:right w:w="-113" w:type="dxa"/>
            </w:tcMar>
          </w:tcPr>
          <w:p w14:paraId="4F0BC57C" w14:textId="77777777" w:rsidR="00830D35" w:rsidRDefault="00830D35" w:rsidP="00830D35">
            <w:pPr>
              <w:rPr>
                <w:color w:val="000000"/>
                <w:sz w:val="16"/>
                <w:szCs w:val="16"/>
              </w:rPr>
            </w:pPr>
            <w:r>
              <w:rPr>
                <w:color w:val="000000"/>
                <w:sz w:val="16"/>
                <w:szCs w:val="16"/>
              </w:rPr>
              <w:t>C&gt;</w:t>
            </w:r>
            <w:proofErr w:type="gramStart"/>
            <w:r>
              <w:rPr>
                <w:color w:val="000000"/>
                <w:sz w:val="16"/>
                <w:szCs w:val="16"/>
              </w:rPr>
              <w:t>G,T</w:t>
            </w:r>
            <w:proofErr w:type="gramEnd"/>
          </w:p>
        </w:tc>
        <w:tc>
          <w:tcPr>
            <w:tcW w:w="1701" w:type="dxa"/>
            <w:tcBorders>
              <w:top w:val="single" w:sz="4" w:space="0" w:color="000000"/>
              <w:bottom w:val="single" w:sz="4" w:space="0" w:color="000000"/>
            </w:tcBorders>
            <w:tcMar>
              <w:top w:w="-113" w:type="dxa"/>
              <w:left w:w="-113" w:type="dxa"/>
              <w:bottom w:w="-113" w:type="dxa"/>
              <w:right w:w="-113" w:type="dxa"/>
            </w:tcMar>
          </w:tcPr>
          <w:p w14:paraId="11A418B1" w14:textId="77777777" w:rsidR="00830D35" w:rsidRDefault="00830D35" w:rsidP="00830D35">
            <w:pPr>
              <w:rPr>
                <w:color w:val="000000"/>
                <w:sz w:val="16"/>
                <w:szCs w:val="16"/>
              </w:rPr>
            </w:pPr>
            <w:r>
              <w:rPr>
                <w:color w:val="000000"/>
                <w:sz w:val="16"/>
                <w:szCs w:val="16"/>
              </w:rPr>
              <w:t>Missense variant</w:t>
            </w:r>
          </w:p>
        </w:tc>
        <w:tc>
          <w:tcPr>
            <w:tcW w:w="708" w:type="dxa"/>
            <w:tcBorders>
              <w:top w:val="single" w:sz="4" w:space="0" w:color="000000"/>
              <w:bottom w:val="single" w:sz="4" w:space="0" w:color="000000"/>
            </w:tcBorders>
            <w:tcMar>
              <w:top w:w="-113" w:type="dxa"/>
              <w:left w:w="-113" w:type="dxa"/>
              <w:bottom w:w="-113" w:type="dxa"/>
              <w:right w:w="-113" w:type="dxa"/>
            </w:tcMar>
          </w:tcPr>
          <w:p w14:paraId="5F53EE54" w14:textId="77777777" w:rsidR="00830D35" w:rsidRDefault="00830D35" w:rsidP="00830D35">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31EAF6EA" w14:textId="77777777" w:rsidR="00830D35" w:rsidRDefault="00830D35" w:rsidP="00830D35">
            <w:pPr>
              <w:rPr>
                <w:color w:val="000000"/>
                <w:sz w:val="16"/>
                <w:szCs w:val="16"/>
              </w:rPr>
            </w:pPr>
            <w:r>
              <w:rPr>
                <w:sz w:val="16"/>
                <w:szCs w:val="16"/>
              </w:rPr>
              <w:t>Grau-Perez et al. 2018</w:t>
            </w:r>
          </w:p>
        </w:tc>
      </w:tr>
      <w:tr w:rsidR="00830D35" w14:paraId="687F5C2C"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4B030329" w14:textId="77777777" w:rsidR="00830D35" w:rsidRDefault="00830D35" w:rsidP="00830D35">
            <w:pPr>
              <w:rPr>
                <w:i/>
                <w:color w:val="000000"/>
                <w:sz w:val="16"/>
                <w:szCs w:val="16"/>
              </w:rPr>
            </w:pPr>
            <w:r>
              <w:rPr>
                <w:i/>
                <w:color w:val="000000"/>
                <w:sz w:val="16"/>
                <w:szCs w:val="16"/>
              </w:rPr>
              <w:t>NOX5</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4D9D1030" w14:textId="77777777" w:rsidR="00830D35" w:rsidRDefault="00830D35" w:rsidP="00830D35">
            <w:pPr>
              <w:rPr>
                <w:color w:val="000000"/>
                <w:sz w:val="16"/>
                <w:szCs w:val="16"/>
              </w:rPr>
            </w:pPr>
            <w:r>
              <w:rPr>
                <w:color w:val="000000"/>
                <w:sz w:val="16"/>
                <w:szCs w:val="16"/>
              </w:rPr>
              <w:t>NADPH Oxidase 5</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1D82E88B" w14:textId="77777777" w:rsidR="00830D35" w:rsidRDefault="00830D35" w:rsidP="00830D35">
            <w:pPr>
              <w:rPr>
                <w:color w:val="000000"/>
                <w:sz w:val="16"/>
                <w:szCs w:val="16"/>
              </w:rPr>
            </w:pPr>
            <w:r>
              <w:rPr>
                <w:color w:val="000000"/>
                <w:sz w:val="16"/>
                <w:szCs w:val="16"/>
              </w:rPr>
              <w:t>rs12907196</w:t>
            </w:r>
          </w:p>
        </w:tc>
        <w:tc>
          <w:tcPr>
            <w:tcW w:w="851" w:type="dxa"/>
            <w:tcBorders>
              <w:top w:val="single" w:sz="4" w:space="0" w:color="000000"/>
              <w:bottom w:val="single" w:sz="4" w:space="0" w:color="000000"/>
            </w:tcBorders>
            <w:tcMar>
              <w:top w:w="-113" w:type="dxa"/>
              <w:left w:w="-113" w:type="dxa"/>
              <w:bottom w:w="-113" w:type="dxa"/>
              <w:right w:w="-113" w:type="dxa"/>
            </w:tcMar>
          </w:tcPr>
          <w:p w14:paraId="421FCD93" w14:textId="77777777" w:rsidR="00830D35" w:rsidRDefault="00830D35" w:rsidP="00830D35">
            <w:pPr>
              <w:rPr>
                <w:color w:val="000000"/>
                <w:sz w:val="16"/>
                <w:szCs w:val="16"/>
              </w:rPr>
            </w:pPr>
            <w:r>
              <w:rPr>
                <w:color w:val="000000"/>
                <w:sz w:val="16"/>
                <w:szCs w:val="16"/>
              </w:rPr>
              <w:t>C&gt;T</w:t>
            </w:r>
          </w:p>
        </w:tc>
        <w:tc>
          <w:tcPr>
            <w:tcW w:w="1701" w:type="dxa"/>
            <w:tcBorders>
              <w:top w:val="single" w:sz="4" w:space="0" w:color="000000"/>
              <w:bottom w:val="single" w:sz="4" w:space="0" w:color="000000"/>
            </w:tcBorders>
            <w:tcMar>
              <w:top w:w="-113" w:type="dxa"/>
              <w:left w:w="-113" w:type="dxa"/>
              <w:bottom w:w="-113" w:type="dxa"/>
              <w:right w:w="-113" w:type="dxa"/>
            </w:tcMar>
          </w:tcPr>
          <w:p w14:paraId="591E5944" w14:textId="77777777" w:rsidR="00830D35" w:rsidRDefault="00830D35" w:rsidP="00830D35">
            <w:pPr>
              <w:rPr>
                <w:color w:val="000000"/>
                <w:sz w:val="16"/>
                <w:szCs w:val="16"/>
              </w:rPr>
            </w:pPr>
            <w:r>
              <w:rPr>
                <w:color w:val="000000"/>
                <w:sz w:val="16"/>
                <w:szCs w:val="16"/>
              </w:rPr>
              <w:t>Missense variant</w:t>
            </w:r>
          </w:p>
        </w:tc>
        <w:tc>
          <w:tcPr>
            <w:tcW w:w="708" w:type="dxa"/>
            <w:tcBorders>
              <w:top w:val="single" w:sz="4" w:space="0" w:color="000000"/>
              <w:bottom w:val="single" w:sz="4" w:space="0" w:color="000000"/>
            </w:tcBorders>
            <w:tcMar>
              <w:top w:w="-113" w:type="dxa"/>
              <w:left w:w="-113" w:type="dxa"/>
              <w:bottom w:w="-113" w:type="dxa"/>
              <w:right w:w="-113" w:type="dxa"/>
            </w:tcMar>
          </w:tcPr>
          <w:p w14:paraId="7C536FE0" w14:textId="77777777" w:rsidR="00830D35" w:rsidRDefault="00830D35" w:rsidP="00830D35">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27F7CCFA" w14:textId="77777777" w:rsidR="00830D35" w:rsidRDefault="00830D35" w:rsidP="00830D35">
            <w:pPr>
              <w:rPr>
                <w:color w:val="000000"/>
                <w:sz w:val="16"/>
                <w:szCs w:val="16"/>
              </w:rPr>
            </w:pPr>
            <w:r>
              <w:rPr>
                <w:sz w:val="16"/>
                <w:szCs w:val="16"/>
              </w:rPr>
              <w:t>Grau-Perez et al. 2018</w:t>
            </w:r>
          </w:p>
        </w:tc>
      </w:tr>
      <w:tr w:rsidR="00830D35" w14:paraId="45A186C6"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8FFFD84" w14:textId="77777777" w:rsidR="00830D35" w:rsidRDefault="00830D35" w:rsidP="00830D35">
            <w:pPr>
              <w:rPr>
                <w:i/>
                <w:color w:val="000000"/>
                <w:sz w:val="16"/>
                <w:szCs w:val="16"/>
              </w:rPr>
            </w:pPr>
            <w:r>
              <w:rPr>
                <w:i/>
                <w:color w:val="000000"/>
                <w:sz w:val="16"/>
                <w:szCs w:val="16"/>
              </w:rPr>
              <w:t>NR3C2</w:t>
            </w:r>
          </w:p>
          <w:p w14:paraId="0FADA29F" w14:textId="77777777" w:rsidR="00830D35" w:rsidRDefault="00830D35" w:rsidP="00830D35">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344765F" w14:textId="77777777" w:rsidR="00830D35" w:rsidRDefault="00830D35" w:rsidP="00830D35">
            <w:pPr>
              <w:rPr>
                <w:color w:val="000000"/>
                <w:sz w:val="16"/>
                <w:szCs w:val="16"/>
              </w:rPr>
            </w:pPr>
            <w:r>
              <w:rPr>
                <w:color w:val="000000"/>
                <w:sz w:val="16"/>
                <w:szCs w:val="16"/>
              </w:rPr>
              <w:t>Nuclear Receptor Subfamily 3 Group C Member 2</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447DCE5D" w14:textId="77777777" w:rsidR="00830D35" w:rsidRDefault="00830D35" w:rsidP="00830D35">
            <w:pPr>
              <w:rPr>
                <w:color w:val="000000"/>
                <w:sz w:val="16"/>
                <w:szCs w:val="16"/>
              </w:rPr>
            </w:pPr>
            <w:r>
              <w:rPr>
                <w:color w:val="000000"/>
                <w:sz w:val="16"/>
                <w:szCs w:val="16"/>
              </w:rPr>
              <w:t>rs1040288</w:t>
            </w:r>
          </w:p>
        </w:tc>
        <w:tc>
          <w:tcPr>
            <w:tcW w:w="851" w:type="dxa"/>
            <w:tcBorders>
              <w:top w:val="single" w:sz="4" w:space="0" w:color="000000"/>
              <w:bottom w:val="single" w:sz="4" w:space="0" w:color="D0CECE"/>
            </w:tcBorders>
            <w:tcMar>
              <w:top w:w="-113" w:type="dxa"/>
              <w:left w:w="-113" w:type="dxa"/>
              <w:bottom w:w="-113" w:type="dxa"/>
              <w:right w:w="-113" w:type="dxa"/>
            </w:tcMar>
          </w:tcPr>
          <w:p w14:paraId="296293F0" w14:textId="77777777" w:rsidR="00830D35" w:rsidRDefault="00830D35" w:rsidP="00830D35">
            <w:pPr>
              <w:rPr>
                <w:color w:val="000000"/>
                <w:sz w:val="16"/>
                <w:szCs w:val="16"/>
              </w:rPr>
            </w:pPr>
            <w:r>
              <w:rPr>
                <w:color w:val="000000"/>
                <w:sz w:val="16"/>
                <w:szCs w:val="16"/>
              </w:rPr>
              <w:t>G&gt;C</w:t>
            </w:r>
          </w:p>
        </w:tc>
        <w:tc>
          <w:tcPr>
            <w:tcW w:w="1701" w:type="dxa"/>
            <w:tcBorders>
              <w:top w:val="single" w:sz="4" w:space="0" w:color="000000"/>
              <w:bottom w:val="single" w:sz="4" w:space="0" w:color="D0CECE"/>
            </w:tcBorders>
            <w:tcMar>
              <w:top w:w="-113" w:type="dxa"/>
              <w:left w:w="-113" w:type="dxa"/>
              <w:bottom w:w="-113" w:type="dxa"/>
              <w:right w:w="-113" w:type="dxa"/>
            </w:tcMar>
          </w:tcPr>
          <w:p w14:paraId="45D222F9" w14:textId="77777777" w:rsidR="00830D35" w:rsidRDefault="00830D35" w:rsidP="00830D35">
            <w:pPr>
              <w:rPr>
                <w:color w:val="000000"/>
                <w:sz w:val="16"/>
                <w:szCs w:val="16"/>
              </w:rPr>
            </w:pPr>
            <w:r>
              <w:rPr>
                <w:sz w:val="16"/>
                <w:szCs w:val="16"/>
              </w:rPr>
              <w:t>Intron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29947A8F" w14:textId="77777777" w:rsidR="00830D35" w:rsidRDefault="00830D35" w:rsidP="00830D35">
            <w:pPr>
              <w:rPr>
                <w:sz w:val="16"/>
                <w:szCs w:val="16"/>
              </w:rPr>
            </w:pPr>
            <w:r>
              <w:rPr>
                <w:color w:val="000000"/>
                <w:sz w:val="16"/>
                <w:szCs w:val="16"/>
              </w:rPr>
              <w:t>T2DM</w:t>
            </w:r>
          </w:p>
          <w:p w14:paraId="402E7A18" w14:textId="77777777" w:rsidR="00830D35" w:rsidRDefault="00830D35" w:rsidP="00830D35">
            <w:pPr>
              <w:rPr>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20EC2C2" w14:textId="77777777" w:rsidR="00830D35" w:rsidRDefault="00830D35" w:rsidP="00830D35">
            <w:pPr>
              <w:rPr>
                <w:sz w:val="16"/>
                <w:szCs w:val="16"/>
              </w:rPr>
            </w:pPr>
            <w:r>
              <w:rPr>
                <w:sz w:val="16"/>
                <w:szCs w:val="16"/>
              </w:rPr>
              <w:t>Grau-Perez et al. 2018</w:t>
            </w:r>
          </w:p>
          <w:p w14:paraId="1B5276BA" w14:textId="77777777" w:rsidR="00830D35" w:rsidRDefault="00830D35" w:rsidP="00830D35">
            <w:pPr>
              <w:rPr>
                <w:sz w:val="16"/>
                <w:szCs w:val="16"/>
              </w:rPr>
            </w:pPr>
          </w:p>
        </w:tc>
      </w:tr>
      <w:tr w:rsidR="00830D35" w14:paraId="4A5D4E57"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0BC4586" w14:textId="77777777" w:rsidR="00830D35" w:rsidRDefault="00830D35" w:rsidP="00830D35">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1C41F97" w14:textId="77777777" w:rsidR="00830D35" w:rsidRDefault="00830D35" w:rsidP="00830D35">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BFCABA3" w14:textId="77777777" w:rsidR="00830D35" w:rsidRDefault="00830D35" w:rsidP="00830D35">
            <w:pPr>
              <w:rPr>
                <w:color w:val="000000"/>
                <w:sz w:val="16"/>
                <w:szCs w:val="16"/>
              </w:rPr>
            </w:pPr>
            <w:r>
              <w:rPr>
                <w:color w:val="000000"/>
                <w:sz w:val="16"/>
                <w:szCs w:val="16"/>
              </w:rPr>
              <w:t>rs10519952</w:t>
            </w:r>
          </w:p>
        </w:tc>
        <w:tc>
          <w:tcPr>
            <w:tcW w:w="851" w:type="dxa"/>
            <w:tcBorders>
              <w:top w:val="single" w:sz="4" w:space="0" w:color="D0CECE"/>
              <w:bottom w:val="single" w:sz="4" w:space="0" w:color="D0CECE"/>
            </w:tcBorders>
            <w:tcMar>
              <w:top w:w="-113" w:type="dxa"/>
              <w:left w:w="-113" w:type="dxa"/>
              <w:bottom w:w="-113" w:type="dxa"/>
              <w:right w:w="-113" w:type="dxa"/>
            </w:tcMar>
          </w:tcPr>
          <w:p w14:paraId="37516681" w14:textId="77777777" w:rsidR="00830D35" w:rsidRDefault="00830D35" w:rsidP="00830D35">
            <w:pPr>
              <w:rPr>
                <w:color w:val="000000"/>
                <w:sz w:val="16"/>
                <w:szCs w:val="16"/>
              </w:rPr>
            </w:pPr>
            <w:r>
              <w:rPr>
                <w:color w:val="000000"/>
                <w:sz w:val="16"/>
                <w:szCs w:val="16"/>
              </w:rPr>
              <w:t>A&gt;G</w:t>
            </w:r>
          </w:p>
        </w:tc>
        <w:tc>
          <w:tcPr>
            <w:tcW w:w="1701" w:type="dxa"/>
            <w:tcBorders>
              <w:top w:val="single" w:sz="4" w:space="0" w:color="D0CECE"/>
              <w:bottom w:val="single" w:sz="4" w:space="0" w:color="D0CECE"/>
            </w:tcBorders>
            <w:tcMar>
              <w:top w:w="-113" w:type="dxa"/>
              <w:left w:w="-113" w:type="dxa"/>
              <w:bottom w:w="-113" w:type="dxa"/>
              <w:right w:w="-113" w:type="dxa"/>
            </w:tcMar>
          </w:tcPr>
          <w:p w14:paraId="48D637FB"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5D2E7F35"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BD30B1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642F3548"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893496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573E08A"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979EC2C" w14:textId="77777777" w:rsidR="00830D35" w:rsidRDefault="00830D35" w:rsidP="00830D35">
            <w:pPr>
              <w:rPr>
                <w:color w:val="000000"/>
                <w:sz w:val="16"/>
                <w:szCs w:val="16"/>
              </w:rPr>
            </w:pPr>
            <w:r>
              <w:rPr>
                <w:color w:val="000000"/>
                <w:sz w:val="16"/>
                <w:szCs w:val="16"/>
              </w:rPr>
              <w:t>rs11099680</w:t>
            </w:r>
          </w:p>
        </w:tc>
        <w:tc>
          <w:tcPr>
            <w:tcW w:w="851" w:type="dxa"/>
            <w:tcBorders>
              <w:top w:val="single" w:sz="4" w:space="0" w:color="D0CECE"/>
              <w:bottom w:val="single" w:sz="4" w:space="0" w:color="D0CECE"/>
            </w:tcBorders>
            <w:tcMar>
              <w:top w:w="-113" w:type="dxa"/>
              <w:left w:w="-113" w:type="dxa"/>
              <w:bottom w:w="-113" w:type="dxa"/>
              <w:right w:w="-113" w:type="dxa"/>
            </w:tcMar>
          </w:tcPr>
          <w:p w14:paraId="256605E3" w14:textId="77777777" w:rsidR="00830D35" w:rsidRDefault="00830D35" w:rsidP="00830D35">
            <w:pPr>
              <w:rPr>
                <w:color w:val="000000"/>
                <w:sz w:val="16"/>
                <w:szCs w:val="16"/>
              </w:rPr>
            </w:pPr>
            <w:r>
              <w:rPr>
                <w:color w:val="000000"/>
                <w:sz w:val="16"/>
                <w:szCs w:val="16"/>
              </w:rPr>
              <w:t>G&gt;A</w:t>
            </w:r>
          </w:p>
        </w:tc>
        <w:tc>
          <w:tcPr>
            <w:tcW w:w="1701" w:type="dxa"/>
            <w:tcBorders>
              <w:top w:val="single" w:sz="4" w:space="0" w:color="D0CECE"/>
              <w:bottom w:val="single" w:sz="4" w:space="0" w:color="D0CECE"/>
            </w:tcBorders>
            <w:tcMar>
              <w:top w:w="-113" w:type="dxa"/>
              <w:left w:w="-113" w:type="dxa"/>
              <w:bottom w:w="-113" w:type="dxa"/>
              <w:right w:w="-113" w:type="dxa"/>
            </w:tcMar>
          </w:tcPr>
          <w:p w14:paraId="55FCAE41"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59B5D6D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2FFEFCA6"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67FDAE77"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21C083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873DF8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605304B3" w14:textId="77777777" w:rsidR="00830D35" w:rsidRDefault="00830D35" w:rsidP="00830D35">
            <w:pPr>
              <w:rPr>
                <w:color w:val="000000"/>
                <w:sz w:val="16"/>
                <w:szCs w:val="16"/>
              </w:rPr>
            </w:pPr>
            <w:r>
              <w:rPr>
                <w:color w:val="000000"/>
                <w:sz w:val="16"/>
                <w:szCs w:val="16"/>
              </w:rPr>
              <w:t>rs12498662</w:t>
            </w:r>
          </w:p>
        </w:tc>
        <w:tc>
          <w:tcPr>
            <w:tcW w:w="851" w:type="dxa"/>
            <w:tcBorders>
              <w:top w:val="single" w:sz="4" w:space="0" w:color="D0CECE"/>
              <w:bottom w:val="single" w:sz="4" w:space="0" w:color="D0CECE"/>
            </w:tcBorders>
            <w:tcMar>
              <w:top w:w="-113" w:type="dxa"/>
              <w:left w:w="-113" w:type="dxa"/>
              <w:bottom w:w="-113" w:type="dxa"/>
              <w:right w:w="-113" w:type="dxa"/>
            </w:tcMar>
          </w:tcPr>
          <w:p w14:paraId="6BE842DF" w14:textId="77777777" w:rsidR="00830D35" w:rsidRDefault="00830D35" w:rsidP="00830D35">
            <w:pPr>
              <w:rPr>
                <w:color w:val="000000"/>
                <w:sz w:val="16"/>
                <w:szCs w:val="16"/>
              </w:rPr>
            </w:pPr>
            <w:r>
              <w:rPr>
                <w:color w:val="000000"/>
                <w:sz w:val="16"/>
                <w:szCs w:val="16"/>
              </w:rPr>
              <w:t>T&gt;</w:t>
            </w:r>
            <w:proofErr w:type="gramStart"/>
            <w:r>
              <w:rPr>
                <w:color w:val="000000"/>
                <w:sz w:val="16"/>
                <w:szCs w:val="16"/>
              </w:rPr>
              <w:t>C,G</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485A5F98"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4E122A5A"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29EF9A4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190F8682"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A1AF8E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7CC72F0"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9624F09" w14:textId="77777777" w:rsidR="00830D35" w:rsidRDefault="00830D35" w:rsidP="00830D35">
            <w:pPr>
              <w:rPr>
                <w:color w:val="000000"/>
                <w:sz w:val="16"/>
                <w:szCs w:val="16"/>
              </w:rPr>
            </w:pPr>
            <w:r>
              <w:rPr>
                <w:color w:val="000000"/>
                <w:sz w:val="16"/>
                <w:szCs w:val="16"/>
              </w:rPr>
              <w:t>rs13116332</w:t>
            </w:r>
          </w:p>
        </w:tc>
        <w:tc>
          <w:tcPr>
            <w:tcW w:w="851" w:type="dxa"/>
            <w:tcBorders>
              <w:top w:val="single" w:sz="4" w:space="0" w:color="D0CECE"/>
              <w:bottom w:val="single" w:sz="4" w:space="0" w:color="D0CECE"/>
            </w:tcBorders>
            <w:tcMar>
              <w:top w:w="-113" w:type="dxa"/>
              <w:left w:w="-113" w:type="dxa"/>
              <w:bottom w:w="-113" w:type="dxa"/>
              <w:right w:w="-113" w:type="dxa"/>
            </w:tcMar>
          </w:tcPr>
          <w:p w14:paraId="1B7ECAB0" w14:textId="77777777" w:rsidR="00830D35" w:rsidRDefault="00830D35" w:rsidP="00830D35">
            <w:pPr>
              <w:rPr>
                <w:color w:val="000000"/>
                <w:sz w:val="16"/>
                <w:szCs w:val="16"/>
              </w:rPr>
            </w:pPr>
            <w:r>
              <w:rPr>
                <w:color w:val="000000"/>
                <w:sz w:val="16"/>
                <w:szCs w:val="16"/>
              </w:rPr>
              <w:t>G&gt;</w:t>
            </w:r>
            <w:proofErr w:type="gramStart"/>
            <w:r>
              <w:rPr>
                <w:color w:val="000000"/>
                <w:sz w:val="16"/>
                <w:szCs w:val="16"/>
              </w:rPr>
              <w:t>A,T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6A32812D"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2E9280E0"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4566EFEF"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470878AF"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3A7E52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B0F8873"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7DF277D8" w14:textId="77777777" w:rsidR="00830D35" w:rsidRDefault="00830D35" w:rsidP="00830D35">
            <w:pPr>
              <w:rPr>
                <w:color w:val="000000"/>
                <w:sz w:val="16"/>
                <w:szCs w:val="16"/>
              </w:rPr>
            </w:pPr>
            <w:r>
              <w:rPr>
                <w:color w:val="000000"/>
                <w:sz w:val="16"/>
                <w:szCs w:val="16"/>
              </w:rPr>
              <w:t>rs13117325</w:t>
            </w:r>
          </w:p>
        </w:tc>
        <w:tc>
          <w:tcPr>
            <w:tcW w:w="851" w:type="dxa"/>
            <w:tcBorders>
              <w:top w:val="single" w:sz="4" w:space="0" w:color="D0CECE"/>
              <w:bottom w:val="single" w:sz="4" w:space="0" w:color="D0CECE"/>
            </w:tcBorders>
            <w:tcMar>
              <w:top w:w="-113" w:type="dxa"/>
              <w:left w:w="-113" w:type="dxa"/>
              <w:bottom w:w="-113" w:type="dxa"/>
              <w:right w:w="-113" w:type="dxa"/>
            </w:tcMar>
          </w:tcPr>
          <w:p w14:paraId="59EC9207" w14:textId="77777777" w:rsidR="00830D35" w:rsidRDefault="00830D35" w:rsidP="00830D35">
            <w:pPr>
              <w:rPr>
                <w:color w:val="000000"/>
                <w:sz w:val="16"/>
                <w:szCs w:val="16"/>
              </w:rPr>
            </w:pPr>
            <w:r>
              <w:rPr>
                <w:color w:val="000000"/>
                <w:sz w:val="16"/>
                <w:szCs w:val="16"/>
              </w:rPr>
              <w:t>G&gt;</w:t>
            </w:r>
            <w:proofErr w:type="gramStart"/>
            <w:r>
              <w:rPr>
                <w:color w:val="000000"/>
                <w:sz w:val="16"/>
                <w:szCs w:val="16"/>
              </w:rPr>
              <w:t>A,C</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63AAFA6C"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3155DFF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467D112B"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226531EC"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B0AB82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5477D3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29AB684" w14:textId="77777777" w:rsidR="00830D35" w:rsidRDefault="00830D35" w:rsidP="00830D35">
            <w:pPr>
              <w:rPr>
                <w:color w:val="000000"/>
                <w:sz w:val="16"/>
                <w:szCs w:val="16"/>
              </w:rPr>
            </w:pPr>
            <w:r>
              <w:rPr>
                <w:color w:val="000000"/>
                <w:sz w:val="16"/>
                <w:szCs w:val="16"/>
              </w:rPr>
              <w:t>rs1403142</w:t>
            </w:r>
          </w:p>
        </w:tc>
        <w:tc>
          <w:tcPr>
            <w:tcW w:w="851" w:type="dxa"/>
            <w:tcBorders>
              <w:top w:val="single" w:sz="4" w:space="0" w:color="D0CECE"/>
              <w:bottom w:val="single" w:sz="4" w:space="0" w:color="D0CECE"/>
            </w:tcBorders>
            <w:tcMar>
              <w:top w:w="-113" w:type="dxa"/>
              <w:left w:w="-113" w:type="dxa"/>
              <w:bottom w:w="-113" w:type="dxa"/>
              <w:right w:w="-113" w:type="dxa"/>
            </w:tcMar>
          </w:tcPr>
          <w:p w14:paraId="7458A723" w14:textId="77777777" w:rsidR="00830D35" w:rsidRDefault="00830D35" w:rsidP="00830D35">
            <w:pPr>
              <w:rPr>
                <w:color w:val="000000"/>
                <w:sz w:val="16"/>
                <w:szCs w:val="16"/>
              </w:rPr>
            </w:pPr>
            <w:r>
              <w:rPr>
                <w:color w:val="000000"/>
                <w:sz w:val="16"/>
                <w:szCs w:val="16"/>
              </w:rPr>
              <w:t>A&gt;</w:t>
            </w:r>
            <w:proofErr w:type="gramStart"/>
            <w:r>
              <w:rPr>
                <w:color w:val="000000"/>
                <w:sz w:val="16"/>
                <w:szCs w:val="16"/>
              </w:rPr>
              <w:t>C,G</w:t>
            </w:r>
            <w:proofErr w:type="gramEnd"/>
            <w:r>
              <w:rPr>
                <w:color w:val="000000"/>
                <w:sz w:val="16"/>
                <w:szCs w:val="16"/>
              </w:rPr>
              <w:t>,T</w:t>
            </w:r>
          </w:p>
        </w:tc>
        <w:tc>
          <w:tcPr>
            <w:tcW w:w="1701" w:type="dxa"/>
            <w:tcBorders>
              <w:top w:val="single" w:sz="4" w:space="0" w:color="D0CECE"/>
              <w:bottom w:val="single" w:sz="4" w:space="0" w:color="D0CECE"/>
            </w:tcBorders>
            <w:tcMar>
              <w:top w:w="-113" w:type="dxa"/>
              <w:left w:w="-113" w:type="dxa"/>
              <w:bottom w:w="-113" w:type="dxa"/>
              <w:right w:w="-113" w:type="dxa"/>
            </w:tcMar>
          </w:tcPr>
          <w:p w14:paraId="0810EAF8"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0C12EC50"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4D005FBA"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1DD2AB33"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F38EBED"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5BF979F"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2289545" w14:textId="77777777" w:rsidR="00830D35" w:rsidRDefault="00830D35" w:rsidP="00830D35">
            <w:pPr>
              <w:rPr>
                <w:color w:val="000000"/>
                <w:sz w:val="16"/>
                <w:szCs w:val="16"/>
              </w:rPr>
            </w:pPr>
            <w:r>
              <w:rPr>
                <w:color w:val="000000"/>
                <w:sz w:val="16"/>
                <w:szCs w:val="16"/>
              </w:rPr>
              <w:t>rs1490453</w:t>
            </w:r>
          </w:p>
        </w:tc>
        <w:tc>
          <w:tcPr>
            <w:tcW w:w="851" w:type="dxa"/>
            <w:tcBorders>
              <w:top w:val="single" w:sz="4" w:space="0" w:color="D0CECE"/>
              <w:bottom w:val="single" w:sz="4" w:space="0" w:color="D0CECE"/>
            </w:tcBorders>
            <w:tcMar>
              <w:top w:w="-113" w:type="dxa"/>
              <w:left w:w="-113" w:type="dxa"/>
              <w:bottom w:w="-113" w:type="dxa"/>
              <w:right w:w="-113" w:type="dxa"/>
            </w:tcMar>
          </w:tcPr>
          <w:p w14:paraId="69F317C2" w14:textId="77777777" w:rsidR="00830D35" w:rsidRDefault="00830D35" w:rsidP="00830D35">
            <w:pPr>
              <w:rPr>
                <w:color w:val="000000"/>
                <w:sz w:val="16"/>
                <w:szCs w:val="16"/>
              </w:rPr>
            </w:pPr>
            <w:r>
              <w:rPr>
                <w:color w:val="000000"/>
                <w:sz w:val="16"/>
                <w:szCs w:val="16"/>
              </w:rPr>
              <w:t>G&gt;A</w:t>
            </w:r>
          </w:p>
        </w:tc>
        <w:tc>
          <w:tcPr>
            <w:tcW w:w="1701" w:type="dxa"/>
            <w:tcBorders>
              <w:top w:val="single" w:sz="4" w:space="0" w:color="D0CECE"/>
              <w:bottom w:val="single" w:sz="4" w:space="0" w:color="D0CECE"/>
            </w:tcBorders>
            <w:tcMar>
              <w:top w:w="-113" w:type="dxa"/>
              <w:left w:w="-113" w:type="dxa"/>
              <w:bottom w:w="-113" w:type="dxa"/>
              <w:right w:w="-113" w:type="dxa"/>
            </w:tcMar>
          </w:tcPr>
          <w:p w14:paraId="2DE36750"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07FF3FE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66427014"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49E4BB7A"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5FE87A3"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0A65654"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84A8D64" w14:textId="77777777" w:rsidR="00830D35" w:rsidRDefault="00830D35" w:rsidP="00830D35">
            <w:pPr>
              <w:rPr>
                <w:color w:val="000000"/>
                <w:sz w:val="16"/>
                <w:szCs w:val="16"/>
              </w:rPr>
            </w:pPr>
            <w:r>
              <w:rPr>
                <w:color w:val="000000"/>
                <w:sz w:val="16"/>
                <w:szCs w:val="16"/>
              </w:rPr>
              <w:t>rs1512337</w:t>
            </w:r>
          </w:p>
        </w:tc>
        <w:tc>
          <w:tcPr>
            <w:tcW w:w="851" w:type="dxa"/>
            <w:tcBorders>
              <w:top w:val="single" w:sz="4" w:space="0" w:color="D0CECE"/>
              <w:bottom w:val="single" w:sz="4" w:space="0" w:color="D0CECE"/>
            </w:tcBorders>
            <w:tcMar>
              <w:top w:w="-113" w:type="dxa"/>
              <w:left w:w="-113" w:type="dxa"/>
              <w:bottom w:w="-113" w:type="dxa"/>
              <w:right w:w="-113" w:type="dxa"/>
            </w:tcMar>
          </w:tcPr>
          <w:p w14:paraId="2F1EE3A3" w14:textId="77777777" w:rsidR="00830D35" w:rsidRDefault="00830D35" w:rsidP="00830D35">
            <w:pPr>
              <w:rPr>
                <w:color w:val="000000"/>
                <w:sz w:val="16"/>
                <w:szCs w:val="16"/>
              </w:rPr>
            </w:pPr>
            <w:r>
              <w:rPr>
                <w:color w:val="000000"/>
                <w:sz w:val="16"/>
                <w:szCs w:val="16"/>
              </w:rPr>
              <w:t>G&gt;</w:t>
            </w:r>
            <w:proofErr w:type="gramStart"/>
            <w:r>
              <w:rPr>
                <w:color w:val="000000"/>
                <w:sz w:val="16"/>
                <w:szCs w:val="16"/>
              </w:rPr>
              <w:t>A,C</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4F0FACEF"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276A1E50"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2D1997E3"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0A81FDFD"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6F9134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C649FF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B58E001" w14:textId="77777777" w:rsidR="00830D35" w:rsidRDefault="00830D35" w:rsidP="00830D35">
            <w:pPr>
              <w:rPr>
                <w:color w:val="000000"/>
                <w:sz w:val="16"/>
                <w:szCs w:val="16"/>
              </w:rPr>
            </w:pPr>
            <w:r>
              <w:rPr>
                <w:color w:val="000000"/>
                <w:sz w:val="16"/>
                <w:szCs w:val="16"/>
              </w:rPr>
              <w:t>rs1879829</w:t>
            </w:r>
          </w:p>
        </w:tc>
        <w:tc>
          <w:tcPr>
            <w:tcW w:w="851" w:type="dxa"/>
            <w:tcBorders>
              <w:top w:val="single" w:sz="4" w:space="0" w:color="D0CECE"/>
              <w:bottom w:val="single" w:sz="4" w:space="0" w:color="D0CECE"/>
            </w:tcBorders>
            <w:tcMar>
              <w:top w:w="-113" w:type="dxa"/>
              <w:left w:w="-113" w:type="dxa"/>
              <w:bottom w:w="-113" w:type="dxa"/>
              <w:right w:w="-113" w:type="dxa"/>
            </w:tcMar>
          </w:tcPr>
          <w:p w14:paraId="5B965F27" w14:textId="77777777" w:rsidR="00830D35" w:rsidRDefault="00830D35" w:rsidP="00830D35">
            <w:pPr>
              <w:rPr>
                <w:color w:val="000000"/>
                <w:sz w:val="16"/>
                <w:szCs w:val="16"/>
              </w:rPr>
            </w:pPr>
            <w:r>
              <w:rPr>
                <w:color w:val="000000"/>
                <w:sz w:val="16"/>
                <w:szCs w:val="16"/>
              </w:rPr>
              <w:t>T&gt;</w:t>
            </w:r>
            <w:proofErr w:type="gramStart"/>
            <w:r>
              <w:rPr>
                <w:color w:val="000000"/>
                <w:sz w:val="16"/>
                <w:szCs w:val="16"/>
              </w:rPr>
              <w:t>C,G</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32CD3E60"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06DEAF3D"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27F559C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3E56774C"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7F98C75"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B8E2B2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181AA8C0" w14:textId="77777777" w:rsidR="00830D35" w:rsidRDefault="00830D35" w:rsidP="00830D35">
            <w:pPr>
              <w:rPr>
                <w:color w:val="000000"/>
                <w:sz w:val="16"/>
                <w:szCs w:val="16"/>
              </w:rPr>
            </w:pPr>
            <w:r>
              <w:rPr>
                <w:color w:val="000000"/>
                <w:sz w:val="16"/>
                <w:szCs w:val="16"/>
              </w:rPr>
              <w:t>rs2070951</w:t>
            </w:r>
          </w:p>
        </w:tc>
        <w:tc>
          <w:tcPr>
            <w:tcW w:w="851" w:type="dxa"/>
            <w:tcBorders>
              <w:top w:val="single" w:sz="4" w:space="0" w:color="D0CECE"/>
              <w:bottom w:val="single" w:sz="4" w:space="0" w:color="D0CECE"/>
            </w:tcBorders>
            <w:tcMar>
              <w:top w:w="-113" w:type="dxa"/>
              <w:left w:w="-113" w:type="dxa"/>
              <w:bottom w:w="-113" w:type="dxa"/>
              <w:right w:w="-113" w:type="dxa"/>
            </w:tcMar>
          </w:tcPr>
          <w:p w14:paraId="51C893F5" w14:textId="77777777" w:rsidR="00830D35" w:rsidRDefault="00830D35" w:rsidP="00830D35">
            <w:pPr>
              <w:rPr>
                <w:color w:val="000000"/>
                <w:sz w:val="16"/>
                <w:szCs w:val="16"/>
              </w:rPr>
            </w:pPr>
            <w:r>
              <w:rPr>
                <w:color w:val="000000"/>
                <w:sz w:val="16"/>
                <w:szCs w:val="16"/>
              </w:rPr>
              <w:t>G&gt;</w:t>
            </w:r>
            <w:proofErr w:type="gramStart"/>
            <w:r>
              <w:rPr>
                <w:color w:val="000000"/>
                <w:sz w:val="16"/>
                <w:szCs w:val="16"/>
              </w:rPr>
              <w:t>A,C</w:t>
            </w:r>
            <w:proofErr w:type="gramEnd"/>
            <w:r>
              <w:rPr>
                <w:color w:val="000000"/>
                <w:sz w:val="16"/>
                <w:szCs w:val="16"/>
              </w:rPr>
              <w:t>,T</w:t>
            </w:r>
          </w:p>
        </w:tc>
        <w:tc>
          <w:tcPr>
            <w:tcW w:w="1701" w:type="dxa"/>
            <w:tcBorders>
              <w:top w:val="single" w:sz="4" w:space="0" w:color="D0CECE"/>
              <w:bottom w:val="single" w:sz="4" w:space="0" w:color="D0CECE"/>
            </w:tcBorders>
            <w:tcMar>
              <w:top w:w="-113" w:type="dxa"/>
              <w:left w:w="-113" w:type="dxa"/>
              <w:bottom w:w="-113" w:type="dxa"/>
              <w:right w:w="-113" w:type="dxa"/>
            </w:tcMar>
          </w:tcPr>
          <w:p w14:paraId="16E0FF6A" w14:textId="77777777" w:rsidR="00830D35" w:rsidRDefault="00830D35" w:rsidP="00830D35">
            <w:pPr>
              <w:rPr>
                <w:color w:val="000000"/>
                <w:sz w:val="16"/>
                <w:szCs w:val="16"/>
              </w:rPr>
            </w:pPr>
            <w:r>
              <w:rPr>
                <w:color w:val="000000"/>
                <w:sz w:val="16"/>
                <w:szCs w:val="16"/>
              </w:rPr>
              <w:t>Noncoding transcript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50B33E14"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0761646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7880829C"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62B8650"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ECC6D8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23928BF1" w14:textId="77777777" w:rsidR="00830D35" w:rsidRDefault="00830D35" w:rsidP="00830D35">
            <w:pPr>
              <w:rPr>
                <w:color w:val="000000"/>
                <w:sz w:val="16"/>
                <w:szCs w:val="16"/>
              </w:rPr>
            </w:pPr>
            <w:r>
              <w:rPr>
                <w:color w:val="000000"/>
                <w:sz w:val="16"/>
                <w:szCs w:val="16"/>
              </w:rPr>
              <w:t>rs2272089</w:t>
            </w:r>
          </w:p>
        </w:tc>
        <w:tc>
          <w:tcPr>
            <w:tcW w:w="851" w:type="dxa"/>
            <w:tcBorders>
              <w:top w:val="single" w:sz="4" w:space="0" w:color="D0CECE"/>
              <w:bottom w:val="single" w:sz="4" w:space="0" w:color="D0CECE"/>
            </w:tcBorders>
            <w:tcMar>
              <w:top w:w="-113" w:type="dxa"/>
              <w:left w:w="-113" w:type="dxa"/>
              <w:bottom w:w="-113" w:type="dxa"/>
              <w:right w:w="-113" w:type="dxa"/>
            </w:tcMar>
          </w:tcPr>
          <w:p w14:paraId="480F635C" w14:textId="77777777" w:rsidR="00830D35" w:rsidRDefault="00830D35" w:rsidP="00830D35">
            <w:pPr>
              <w:rPr>
                <w:color w:val="000000"/>
                <w:sz w:val="16"/>
                <w:szCs w:val="16"/>
              </w:rPr>
            </w:pPr>
            <w:r>
              <w:rPr>
                <w:color w:val="000000"/>
                <w:sz w:val="16"/>
                <w:szCs w:val="16"/>
              </w:rPr>
              <w:t>C&gt;</w:t>
            </w:r>
            <w:proofErr w:type="gramStart"/>
            <w:r>
              <w:rPr>
                <w:color w:val="000000"/>
                <w:sz w:val="16"/>
                <w:szCs w:val="16"/>
              </w:rPr>
              <w:t>A,G</w:t>
            </w:r>
            <w:proofErr w:type="gramEnd"/>
            <w:r>
              <w:rPr>
                <w:color w:val="000000"/>
                <w:sz w:val="16"/>
                <w:szCs w:val="16"/>
              </w:rPr>
              <w:t>,T</w:t>
            </w:r>
          </w:p>
        </w:tc>
        <w:tc>
          <w:tcPr>
            <w:tcW w:w="1701" w:type="dxa"/>
            <w:tcBorders>
              <w:top w:val="single" w:sz="4" w:space="0" w:color="D0CECE"/>
              <w:bottom w:val="single" w:sz="4" w:space="0" w:color="D0CECE"/>
            </w:tcBorders>
            <w:tcMar>
              <w:top w:w="-113" w:type="dxa"/>
              <w:left w:w="-113" w:type="dxa"/>
              <w:bottom w:w="-113" w:type="dxa"/>
              <w:right w:w="-113" w:type="dxa"/>
            </w:tcMar>
          </w:tcPr>
          <w:p w14:paraId="11638CDA"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331F452A"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1AD180D"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7BBE8F39"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51F9D5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8E430C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5302D37" w14:textId="77777777" w:rsidR="00830D35" w:rsidRDefault="00830D35" w:rsidP="00830D35">
            <w:pPr>
              <w:rPr>
                <w:color w:val="000000"/>
                <w:sz w:val="16"/>
                <w:szCs w:val="16"/>
              </w:rPr>
            </w:pPr>
            <w:r>
              <w:rPr>
                <w:color w:val="000000"/>
                <w:sz w:val="16"/>
                <w:szCs w:val="16"/>
              </w:rPr>
              <w:t>rs2871</w:t>
            </w:r>
          </w:p>
        </w:tc>
        <w:tc>
          <w:tcPr>
            <w:tcW w:w="851" w:type="dxa"/>
            <w:tcBorders>
              <w:top w:val="single" w:sz="4" w:space="0" w:color="D0CECE"/>
              <w:bottom w:val="single" w:sz="4" w:space="0" w:color="D0CECE"/>
            </w:tcBorders>
            <w:tcMar>
              <w:top w:w="-113" w:type="dxa"/>
              <w:left w:w="-113" w:type="dxa"/>
              <w:bottom w:w="-113" w:type="dxa"/>
              <w:right w:w="-113" w:type="dxa"/>
            </w:tcMar>
          </w:tcPr>
          <w:p w14:paraId="64437889" w14:textId="77777777" w:rsidR="00830D35" w:rsidRDefault="00830D35" w:rsidP="00830D35">
            <w:pPr>
              <w:rPr>
                <w:color w:val="000000"/>
                <w:sz w:val="16"/>
                <w:szCs w:val="16"/>
              </w:rPr>
            </w:pPr>
            <w:r>
              <w:rPr>
                <w:color w:val="000000"/>
                <w:sz w:val="16"/>
                <w:szCs w:val="16"/>
              </w:rPr>
              <w:t>C&gt;</w:t>
            </w:r>
            <w:proofErr w:type="gramStart"/>
            <w:r>
              <w:rPr>
                <w:color w:val="000000"/>
                <w:sz w:val="16"/>
                <w:szCs w:val="16"/>
              </w:rPr>
              <w:t>G,T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0B740CA5" w14:textId="77777777" w:rsidR="00830D35" w:rsidRDefault="00830D35" w:rsidP="00830D35">
            <w:pPr>
              <w:rPr>
                <w:color w:val="000000"/>
                <w:sz w:val="16"/>
                <w:szCs w:val="16"/>
              </w:rPr>
            </w:pPr>
            <w:r>
              <w:rPr>
                <w:color w:val="000000"/>
                <w:sz w:val="16"/>
                <w:szCs w:val="16"/>
              </w:rPr>
              <w:t>Noncoding transcript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7E15C67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246CC49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75D5CF47"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8896AA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ACD668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24E41FEB" w14:textId="77777777" w:rsidR="00830D35" w:rsidRDefault="00830D35" w:rsidP="00830D35">
            <w:pPr>
              <w:rPr>
                <w:color w:val="000000"/>
                <w:sz w:val="16"/>
                <w:szCs w:val="16"/>
              </w:rPr>
            </w:pPr>
            <w:r>
              <w:rPr>
                <w:color w:val="000000"/>
                <w:sz w:val="16"/>
                <w:szCs w:val="16"/>
              </w:rPr>
              <w:t>rs6535598</w:t>
            </w:r>
          </w:p>
        </w:tc>
        <w:tc>
          <w:tcPr>
            <w:tcW w:w="851" w:type="dxa"/>
            <w:tcBorders>
              <w:top w:val="single" w:sz="4" w:space="0" w:color="D0CECE"/>
              <w:bottom w:val="single" w:sz="4" w:space="0" w:color="D0CECE"/>
            </w:tcBorders>
            <w:tcMar>
              <w:top w:w="-113" w:type="dxa"/>
              <w:left w:w="-113" w:type="dxa"/>
              <w:bottom w:w="-113" w:type="dxa"/>
              <w:right w:w="-113" w:type="dxa"/>
            </w:tcMar>
          </w:tcPr>
          <w:p w14:paraId="5EA9350A" w14:textId="77777777" w:rsidR="00830D35" w:rsidRDefault="00830D35" w:rsidP="00830D35">
            <w:pPr>
              <w:rPr>
                <w:color w:val="000000"/>
                <w:sz w:val="16"/>
                <w:szCs w:val="16"/>
              </w:rPr>
            </w:pPr>
            <w:r>
              <w:rPr>
                <w:color w:val="000000"/>
                <w:sz w:val="16"/>
                <w:szCs w:val="16"/>
              </w:rPr>
              <w:t>T&gt;</w:t>
            </w:r>
            <w:proofErr w:type="gramStart"/>
            <w:r>
              <w:rPr>
                <w:color w:val="000000"/>
                <w:sz w:val="16"/>
                <w:szCs w:val="16"/>
              </w:rPr>
              <w:t>C,G</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1C64A317"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5BD176C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0DC5BC4F"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1D81B933"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67DD9EB"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51DE144"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2657BFD4" w14:textId="77777777" w:rsidR="00830D35" w:rsidRDefault="00830D35" w:rsidP="00830D35">
            <w:pPr>
              <w:rPr>
                <w:color w:val="000000"/>
                <w:sz w:val="16"/>
                <w:szCs w:val="16"/>
              </w:rPr>
            </w:pPr>
            <w:r>
              <w:rPr>
                <w:color w:val="000000"/>
                <w:sz w:val="16"/>
                <w:szCs w:val="16"/>
              </w:rPr>
              <w:t>rs7668847</w:t>
            </w:r>
          </w:p>
        </w:tc>
        <w:tc>
          <w:tcPr>
            <w:tcW w:w="851" w:type="dxa"/>
            <w:tcBorders>
              <w:top w:val="single" w:sz="4" w:space="0" w:color="D0CECE"/>
              <w:bottom w:val="single" w:sz="4" w:space="0" w:color="000000"/>
            </w:tcBorders>
            <w:tcMar>
              <w:top w:w="-113" w:type="dxa"/>
              <w:left w:w="-113" w:type="dxa"/>
              <w:bottom w:w="-113" w:type="dxa"/>
              <w:right w:w="-113" w:type="dxa"/>
            </w:tcMar>
          </w:tcPr>
          <w:p w14:paraId="0F66DE7E" w14:textId="77777777" w:rsidR="00830D35" w:rsidRDefault="00830D35" w:rsidP="00830D35">
            <w:pPr>
              <w:rPr>
                <w:color w:val="000000"/>
                <w:sz w:val="16"/>
                <w:szCs w:val="16"/>
              </w:rPr>
            </w:pPr>
            <w:r>
              <w:rPr>
                <w:color w:val="000000"/>
                <w:sz w:val="16"/>
                <w:szCs w:val="16"/>
              </w:rPr>
              <w:t>A&gt;</w:t>
            </w:r>
            <w:proofErr w:type="gramStart"/>
            <w:r>
              <w:rPr>
                <w:color w:val="000000"/>
                <w:sz w:val="16"/>
                <w:szCs w:val="16"/>
              </w:rPr>
              <w:t>G,T</w:t>
            </w:r>
            <w:proofErr w:type="gramEnd"/>
          </w:p>
        </w:tc>
        <w:tc>
          <w:tcPr>
            <w:tcW w:w="1701" w:type="dxa"/>
            <w:tcBorders>
              <w:top w:val="single" w:sz="4" w:space="0" w:color="D0CECE"/>
              <w:bottom w:val="single" w:sz="4" w:space="0" w:color="000000"/>
            </w:tcBorders>
            <w:tcMar>
              <w:top w:w="-113" w:type="dxa"/>
              <w:left w:w="-113" w:type="dxa"/>
              <w:bottom w:w="-113" w:type="dxa"/>
              <w:right w:w="-113" w:type="dxa"/>
            </w:tcMar>
          </w:tcPr>
          <w:p w14:paraId="78723D45"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51A5746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3707D3F"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2887EFB0"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tcMar>
              <w:top w:w="-113" w:type="dxa"/>
              <w:left w:w="-113" w:type="dxa"/>
              <w:bottom w:w="-113" w:type="dxa"/>
              <w:right w:w="-113" w:type="dxa"/>
            </w:tcMar>
          </w:tcPr>
          <w:p w14:paraId="14AA8ECE" w14:textId="77777777" w:rsidR="00830D35" w:rsidRDefault="00830D35" w:rsidP="00830D35">
            <w:pPr>
              <w:rPr>
                <w:i/>
                <w:color w:val="000000"/>
                <w:sz w:val="16"/>
                <w:szCs w:val="16"/>
              </w:rPr>
            </w:pPr>
            <w:r>
              <w:rPr>
                <w:i/>
                <w:sz w:val="16"/>
                <w:szCs w:val="16"/>
              </w:rPr>
              <w:t>N6AMT1</w:t>
            </w:r>
          </w:p>
        </w:tc>
        <w:tc>
          <w:tcPr>
            <w:tcW w:w="3402" w:type="dxa"/>
            <w:vMerge w:val="restart"/>
            <w:tcBorders>
              <w:top w:val="single" w:sz="4" w:space="0" w:color="000000"/>
              <w:left w:val="nil"/>
              <w:bottom w:val="single" w:sz="4" w:space="0" w:color="D0CECE"/>
              <w:right w:val="nil"/>
            </w:tcBorders>
            <w:tcMar>
              <w:top w:w="-113" w:type="dxa"/>
              <w:left w:w="-113" w:type="dxa"/>
              <w:bottom w:w="-113" w:type="dxa"/>
              <w:right w:w="-113" w:type="dxa"/>
            </w:tcMar>
          </w:tcPr>
          <w:p w14:paraId="6E352DEE" w14:textId="77777777" w:rsidR="00830D35" w:rsidRDefault="00830D35" w:rsidP="00830D35">
            <w:pPr>
              <w:rPr>
                <w:sz w:val="16"/>
                <w:szCs w:val="16"/>
                <w:shd w:val="clear" w:color="auto" w:fill="FCFCFC"/>
              </w:rPr>
            </w:pPr>
            <w:proofErr w:type="gramStart"/>
            <w:r>
              <w:rPr>
                <w:sz w:val="16"/>
                <w:szCs w:val="16"/>
                <w:shd w:val="clear" w:color="auto" w:fill="FCFCFC"/>
              </w:rPr>
              <w:t>N(</w:t>
            </w:r>
            <w:proofErr w:type="gramEnd"/>
            <w:r>
              <w:rPr>
                <w:sz w:val="16"/>
                <w:szCs w:val="16"/>
                <w:shd w:val="clear" w:color="auto" w:fill="FCFCFC"/>
              </w:rPr>
              <w:t xml:space="preserve">6)-adenine-specific DNA methyltransferase </w:t>
            </w:r>
          </w:p>
        </w:tc>
        <w:tc>
          <w:tcPr>
            <w:tcW w:w="992" w:type="dxa"/>
            <w:tcBorders>
              <w:top w:val="single" w:sz="4" w:space="0" w:color="000000"/>
              <w:left w:val="nil"/>
              <w:bottom w:val="single" w:sz="4" w:space="0" w:color="D9D9D9"/>
            </w:tcBorders>
            <w:tcMar>
              <w:top w:w="-113" w:type="dxa"/>
              <w:left w:w="-113" w:type="dxa"/>
              <w:bottom w:w="-113" w:type="dxa"/>
              <w:right w:w="-113" w:type="dxa"/>
            </w:tcMar>
          </w:tcPr>
          <w:p w14:paraId="092FED0A" w14:textId="77777777" w:rsidR="00830D35" w:rsidRDefault="00830D35" w:rsidP="00830D35">
            <w:pPr>
              <w:rPr>
                <w:sz w:val="16"/>
                <w:szCs w:val="16"/>
              </w:rPr>
            </w:pPr>
            <w:r>
              <w:rPr>
                <w:sz w:val="16"/>
                <w:szCs w:val="16"/>
              </w:rPr>
              <w:t>rs1997605</w:t>
            </w:r>
          </w:p>
        </w:tc>
        <w:tc>
          <w:tcPr>
            <w:tcW w:w="851" w:type="dxa"/>
            <w:tcBorders>
              <w:top w:val="single" w:sz="4" w:space="0" w:color="000000"/>
              <w:bottom w:val="single" w:sz="4" w:space="0" w:color="D9D9D9"/>
            </w:tcBorders>
            <w:tcMar>
              <w:top w:w="-113" w:type="dxa"/>
              <w:left w:w="-113" w:type="dxa"/>
              <w:bottom w:w="-113" w:type="dxa"/>
              <w:right w:w="-113" w:type="dxa"/>
            </w:tcMar>
          </w:tcPr>
          <w:p w14:paraId="0EA54990" w14:textId="77777777" w:rsidR="00830D35" w:rsidRDefault="00830D35" w:rsidP="00830D35">
            <w:pPr>
              <w:rPr>
                <w:color w:val="000000"/>
                <w:sz w:val="16"/>
                <w:szCs w:val="16"/>
              </w:rPr>
            </w:pPr>
            <w:r>
              <w:rPr>
                <w:sz w:val="16"/>
                <w:szCs w:val="16"/>
              </w:rPr>
              <w:t>G&gt;A</w:t>
            </w:r>
          </w:p>
        </w:tc>
        <w:tc>
          <w:tcPr>
            <w:tcW w:w="1701" w:type="dxa"/>
            <w:tcBorders>
              <w:top w:val="single" w:sz="4" w:space="0" w:color="000000"/>
              <w:bottom w:val="single" w:sz="4" w:space="0" w:color="D9D9D9"/>
            </w:tcBorders>
            <w:tcMar>
              <w:top w:w="-113" w:type="dxa"/>
              <w:left w:w="-113" w:type="dxa"/>
              <w:bottom w:w="-113" w:type="dxa"/>
              <w:right w:w="-113" w:type="dxa"/>
            </w:tcMar>
          </w:tcPr>
          <w:p w14:paraId="7603E43D" w14:textId="77777777" w:rsidR="00830D35" w:rsidRDefault="00830D35" w:rsidP="00830D35">
            <w:pPr>
              <w:rPr>
                <w:color w:val="000000"/>
                <w:sz w:val="16"/>
                <w:szCs w:val="16"/>
              </w:rPr>
            </w:pPr>
            <w:r>
              <w:rPr>
                <w:sz w:val="16"/>
                <w:szCs w:val="16"/>
              </w:rPr>
              <w:t xml:space="preserve">Intron variant </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0E57EA94" w14:textId="77777777" w:rsidR="00830D35" w:rsidRDefault="00830D35" w:rsidP="00830D35">
            <w:pPr>
              <w:rPr>
                <w:color w:val="000000"/>
                <w:sz w:val="16"/>
                <w:szCs w:val="16"/>
              </w:rPr>
            </w:pPr>
            <w:r>
              <w:rPr>
                <w:sz w:val="16"/>
                <w:szCs w:val="16"/>
              </w:rPr>
              <w:t>GDM</w:t>
            </w: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DCEF154" w14:textId="77777777" w:rsidR="00830D35" w:rsidRDefault="00830D35" w:rsidP="00830D35">
            <w:pPr>
              <w:rPr>
                <w:sz w:val="16"/>
                <w:szCs w:val="16"/>
              </w:rPr>
            </w:pPr>
            <w:r>
              <w:rPr>
                <w:sz w:val="16"/>
                <w:szCs w:val="16"/>
              </w:rPr>
              <w:t xml:space="preserve">Liang </w:t>
            </w:r>
            <w:r>
              <w:rPr>
                <w:i/>
                <w:sz w:val="16"/>
                <w:szCs w:val="16"/>
              </w:rPr>
              <w:t>et al.</w:t>
            </w:r>
            <w:r>
              <w:rPr>
                <w:sz w:val="16"/>
                <w:szCs w:val="16"/>
              </w:rPr>
              <w:t xml:space="preserve"> 2023</w:t>
            </w:r>
          </w:p>
          <w:p w14:paraId="670CFAE1" w14:textId="77777777" w:rsidR="00830D35" w:rsidRDefault="00830D35" w:rsidP="00830D35">
            <w:pPr>
              <w:rPr>
                <w:sz w:val="16"/>
                <w:szCs w:val="16"/>
              </w:rPr>
            </w:pPr>
          </w:p>
          <w:p w14:paraId="780181FF" w14:textId="77777777" w:rsidR="00830D35" w:rsidRDefault="00830D35" w:rsidP="00830D35">
            <w:pPr>
              <w:rPr>
                <w:sz w:val="16"/>
                <w:szCs w:val="16"/>
              </w:rPr>
            </w:pPr>
          </w:p>
          <w:p w14:paraId="6CE501EE" w14:textId="77777777" w:rsidR="00830D35" w:rsidRDefault="00830D35" w:rsidP="00830D35">
            <w:pPr>
              <w:rPr>
                <w:sz w:val="16"/>
                <w:szCs w:val="16"/>
              </w:rPr>
            </w:pPr>
          </w:p>
        </w:tc>
      </w:tr>
      <w:tr w:rsidR="00830D35" w14:paraId="3F480A71"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tcMar>
              <w:top w:w="-113" w:type="dxa"/>
              <w:left w:w="-113" w:type="dxa"/>
              <w:bottom w:w="-113" w:type="dxa"/>
              <w:right w:w="-113" w:type="dxa"/>
            </w:tcMar>
          </w:tcPr>
          <w:p w14:paraId="0202FFE5" w14:textId="77777777" w:rsidR="00830D35" w:rsidRDefault="00830D35" w:rsidP="00830D35">
            <w:pPr>
              <w:rPr>
                <w:i/>
                <w:sz w:val="16"/>
                <w:szCs w:val="16"/>
              </w:rPr>
            </w:pPr>
          </w:p>
        </w:tc>
        <w:tc>
          <w:tcPr>
            <w:tcW w:w="3402" w:type="dxa"/>
            <w:vMerge/>
            <w:tcBorders>
              <w:top w:val="single" w:sz="4" w:space="0" w:color="000000"/>
              <w:left w:val="nil"/>
              <w:bottom w:val="single" w:sz="4" w:space="0" w:color="D0CECE"/>
              <w:right w:val="nil"/>
            </w:tcBorders>
            <w:tcMar>
              <w:top w:w="-113" w:type="dxa"/>
              <w:left w:w="-113" w:type="dxa"/>
              <w:bottom w:w="-113" w:type="dxa"/>
              <w:right w:w="-113" w:type="dxa"/>
            </w:tcMar>
          </w:tcPr>
          <w:p w14:paraId="481F9635" w14:textId="77777777" w:rsidR="00830D35" w:rsidRDefault="00830D35" w:rsidP="00830D35">
            <w:pPr>
              <w:rPr>
                <w:sz w:val="16"/>
                <w:szCs w:val="16"/>
                <w:shd w:val="clear" w:color="auto" w:fill="FCFCFC"/>
              </w:rPr>
            </w:pPr>
          </w:p>
        </w:tc>
        <w:tc>
          <w:tcPr>
            <w:tcW w:w="992" w:type="dxa"/>
            <w:tcBorders>
              <w:top w:val="single" w:sz="4" w:space="0" w:color="D9D9D9"/>
              <w:left w:val="nil"/>
              <w:right w:val="nil"/>
            </w:tcBorders>
            <w:tcMar>
              <w:top w:w="-113" w:type="dxa"/>
              <w:left w:w="-113" w:type="dxa"/>
              <w:bottom w:w="-113" w:type="dxa"/>
              <w:right w:w="-113" w:type="dxa"/>
            </w:tcMar>
          </w:tcPr>
          <w:p w14:paraId="7ED25AED" w14:textId="77777777" w:rsidR="00830D35" w:rsidRDefault="00830D35" w:rsidP="00830D35">
            <w:pPr>
              <w:rPr>
                <w:sz w:val="16"/>
                <w:szCs w:val="16"/>
              </w:rPr>
            </w:pPr>
            <w:r>
              <w:rPr>
                <w:sz w:val="16"/>
                <w:szCs w:val="16"/>
              </w:rPr>
              <w:t>rs1003671</w:t>
            </w:r>
          </w:p>
        </w:tc>
        <w:tc>
          <w:tcPr>
            <w:tcW w:w="851" w:type="dxa"/>
            <w:tcBorders>
              <w:top w:val="single" w:sz="4" w:space="0" w:color="D9D9D9"/>
              <w:left w:val="nil"/>
              <w:right w:val="nil"/>
            </w:tcBorders>
            <w:tcMar>
              <w:top w:w="-113" w:type="dxa"/>
              <w:left w:w="-113" w:type="dxa"/>
              <w:bottom w:w="-113" w:type="dxa"/>
              <w:right w:w="-113" w:type="dxa"/>
            </w:tcMar>
          </w:tcPr>
          <w:p w14:paraId="66F7279D" w14:textId="77777777" w:rsidR="00830D35" w:rsidRDefault="00830D35" w:rsidP="00830D35">
            <w:pPr>
              <w:rPr>
                <w:color w:val="000000"/>
                <w:sz w:val="16"/>
                <w:szCs w:val="16"/>
              </w:rPr>
            </w:pPr>
            <w:r>
              <w:rPr>
                <w:sz w:val="16"/>
                <w:szCs w:val="16"/>
              </w:rPr>
              <w:t>G&gt;A</w:t>
            </w:r>
          </w:p>
        </w:tc>
        <w:tc>
          <w:tcPr>
            <w:tcW w:w="1701" w:type="dxa"/>
            <w:tcBorders>
              <w:top w:val="single" w:sz="4" w:space="0" w:color="D9D9D9"/>
              <w:left w:val="nil"/>
              <w:right w:val="nil"/>
            </w:tcBorders>
            <w:tcMar>
              <w:top w:w="-113" w:type="dxa"/>
              <w:left w:w="-113" w:type="dxa"/>
              <w:bottom w:w="-113" w:type="dxa"/>
              <w:right w:w="-113" w:type="dxa"/>
            </w:tcMar>
          </w:tcPr>
          <w:p w14:paraId="32B79312" w14:textId="77777777" w:rsidR="00830D35" w:rsidRDefault="00830D35" w:rsidP="00830D35">
            <w:pPr>
              <w:rPr>
                <w:color w:val="000000"/>
                <w:sz w:val="16"/>
                <w:szCs w:val="16"/>
              </w:rPr>
            </w:pPr>
            <w:r>
              <w:rPr>
                <w:sz w:val="16"/>
                <w:szCs w:val="16"/>
              </w:rPr>
              <w:t xml:space="preserve">Intron variant </w:t>
            </w:r>
          </w:p>
        </w:tc>
        <w:tc>
          <w:tcPr>
            <w:tcW w:w="708" w:type="dxa"/>
            <w:vMerge/>
            <w:tcBorders>
              <w:top w:val="single" w:sz="4" w:space="0" w:color="000000"/>
              <w:left w:val="nil"/>
              <w:bottom w:val="single" w:sz="4" w:space="0" w:color="D0CECE"/>
            </w:tcBorders>
            <w:tcMar>
              <w:top w:w="-113" w:type="dxa"/>
              <w:left w:w="-113" w:type="dxa"/>
              <w:bottom w:w="-113" w:type="dxa"/>
              <w:right w:w="-113" w:type="dxa"/>
            </w:tcMar>
          </w:tcPr>
          <w:p w14:paraId="4791D5A2" w14:textId="77777777" w:rsidR="00830D35" w:rsidRDefault="00830D35" w:rsidP="00830D35">
            <w:pPr>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40BD7541" w14:textId="77777777" w:rsidR="00830D35" w:rsidRDefault="00830D35" w:rsidP="00830D35">
            <w:pPr>
              <w:rPr>
                <w:color w:val="000000"/>
                <w:sz w:val="16"/>
                <w:szCs w:val="16"/>
              </w:rPr>
            </w:pPr>
          </w:p>
        </w:tc>
      </w:tr>
      <w:tr w:rsidR="00830D35" w14:paraId="6944C86A"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tcMar>
              <w:top w:w="-113" w:type="dxa"/>
              <w:left w:w="-113" w:type="dxa"/>
              <w:bottom w:w="-113" w:type="dxa"/>
              <w:right w:w="-113" w:type="dxa"/>
            </w:tcMar>
          </w:tcPr>
          <w:p w14:paraId="49C563FF" w14:textId="77777777" w:rsidR="00830D35" w:rsidRDefault="00830D35" w:rsidP="00830D35">
            <w:pPr>
              <w:rPr>
                <w:i/>
                <w:color w:val="000000"/>
                <w:sz w:val="16"/>
                <w:szCs w:val="16"/>
              </w:rPr>
            </w:pPr>
            <w:r>
              <w:rPr>
                <w:i/>
                <w:color w:val="000000"/>
                <w:sz w:val="16"/>
                <w:szCs w:val="16"/>
              </w:rPr>
              <w:t>OGG1</w:t>
            </w:r>
          </w:p>
          <w:p w14:paraId="349A0A66" w14:textId="77777777" w:rsidR="00830D35" w:rsidRDefault="00830D35" w:rsidP="00830D35">
            <w:pPr>
              <w:rPr>
                <w:i/>
                <w:color w:val="000000"/>
                <w:sz w:val="16"/>
                <w:szCs w:val="16"/>
              </w:rPr>
            </w:pPr>
          </w:p>
        </w:tc>
        <w:tc>
          <w:tcPr>
            <w:tcW w:w="3402" w:type="dxa"/>
            <w:vMerge w:val="restart"/>
            <w:tcBorders>
              <w:top w:val="single" w:sz="4" w:space="0" w:color="000000"/>
              <w:left w:val="nil"/>
              <w:bottom w:val="single" w:sz="4" w:space="0" w:color="D0CECE"/>
            </w:tcBorders>
            <w:tcMar>
              <w:top w:w="-113" w:type="dxa"/>
              <w:left w:w="-113" w:type="dxa"/>
              <w:bottom w:w="-113" w:type="dxa"/>
              <w:right w:w="-113" w:type="dxa"/>
            </w:tcMar>
          </w:tcPr>
          <w:p w14:paraId="148DBFF4" w14:textId="77777777" w:rsidR="00830D35" w:rsidRDefault="00830D35" w:rsidP="00830D35">
            <w:pPr>
              <w:rPr>
                <w:color w:val="000000"/>
                <w:sz w:val="16"/>
                <w:szCs w:val="16"/>
              </w:rPr>
            </w:pPr>
            <w:r>
              <w:rPr>
                <w:color w:val="000000"/>
                <w:sz w:val="16"/>
                <w:szCs w:val="16"/>
                <w:shd w:val="clear" w:color="auto" w:fill="FCFCFC"/>
              </w:rPr>
              <w:t>8-oxoguanine DNA glycosylase</w:t>
            </w:r>
          </w:p>
        </w:tc>
        <w:tc>
          <w:tcPr>
            <w:tcW w:w="992" w:type="dxa"/>
            <w:vMerge w:val="restart"/>
            <w:tcMar>
              <w:top w:w="-113" w:type="dxa"/>
              <w:left w:w="-113" w:type="dxa"/>
              <w:bottom w:w="-113" w:type="dxa"/>
              <w:right w:w="-113" w:type="dxa"/>
            </w:tcMar>
          </w:tcPr>
          <w:p w14:paraId="1D099F67" w14:textId="77777777" w:rsidR="00830D35" w:rsidRDefault="00830D35" w:rsidP="00830D35">
            <w:pPr>
              <w:rPr>
                <w:sz w:val="16"/>
                <w:szCs w:val="16"/>
              </w:rPr>
            </w:pPr>
            <w:r>
              <w:rPr>
                <w:color w:val="000000"/>
                <w:sz w:val="16"/>
                <w:szCs w:val="16"/>
              </w:rPr>
              <w:t xml:space="preserve">rs1052133 </w:t>
            </w:r>
          </w:p>
        </w:tc>
        <w:tc>
          <w:tcPr>
            <w:tcW w:w="851" w:type="dxa"/>
            <w:vMerge w:val="restart"/>
            <w:tcMar>
              <w:top w:w="-113" w:type="dxa"/>
              <w:left w:w="-113" w:type="dxa"/>
              <w:bottom w:w="-113" w:type="dxa"/>
              <w:right w:w="-113" w:type="dxa"/>
            </w:tcMar>
          </w:tcPr>
          <w:p w14:paraId="1534E8E5" w14:textId="77777777" w:rsidR="00830D35" w:rsidRDefault="00830D35" w:rsidP="00830D35">
            <w:pPr>
              <w:rPr>
                <w:color w:val="000000"/>
                <w:sz w:val="16"/>
                <w:szCs w:val="16"/>
              </w:rPr>
            </w:pPr>
            <w:r>
              <w:rPr>
                <w:color w:val="000000"/>
                <w:sz w:val="16"/>
                <w:szCs w:val="16"/>
              </w:rPr>
              <w:t>C&gt;</w:t>
            </w:r>
            <w:proofErr w:type="gramStart"/>
            <w:r>
              <w:rPr>
                <w:color w:val="000000"/>
                <w:sz w:val="16"/>
                <w:szCs w:val="16"/>
              </w:rPr>
              <w:t>G,T</w:t>
            </w:r>
            <w:proofErr w:type="gramEnd"/>
          </w:p>
        </w:tc>
        <w:tc>
          <w:tcPr>
            <w:tcW w:w="1701" w:type="dxa"/>
            <w:vMerge w:val="restart"/>
            <w:tcMar>
              <w:top w:w="-113" w:type="dxa"/>
              <w:left w:w="-113" w:type="dxa"/>
              <w:bottom w:w="-113" w:type="dxa"/>
              <w:right w:w="-113" w:type="dxa"/>
            </w:tcMar>
          </w:tcPr>
          <w:p w14:paraId="29D74EB1" w14:textId="77777777" w:rsidR="00830D35" w:rsidRDefault="00830D35" w:rsidP="00830D35">
            <w:pPr>
              <w:rPr>
                <w:color w:val="000000"/>
                <w:sz w:val="16"/>
                <w:szCs w:val="16"/>
              </w:rPr>
            </w:pPr>
            <w:r>
              <w:rPr>
                <w:color w:val="000000"/>
                <w:sz w:val="16"/>
                <w:szCs w:val="16"/>
              </w:rPr>
              <w:t>Missense variant</w:t>
            </w:r>
          </w:p>
        </w:tc>
        <w:tc>
          <w:tcPr>
            <w:tcW w:w="708" w:type="dxa"/>
            <w:tcBorders>
              <w:top w:val="single" w:sz="4" w:space="0" w:color="000000"/>
              <w:bottom w:val="single" w:sz="4" w:space="0" w:color="D0CECE"/>
            </w:tcBorders>
            <w:tcMar>
              <w:top w:w="-113" w:type="dxa"/>
              <w:left w:w="-113" w:type="dxa"/>
              <w:bottom w:w="-113" w:type="dxa"/>
              <w:right w:w="-113" w:type="dxa"/>
            </w:tcMar>
          </w:tcPr>
          <w:p w14:paraId="43F2AA4D" w14:textId="77777777" w:rsidR="00830D35" w:rsidRDefault="00830D35" w:rsidP="00830D35">
            <w:pPr>
              <w:rPr>
                <w:color w:val="000000"/>
                <w:sz w:val="16"/>
                <w:szCs w:val="16"/>
              </w:rPr>
            </w:pPr>
            <w:r>
              <w:rPr>
                <w:color w:val="000000"/>
                <w:sz w:val="16"/>
                <w:szCs w:val="16"/>
              </w:rPr>
              <w:t>HTN</w:t>
            </w:r>
          </w:p>
        </w:tc>
        <w:tc>
          <w:tcPr>
            <w:tcW w:w="1838" w:type="dxa"/>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4F7C292F" w14:textId="77777777" w:rsidR="00830D35" w:rsidRDefault="00830D35" w:rsidP="00830D35">
            <w:pPr>
              <w:rPr>
                <w:color w:val="000000"/>
                <w:sz w:val="16"/>
                <w:szCs w:val="16"/>
              </w:rPr>
            </w:pPr>
            <w:r>
              <w:rPr>
                <w:color w:val="000000"/>
                <w:sz w:val="16"/>
                <w:szCs w:val="16"/>
              </w:rPr>
              <w:t xml:space="preserve">Chen </w:t>
            </w:r>
            <w:r>
              <w:rPr>
                <w:i/>
                <w:color w:val="000000"/>
                <w:sz w:val="16"/>
                <w:szCs w:val="16"/>
              </w:rPr>
              <w:t>et al.</w:t>
            </w:r>
            <w:r>
              <w:rPr>
                <w:color w:val="000000"/>
                <w:sz w:val="16"/>
                <w:szCs w:val="16"/>
              </w:rPr>
              <w:t xml:space="preserve"> 2011</w:t>
            </w:r>
          </w:p>
        </w:tc>
      </w:tr>
      <w:tr w:rsidR="00830D35" w14:paraId="4DC33CA2" w14:textId="77777777" w:rsidTr="00923C73">
        <w:trPr>
          <w:trHeight w:val="317"/>
        </w:trPr>
        <w:tc>
          <w:tcPr>
            <w:tcW w:w="993" w:type="dxa"/>
            <w:vMerge/>
            <w:tcBorders>
              <w:top w:val="single" w:sz="4" w:space="0" w:color="000000"/>
              <w:left w:val="single" w:sz="4" w:space="0" w:color="000000" w:themeColor="text1"/>
              <w:bottom w:val="single" w:sz="4" w:space="0" w:color="D0CECE"/>
              <w:right w:val="nil"/>
            </w:tcBorders>
            <w:tcMar>
              <w:top w:w="-113" w:type="dxa"/>
              <w:left w:w="-113" w:type="dxa"/>
              <w:bottom w:w="-113" w:type="dxa"/>
              <w:right w:w="-113" w:type="dxa"/>
            </w:tcMar>
          </w:tcPr>
          <w:p w14:paraId="0EC96A45"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tcBorders>
            <w:tcMar>
              <w:top w:w="-113" w:type="dxa"/>
              <w:left w:w="-113" w:type="dxa"/>
              <w:bottom w:w="-113" w:type="dxa"/>
              <w:right w:w="-113" w:type="dxa"/>
            </w:tcMar>
          </w:tcPr>
          <w:p w14:paraId="5FFE91C9"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vMerge/>
            <w:tcBorders>
              <w:bottom w:val="single" w:sz="4" w:space="0" w:color="D9D9D9"/>
            </w:tcBorders>
            <w:tcMar>
              <w:top w:w="-113" w:type="dxa"/>
              <w:left w:w="-113" w:type="dxa"/>
              <w:bottom w:w="-113" w:type="dxa"/>
              <w:right w:w="-113" w:type="dxa"/>
            </w:tcMar>
          </w:tcPr>
          <w:p w14:paraId="442BB91D"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851" w:type="dxa"/>
            <w:vMerge/>
            <w:tcBorders>
              <w:bottom w:val="single" w:sz="4" w:space="0" w:color="D9D9D9"/>
            </w:tcBorders>
            <w:tcMar>
              <w:top w:w="-113" w:type="dxa"/>
              <w:left w:w="-113" w:type="dxa"/>
              <w:bottom w:w="-113" w:type="dxa"/>
              <w:right w:w="-113" w:type="dxa"/>
            </w:tcMar>
          </w:tcPr>
          <w:p w14:paraId="5C69795B"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701" w:type="dxa"/>
            <w:vMerge/>
            <w:tcBorders>
              <w:bottom w:val="single" w:sz="4" w:space="0" w:color="D9D9D9"/>
            </w:tcBorders>
            <w:tcMar>
              <w:top w:w="-113" w:type="dxa"/>
              <w:left w:w="-113" w:type="dxa"/>
              <w:bottom w:w="-113" w:type="dxa"/>
              <w:right w:w="-113" w:type="dxa"/>
            </w:tcMar>
          </w:tcPr>
          <w:p w14:paraId="5561808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708" w:type="dxa"/>
            <w:vMerge w:val="restart"/>
            <w:tcBorders>
              <w:top w:val="single" w:sz="4" w:space="0" w:color="D0CECE"/>
              <w:bottom w:val="single" w:sz="4" w:space="0" w:color="D0CECE"/>
            </w:tcBorders>
            <w:tcMar>
              <w:top w:w="-113" w:type="dxa"/>
              <w:left w:w="-113" w:type="dxa"/>
              <w:bottom w:w="-113" w:type="dxa"/>
              <w:right w:w="-113" w:type="dxa"/>
            </w:tcMar>
          </w:tcPr>
          <w:p w14:paraId="188BDD03" w14:textId="77777777" w:rsidR="00830D35" w:rsidRDefault="00830D35" w:rsidP="00830D35">
            <w:pPr>
              <w:rPr>
                <w:sz w:val="16"/>
                <w:szCs w:val="16"/>
              </w:rPr>
            </w:pPr>
            <w:r>
              <w:rPr>
                <w:color w:val="000000"/>
                <w:sz w:val="16"/>
                <w:szCs w:val="16"/>
              </w:rPr>
              <w:t>T2DM</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48AA7124" w14:textId="77777777" w:rsidR="00830D35" w:rsidRDefault="00830D35" w:rsidP="00830D35">
            <w:pPr>
              <w:rPr>
                <w:sz w:val="16"/>
                <w:szCs w:val="16"/>
              </w:rPr>
            </w:pPr>
            <w:r>
              <w:rPr>
                <w:sz w:val="16"/>
                <w:szCs w:val="16"/>
              </w:rPr>
              <w:t>Grau-Perez et al. 2018</w:t>
            </w:r>
          </w:p>
        </w:tc>
      </w:tr>
      <w:tr w:rsidR="00830D35" w14:paraId="0D97AC77"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tcMar>
              <w:top w:w="-113" w:type="dxa"/>
              <w:left w:w="-113" w:type="dxa"/>
              <w:bottom w:w="-113" w:type="dxa"/>
              <w:right w:w="-113" w:type="dxa"/>
            </w:tcMar>
          </w:tcPr>
          <w:p w14:paraId="55F9E26D" w14:textId="77777777" w:rsidR="00830D35" w:rsidRDefault="00830D35" w:rsidP="00830D35">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tcMar>
              <w:top w:w="-113" w:type="dxa"/>
              <w:left w:w="-113" w:type="dxa"/>
              <w:bottom w:w="-113" w:type="dxa"/>
              <w:right w:w="-113" w:type="dxa"/>
            </w:tcMar>
          </w:tcPr>
          <w:p w14:paraId="6E7045B0" w14:textId="77777777" w:rsidR="00830D35" w:rsidRDefault="00830D35" w:rsidP="00830D35">
            <w:pPr>
              <w:widowControl w:val="0"/>
              <w:pBdr>
                <w:top w:val="nil"/>
                <w:left w:val="nil"/>
                <w:bottom w:val="nil"/>
                <w:right w:val="nil"/>
                <w:between w:val="nil"/>
              </w:pBdr>
              <w:spacing w:line="276" w:lineRule="auto"/>
              <w:rPr>
                <w:sz w:val="16"/>
                <w:szCs w:val="16"/>
              </w:rPr>
            </w:pPr>
          </w:p>
        </w:tc>
        <w:tc>
          <w:tcPr>
            <w:tcW w:w="992" w:type="dxa"/>
            <w:tcBorders>
              <w:top w:val="single" w:sz="4" w:space="0" w:color="D9D9D9"/>
              <w:left w:val="nil"/>
              <w:bottom w:val="single" w:sz="4" w:space="0" w:color="D9D9D9"/>
              <w:right w:val="nil"/>
            </w:tcBorders>
            <w:shd w:val="clear" w:color="auto" w:fill="auto"/>
            <w:tcMar>
              <w:top w:w="-113" w:type="dxa"/>
              <w:left w:w="-113" w:type="dxa"/>
              <w:bottom w:w="-113" w:type="dxa"/>
              <w:right w:w="-113" w:type="dxa"/>
            </w:tcMar>
          </w:tcPr>
          <w:p w14:paraId="642E65D3" w14:textId="77777777" w:rsidR="00830D35" w:rsidRDefault="00830D35" w:rsidP="00830D35">
            <w:pPr>
              <w:rPr>
                <w:color w:val="000000"/>
                <w:sz w:val="16"/>
                <w:szCs w:val="16"/>
              </w:rPr>
            </w:pPr>
            <w:r>
              <w:rPr>
                <w:color w:val="000000"/>
                <w:sz w:val="16"/>
                <w:szCs w:val="16"/>
              </w:rPr>
              <w:t>rs159153</w:t>
            </w:r>
          </w:p>
        </w:tc>
        <w:tc>
          <w:tcPr>
            <w:tcW w:w="851" w:type="dxa"/>
            <w:tcBorders>
              <w:top w:val="single" w:sz="4" w:space="0" w:color="D9D9D9"/>
              <w:left w:val="nil"/>
              <w:bottom w:val="single" w:sz="4" w:space="0" w:color="D9D9D9"/>
              <w:right w:val="nil"/>
            </w:tcBorders>
            <w:tcMar>
              <w:top w:w="-113" w:type="dxa"/>
              <w:left w:w="-113" w:type="dxa"/>
              <w:bottom w:w="-113" w:type="dxa"/>
              <w:right w:w="-113" w:type="dxa"/>
            </w:tcMar>
          </w:tcPr>
          <w:p w14:paraId="63053747" w14:textId="77777777" w:rsidR="00830D35" w:rsidRDefault="00830D35" w:rsidP="00830D35">
            <w:pPr>
              <w:rPr>
                <w:color w:val="000000"/>
                <w:sz w:val="16"/>
                <w:szCs w:val="16"/>
              </w:rPr>
            </w:pPr>
            <w:r>
              <w:rPr>
                <w:color w:val="000000"/>
                <w:sz w:val="16"/>
                <w:szCs w:val="16"/>
              </w:rPr>
              <w:t>T&gt;C</w:t>
            </w:r>
          </w:p>
        </w:tc>
        <w:tc>
          <w:tcPr>
            <w:tcW w:w="1701" w:type="dxa"/>
            <w:tcBorders>
              <w:top w:val="single" w:sz="4" w:space="0" w:color="D9D9D9"/>
              <w:left w:val="nil"/>
              <w:bottom w:val="single" w:sz="4" w:space="0" w:color="D9D9D9"/>
              <w:right w:val="nil"/>
            </w:tcBorders>
            <w:tcMar>
              <w:top w:w="-113" w:type="dxa"/>
              <w:left w:w="-113" w:type="dxa"/>
              <w:bottom w:w="-113" w:type="dxa"/>
              <w:right w:w="-113" w:type="dxa"/>
            </w:tcMar>
          </w:tcPr>
          <w:p w14:paraId="5A2680A6" w14:textId="77777777" w:rsidR="00830D35" w:rsidRDefault="00830D35" w:rsidP="00830D35">
            <w:pPr>
              <w:rPr>
                <w:color w:val="000000"/>
                <w:sz w:val="16"/>
                <w:szCs w:val="16"/>
              </w:rPr>
            </w:pPr>
            <w:r>
              <w:rPr>
                <w:sz w:val="16"/>
                <w:szCs w:val="16"/>
              </w:rPr>
              <w:t>2KB Upstream variant</w:t>
            </w:r>
          </w:p>
        </w:tc>
        <w:tc>
          <w:tcPr>
            <w:tcW w:w="708" w:type="dxa"/>
            <w:vMerge/>
            <w:tcBorders>
              <w:top w:val="single" w:sz="4" w:space="0" w:color="D0CECE"/>
              <w:left w:val="nil"/>
              <w:bottom w:val="single" w:sz="4" w:space="0" w:color="D0CECE"/>
            </w:tcBorders>
            <w:tcMar>
              <w:top w:w="-113" w:type="dxa"/>
              <w:left w:w="-113" w:type="dxa"/>
              <w:bottom w:w="-113" w:type="dxa"/>
              <w:right w:w="-113" w:type="dxa"/>
            </w:tcMar>
          </w:tcPr>
          <w:p w14:paraId="122242B0"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4765205F"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3B0035EA"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tcMar>
              <w:top w:w="-113" w:type="dxa"/>
              <w:left w:w="-113" w:type="dxa"/>
              <w:bottom w:w="-113" w:type="dxa"/>
              <w:right w:w="-113" w:type="dxa"/>
            </w:tcMar>
          </w:tcPr>
          <w:p w14:paraId="0EBFFD7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tcMar>
              <w:top w:w="-113" w:type="dxa"/>
              <w:left w:w="-113" w:type="dxa"/>
              <w:bottom w:w="-113" w:type="dxa"/>
              <w:right w:w="-113" w:type="dxa"/>
            </w:tcMar>
          </w:tcPr>
          <w:p w14:paraId="766A91F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9D9D9"/>
              <w:left w:val="nil"/>
              <w:bottom w:val="single" w:sz="4" w:space="0" w:color="000000"/>
            </w:tcBorders>
            <w:shd w:val="clear" w:color="auto" w:fill="auto"/>
            <w:tcMar>
              <w:top w:w="-113" w:type="dxa"/>
              <w:left w:w="-113" w:type="dxa"/>
              <w:bottom w:w="-113" w:type="dxa"/>
              <w:right w:w="-113" w:type="dxa"/>
            </w:tcMar>
          </w:tcPr>
          <w:p w14:paraId="716EC097" w14:textId="77777777" w:rsidR="00830D35" w:rsidRDefault="00830D35" w:rsidP="00830D35">
            <w:pPr>
              <w:rPr>
                <w:color w:val="000000"/>
                <w:sz w:val="16"/>
                <w:szCs w:val="16"/>
              </w:rPr>
            </w:pPr>
            <w:r>
              <w:rPr>
                <w:color w:val="000000"/>
                <w:sz w:val="16"/>
                <w:szCs w:val="16"/>
              </w:rPr>
              <w:t>rs2072668</w:t>
            </w:r>
          </w:p>
        </w:tc>
        <w:tc>
          <w:tcPr>
            <w:tcW w:w="851" w:type="dxa"/>
            <w:tcBorders>
              <w:top w:val="single" w:sz="4" w:space="0" w:color="D9D9D9"/>
              <w:bottom w:val="single" w:sz="4" w:space="0" w:color="000000"/>
            </w:tcBorders>
            <w:tcMar>
              <w:top w:w="-113" w:type="dxa"/>
              <w:left w:w="-113" w:type="dxa"/>
              <w:bottom w:w="-113" w:type="dxa"/>
              <w:right w:w="-113" w:type="dxa"/>
            </w:tcMar>
          </w:tcPr>
          <w:p w14:paraId="40DF5778" w14:textId="77777777" w:rsidR="00830D35" w:rsidRDefault="00830D35" w:rsidP="00830D35">
            <w:pPr>
              <w:rPr>
                <w:color w:val="000000"/>
                <w:sz w:val="16"/>
                <w:szCs w:val="16"/>
              </w:rPr>
            </w:pPr>
            <w:r>
              <w:rPr>
                <w:color w:val="000000"/>
                <w:sz w:val="16"/>
                <w:szCs w:val="16"/>
              </w:rPr>
              <w:t>C&gt;</w:t>
            </w:r>
            <w:proofErr w:type="gramStart"/>
            <w:r>
              <w:rPr>
                <w:color w:val="000000"/>
                <w:sz w:val="16"/>
                <w:szCs w:val="16"/>
              </w:rPr>
              <w:t>A,G</w:t>
            </w:r>
            <w:proofErr w:type="gramEnd"/>
          </w:p>
        </w:tc>
        <w:tc>
          <w:tcPr>
            <w:tcW w:w="1701" w:type="dxa"/>
            <w:tcBorders>
              <w:top w:val="single" w:sz="4" w:space="0" w:color="D9D9D9"/>
              <w:bottom w:val="single" w:sz="4" w:space="0" w:color="000000"/>
            </w:tcBorders>
            <w:tcMar>
              <w:top w:w="-113" w:type="dxa"/>
              <w:left w:w="-113" w:type="dxa"/>
              <w:bottom w:w="-113" w:type="dxa"/>
              <w:right w:w="-113" w:type="dxa"/>
            </w:tcMar>
          </w:tcPr>
          <w:p w14:paraId="532B5EC0"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41DEC284"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19D928D5"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4E7FE12B"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1221373D" w14:textId="77777777" w:rsidR="00830D35" w:rsidRDefault="00830D35" w:rsidP="00830D35">
            <w:pPr>
              <w:rPr>
                <w:i/>
                <w:color w:val="000000"/>
                <w:sz w:val="16"/>
                <w:szCs w:val="16"/>
                <w:vertAlign w:val="superscript"/>
              </w:rPr>
            </w:pPr>
            <w:r>
              <w:rPr>
                <w:i/>
                <w:color w:val="000000"/>
                <w:sz w:val="16"/>
                <w:szCs w:val="16"/>
              </w:rPr>
              <w:t>CYBA</w:t>
            </w:r>
          </w:p>
          <w:p w14:paraId="1F50E1D9" w14:textId="77777777" w:rsidR="00830D35" w:rsidRDefault="00830D35" w:rsidP="00830D35">
            <w:pPr>
              <w:rPr>
                <w:i/>
                <w:color w:val="000000"/>
                <w:sz w:val="16"/>
                <w:szCs w:val="16"/>
                <w:highlight w:val="yellow"/>
              </w:rPr>
            </w:pP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7CF50EA1" w14:textId="77777777" w:rsidR="00830D35" w:rsidRDefault="00830D35" w:rsidP="00830D35">
            <w:pPr>
              <w:rPr>
                <w:color w:val="000000"/>
                <w:sz w:val="16"/>
                <w:szCs w:val="16"/>
                <w:highlight w:val="yellow"/>
              </w:rPr>
            </w:pPr>
            <w:r>
              <w:rPr>
                <w:color w:val="000000"/>
                <w:sz w:val="16"/>
                <w:szCs w:val="16"/>
              </w:rPr>
              <w:t>Cytochrome B-245 Alpha Chain</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603F3DA8" w14:textId="77777777" w:rsidR="00830D35" w:rsidRDefault="00830D35" w:rsidP="00830D35">
            <w:pPr>
              <w:rPr>
                <w:color w:val="000000"/>
                <w:sz w:val="16"/>
                <w:szCs w:val="16"/>
                <w:highlight w:val="yellow"/>
              </w:rPr>
            </w:pPr>
            <w:r>
              <w:rPr>
                <w:color w:val="222222"/>
                <w:sz w:val="16"/>
                <w:szCs w:val="16"/>
                <w:highlight w:val="white"/>
              </w:rPr>
              <w:t>rs4673</w:t>
            </w:r>
          </w:p>
        </w:tc>
        <w:tc>
          <w:tcPr>
            <w:tcW w:w="851" w:type="dxa"/>
            <w:tcBorders>
              <w:top w:val="single" w:sz="4" w:space="0" w:color="000000"/>
              <w:bottom w:val="single" w:sz="4" w:space="0" w:color="000000"/>
            </w:tcBorders>
            <w:tcMar>
              <w:top w:w="-113" w:type="dxa"/>
              <w:left w:w="-113" w:type="dxa"/>
              <w:bottom w:w="-113" w:type="dxa"/>
              <w:right w:w="-113" w:type="dxa"/>
            </w:tcMar>
          </w:tcPr>
          <w:p w14:paraId="752D49F1" w14:textId="77777777" w:rsidR="00830D35" w:rsidRDefault="00830D35" w:rsidP="00830D35">
            <w:pPr>
              <w:rPr>
                <w:color w:val="000000"/>
                <w:sz w:val="16"/>
                <w:szCs w:val="16"/>
              </w:rPr>
            </w:pPr>
            <w:r>
              <w:rPr>
                <w:color w:val="000000"/>
                <w:sz w:val="16"/>
                <w:szCs w:val="16"/>
              </w:rPr>
              <w:t>A&gt;</w:t>
            </w:r>
            <w:proofErr w:type="gramStart"/>
            <w:r>
              <w:rPr>
                <w:color w:val="000000"/>
                <w:sz w:val="16"/>
                <w:szCs w:val="16"/>
              </w:rPr>
              <w:t>G,T</w:t>
            </w:r>
            <w:proofErr w:type="gramEnd"/>
          </w:p>
        </w:tc>
        <w:tc>
          <w:tcPr>
            <w:tcW w:w="1701" w:type="dxa"/>
            <w:tcBorders>
              <w:top w:val="single" w:sz="4" w:space="0" w:color="000000"/>
              <w:bottom w:val="single" w:sz="4" w:space="0" w:color="000000"/>
            </w:tcBorders>
            <w:tcMar>
              <w:top w:w="-113" w:type="dxa"/>
              <w:left w:w="-113" w:type="dxa"/>
              <w:bottom w:w="-113" w:type="dxa"/>
              <w:right w:w="-113" w:type="dxa"/>
            </w:tcMar>
          </w:tcPr>
          <w:p w14:paraId="657AA2AD" w14:textId="77777777" w:rsidR="00830D35" w:rsidRDefault="00830D35" w:rsidP="00830D35">
            <w:pPr>
              <w:rPr>
                <w:color w:val="000000"/>
                <w:sz w:val="16"/>
                <w:szCs w:val="16"/>
              </w:rPr>
            </w:pPr>
            <w:r>
              <w:rPr>
                <w:color w:val="000000"/>
                <w:sz w:val="16"/>
                <w:szCs w:val="16"/>
              </w:rPr>
              <w:t>Missense variant</w:t>
            </w:r>
          </w:p>
        </w:tc>
        <w:tc>
          <w:tcPr>
            <w:tcW w:w="708" w:type="dxa"/>
            <w:tcBorders>
              <w:top w:val="single" w:sz="4" w:space="0" w:color="000000"/>
              <w:bottom w:val="single" w:sz="4" w:space="0" w:color="000000"/>
            </w:tcBorders>
            <w:tcMar>
              <w:top w:w="-113" w:type="dxa"/>
              <w:left w:w="-113" w:type="dxa"/>
              <w:bottom w:w="-113" w:type="dxa"/>
              <w:right w:w="-113" w:type="dxa"/>
            </w:tcMar>
          </w:tcPr>
          <w:p w14:paraId="2CBFB7EA" w14:textId="77777777" w:rsidR="00830D35" w:rsidRDefault="00830D35" w:rsidP="00830D35">
            <w:pPr>
              <w:rPr>
                <w:color w:val="000000"/>
                <w:sz w:val="16"/>
                <w:szCs w:val="16"/>
              </w:rPr>
            </w:pPr>
            <w:r>
              <w:rPr>
                <w:color w:val="000000"/>
                <w:sz w:val="16"/>
                <w:szCs w:val="16"/>
              </w:rPr>
              <w:t>HTN</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51FF6984" w14:textId="77777777" w:rsidR="00830D35" w:rsidRDefault="00830D35" w:rsidP="00830D35">
            <w:pPr>
              <w:rPr>
                <w:color w:val="000000"/>
                <w:sz w:val="16"/>
                <w:szCs w:val="16"/>
              </w:rPr>
            </w:pPr>
            <w:r>
              <w:rPr>
                <w:sz w:val="16"/>
                <w:szCs w:val="16"/>
              </w:rPr>
              <w:t xml:space="preserve">Hsueh </w:t>
            </w:r>
            <w:r>
              <w:rPr>
                <w:i/>
                <w:sz w:val="16"/>
                <w:szCs w:val="16"/>
              </w:rPr>
              <w:t>et al.</w:t>
            </w:r>
            <w:r>
              <w:rPr>
                <w:sz w:val="16"/>
                <w:szCs w:val="16"/>
              </w:rPr>
              <w:t xml:space="preserve"> 2005</w:t>
            </w:r>
          </w:p>
        </w:tc>
      </w:tr>
      <w:tr w:rsidR="00830D35" w14:paraId="4D710AED" w14:textId="77777777" w:rsidTr="00923C73">
        <w:trPr>
          <w:trHeight w:val="54"/>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1AEDFDE6" w14:textId="77777777" w:rsidR="00830D35" w:rsidRDefault="00830D35" w:rsidP="00830D35">
            <w:pPr>
              <w:rPr>
                <w:i/>
                <w:color w:val="000000"/>
                <w:sz w:val="16"/>
                <w:szCs w:val="16"/>
              </w:rPr>
            </w:pPr>
            <w:r>
              <w:rPr>
                <w:i/>
                <w:color w:val="000000"/>
                <w:sz w:val="16"/>
                <w:szCs w:val="16"/>
              </w:rPr>
              <w:t>P533</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37321AC6" w14:textId="77777777" w:rsidR="00830D35" w:rsidRDefault="00830D35" w:rsidP="00830D35">
            <w:pPr>
              <w:rPr>
                <w:color w:val="000000"/>
                <w:sz w:val="16"/>
                <w:szCs w:val="16"/>
              </w:rPr>
            </w:pPr>
            <w:proofErr w:type="spellStart"/>
            <w:r>
              <w:rPr>
                <w:color w:val="000000"/>
                <w:sz w:val="16"/>
                <w:szCs w:val="16"/>
              </w:rPr>
              <w:t>Tumor</w:t>
            </w:r>
            <w:proofErr w:type="spellEnd"/>
            <w:r>
              <w:rPr>
                <w:color w:val="000000"/>
                <w:sz w:val="16"/>
                <w:szCs w:val="16"/>
              </w:rPr>
              <w:t xml:space="preserve"> protein P53</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1839FCF1" w14:textId="77777777" w:rsidR="00830D35" w:rsidRDefault="00830D35" w:rsidP="00830D35">
            <w:pPr>
              <w:rPr>
                <w:color w:val="000000"/>
                <w:sz w:val="16"/>
                <w:szCs w:val="16"/>
              </w:rPr>
            </w:pPr>
            <w:r>
              <w:rPr>
                <w:color w:val="000000"/>
                <w:sz w:val="16"/>
                <w:szCs w:val="16"/>
              </w:rPr>
              <w:t>rs1042522</w:t>
            </w:r>
          </w:p>
        </w:tc>
        <w:tc>
          <w:tcPr>
            <w:tcW w:w="851" w:type="dxa"/>
            <w:tcBorders>
              <w:top w:val="single" w:sz="4" w:space="0" w:color="000000"/>
              <w:bottom w:val="single" w:sz="4" w:space="0" w:color="000000"/>
            </w:tcBorders>
            <w:tcMar>
              <w:top w:w="-113" w:type="dxa"/>
              <w:left w:w="-113" w:type="dxa"/>
              <w:bottom w:w="-113" w:type="dxa"/>
              <w:right w:w="-113" w:type="dxa"/>
            </w:tcMar>
          </w:tcPr>
          <w:p w14:paraId="03A96952" w14:textId="77777777" w:rsidR="00830D35" w:rsidRDefault="00830D35" w:rsidP="00830D35">
            <w:pPr>
              <w:rPr>
                <w:color w:val="000000"/>
                <w:sz w:val="16"/>
                <w:szCs w:val="16"/>
              </w:rPr>
            </w:pPr>
            <w:r>
              <w:rPr>
                <w:color w:val="000000"/>
                <w:sz w:val="16"/>
                <w:szCs w:val="16"/>
              </w:rPr>
              <w:t>G&gt;</w:t>
            </w:r>
            <w:proofErr w:type="gramStart"/>
            <w:r>
              <w:rPr>
                <w:color w:val="000000"/>
                <w:sz w:val="16"/>
                <w:szCs w:val="16"/>
              </w:rPr>
              <w:t>A,C</w:t>
            </w:r>
            <w:proofErr w:type="gramEnd"/>
            <w:r>
              <w:rPr>
                <w:color w:val="000000"/>
                <w:sz w:val="16"/>
                <w:szCs w:val="16"/>
              </w:rPr>
              <w:t>,T</w:t>
            </w:r>
          </w:p>
        </w:tc>
        <w:tc>
          <w:tcPr>
            <w:tcW w:w="1701" w:type="dxa"/>
            <w:tcBorders>
              <w:top w:val="single" w:sz="4" w:space="0" w:color="000000"/>
              <w:bottom w:val="single" w:sz="4" w:space="0" w:color="000000"/>
            </w:tcBorders>
            <w:tcMar>
              <w:top w:w="-113" w:type="dxa"/>
              <w:left w:w="-113" w:type="dxa"/>
              <w:bottom w:w="-113" w:type="dxa"/>
              <w:right w:w="-113" w:type="dxa"/>
            </w:tcMar>
          </w:tcPr>
          <w:p w14:paraId="153A1202" w14:textId="77777777" w:rsidR="00830D35" w:rsidRDefault="00830D35" w:rsidP="00830D35">
            <w:pPr>
              <w:rPr>
                <w:color w:val="000000"/>
                <w:sz w:val="16"/>
                <w:szCs w:val="16"/>
              </w:rPr>
            </w:pPr>
            <w:r>
              <w:rPr>
                <w:color w:val="000000"/>
                <w:sz w:val="16"/>
                <w:szCs w:val="16"/>
              </w:rPr>
              <w:t>Missense variant</w:t>
            </w:r>
          </w:p>
        </w:tc>
        <w:tc>
          <w:tcPr>
            <w:tcW w:w="708" w:type="dxa"/>
            <w:tcBorders>
              <w:top w:val="single" w:sz="4" w:space="0" w:color="000000"/>
              <w:bottom w:val="single" w:sz="4" w:space="0" w:color="000000"/>
            </w:tcBorders>
            <w:tcMar>
              <w:top w:w="-113" w:type="dxa"/>
              <w:left w:w="-113" w:type="dxa"/>
              <w:bottom w:w="-113" w:type="dxa"/>
              <w:right w:w="-113" w:type="dxa"/>
            </w:tcMar>
          </w:tcPr>
          <w:p w14:paraId="6FD19870" w14:textId="77777777" w:rsidR="00830D35" w:rsidRDefault="00830D35" w:rsidP="00830D35">
            <w:pPr>
              <w:rPr>
                <w:color w:val="000000"/>
                <w:sz w:val="16"/>
                <w:szCs w:val="16"/>
              </w:rPr>
            </w:pPr>
            <w:r>
              <w:rPr>
                <w:color w:val="000000"/>
                <w:sz w:val="16"/>
                <w:szCs w:val="16"/>
              </w:rPr>
              <w:t>CA</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56D1E5FD" w14:textId="77777777" w:rsidR="00830D35" w:rsidRDefault="00830D35" w:rsidP="00830D35">
            <w:pPr>
              <w:rPr>
                <w:color w:val="000000"/>
                <w:sz w:val="16"/>
                <w:szCs w:val="16"/>
              </w:rPr>
            </w:pPr>
            <w:r>
              <w:rPr>
                <w:sz w:val="16"/>
                <w:szCs w:val="16"/>
              </w:rPr>
              <w:t xml:space="preserve">Wang </w:t>
            </w:r>
            <w:r>
              <w:rPr>
                <w:i/>
                <w:sz w:val="16"/>
                <w:szCs w:val="16"/>
              </w:rPr>
              <w:t>et al</w:t>
            </w:r>
            <w:r>
              <w:rPr>
                <w:sz w:val="16"/>
                <w:szCs w:val="16"/>
              </w:rPr>
              <w:t>. 2007</w:t>
            </w:r>
          </w:p>
        </w:tc>
      </w:tr>
      <w:tr w:rsidR="00830D35" w:rsidRPr="0030321B" w14:paraId="7FA5C2C5" w14:textId="77777777" w:rsidTr="00923C73">
        <w:trPr>
          <w:trHeight w:val="61"/>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4BD1525" w14:textId="77777777" w:rsidR="00830D35" w:rsidRDefault="00830D35" w:rsidP="00830D35">
            <w:pPr>
              <w:rPr>
                <w:i/>
                <w:color w:val="000000"/>
                <w:sz w:val="16"/>
                <w:szCs w:val="16"/>
              </w:rPr>
            </w:pPr>
            <w:r>
              <w:rPr>
                <w:i/>
                <w:color w:val="000000"/>
                <w:sz w:val="16"/>
                <w:szCs w:val="16"/>
              </w:rPr>
              <w:t>PNP</w:t>
            </w:r>
          </w:p>
          <w:p w14:paraId="64E0E742" w14:textId="77777777" w:rsidR="00830D35" w:rsidRDefault="00830D35" w:rsidP="00830D35">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314BF5F" w14:textId="77777777" w:rsidR="00830D35" w:rsidRDefault="00830D35" w:rsidP="00830D35">
            <w:pPr>
              <w:rPr>
                <w:color w:val="000000"/>
                <w:sz w:val="16"/>
                <w:szCs w:val="16"/>
              </w:rPr>
            </w:pPr>
            <w:r>
              <w:rPr>
                <w:color w:val="000000"/>
                <w:sz w:val="16"/>
                <w:szCs w:val="16"/>
              </w:rPr>
              <w:t>Purine Nucleoside Phosphorylase</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6DFE64AB" w14:textId="77777777" w:rsidR="00830D35" w:rsidRDefault="00830D35" w:rsidP="00830D35">
            <w:pPr>
              <w:rPr>
                <w:color w:val="000000"/>
                <w:sz w:val="16"/>
                <w:szCs w:val="16"/>
              </w:rPr>
            </w:pPr>
            <w:r>
              <w:rPr>
                <w:color w:val="000000"/>
                <w:sz w:val="16"/>
                <w:szCs w:val="16"/>
              </w:rPr>
              <w:t>rs1049562</w:t>
            </w:r>
          </w:p>
        </w:tc>
        <w:tc>
          <w:tcPr>
            <w:tcW w:w="851" w:type="dxa"/>
            <w:tcBorders>
              <w:top w:val="single" w:sz="4" w:space="0" w:color="000000"/>
              <w:bottom w:val="single" w:sz="4" w:space="0" w:color="D0CECE"/>
            </w:tcBorders>
            <w:tcMar>
              <w:top w:w="-113" w:type="dxa"/>
              <w:left w:w="-113" w:type="dxa"/>
              <w:bottom w:w="-113" w:type="dxa"/>
              <w:right w:w="-113" w:type="dxa"/>
            </w:tcMar>
          </w:tcPr>
          <w:p w14:paraId="5368E70F" w14:textId="77777777" w:rsidR="00830D35" w:rsidRDefault="00830D35" w:rsidP="00830D35">
            <w:pPr>
              <w:rPr>
                <w:color w:val="000000"/>
                <w:sz w:val="16"/>
                <w:szCs w:val="16"/>
              </w:rPr>
            </w:pPr>
            <w:r>
              <w:rPr>
                <w:color w:val="000000"/>
                <w:sz w:val="16"/>
                <w:szCs w:val="16"/>
              </w:rPr>
              <w:t>C&gt;</w:t>
            </w:r>
            <w:proofErr w:type="gramStart"/>
            <w:r>
              <w:rPr>
                <w:color w:val="000000"/>
                <w:sz w:val="16"/>
                <w:szCs w:val="16"/>
              </w:rPr>
              <w:t>A,T</w:t>
            </w:r>
            <w:proofErr w:type="gramEnd"/>
          </w:p>
        </w:tc>
        <w:tc>
          <w:tcPr>
            <w:tcW w:w="1701" w:type="dxa"/>
            <w:tcBorders>
              <w:top w:val="single" w:sz="4" w:space="0" w:color="000000"/>
              <w:bottom w:val="single" w:sz="4" w:space="0" w:color="D0CECE"/>
            </w:tcBorders>
            <w:tcMar>
              <w:top w:w="-113" w:type="dxa"/>
              <w:left w:w="-113" w:type="dxa"/>
              <w:bottom w:w="-113" w:type="dxa"/>
              <w:right w:w="-113" w:type="dxa"/>
            </w:tcMar>
          </w:tcPr>
          <w:p w14:paraId="7A751CB6" w14:textId="77777777" w:rsidR="00830D35" w:rsidRDefault="00830D35" w:rsidP="00830D35">
            <w:pPr>
              <w:rPr>
                <w:color w:val="000000"/>
                <w:sz w:val="16"/>
                <w:szCs w:val="16"/>
              </w:rPr>
            </w:pPr>
            <w:r>
              <w:rPr>
                <w:color w:val="000000"/>
                <w:sz w:val="16"/>
                <w:szCs w:val="16"/>
              </w:rPr>
              <w:t>Missense variant</w:t>
            </w:r>
          </w:p>
        </w:tc>
        <w:tc>
          <w:tcPr>
            <w:tcW w:w="708" w:type="dxa"/>
            <w:tcBorders>
              <w:top w:val="single" w:sz="4" w:space="0" w:color="000000"/>
              <w:bottom w:val="single" w:sz="4" w:space="0" w:color="D0CECE"/>
            </w:tcBorders>
            <w:tcMar>
              <w:top w:w="-113" w:type="dxa"/>
              <w:left w:w="-113" w:type="dxa"/>
              <w:bottom w:w="-113" w:type="dxa"/>
              <w:right w:w="-113" w:type="dxa"/>
            </w:tcMar>
          </w:tcPr>
          <w:p w14:paraId="79DB7264" w14:textId="77777777" w:rsidR="00830D35" w:rsidRDefault="00830D35" w:rsidP="00830D35">
            <w:pPr>
              <w:rPr>
                <w:color w:val="000000"/>
                <w:sz w:val="16"/>
                <w:szCs w:val="16"/>
              </w:rPr>
            </w:pPr>
            <w:r>
              <w:rPr>
                <w:color w:val="000000"/>
                <w:sz w:val="16"/>
                <w:szCs w:val="16"/>
              </w:rPr>
              <w:t>CVD</w:t>
            </w:r>
          </w:p>
          <w:p w14:paraId="72C06554" w14:textId="77777777" w:rsidR="00830D35" w:rsidRDefault="00830D35" w:rsidP="00830D35">
            <w:pPr>
              <w:rPr>
                <w:sz w:val="16"/>
                <w:szCs w:val="16"/>
              </w:rPr>
            </w:pPr>
            <w:r>
              <w:rPr>
                <w:sz w:val="16"/>
                <w:szCs w:val="16"/>
              </w:rPr>
              <w:t>CIMT</w:t>
            </w:r>
          </w:p>
        </w:tc>
        <w:tc>
          <w:tcPr>
            <w:tcW w:w="1838" w:type="dxa"/>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9FC4339" w14:textId="77777777" w:rsidR="00830D35" w:rsidRPr="00641BD3" w:rsidRDefault="00830D35" w:rsidP="00830D35">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3DABB75A" w14:textId="77777777" w:rsidR="00830D35" w:rsidRPr="00641BD3" w:rsidRDefault="00830D35" w:rsidP="00830D35">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tc>
      </w:tr>
      <w:tr w:rsidR="00830D35" w14:paraId="58AE2735"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52DFFEC" w14:textId="77777777" w:rsidR="00830D35" w:rsidRPr="00641BD3" w:rsidRDefault="00830D35" w:rsidP="00830D35">
            <w:pPr>
              <w:widowControl w:val="0"/>
              <w:pBdr>
                <w:top w:val="nil"/>
                <w:left w:val="nil"/>
                <w:bottom w:val="nil"/>
                <w:right w:val="nil"/>
                <w:between w:val="nil"/>
              </w:pBdr>
              <w:spacing w:line="276" w:lineRule="auto"/>
              <w:rPr>
                <w:color w:val="000000"/>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0BFBA0F" w14:textId="77777777" w:rsidR="00830D35" w:rsidRPr="00641BD3" w:rsidRDefault="00830D35" w:rsidP="00830D35">
            <w:pPr>
              <w:widowControl w:val="0"/>
              <w:pBdr>
                <w:top w:val="nil"/>
                <w:left w:val="nil"/>
                <w:bottom w:val="nil"/>
                <w:right w:val="nil"/>
                <w:between w:val="nil"/>
              </w:pBdr>
              <w:spacing w:line="276" w:lineRule="auto"/>
              <w:rPr>
                <w:color w:val="000000"/>
                <w:sz w:val="16"/>
                <w:szCs w:val="16"/>
                <w:lang w:val="es-ES"/>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76518333" w14:textId="77777777" w:rsidR="00830D35" w:rsidRDefault="00830D35" w:rsidP="00830D35">
            <w:pPr>
              <w:rPr>
                <w:sz w:val="16"/>
                <w:szCs w:val="16"/>
              </w:rPr>
            </w:pPr>
            <w:r>
              <w:rPr>
                <w:color w:val="000000"/>
                <w:sz w:val="16"/>
                <w:szCs w:val="16"/>
              </w:rPr>
              <w:t>rs1049564</w:t>
            </w:r>
          </w:p>
          <w:p w14:paraId="30232CBF" w14:textId="77777777" w:rsidR="00830D35" w:rsidRDefault="00830D35" w:rsidP="00830D35">
            <w:pPr>
              <w:rPr>
                <w:sz w:val="16"/>
                <w:szCs w:val="16"/>
              </w:rPr>
            </w:pPr>
          </w:p>
        </w:tc>
        <w:tc>
          <w:tcPr>
            <w:tcW w:w="851" w:type="dxa"/>
            <w:vMerge w:val="restart"/>
            <w:tcBorders>
              <w:top w:val="single" w:sz="4" w:space="0" w:color="D0CECE"/>
              <w:bottom w:val="single" w:sz="4" w:space="0" w:color="D0CECE"/>
            </w:tcBorders>
            <w:tcMar>
              <w:top w:w="-113" w:type="dxa"/>
              <w:left w:w="-113" w:type="dxa"/>
              <w:bottom w:w="-113" w:type="dxa"/>
              <w:right w:w="-113" w:type="dxa"/>
            </w:tcMar>
          </w:tcPr>
          <w:p w14:paraId="5078608B" w14:textId="77777777" w:rsidR="00830D35" w:rsidRDefault="00830D35" w:rsidP="00830D35">
            <w:pPr>
              <w:rPr>
                <w:color w:val="000000"/>
                <w:sz w:val="16"/>
                <w:szCs w:val="16"/>
              </w:rPr>
            </w:pPr>
            <w:r>
              <w:rPr>
                <w:color w:val="000000"/>
                <w:sz w:val="16"/>
                <w:szCs w:val="16"/>
              </w:rPr>
              <w:t>G&gt;A</w:t>
            </w:r>
          </w:p>
        </w:tc>
        <w:tc>
          <w:tcPr>
            <w:tcW w:w="1701" w:type="dxa"/>
            <w:vMerge w:val="restart"/>
            <w:tcBorders>
              <w:top w:val="single" w:sz="4" w:space="0" w:color="D0CECE"/>
              <w:bottom w:val="single" w:sz="4" w:space="0" w:color="D0CECE"/>
            </w:tcBorders>
            <w:tcMar>
              <w:top w:w="-113" w:type="dxa"/>
              <w:left w:w="-113" w:type="dxa"/>
              <w:bottom w:w="-113" w:type="dxa"/>
              <w:right w:w="-113" w:type="dxa"/>
            </w:tcMar>
          </w:tcPr>
          <w:p w14:paraId="351CA770" w14:textId="77777777" w:rsidR="00830D35" w:rsidRDefault="00830D35" w:rsidP="00830D35">
            <w:pPr>
              <w:rPr>
                <w:color w:val="000000"/>
                <w:sz w:val="16"/>
                <w:szCs w:val="16"/>
              </w:rPr>
            </w:pPr>
            <w:r>
              <w:rPr>
                <w:color w:val="000000"/>
                <w:sz w:val="16"/>
                <w:szCs w:val="16"/>
              </w:rPr>
              <w:t>Missense variant</w:t>
            </w:r>
          </w:p>
        </w:tc>
        <w:tc>
          <w:tcPr>
            <w:tcW w:w="708" w:type="dxa"/>
            <w:tcBorders>
              <w:top w:val="single" w:sz="4" w:space="0" w:color="D0CECE"/>
              <w:bottom w:val="single" w:sz="4" w:space="0" w:color="D0CECE"/>
            </w:tcBorders>
            <w:tcMar>
              <w:top w:w="-113" w:type="dxa"/>
              <w:left w:w="-113" w:type="dxa"/>
              <w:bottom w:w="-113" w:type="dxa"/>
              <w:right w:w="-113" w:type="dxa"/>
            </w:tcMar>
          </w:tcPr>
          <w:p w14:paraId="27503F97" w14:textId="77777777" w:rsidR="00830D35" w:rsidRDefault="00830D35" w:rsidP="00830D35">
            <w:pPr>
              <w:rPr>
                <w:color w:val="000000"/>
                <w:sz w:val="16"/>
                <w:szCs w:val="16"/>
              </w:rPr>
            </w:pPr>
            <w:r>
              <w:rPr>
                <w:color w:val="000000"/>
                <w:sz w:val="16"/>
                <w:szCs w:val="16"/>
              </w:rPr>
              <w:t>CA</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4CA45DC5" w14:textId="77777777" w:rsidR="00830D35" w:rsidRDefault="00830D35" w:rsidP="00830D35">
            <w:pPr>
              <w:rPr>
                <w:color w:val="000000"/>
                <w:sz w:val="16"/>
                <w:szCs w:val="16"/>
              </w:rPr>
            </w:pPr>
            <w:r>
              <w:rPr>
                <w:color w:val="000000"/>
                <w:sz w:val="16"/>
                <w:szCs w:val="16"/>
              </w:rPr>
              <w:t xml:space="preserve">Hsieh </w:t>
            </w:r>
            <w:r>
              <w:rPr>
                <w:i/>
                <w:color w:val="000000"/>
                <w:sz w:val="16"/>
                <w:szCs w:val="16"/>
              </w:rPr>
              <w:t xml:space="preserve">et al. </w:t>
            </w:r>
            <w:r>
              <w:rPr>
                <w:color w:val="000000"/>
                <w:sz w:val="16"/>
                <w:szCs w:val="16"/>
              </w:rPr>
              <w:t>2011</w:t>
            </w:r>
          </w:p>
        </w:tc>
      </w:tr>
      <w:tr w:rsidR="00830D35" w:rsidRPr="0030321B" w14:paraId="726921AD"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C22F186"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398704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1A184264"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tcMar>
              <w:top w:w="-113" w:type="dxa"/>
              <w:left w:w="-113" w:type="dxa"/>
              <w:bottom w:w="-113" w:type="dxa"/>
              <w:right w:w="-113" w:type="dxa"/>
            </w:tcMar>
          </w:tcPr>
          <w:p w14:paraId="2FB7ADB4"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tcMar>
              <w:top w:w="-113" w:type="dxa"/>
              <w:left w:w="-113" w:type="dxa"/>
              <w:bottom w:w="-113" w:type="dxa"/>
              <w:right w:w="-113" w:type="dxa"/>
            </w:tcMar>
          </w:tcPr>
          <w:p w14:paraId="348F8EC9"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708" w:type="dxa"/>
            <w:tcBorders>
              <w:top w:val="single" w:sz="4" w:space="0" w:color="D0CECE"/>
              <w:bottom w:val="single" w:sz="4" w:space="0" w:color="D0CECE"/>
            </w:tcBorders>
            <w:tcMar>
              <w:top w:w="-113" w:type="dxa"/>
              <w:left w:w="-113" w:type="dxa"/>
              <w:bottom w:w="-113" w:type="dxa"/>
              <w:right w:w="-113" w:type="dxa"/>
            </w:tcMar>
          </w:tcPr>
          <w:p w14:paraId="026577EF" w14:textId="77777777" w:rsidR="00830D35" w:rsidRDefault="00830D35" w:rsidP="00830D35">
            <w:pPr>
              <w:rPr>
                <w:color w:val="000000"/>
                <w:sz w:val="16"/>
                <w:szCs w:val="16"/>
              </w:rPr>
            </w:pPr>
            <w:r>
              <w:rPr>
                <w:color w:val="000000"/>
                <w:sz w:val="16"/>
                <w:szCs w:val="16"/>
              </w:rPr>
              <w:t>CVD</w:t>
            </w:r>
          </w:p>
          <w:p w14:paraId="09B6C72C" w14:textId="77777777" w:rsidR="00830D35" w:rsidRDefault="00830D35" w:rsidP="00830D35">
            <w:pPr>
              <w:rPr>
                <w:sz w:val="16"/>
                <w:szCs w:val="16"/>
              </w:rPr>
            </w:pPr>
            <w:r>
              <w:rPr>
                <w:sz w:val="16"/>
                <w:szCs w:val="16"/>
              </w:rPr>
              <w:t>CIMT</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44039111" w14:textId="77777777" w:rsidR="00830D35" w:rsidRPr="00641BD3" w:rsidRDefault="00830D35" w:rsidP="00830D35">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57E11ED8" w14:textId="77777777" w:rsidR="00830D35" w:rsidRPr="00641BD3" w:rsidRDefault="00830D35" w:rsidP="00830D35">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tc>
      </w:tr>
      <w:tr w:rsidR="00830D35" w14:paraId="74E5F15D" w14:textId="77777777" w:rsidTr="00923C73">
        <w:trPr>
          <w:trHeight w:val="61"/>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63DE88D" w14:textId="77777777" w:rsidR="00830D35" w:rsidRPr="00641BD3" w:rsidRDefault="00830D35" w:rsidP="00830D35">
            <w:pPr>
              <w:widowControl w:val="0"/>
              <w:pBdr>
                <w:top w:val="nil"/>
                <w:left w:val="nil"/>
                <w:bottom w:val="nil"/>
                <w:right w:val="nil"/>
                <w:between w:val="nil"/>
              </w:pBdr>
              <w:spacing w:line="276" w:lineRule="auto"/>
              <w:rPr>
                <w:color w:val="000000"/>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00F490E" w14:textId="77777777" w:rsidR="00830D35" w:rsidRPr="00641BD3" w:rsidRDefault="00830D35" w:rsidP="00830D35">
            <w:pPr>
              <w:widowControl w:val="0"/>
              <w:pBdr>
                <w:top w:val="nil"/>
                <w:left w:val="nil"/>
                <w:bottom w:val="nil"/>
                <w:right w:val="nil"/>
                <w:between w:val="nil"/>
              </w:pBdr>
              <w:spacing w:line="276" w:lineRule="auto"/>
              <w:rPr>
                <w:color w:val="000000"/>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75728423" w14:textId="77777777" w:rsidR="00830D35" w:rsidRDefault="00830D35" w:rsidP="00830D35">
            <w:pPr>
              <w:rPr>
                <w:color w:val="000000"/>
                <w:sz w:val="16"/>
                <w:szCs w:val="16"/>
              </w:rPr>
            </w:pPr>
            <w:r>
              <w:rPr>
                <w:color w:val="000000"/>
                <w:sz w:val="16"/>
                <w:szCs w:val="16"/>
              </w:rPr>
              <w:t>rs1130650</w:t>
            </w:r>
          </w:p>
        </w:tc>
        <w:tc>
          <w:tcPr>
            <w:tcW w:w="851" w:type="dxa"/>
            <w:tcBorders>
              <w:top w:val="single" w:sz="4" w:space="0" w:color="D0CECE"/>
              <w:bottom w:val="single" w:sz="4" w:space="0" w:color="D0CECE"/>
            </w:tcBorders>
            <w:tcMar>
              <w:top w:w="-113" w:type="dxa"/>
              <w:left w:w="-113" w:type="dxa"/>
              <w:bottom w:w="-113" w:type="dxa"/>
              <w:right w:w="-113" w:type="dxa"/>
            </w:tcMar>
          </w:tcPr>
          <w:p w14:paraId="45441BB0" w14:textId="77777777" w:rsidR="00830D35" w:rsidRDefault="00830D35" w:rsidP="00830D35">
            <w:pPr>
              <w:rPr>
                <w:color w:val="000000"/>
                <w:sz w:val="16"/>
                <w:szCs w:val="16"/>
              </w:rPr>
            </w:pPr>
            <w:r>
              <w:rPr>
                <w:color w:val="000000"/>
                <w:sz w:val="16"/>
                <w:szCs w:val="16"/>
              </w:rPr>
              <w:t>C&gt;</w:t>
            </w:r>
            <w:proofErr w:type="gramStart"/>
            <w:r>
              <w:rPr>
                <w:color w:val="000000"/>
                <w:sz w:val="16"/>
                <w:szCs w:val="16"/>
              </w:rPr>
              <w:t>A,T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60E71B35" w14:textId="77777777" w:rsidR="00830D35" w:rsidRDefault="00830D35" w:rsidP="00830D35">
            <w:pPr>
              <w:rPr>
                <w:color w:val="000000"/>
                <w:sz w:val="16"/>
                <w:szCs w:val="16"/>
              </w:rPr>
            </w:pPr>
            <w:r>
              <w:rPr>
                <w:color w:val="000000"/>
                <w:sz w:val="16"/>
                <w:szCs w:val="16"/>
              </w:rPr>
              <w:t>Synonymous variant</w:t>
            </w:r>
          </w:p>
        </w:tc>
        <w:tc>
          <w:tcPr>
            <w:tcW w:w="708" w:type="dxa"/>
            <w:tcBorders>
              <w:top w:val="single" w:sz="4" w:space="0" w:color="D0CECE"/>
              <w:bottom w:val="single" w:sz="4" w:space="0" w:color="D0CECE"/>
            </w:tcBorders>
            <w:tcMar>
              <w:top w:w="-113" w:type="dxa"/>
              <w:left w:w="-113" w:type="dxa"/>
              <w:bottom w:w="-113" w:type="dxa"/>
              <w:right w:w="-113" w:type="dxa"/>
            </w:tcMar>
          </w:tcPr>
          <w:p w14:paraId="1D0BAC27" w14:textId="77777777" w:rsidR="00830D35" w:rsidRDefault="00830D35" w:rsidP="00830D35">
            <w:pPr>
              <w:rPr>
                <w:color w:val="000000"/>
                <w:sz w:val="16"/>
                <w:szCs w:val="16"/>
              </w:rPr>
            </w:pPr>
            <w:r>
              <w:rPr>
                <w:color w:val="000000"/>
                <w:sz w:val="16"/>
                <w:szCs w:val="16"/>
              </w:rPr>
              <w:t>CA</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63D81D39" w14:textId="77777777" w:rsidR="00830D35" w:rsidRDefault="00830D35" w:rsidP="00830D35">
            <w:pPr>
              <w:rPr>
                <w:color w:val="000000"/>
                <w:sz w:val="16"/>
                <w:szCs w:val="16"/>
              </w:rPr>
            </w:pPr>
            <w:r>
              <w:rPr>
                <w:color w:val="000000"/>
                <w:sz w:val="16"/>
                <w:szCs w:val="16"/>
              </w:rPr>
              <w:t xml:space="preserve">Hsieh </w:t>
            </w:r>
            <w:r>
              <w:rPr>
                <w:i/>
                <w:color w:val="000000"/>
                <w:sz w:val="16"/>
                <w:szCs w:val="16"/>
              </w:rPr>
              <w:t xml:space="preserve">et al. </w:t>
            </w:r>
            <w:r>
              <w:rPr>
                <w:color w:val="000000"/>
                <w:sz w:val="16"/>
                <w:szCs w:val="16"/>
              </w:rPr>
              <w:t>2011</w:t>
            </w:r>
          </w:p>
        </w:tc>
      </w:tr>
      <w:tr w:rsidR="00830D35" w:rsidRPr="0030321B" w14:paraId="16253E5F" w14:textId="77777777" w:rsidTr="00923C73">
        <w:trPr>
          <w:trHeight w:val="61"/>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4697EF0"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E37844B"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2DB198C" w14:textId="77777777" w:rsidR="00830D35" w:rsidRDefault="00830D35" w:rsidP="00830D35">
            <w:pPr>
              <w:rPr>
                <w:color w:val="000000"/>
                <w:sz w:val="16"/>
                <w:szCs w:val="16"/>
              </w:rPr>
            </w:pPr>
            <w:r>
              <w:rPr>
                <w:color w:val="000000"/>
                <w:sz w:val="16"/>
                <w:szCs w:val="16"/>
              </w:rPr>
              <w:t>rs12101049</w:t>
            </w:r>
          </w:p>
        </w:tc>
        <w:tc>
          <w:tcPr>
            <w:tcW w:w="851" w:type="dxa"/>
            <w:tcBorders>
              <w:top w:val="single" w:sz="4" w:space="0" w:color="D0CECE"/>
              <w:bottom w:val="single" w:sz="4" w:space="0" w:color="D0CECE"/>
            </w:tcBorders>
            <w:tcMar>
              <w:top w:w="-113" w:type="dxa"/>
              <w:left w:w="-113" w:type="dxa"/>
              <w:bottom w:w="-113" w:type="dxa"/>
              <w:right w:w="-113" w:type="dxa"/>
            </w:tcMar>
          </w:tcPr>
          <w:p w14:paraId="6A6FE3B4" w14:textId="77777777" w:rsidR="00830D35" w:rsidRDefault="00830D35" w:rsidP="00830D35">
            <w:pPr>
              <w:rPr>
                <w:color w:val="000000"/>
                <w:sz w:val="16"/>
                <w:szCs w:val="16"/>
              </w:rPr>
            </w:pPr>
            <w:r>
              <w:rPr>
                <w:color w:val="000000"/>
                <w:sz w:val="16"/>
                <w:szCs w:val="16"/>
              </w:rPr>
              <w:t>G&gt;A</w:t>
            </w:r>
          </w:p>
        </w:tc>
        <w:tc>
          <w:tcPr>
            <w:tcW w:w="1701" w:type="dxa"/>
            <w:tcBorders>
              <w:top w:val="single" w:sz="4" w:space="0" w:color="D0CECE"/>
              <w:bottom w:val="single" w:sz="4" w:space="0" w:color="D0CECE"/>
            </w:tcBorders>
            <w:tcMar>
              <w:top w:w="-113" w:type="dxa"/>
              <w:left w:w="-113" w:type="dxa"/>
              <w:bottom w:w="-113" w:type="dxa"/>
              <w:right w:w="-113" w:type="dxa"/>
            </w:tcMar>
          </w:tcPr>
          <w:p w14:paraId="617F540B" w14:textId="77777777" w:rsidR="00830D35" w:rsidRDefault="00830D35" w:rsidP="00830D35">
            <w:pPr>
              <w:rPr>
                <w:color w:val="000000"/>
                <w:sz w:val="16"/>
                <w:szCs w:val="16"/>
              </w:rPr>
            </w:pPr>
            <w:r>
              <w:rPr>
                <w:sz w:val="16"/>
                <w:szCs w:val="16"/>
              </w:rPr>
              <w:t>Intron variant</w:t>
            </w:r>
          </w:p>
        </w:tc>
        <w:tc>
          <w:tcPr>
            <w:tcW w:w="708" w:type="dxa"/>
            <w:tcBorders>
              <w:top w:val="single" w:sz="4" w:space="0" w:color="D0CECE"/>
              <w:bottom w:val="single" w:sz="4" w:space="0" w:color="D0CECE"/>
            </w:tcBorders>
            <w:tcMar>
              <w:top w:w="-113" w:type="dxa"/>
              <w:left w:w="-113" w:type="dxa"/>
              <w:bottom w:w="-113" w:type="dxa"/>
              <w:right w:w="-113" w:type="dxa"/>
            </w:tcMar>
          </w:tcPr>
          <w:p w14:paraId="6CC81A29" w14:textId="77777777" w:rsidR="00830D35" w:rsidRDefault="00830D35" w:rsidP="00830D35">
            <w:pPr>
              <w:rPr>
                <w:color w:val="000000"/>
                <w:sz w:val="16"/>
                <w:szCs w:val="16"/>
              </w:rPr>
            </w:pPr>
            <w:r>
              <w:rPr>
                <w:color w:val="000000"/>
                <w:sz w:val="16"/>
                <w:szCs w:val="16"/>
              </w:rPr>
              <w:t>CVD</w:t>
            </w:r>
          </w:p>
          <w:p w14:paraId="53A093E0" w14:textId="77777777" w:rsidR="00830D35" w:rsidRDefault="00830D35" w:rsidP="00830D35">
            <w:pPr>
              <w:rPr>
                <w:sz w:val="16"/>
                <w:szCs w:val="16"/>
              </w:rPr>
            </w:pPr>
            <w:r>
              <w:rPr>
                <w:sz w:val="16"/>
                <w:szCs w:val="16"/>
              </w:rPr>
              <w:t>CIMT</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5255D150" w14:textId="77777777" w:rsidR="00830D35" w:rsidRPr="00641BD3" w:rsidRDefault="00830D35" w:rsidP="00830D35">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414BDB34" w14:textId="77777777" w:rsidR="00830D35" w:rsidRPr="00641BD3" w:rsidRDefault="00830D35" w:rsidP="00830D35">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tc>
      </w:tr>
      <w:tr w:rsidR="00830D35" w14:paraId="63A36C31"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DD68C3E" w14:textId="77777777" w:rsidR="00830D35" w:rsidRPr="00641BD3" w:rsidRDefault="00830D35" w:rsidP="00830D35">
            <w:pPr>
              <w:widowControl w:val="0"/>
              <w:pBdr>
                <w:top w:val="nil"/>
                <w:left w:val="nil"/>
                <w:bottom w:val="nil"/>
                <w:right w:val="nil"/>
                <w:between w:val="nil"/>
              </w:pBdr>
              <w:spacing w:line="276" w:lineRule="auto"/>
              <w:rPr>
                <w:color w:val="000000"/>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ACEF62D" w14:textId="77777777" w:rsidR="00830D35" w:rsidRPr="00641BD3" w:rsidRDefault="00830D35" w:rsidP="00830D35">
            <w:pPr>
              <w:widowControl w:val="0"/>
              <w:pBdr>
                <w:top w:val="nil"/>
                <w:left w:val="nil"/>
                <w:bottom w:val="nil"/>
                <w:right w:val="nil"/>
                <w:between w:val="nil"/>
              </w:pBdr>
              <w:spacing w:line="276" w:lineRule="auto"/>
              <w:rPr>
                <w:color w:val="000000"/>
                <w:sz w:val="16"/>
                <w:szCs w:val="16"/>
                <w:lang w:val="es-ES"/>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10C6D30C" w14:textId="77777777" w:rsidR="00830D35" w:rsidRDefault="00830D35" w:rsidP="00830D35">
            <w:pPr>
              <w:rPr>
                <w:sz w:val="16"/>
                <w:szCs w:val="16"/>
              </w:rPr>
            </w:pPr>
            <w:r>
              <w:rPr>
                <w:sz w:val="16"/>
                <w:szCs w:val="16"/>
              </w:rPr>
              <w:t>rs1617940</w:t>
            </w:r>
          </w:p>
        </w:tc>
        <w:tc>
          <w:tcPr>
            <w:tcW w:w="851" w:type="dxa"/>
            <w:vMerge w:val="restart"/>
            <w:tcBorders>
              <w:top w:val="single" w:sz="4" w:space="0" w:color="D0CECE"/>
              <w:bottom w:val="single" w:sz="4" w:space="0" w:color="D0CECE"/>
            </w:tcBorders>
            <w:tcMar>
              <w:top w:w="-113" w:type="dxa"/>
              <w:left w:w="-113" w:type="dxa"/>
              <w:bottom w:w="-113" w:type="dxa"/>
              <w:right w:w="-113" w:type="dxa"/>
            </w:tcMar>
          </w:tcPr>
          <w:p w14:paraId="369B3DC4" w14:textId="77777777" w:rsidR="00830D35" w:rsidRDefault="00830D35" w:rsidP="00830D35">
            <w:pPr>
              <w:rPr>
                <w:color w:val="000000"/>
                <w:sz w:val="16"/>
                <w:szCs w:val="16"/>
              </w:rPr>
            </w:pPr>
            <w:r>
              <w:rPr>
                <w:color w:val="000000"/>
                <w:sz w:val="16"/>
                <w:szCs w:val="16"/>
              </w:rPr>
              <w:t>T&gt;A</w:t>
            </w:r>
          </w:p>
        </w:tc>
        <w:tc>
          <w:tcPr>
            <w:tcW w:w="1701" w:type="dxa"/>
            <w:vMerge w:val="restart"/>
            <w:tcBorders>
              <w:top w:val="single" w:sz="4" w:space="0" w:color="D0CECE"/>
              <w:bottom w:val="single" w:sz="4" w:space="0" w:color="D0CECE"/>
            </w:tcBorders>
            <w:tcMar>
              <w:top w:w="-113" w:type="dxa"/>
              <w:left w:w="-113" w:type="dxa"/>
              <w:bottom w:w="-113" w:type="dxa"/>
              <w:right w:w="-113" w:type="dxa"/>
            </w:tcMar>
          </w:tcPr>
          <w:p w14:paraId="7C9D49D6" w14:textId="77777777" w:rsidR="00830D35" w:rsidRDefault="00830D35" w:rsidP="00830D35">
            <w:pPr>
              <w:rPr>
                <w:color w:val="000000"/>
                <w:sz w:val="16"/>
                <w:szCs w:val="16"/>
              </w:rPr>
            </w:pPr>
            <w:r>
              <w:rPr>
                <w:sz w:val="16"/>
                <w:szCs w:val="16"/>
              </w:rPr>
              <w:t>Intron variant</w:t>
            </w:r>
          </w:p>
        </w:tc>
        <w:tc>
          <w:tcPr>
            <w:tcW w:w="708" w:type="dxa"/>
            <w:tcBorders>
              <w:top w:val="single" w:sz="4" w:space="0" w:color="D0CECE"/>
              <w:bottom w:val="single" w:sz="4" w:space="0" w:color="D0CECE"/>
            </w:tcBorders>
            <w:tcMar>
              <w:top w:w="-113" w:type="dxa"/>
              <w:left w:w="-113" w:type="dxa"/>
              <w:bottom w:w="-113" w:type="dxa"/>
              <w:right w:w="-113" w:type="dxa"/>
            </w:tcMar>
          </w:tcPr>
          <w:p w14:paraId="39269B71" w14:textId="77777777" w:rsidR="00830D35" w:rsidRDefault="00830D35" w:rsidP="00830D35">
            <w:pPr>
              <w:rPr>
                <w:color w:val="000000"/>
                <w:sz w:val="16"/>
                <w:szCs w:val="16"/>
              </w:rPr>
            </w:pPr>
            <w:r>
              <w:rPr>
                <w:color w:val="000000"/>
                <w:sz w:val="16"/>
                <w:szCs w:val="16"/>
              </w:rPr>
              <w:t>BP</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19260BE7" w14:textId="77777777" w:rsidR="00830D35" w:rsidRDefault="00830D35" w:rsidP="00830D35">
            <w:pPr>
              <w:rPr>
                <w:color w:val="000000"/>
                <w:sz w:val="16"/>
                <w:szCs w:val="16"/>
              </w:rPr>
            </w:pPr>
            <w:r>
              <w:rPr>
                <w:sz w:val="16"/>
                <w:szCs w:val="16"/>
              </w:rPr>
              <w:t xml:space="preserve">Farzan </w:t>
            </w:r>
            <w:r>
              <w:rPr>
                <w:i/>
                <w:sz w:val="16"/>
                <w:szCs w:val="16"/>
              </w:rPr>
              <w:t>et al.</w:t>
            </w:r>
            <w:r>
              <w:rPr>
                <w:sz w:val="16"/>
                <w:szCs w:val="16"/>
              </w:rPr>
              <w:t xml:space="preserve"> 2016</w:t>
            </w:r>
          </w:p>
        </w:tc>
      </w:tr>
      <w:tr w:rsidR="00830D35" w:rsidRPr="0030321B" w14:paraId="01FBC082" w14:textId="77777777" w:rsidTr="00923C73">
        <w:trPr>
          <w:trHeight w:val="317"/>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F7A7463"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7CFB29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2603F0CD"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tcMar>
              <w:top w:w="-113" w:type="dxa"/>
              <w:left w:w="-113" w:type="dxa"/>
              <w:bottom w:w="-113" w:type="dxa"/>
              <w:right w:w="-113" w:type="dxa"/>
            </w:tcMar>
          </w:tcPr>
          <w:p w14:paraId="0039B20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tcMar>
              <w:top w:w="-113" w:type="dxa"/>
              <w:left w:w="-113" w:type="dxa"/>
              <w:bottom w:w="-113" w:type="dxa"/>
              <w:right w:w="-113" w:type="dxa"/>
            </w:tcMar>
          </w:tcPr>
          <w:p w14:paraId="407084C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708" w:type="dxa"/>
            <w:vMerge w:val="restart"/>
            <w:tcBorders>
              <w:top w:val="single" w:sz="4" w:space="0" w:color="D0CECE"/>
              <w:bottom w:val="single" w:sz="4" w:space="0" w:color="D0CECE"/>
            </w:tcBorders>
            <w:tcMar>
              <w:top w:w="-113" w:type="dxa"/>
              <w:left w:w="-113" w:type="dxa"/>
              <w:bottom w:w="-113" w:type="dxa"/>
              <w:right w:w="-113" w:type="dxa"/>
            </w:tcMar>
          </w:tcPr>
          <w:p w14:paraId="37A36B6A" w14:textId="77777777" w:rsidR="00830D35" w:rsidRDefault="00830D35" w:rsidP="00830D35">
            <w:pPr>
              <w:rPr>
                <w:sz w:val="16"/>
                <w:szCs w:val="16"/>
              </w:rPr>
            </w:pPr>
            <w:r>
              <w:rPr>
                <w:color w:val="000000"/>
                <w:sz w:val="16"/>
                <w:szCs w:val="16"/>
              </w:rPr>
              <w:t>CVD</w:t>
            </w:r>
          </w:p>
          <w:p w14:paraId="135C998D" w14:textId="77777777" w:rsidR="00830D35" w:rsidRDefault="00830D35" w:rsidP="00830D35">
            <w:pPr>
              <w:rPr>
                <w:sz w:val="16"/>
                <w:szCs w:val="16"/>
              </w:rPr>
            </w:pPr>
            <w:r>
              <w:rPr>
                <w:sz w:val="16"/>
                <w:szCs w:val="16"/>
              </w:rPr>
              <w:t>CIMT</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627B7A1B" w14:textId="77777777" w:rsidR="00830D35" w:rsidRPr="00641BD3" w:rsidRDefault="00830D35" w:rsidP="00830D35">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36084D61" w14:textId="77777777" w:rsidR="00830D35" w:rsidRPr="00641BD3" w:rsidRDefault="00830D35" w:rsidP="00830D35">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p w14:paraId="778D4778" w14:textId="77777777" w:rsidR="00830D35" w:rsidRPr="00641BD3" w:rsidRDefault="00830D35" w:rsidP="00830D35">
            <w:pPr>
              <w:rPr>
                <w:sz w:val="16"/>
                <w:szCs w:val="16"/>
                <w:lang w:val="es-ES"/>
              </w:rPr>
            </w:pPr>
          </w:p>
        </w:tc>
      </w:tr>
      <w:tr w:rsidR="00830D35" w14:paraId="0D416CE8"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214DCB8" w14:textId="77777777" w:rsidR="00830D35" w:rsidRPr="00641BD3" w:rsidRDefault="00830D35" w:rsidP="00830D35">
            <w:pPr>
              <w:widowControl w:val="0"/>
              <w:pBdr>
                <w:top w:val="nil"/>
                <w:left w:val="nil"/>
                <w:bottom w:val="nil"/>
                <w:right w:val="nil"/>
                <w:between w:val="nil"/>
              </w:pBdr>
              <w:spacing w:line="276" w:lineRule="auto"/>
              <w:rPr>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564601A" w14:textId="77777777" w:rsidR="00830D35" w:rsidRPr="00641BD3" w:rsidRDefault="00830D35" w:rsidP="00830D35">
            <w:pPr>
              <w:widowControl w:val="0"/>
              <w:pBdr>
                <w:top w:val="nil"/>
                <w:left w:val="nil"/>
                <w:bottom w:val="nil"/>
                <w:right w:val="nil"/>
                <w:between w:val="nil"/>
              </w:pBdr>
              <w:spacing w:line="276" w:lineRule="auto"/>
              <w:rPr>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56C7AD72" w14:textId="77777777" w:rsidR="00830D35" w:rsidRDefault="00830D35" w:rsidP="00830D35">
            <w:pPr>
              <w:rPr>
                <w:color w:val="000000"/>
                <w:sz w:val="16"/>
                <w:szCs w:val="16"/>
              </w:rPr>
            </w:pPr>
            <w:r>
              <w:rPr>
                <w:color w:val="000000"/>
                <w:sz w:val="16"/>
                <w:szCs w:val="16"/>
              </w:rPr>
              <w:t>rs17112168</w:t>
            </w:r>
          </w:p>
        </w:tc>
        <w:tc>
          <w:tcPr>
            <w:tcW w:w="851" w:type="dxa"/>
            <w:tcBorders>
              <w:top w:val="single" w:sz="4" w:space="0" w:color="D0CECE"/>
              <w:bottom w:val="single" w:sz="4" w:space="0" w:color="D0CECE"/>
            </w:tcBorders>
            <w:tcMar>
              <w:top w:w="-113" w:type="dxa"/>
              <w:left w:w="-113" w:type="dxa"/>
              <w:bottom w:w="-113" w:type="dxa"/>
              <w:right w:w="-113" w:type="dxa"/>
            </w:tcMar>
          </w:tcPr>
          <w:p w14:paraId="4555CCC0" w14:textId="77777777" w:rsidR="00830D35" w:rsidRDefault="00830D35" w:rsidP="00830D35">
            <w:pPr>
              <w:rPr>
                <w:color w:val="000000"/>
                <w:sz w:val="16"/>
                <w:szCs w:val="16"/>
              </w:rPr>
            </w:pPr>
            <w:r>
              <w:rPr>
                <w:color w:val="000000"/>
                <w:sz w:val="16"/>
                <w:szCs w:val="16"/>
              </w:rPr>
              <w:t>C&gt;A</w:t>
            </w:r>
          </w:p>
        </w:tc>
        <w:tc>
          <w:tcPr>
            <w:tcW w:w="1701" w:type="dxa"/>
            <w:tcBorders>
              <w:top w:val="single" w:sz="4" w:space="0" w:color="D0CECE"/>
              <w:bottom w:val="single" w:sz="4" w:space="0" w:color="D0CECE"/>
            </w:tcBorders>
            <w:tcMar>
              <w:top w:w="-113" w:type="dxa"/>
              <w:left w:w="-113" w:type="dxa"/>
              <w:bottom w:w="-113" w:type="dxa"/>
              <w:right w:w="-113" w:type="dxa"/>
            </w:tcMar>
          </w:tcPr>
          <w:p w14:paraId="079CAF88" w14:textId="77777777" w:rsidR="00830D35" w:rsidRDefault="00830D35" w:rsidP="00830D35">
            <w:pPr>
              <w:rPr>
                <w:color w:val="000000"/>
                <w:sz w:val="16"/>
                <w:szCs w:val="16"/>
              </w:rPr>
            </w:pPr>
            <w:r>
              <w:rPr>
                <w:sz w:val="16"/>
                <w:szCs w:val="16"/>
              </w:rPr>
              <w:t>2KB Upstream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2106965A"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14C2B90A"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20FA5119"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1FBC39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28A6FD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23F23120" w14:textId="77777777" w:rsidR="00830D35" w:rsidRDefault="00830D35" w:rsidP="00830D35">
            <w:pPr>
              <w:rPr>
                <w:color w:val="000000"/>
                <w:sz w:val="16"/>
                <w:szCs w:val="16"/>
              </w:rPr>
            </w:pPr>
            <w:r>
              <w:rPr>
                <w:color w:val="000000"/>
                <w:sz w:val="16"/>
                <w:szCs w:val="16"/>
              </w:rPr>
              <w:t>rs1713420</w:t>
            </w:r>
          </w:p>
        </w:tc>
        <w:tc>
          <w:tcPr>
            <w:tcW w:w="851" w:type="dxa"/>
            <w:tcBorders>
              <w:top w:val="single" w:sz="4" w:space="0" w:color="D0CECE"/>
              <w:bottom w:val="single" w:sz="4" w:space="0" w:color="D0CECE"/>
            </w:tcBorders>
            <w:tcMar>
              <w:top w:w="-113" w:type="dxa"/>
              <w:left w:w="-113" w:type="dxa"/>
              <w:bottom w:w="-113" w:type="dxa"/>
              <w:right w:w="-113" w:type="dxa"/>
            </w:tcMar>
          </w:tcPr>
          <w:p w14:paraId="1D53692D" w14:textId="77777777" w:rsidR="00830D35" w:rsidRDefault="00830D35" w:rsidP="00830D35">
            <w:pPr>
              <w:rPr>
                <w:color w:val="000000"/>
                <w:sz w:val="16"/>
                <w:szCs w:val="16"/>
              </w:rPr>
            </w:pPr>
            <w:r>
              <w:rPr>
                <w:color w:val="000000"/>
                <w:sz w:val="16"/>
                <w:szCs w:val="16"/>
              </w:rPr>
              <w:t>A&gt;G</w:t>
            </w:r>
          </w:p>
        </w:tc>
        <w:tc>
          <w:tcPr>
            <w:tcW w:w="1701" w:type="dxa"/>
            <w:tcBorders>
              <w:top w:val="single" w:sz="4" w:space="0" w:color="D0CECE"/>
              <w:bottom w:val="single" w:sz="4" w:space="0" w:color="D0CECE"/>
            </w:tcBorders>
            <w:tcMar>
              <w:top w:w="-113" w:type="dxa"/>
              <w:left w:w="-113" w:type="dxa"/>
              <w:bottom w:w="-113" w:type="dxa"/>
              <w:right w:w="-113" w:type="dxa"/>
            </w:tcMar>
          </w:tcPr>
          <w:p w14:paraId="23F6A0F1"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4788FCDD"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6D5996C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4A8067AD"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E05E8D9"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3C2B29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5F49F198" w14:textId="77777777" w:rsidR="00830D35" w:rsidRDefault="00830D35" w:rsidP="00830D35">
            <w:pPr>
              <w:rPr>
                <w:color w:val="000000"/>
                <w:sz w:val="16"/>
                <w:szCs w:val="16"/>
              </w:rPr>
            </w:pPr>
            <w:r>
              <w:rPr>
                <w:color w:val="000000"/>
                <w:sz w:val="16"/>
                <w:szCs w:val="16"/>
              </w:rPr>
              <w:t>rs1713421</w:t>
            </w:r>
          </w:p>
        </w:tc>
        <w:tc>
          <w:tcPr>
            <w:tcW w:w="851" w:type="dxa"/>
            <w:tcBorders>
              <w:top w:val="single" w:sz="4" w:space="0" w:color="D0CECE"/>
              <w:bottom w:val="single" w:sz="4" w:space="0" w:color="D0CECE"/>
            </w:tcBorders>
            <w:tcMar>
              <w:top w:w="-113" w:type="dxa"/>
              <w:left w:w="-113" w:type="dxa"/>
              <w:bottom w:w="-113" w:type="dxa"/>
              <w:right w:w="-113" w:type="dxa"/>
            </w:tcMar>
          </w:tcPr>
          <w:p w14:paraId="32C62A8A" w14:textId="77777777" w:rsidR="00830D35" w:rsidRDefault="00830D35" w:rsidP="00830D35">
            <w:pPr>
              <w:rPr>
                <w:color w:val="000000"/>
                <w:sz w:val="16"/>
                <w:szCs w:val="16"/>
              </w:rPr>
            </w:pPr>
            <w:r>
              <w:rPr>
                <w:color w:val="000000"/>
                <w:sz w:val="16"/>
                <w:szCs w:val="16"/>
              </w:rPr>
              <w:t>T&gt;</w:t>
            </w:r>
            <w:proofErr w:type="gramStart"/>
            <w:r>
              <w:rPr>
                <w:color w:val="000000"/>
                <w:sz w:val="16"/>
                <w:szCs w:val="16"/>
              </w:rPr>
              <w:t>A,G</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775AAD32"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6CB358CA"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3762205D"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411CDB4E"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B163429"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DDBDA5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56542674" w14:textId="77777777" w:rsidR="00830D35" w:rsidRDefault="00830D35" w:rsidP="00830D35">
            <w:pPr>
              <w:rPr>
                <w:color w:val="000000"/>
                <w:sz w:val="16"/>
                <w:szCs w:val="16"/>
              </w:rPr>
            </w:pPr>
            <w:r>
              <w:rPr>
                <w:color w:val="000000"/>
                <w:sz w:val="16"/>
                <w:szCs w:val="16"/>
              </w:rPr>
              <w:t>rs1756369</w:t>
            </w:r>
          </w:p>
        </w:tc>
        <w:tc>
          <w:tcPr>
            <w:tcW w:w="851" w:type="dxa"/>
            <w:tcBorders>
              <w:top w:val="single" w:sz="4" w:space="0" w:color="D0CECE"/>
              <w:bottom w:val="single" w:sz="4" w:space="0" w:color="D0CECE"/>
            </w:tcBorders>
            <w:tcMar>
              <w:top w:w="-113" w:type="dxa"/>
              <w:left w:w="-113" w:type="dxa"/>
              <w:bottom w:w="-113" w:type="dxa"/>
              <w:right w:w="-113" w:type="dxa"/>
            </w:tcMar>
          </w:tcPr>
          <w:p w14:paraId="75540ABA" w14:textId="77777777" w:rsidR="00830D35" w:rsidRDefault="00830D35" w:rsidP="00830D35">
            <w:pPr>
              <w:rPr>
                <w:color w:val="000000"/>
                <w:sz w:val="16"/>
                <w:szCs w:val="16"/>
              </w:rPr>
            </w:pPr>
            <w:r>
              <w:rPr>
                <w:color w:val="000000"/>
                <w:sz w:val="16"/>
                <w:szCs w:val="16"/>
              </w:rPr>
              <w:t>T&gt;A</w:t>
            </w:r>
          </w:p>
        </w:tc>
        <w:tc>
          <w:tcPr>
            <w:tcW w:w="1701" w:type="dxa"/>
            <w:tcBorders>
              <w:top w:val="single" w:sz="4" w:space="0" w:color="D0CECE"/>
              <w:bottom w:val="single" w:sz="4" w:space="0" w:color="D0CECE"/>
            </w:tcBorders>
            <w:tcMar>
              <w:top w:w="-113" w:type="dxa"/>
              <w:left w:w="-113" w:type="dxa"/>
              <w:bottom w:w="-113" w:type="dxa"/>
              <w:right w:w="-113" w:type="dxa"/>
            </w:tcMar>
          </w:tcPr>
          <w:p w14:paraId="342C7290"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2833D4DB"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6779A78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0B68AB91"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B16237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B5A734D"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806353B" w14:textId="77777777" w:rsidR="00830D35" w:rsidRDefault="00830D35" w:rsidP="00830D35">
            <w:pPr>
              <w:rPr>
                <w:color w:val="000000"/>
                <w:sz w:val="16"/>
                <w:szCs w:val="16"/>
              </w:rPr>
            </w:pPr>
            <w:r>
              <w:rPr>
                <w:color w:val="000000"/>
                <w:sz w:val="16"/>
                <w:szCs w:val="16"/>
              </w:rPr>
              <w:t>rs1760933</w:t>
            </w:r>
          </w:p>
        </w:tc>
        <w:tc>
          <w:tcPr>
            <w:tcW w:w="851" w:type="dxa"/>
            <w:tcBorders>
              <w:top w:val="single" w:sz="4" w:space="0" w:color="D0CECE"/>
              <w:bottom w:val="single" w:sz="4" w:space="0" w:color="D0CECE"/>
            </w:tcBorders>
            <w:tcMar>
              <w:top w:w="-113" w:type="dxa"/>
              <w:left w:w="-113" w:type="dxa"/>
              <w:bottom w:w="-113" w:type="dxa"/>
              <w:right w:w="-113" w:type="dxa"/>
            </w:tcMar>
          </w:tcPr>
          <w:p w14:paraId="7134CD41" w14:textId="77777777" w:rsidR="00830D35" w:rsidRDefault="00830D35" w:rsidP="00830D35">
            <w:pPr>
              <w:rPr>
                <w:color w:val="000000"/>
                <w:sz w:val="16"/>
                <w:szCs w:val="16"/>
              </w:rPr>
            </w:pPr>
            <w:r>
              <w:rPr>
                <w:color w:val="000000"/>
                <w:sz w:val="16"/>
                <w:szCs w:val="16"/>
              </w:rPr>
              <w:t>T&gt;</w:t>
            </w:r>
            <w:proofErr w:type="gramStart"/>
            <w:r>
              <w:rPr>
                <w:color w:val="000000"/>
                <w:sz w:val="16"/>
                <w:szCs w:val="16"/>
              </w:rPr>
              <w:t>A,C</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11B338FE" w14:textId="77777777" w:rsidR="00830D35" w:rsidRDefault="00830D35" w:rsidP="00830D35">
            <w:pPr>
              <w:rPr>
                <w:color w:val="000000"/>
                <w:sz w:val="16"/>
                <w:szCs w:val="16"/>
              </w:rPr>
            </w:pPr>
            <w:r>
              <w:rPr>
                <w:sz w:val="16"/>
                <w:szCs w:val="16"/>
              </w:rPr>
              <w:t>500B Downstream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239E1DD9"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3EBE2C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020462DB"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98A8C0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32AC4C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7ACBF722" w14:textId="77777777" w:rsidR="00830D35" w:rsidRDefault="00830D35" w:rsidP="00830D35">
            <w:pPr>
              <w:rPr>
                <w:color w:val="000000"/>
                <w:sz w:val="16"/>
                <w:szCs w:val="16"/>
              </w:rPr>
            </w:pPr>
            <w:r>
              <w:rPr>
                <w:color w:val="000000"/>
                <w:sz w:val="16"/>
                <w:szCs w:val="16"/>
              </w:rPr>
              <w:t>rs1760935</w:t>
            </w:r>
          </w:p>
        </w:tc>
        <w:tc>
          <w:tcPr>
            <w:tcW w:w="851" w:type="dxa"/>
            <w:tcBorders>
              <w:top w:val="single" w:sz="4" w:space="0" w:color="D0CECE"/>
              <w:bottom w:val="single" w:sz="4" w:space="0" w:color="D0CECE"/>
            </w:tcBorders>
            <w:tcMar>
              <w:top w:w="-113" w:type="dxa"/>
              <w:left w:w="-113" w:type="dxa"/>
              <w:bottom w:w="-113" w:type="dxa"/>
              <w:right w:w="-113" w:type="dxa"/>
            </w:tcMar>
          </w:tcPr>
          <w:p w14:paraId="7DD4C251" w14:textId="77777777" w:rsidR="00830D35" w:rsidRDefault="00830D35" w:rsidP="00830D35">
            <w:pPr>
              <w:rPr>
                <w:color w:val="000000"/>
                <w:sz w:val="16"/>
                <w:szCs w:val="16"/>
              </w:rPr>
            </w:pPr>
            <w:r>
              <w:rPr>
                <w:color w:val="000000"/>
                <w:sz w:val="16"/>
                <w:szCs w:val="16"/>
              </w:rPr>
              <w:t>A&gt;G</w:t>
            </w:r>
          </w:p>
        </w:tc>
        <w:tc>
          <w:tcPr>
            <w:tcW w:w="1701" w:type="dxa"/>
            <w:tcBorders>
              <w:top w:val="single" w:sz="4" w:space="0" w:color="D0CECE"/>
              <w:bottom w:val="single" w:sz="4" w:space="0" w:color="D0CECE"/>
            </w:tcBorders>
            <w:tcMar>
              <w:top w:w="-113" w:type="dxa"/>
              <w:left w:w="-113" w:type="dxa"/>
              <w:bottom w:w="-113" w:type="dxa"/>
              <w:right w:w="-113" w:type="dxa"/>
            </w:tcMar>
          </w:tcPr>
          <w:p w14:paraId="662F9E13"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4BD03A75"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E5F888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3A2E7BCF"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D51228D"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CA787D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21417CE" w14:textId="77777777" w:rsidR="00830D35" w:rsidRDefault="00830D35" w:rsidP="00830D35">
            <w:pPr>
              <w:rPr>
                <w:color w:val="000000"/>
                <w:sz w:val="16"/>
                <w:szCs w:val="16"/>
              </w:rPr>
            </w:pPr>
            <w:r>
              <w:rPr>
                <w:color w:val="000000"/>
                <w:sz w:val="16"/>
                <w:szCs w:val="16"/>
              </w:rPr>
              <w:t>rs1760940</w:t>
            </w:r>
          </w:p>
        </w:tc>
        <w:tc>
          <w:tcPr>
            <w:tcW w:w="851" w:type="dxa"/>
            <w:tcBorders>
              <w:top w:val="single" w:sz="4" w:space="0" w:color="D0CECE"/>
              <w:bottom w:val="single" w:sz="4" w:space="0" w:color="D0CECE"/>
            </w:tcBorders>
            <w:tcMar>
              <w:top w:w="-113" w:type="dxa"/>
              <w:left w:w="-113" w:type="dxa"/>
              <w:bottom w:w="-113" w:type="dxa"/>
              <w:right w:w="-113" w:type="dxa"/>
            </w:tcMar>
          </w:tcPr>
          <w:p w14:paraId="47E2109A" w14:textId="77777777" w:rsidR="00830D35" w:rsidRDefault="00830D35" w:rsidP="00830D35">
            <w:pPr>
              <w:rPr>
                <w:color w:val="000000"/>
                <w:sz w:val="16"/>
                <w:szCs w:val="16"/>
              </w:rPr>
            </w:pPr>
            <w:r>
              <w:rPr>
                <w:color w:val="000000"/>
                <w:sz w:val="16"/>
                <w:szCs w:val="16"/>
              </w:rPr>
              <w:t>A&gt;C</w:t>
            </w:r>
          </w:p>
        </w:tc>
        <w:tc>
          <w:tcPr>
            <w:tcW w:w="1701" w:type="dxa"/>
            <w:tcBorders>
              <w:top w:val="single" w:sz="4" w:space="0" w:color="D0CECE"/>
              <w:bottom w:val="single" w:sz="4" w:space="0" w:color="D0CECE"/>
            </w:tcBorders>
            <w:tcMar>
              <w:top w:w="-113" w:type="dxa"/>
              <w:left w:w="-113" w:type="dxa"/>
              <w:bottom w:w="-113" w:type="dxa"/>
              <w:right w:w="-113" w:type="dxa"/>
            </w:tcMar>
          </w:tcPr>
          <w:p w14:paraId="46A3CAD2"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14A8C33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2954EDAB"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4AB9619B"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450810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F71BDCF"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98B7BC1" w14:textId="77777777" w:rsidR="00830D35" w:rsidRDefault="00830D35" w:rsidP="00830D35">
            <w:pPr>
              <w:rPr>
                <w:color w:val="000000"/>
                <w:sz w:val="16"/>
                <w:szCs w:val="16"/>
              </w:rPr>
            </w:pPr>
            <w:r>
              <w:rPr>
                <w:color w:val="000000"/>
                <w:sz w:val="16"/>
                <w:szCs w:val="16"/>
              </w:rPr>
              <w:t>rs17878900</w:t>
            </w:r>
          </w:p>
        </w:tc>
        <w:tc>
          <w:tcPr>
            <w:tcW w:w="851" w:type="dxa"/>
            <w:tcBorders>
              <w:top w:val="single" w:sz="4" w:space="0" w:color="D0CECE"/>
              <w:bottom w:val="single" w:sz="4" w:space="0" w:color="D0CECE"/>
            </w:tcBorders>
            <w:tcMar>
              <w:top w:w="-113" w:type="dxa"/>
              <w:left w:w="-113" w:type="dxa"/>
              <w:bottom w:w="-113" w:type="dxa"/>
              <w:right w:w="-113" w:type="dxa"/>
            </w:tcMar>
          </w:tcPr>
          <w:p w14:paraId="47174E84" w14:textId="77777777" w:rsidR="00830D35" w:rsidRDefault="00830D35" w:rsidP="00830D35">
            <w:pPr>
              <w:rPr>
                <w:color w:val="000000"/>
                <w:sz w:val="16"/>
                <w:szCs w:val="16"/>
              </w:rPr>
            </w:pPr>
            <w:r>
              <w:rPr>
                <w:color w:val="000000"/>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642BE8A8" w14:textId="77777777" w:rsidR="00830D35" w:rsidRDefault="00830D35" w:rsidP="00830D35">
            <w:pPr>
              <w:rPr>
                <w:color w:val="000000"/>
                <w:sz w:val="16"/>
                <w:szCs w:val="16"/>
              </w:rPr>
            </w:pPr>
            <w:r>
              <w:rPr>
                <w:sz w:val="16"/>
                <w:szCs w:val="16"/>
              </w:rPr>
              <w:t>500B Downstream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0389528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46306C59"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640E5A9A"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4E257E4"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A52A4D6"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F8A8BDF" w14:textId="77777777" w:rsidR="00830D35" w:rsidRDefault="00830D35" w:rsidP="00830D35">
            <w:pPr>
              <w:rPr>
                <w:color w:val="000000"/>
                <w:sz w:val="16"/>
                <w:szCs w:val="16"/>
              </w:rPr>
            </w:pPr>
            <w:r>
              <w:rPr>
                <w:color w:val="000000"/>
                <w:sz w:val="16"/>
                <w:szCs w:val="16"/>
              </w:rPr>
              <w:t>rs17879107</w:t>
            </w:r>
          </w:p>
        </w:tc>
        <w:tc>
          <w:tcPr>
            <w:tcW w:w="851" w:type="dxa"/>
            <w:tcBorders>
              <w:top w:val="single" w:sz="4" w:space="0" w:color="D0CECE"/>
              <w:bottom w:val="single" w:sz="4" w:space="0" w:color="D0CECE"/>
            </w:tcBorders>
            <w:tcMar>
              <w:top w:w="-113" w:type="dxa"/>
              <w:left w:w="-113" w:type="dxa"/>
              <w:bottom w:w="-113" w:type="dxa"/>
              <w:right w:w="-113" w:type="dxa"/>
            </w:tcMar>
          </w:tcPr>
          <w:p w14:paraId="5124B397" w14:textId="77777777" w:rsidR="00830D35" w:rsidRDefault="00830D35" w:rsidP="00830D35">
            <w:pPr>
              <w:rPr>
                <w:color w:val="000000"/>
                <w:sz w:val="16"/>
                <w:szCs w:val="16"/>
              </w:rPr>
            </w:pPr>
            <w:r>
              <w:rPr>
                <w:color w:val="000000"/>
                <w:sz w:val="16"/>
                <w:szCs w:val="16"/>
              </w:rPr>
              <w:t>T&gt;G</w:t>
            </w:r>
          </w:p>
        </w:tc>
        <w:tc>
          <w:tcPr>
            <w:tcW w:w="1701" w:type="dxa"/>
            <w:tcBorders>
              <w:top w:val="single" w:sz="4" w:space="0" w:color="D0CECE"/>
              <w:bottom w:val="single" w:sz="4" w:space="0" w:color="D0CECE"/>
            </w:tcBorders>
            <w:tcMar>
              <w:top w:w="-113" w:type="dxa"/>
              <w:left w:w="-113" w:type="dxa"/>
              <w:bottom w:w="-113" w:type="dxa"/>
              <w:right w:w="-113" w:type="dxa"/>
            </w:tcMar>
          </w:tcPr>
          <w:p w14:paraId="080A8FEF"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184082C4"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7DE562DB"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4EBA826F"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5B6A72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B366705"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111AEFFA" w14:textId="77777777" w:rsidR="00830D35" w:rsidRDefault="00830D35" w:rsidP="00830D35">
            <w:pPr>
              <w:rPr>
                <w:color w:val="000000"/>
                <w:sz w:val="16"/>
                <w:szCs w:val="16"/>
              </w:rPr>
            </w:pPr>
            <w:r>
              <w:rPr>
                <w:color w:val="000000"/>
                <w:sz w:val="16"/>
                <w:szCs w:val="16"/>
              </w:rPr>
              <w:t>rs17880290</w:t>
            </w:r>
          </w:p>
        </w:tc>
        <w:tc>
          <w:tcPr>
            <w:tcW w:w="851" w:type="dxa"/>
            <w:tcBorders>
              <w:top w:val="single" w:sz="4" w:space="0" w:color="D0CECE"/>
              <w:bottom w:val="single" w:sz="4" w:space="0" w:color="D0CECE"/>
            </w:tcBorders>
            <w:tcMar>
              <w:top w:w="-113" w:type="dxa"/>
              <w:left w:w="-113" w:type="dxa"/>
              <w:bottom w:w="-113" w:type="dxa"/>
              <w:right w:w="-113" w:type="dxa"/>
            </w:tcMar>
          </w:tcPr>
          <w:p w14:paraId="51751665" w14:textId="77777777" w:rsidR="00830D35" w:rsidRDefault="00830D35" w:rsidP="00830D35">
            <w:pPr>
              <w:rPr>
                <w:color w:val="000000"/>
                <w:sz w:val="16"/>
                <w:szCs w:val="16"/>
              </w:rPr>
            </w:pPr>
            <w:r>
              <w:rPr>
                <w:color w:val="000000"/>
                <w:sz w:val="16"/>
                <w:szCs w:val="16"/>
              </w:rPr>
              <w:t>G&gt;A</w:t>
            </w:r>
          </w:p>
        </w:tc>
        <w:tc>
          <w:tcPr>
            <w:tcW w:w="1701" w:type="dxa"/>
            <w:tcBorders>
              <w:top w:val="single" w:sz="4" w:space="0" w:color="D0CECE"/>
              <w:bottom w:val="single" w:sz="4" w:space="0" w:color="D0CECE"/>
            </w:tcBorders>
            <w:tcMar>
              <w:top w:w="-113" w:type="dxa"/>
              <w:left w:w="-113" w:type="dxa"/>
              <w:bottom w:w="-113" w:type="dxa"/>
              <w:right w:w="-113" w:type="dxa"/>
            </w:tcMar>
          </w:tcPr>
          <w:p w14:paraId="13E912F6" w14:textId="77777777" w:rsidR="00830D35" w:rsidRDefault="00830D35" w:rsidP="00830D35">
            <w:pPr>
              <w:rPr>
                <w:color w:val="000000"/>
                <w:sz w:val="16"/>
                <w:szCs w:val="16"/>
              </w:rPr>
            </w:pPr>
            <w:r>
              <w:rPr>
                <w:sz w:val="16"/>
                <w:szCs w:val="16"/>
              </w:rPr>
              <w:t>2KB Upstream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6F891AEA"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79DA820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233A4129"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42AB1F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4FA422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1FC96BFA" w14:textId="77777777" w:rsidR="00830D35" w:rsidRDefault="00830D35" w:rsidP="00830D35">
            <w:pPr>
              <w:rPr>
                <w:color w:val="000000"/>
                <w:sz w:val="16"/>
                <w:szCs w:val="16"/>
              </w:rPr>
            </w:pPr>
            <w:r>
              <w:rPr>
                <w:color w:val="000000"/>
                <w:sz w:val="16"/>
                <w:szCs w:val="16"/>
              </w:rPr>
              <w:t>rs17880503</w:t>
            </w:r>
          </w:p>
        </w:tc>
        <w:tc>
          <w:tcPr>
            <w:tcW w:w="851" w:type="dxa"/>
            <w:tcBorders>
              <w:top w:val="single" w:sz="4" w:space="0" w:color="D0CECE"/>
              <w:bottom w:val="single" w:sz="4" w:space="0" w:color="D0CECE"/>
            </w:tcBorders>
            <w:tcMar>
              <w:top w:w="-113" w:type="dxa"/>
              <w:left w:w="-113" w:type="dxa"/>
              <w:bottom w:w="-113" w:type="dxa"/>
              <w:right w:w="-113" w:type="dxa"/>
            </w:tcMar>
          </w:tcPr>
          <w:p w14:paraId="0D400F12" w14:textId="77777777" w:rsidR="00830D35" w:rsidRDefault="00830D35" w:rsidP="00830D35">
            <w:pPr>
              <w:rPr>
                <w:color w:val="000000"/>
                <w:sz w:val="16"/>
                <w:szCs w:val="16"/>
              </w:rPr>
            </w:pPr>
            <w:r>
              <w:rPr>
                <w:color w:val="000000"/>
                <w:sz w:val="16"/>
                <w:szCs w:val="16"/>
              </w:rPr>
              <w:t>T&gt;</w:t>
            </w:r>
            <w:proofErr w:type="gramStart"/>
            <w:r>
              <w:rPr>
                <w:color w:val="000000"/>
                <w:sz w:val="16"/>
                <w:szCs w:val="16"/>
              </w:rPr>
              <w:t>C,G</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6D8ED052" w14:textId="77777777" w:rsidR="00830D35" w:rsidRDefault="00830D35" w:rsidP="00830D35">
            <w:pPr>
              <w:rPr>
                <w:color w:val="000000"/>
                <w:sz w:val="16"/>
                <w:szCs w:val="16"/>
              </w:rPr>
            </w:pPr>
            <w:r>
              <w:rPr>
                <w:sz w:val="16"/>
                <w:szCs w:val="16"/>
              </w:rPr>
              <w:t>2KB Upstream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1ADACF2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5748E9B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6A0D6420"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CE2802A"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85B7C8F"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18C667B9" w14:textId="77777777" w:rsidR="00830D35" w:rsidRDefault="00830D35" w:rsidP="00830D35">
            <w:pPr>
              <w:rPr>
                <w:color w:val="000000"/>
                <w:sz w:val="16"/>
                <w:szCs w:val="16"/>
              </w:rPr>
            </w:pPr>
            <w:r>
              <w:rPr>
                <w:color w:val="000000"/>
                <w:sz w:val="16"/>
                <w:szCs w:val="16"/>
              </w:rPr>
              <w:t>rs17881184</w:t>
            </w:r>
          </w:p>
        </w:tc>
        <w:tc>
          <w:tcPr>
            <w:tcW w:w="851" w:type="dxa"/>
            <w:tcBorders>
              <w:top w:val="single" w:sz="4" w:space="0" w:color="D0CECE"/>
              <w:bottom w:val="single" w:sz="4" w:space="0" w:color="D0CECE"/>
            </w:tcBorders>
            <w:tcMar>
              <w:top w:w="-113" w:type="dxa"/>
              <w:left w:w="-113" w:type="dxa"/>
              <w:bottom w:w="-113" w:type="dxa"/>
              <w:right w:w="-113" w:type="dxa"/>
            </w:tcMar>
          </w:tcPr>
          <w:p w14:paraId="0E85DBA8" w14:textId="77777777" w:rsidR="00830D35" w:rsidRDefault="00830D35" w:rsidP="00830D35">
            <w:pPr>
              <w:rPr>
                <w:color w:val="000000"/>
                <w:sz w:val="16"/>
                <w:szCs w:val="16"/>
              </w:rPr>
            </w:pPr>
            <w:r>
              <w:rPr>
                <w:color w:val="000000"/>
                <w:sz w:val="16"/>
                <w:szCs w:val="16"/>
              </w:rPr>
              <w:t>A&gt;G</w:t>
            </w:r>
          </w:p>
        </w:tc>
        <w:tc>
          <w:tcPr>
            <w:tcW w:w="1701" w:type="dxa"/>
            <w:tcBorders>
              <w:top w:val="single" w:sz="4" w:space="0" w:color="D0CECE"/>
              <w:bottom w:val="single" w:sz="4" w:space="0" w:color="D0CECE"/>
            </w:tcBorders>
            <w:tcMar>
              <w:top w:w="-113" w:type="dxa"/>
              <w:left w:w="-113" w:type="dxa"/>
              <w:bottom w:w="-113" w:type="dxa"/>
              <w:right w:w="-113" w:type="dxa"/>
            </w:tcMar>
          </w:tcPr>
          <w:p w14:paraId="40487F64"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384C047B"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5754C4C3"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5F21CE66"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EC7000F"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35A1085"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138ACB0" w14:textId="77777777" w:rsidR="00830D35" w:rsidRDefault="00830D35" w:rsidP="00830D35">
            <w:pPr>
              <w:rPr>
                <w:color w:val="000000"/>
                <w:sz w:val="16"/>
                <w:szCs w:val="16"/>
              </w:rPr>
            </w:pPr>
            <w:r>
              <w:rPr>
                <w:color w:val="000000"/>
                <w:sz w:val="16"/>
                <w:szCs w:val="16"/>
              </w:rPr>
              <w:t>rs17881554</w:t>
            </w:r>
          </w:p>
        </w:tc>
        <w:tc>
          <w:tcPr>
            <w:tcW w:w="851" w:type="dxa"/>
            <w:tcBorders>
              <w:top w:val="single" w:sz="4" w:space="0" w:color="D0CECE"/>
              <w:bottom w:val="single" w:sz="4" w:space="0" w:color="D0CECE"/>
            </w:tcBorders>
            <w:tcMar>
              <w:top w:w="-113" w:type="dxa"/>
              <w:left w:w="-113" w:type="dxa"/>
              <w:bottom w:w="-113" w:type="dxa"/>
              <w:right w:w="-113" w:type="dxa"/>
            </w:tcMar>
          </w:tcPr>
          <w:p w14:paraId="3645A4C5" w14:textId="77777777" w:rsidR="00830D35" w:rsidRDefault="00830D35" w:rsidP="00830D35">
            <w:pPr>
              <w:rPr>
                <w:color w:val="000000"/>
                <w:sz w:val="16"/>
                <w:szCs w:val="16"/>
              </w:rPr>
            </w:pPr>
            <w:r>
              <w:rPr>
                <w:color w:val="000000"/>
                <w:sz w:val="16"/>
                <w:szCs w:val="16"/>
              </w:rPr>
              <w:t>T&gt;A</w:t>
            </w:r>
          </w:p>
        </w:tc>
        <w:tc>
          <w:tcPr>
            <w:tcW w:w="1701" w:type="dxa"/>
            <w:tcBorders>
              <w:top w:val="single" w:sz="4" w:space="0" w:color="D0CECE"/>
              <w:bottom w:val="single" w:sz="4" w:space="0" w:color="D0CECE"/>
            </w:tcBorders>
            <w:tcMar>
              <w:top w:w="-113" w:type="dxa"/>
              <w:left w:w="-113" w:type="dxa"/>
              <w:bottom w:w="-113" w:type="dxa"/>
              <w:right w:w="-113" w:type="dxa"/>
            </w:tcMar>
          </w:tcPr>
          <w:p w14:paraId="28CEE253" w14:textId="77777777" w:rsidR="00830D35" w:rsidRDefault="00830D35" w:rsidP="00830D35">
            <w:pPr>
              <w:rPr>
                <w:color w:val="000000"/>
                <w:sz w:val="16"/>
                <w:szCs w:val="16"/>
              </w:rPr>
            </w:pPr>
            <w:r>
              <w:rPr>
                <w:color w:val="000000"/>
                <w:sz w:val="16"/>
                <w:szCs w:val="16"/>
              </w:rPr>
              <w:t>Synonymous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23CD4BF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15E72276"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05ECB492"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EF80E79"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D50159D"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045A2A31" w14:textId="77777777" w:rsidR="00830D35" w:rsidRDefault="00830D35" w:rsidP="00830D35">
            <w:pPr>
              <w:rPr>
                <w:sz w:val="16"/>
                <w:szCs w:val="16"/>
              </w:rPr>
            </w:pPr>
            <w:r>
              <w:rPr>
                <w:color w:val="000000"/>
                <w:sz w:val="16"/>
                <w:szCs w:val="16"/>
              </w:rPr>
              <w:t>rs17882836</w:t>
            </w:r>
          </w:p>
          <w:p w14:paraId="12113A8C" w14:textId="77777777" w:rsidR="00830D35" w:rsidRDefault="00830D35" w:rsidP="00830D35">
            <w:pPr>
              <w:rPr>
                <w:sz w:val="16"/>
                <w:szCs w:val="16"/>
              </w:rPr>
            </w:pPr>
          </w:p>
        </w:tc>
        <w:tc>
          <w:tcPr>
            <w:tcW w:w="85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39FFCECC" w14:textId="77777777" w:rsidR="00830D35" w:rsidRDefault="00830D35" w:rsidP="00830D35">
            <w:pPr>
              <w:rPr>
                <w:color w:val="000000"/>
                <w:sz w:val="16"/>
                <w:szCs w:val="16"/>
              </w:rPr>
            </w:pPr>
            <w:r>
              <w:rPr>
                <w:color w:val="000000"/>
                <w:sz w:val="16"/>
                <w:szCs w:val="16"/>
              </w:rPr>
              <w:t>G&gt;</w:t>
            </w:r>
            <w:proofErr w:type="gramStart"/>
            <w:r>
              <w:rPr>
                <w:color w:val="000000"/>
                <w:sz w:val="16"/>
                <w:szCs w:val="16"/>
              </w:rPr>
              <w:t>A,T</w:t>
            </w:r>
            <w:proofErr w:type="gramEnd"/>
          </w:p>
        </w:tc>
        <w:tc>
          <w:tcPr>
            <w:tcW w:w="170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25AD3BF5" w14:textId="77777777" w:rsidR="00830D35" w:rsidRDefault="00830D35" w:rsidP="00830D35">
            <w:pPr>
              <w:rPr>
                <w:color w:val="000000"/>
                <w:sz w:val="16"/>
                <w:szCs w:val="16"/>
              </w:rPr>
            </w:pPr>
            <w:r>
              <w:rPr>
                <w:sz w:val="16"/>
                <w:szCs w:val="16"/>
              </w:rPr>
              <w:t>Intron variant</w:t>
            </w:r>
          </w:p>
        </w:tc>
        <w:tc>
          <w:tcPr>
            <w:tcW w:w="708" w:type="dxa"/>
            <w:tcBorders>
              <w:top w:val="single" w:sz="4" w:space="0" w:color="D0CECE"/>
              <w:bottom w:val="single" w:sz="4" w:space="0" w:color="D0CECE"/>
            </w:tcBorders>
            <w:shd w:val="clear" w:color="auto" w:fill="auto"/>
            <w:tcMar>
              <w:top w:w="-113" w:type="dxa"/>
              <w:left w:w="-113" w:type="dxa"/>
              <w:bottom w:w="-113" w:type="dxa"/>
              <w:right w:w="-113" w:type="dxa"/>
            </w:tcMar>
          </w:tcPr>
          <w:p w14:paraId="01E1E34D" w14:textId="77777777" w:rsidR="00830D35" w:rsidRDefault="00830D35" w:rsidP="00830D35">
            <w:pPr>
              <w:rPr>
                <w:color w:val="000000"/>
                <w:sz w:val="16"/>
                <w:szCs w:val="16"/>
              </w:rPr>
            </w:pPr>
            <w:r>
              <w:rPr>
                <w:color w:val="000000"/>
                <w:sz w:val="16"/>
                <w:szCs w:val="16"/>
              </w:rPr>
              <w:t>SBP</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51D9A46A" w14:textId="77777777" w:rsidR="00830D35" w:rsidRDefault="00830D35" w:rsidP="00830D35">
            <w:pPr>
              <w:rPr>
                <w:sz w:val="16"/>
                <w:szCs w:val="16"/>
              </w:rPr>
            </w:pPr>
            <w:r>
              <w:rPr>
                <w:sz w:val="16"/>
                <w:szCs w:val="16"/>
              </w:rPr>
              <w:t xml:space="preserve">Farzan </w:t>
            </w:r>
            <w:r>
              <w:rPr>
                <w:i/>
                <w:sz w:val="16"/>
                <w:szCs w:val="16"/>
              </w:rPr>
              <w:t>et al.</w:t>
            </w:r>
            <w:r>
              <w:rPr>
                <w:sz w:val="16"/>
                <w:szCs w:val="16"/>
              </w:rPr>
              <w:t xml:space="preserve"> 2016</w:t>
            </w:r>
          </w:p>
          <w:p w14:paraId="25854D21" w14:textId="77777777" w:rsidR="00830D35" w:rsidRDefault="00830D35" w:rsidP="00830D35">
            <w:pPr>
              <w:rPr>
                <w:sz w:val="16"/>
                <w:szCs w:val="16"/>
              </w:rPr>
            </w:pPr>
          </w:p>
        </w:tc>
      </w:tr>
      <w:tr w:rsidR="00830D35" w14:paraId="4F43ED76"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4D806C0" w14:textId="77777777" w:rsidR="00830D35" w:rsidRDefault="00830D35" w:rsidP="00830D35">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E87D90D" w14:textId="77777777" w:rsidR="00830D35" w:rsidRDefault="00830D35" w:rsidP="00830D35">
            <w:pPr>
              <w:widowControl w:val="0"/>
              <w:pBdr>
                <w:top w:val="nil"/>
                <w:left w:val="nil"/>
                <w:bottom w:val="nil"/>
                <w:right w:val="nil"/>
                <w:between w:val="nil"/>
              </w:pBdr>
              <w:spacing w:line="276" w:lineRule="auto"/>
              <w:rPr>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4C9EB7BD" w14:textId="77777777" w:rsidR="00830D35" w:rsidRDefault="00830D35" w:rsidP="00830D35">
            <w:pPr>
              <w:widowControl w:val="0"/>
              <w:pBdr>
                <w:top w:val="nil"/>
                <w:left w:val="nil"/>
                <w:bottom w:val="nil"/>
                <w:right w:val="nil"/>
                <w:between w:val="nil"/>
              </w:pBdr>
              <w:spacing w:line="276" w:lineRule="auto"/>
              <w:rPr>
                <w:sz w:val="16"/>
                <w:szCs w:val="16"/>
              </w:rPr>
            </w:pPr>
          </w:p>
        </w:tc>
        <w:tc>
          <w:tcPr>
            <w:tcW w:w="85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7FFBBCB3" w14:textId="77777777" w:rsidR="00830D35" w:rsidRDefault="00830D35" w:rsidP="00830D35">
            <w:pPr>
              <w:widowControl w:val="0"/>
              <w:pBdr>
                <w:top w:val="nil"/>
                <w:left w:val="nil"/>
                <w:bottom w:val="nil"/>
                <w:right w:val="nil"/>
                <w:between w:val="nil"/>
              </w:pBdr>
              <w:spacing w:line="276" w:lineRule="auto"/>
              <w:rPr>
                <w:sz w:val="16"/>
                <w:szCs w:val="16"/>
              </w:rPr>
            </w:pPr>
          </w:p>
        </w:tc>
        <w:tc>
          <w:tcPr>
            <w:tcW w:w="170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77832692" w14:textId="77777777" w:rsidR="00830D35" w:rsidRDefault="00830D35" w:rsidP="00830D35">
            <w:pPr>
              <w:widowControl w:val="0"/>
              <w:pBdr>
                <w:top w:val="nil"/>
                <w:left w:val="nil"/>
                <w:bottom w:val="nil"/>
                <w:right w:val="nil"/>
                <w:between w:val="nil"/>
              </w:pBdr>
              <w:spacing w:line="276" w:lineRule="auto"/>
              <w:rPr>
                <w:sz w:val="16"/>
                <w:szCs w:val="16"/>
              </w:rPr>
            </w:pPr>
          </w:p>
        </w:tc>
        <w:tc>
          <w:tcPr>
            <w:tcW w:w="708" w:type="dxa"/>
            <w:tcBorders>
              <w:top w:val="single" w:sz="4" w:space="0" w:color="D0CECE"/>
              <w:bottom w:val="single" w:sz="4" w:space="0" w:color="D0CECE"/>
            </w:tcBorders>
            <w:tcMar>
              <w:top w:w="-113" w:type="dxa"/>
              <w:left w:w="-113" w:type="dxa"/>
              <w:bottom w:w="-113" w:type="dxa"/>
              <w:right w:w="-113" w:type="dxa"/>
            </w:tcMar>
          </w:tcPr>
          <w:p w14:paraId="7D6B9F81" w14:textId="77777777" w:rsidR="00830D35" w:rsidRDefault="00830D35" w:rsidP="00830D35">
            <w:pPr>
              <w:rPr>
                <w:color w:val="000000"/>
                <w:sz w:val="16"/>
                <w:szCs w:val="16"/>
              </w:rPr>
            </w:pPr>
            <w:r>
              <w:rPr>
                <w:color w:val="000000"/>
                <w:sz w:val="16"/>
                <w:szCs w:val="16"/>
              </w:rPr>
              <w:t>BP</w:t>
            </w: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24D30A6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rsidRPr="0030321B" w14:paraId="43AB9AFF" w14:textId="77777777" w:rsidTr="00923C73">
        <w:trPr>
          <w:trHeight w:val="317"/>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BF996FD"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12260E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0EECFEB3"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34F3DF03"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0ABF429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708" w:type="dxa"/>
            <w:vMerge w:val="restart"/>
            <w:tcBorders>
              <w:top w:val="single" w:sz="4" w:space="0" w:color="D0CECE"/>
              <w:bottom w:val="single" w:sz="4" w:space="0" w:color="D0CECE"/>
            </w:tcBorders>
            <w:tcMar>
              <w:top w:w="-113" w:type="dxa"/>
              <w:left w:w="-113" w:type="dxa"/>
              <w:bottom w:w="-113" w:type="dxa"/>
              <w:right w:w="-113" w:type="dxa"/>
            </w:tcMar>
          </w:tcPr>
          <w:p w14:paraId="666A8627" w14:textId="77777777" w:rsidR="00830D35" w:rsidRDefault="00830D35" w:rsidP="00830D35">
            <w:pPr>
              <w:rPr>
                <w:sz w:val="16"/>
                <w:szCs w:val="16"/>
              </w:rPr>
            </w:pPr>
            <w:r>
              <w:rPr>
                <w:color w:val="000000"/>
                <w:sz w:val="16"/>
                <w:szCs w:val="16"/>
              </w:rPr>
              <w:t>CVD</w:t>
            </w:r>
          </w:p>
          <w:p w14:paraId="1FA96435" w14:textId="77777777" w:rsidR="00830D35" w:rsidRDefault="00830D35" w:rsidP="00830D35">
            <w:pPr>
              <w:rPr>
                <w:sz w:val="16"/>
                <w:szCs w:val="16"/>
              </w:rPr>
            </w:pPr>
            <w:r>
              <w:rPr>
                <w:sz w:val="16"/>
                <w:szCs w:val="16"/>
              </w:rPr>
              <w:t>CIMT</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4075F728" w14:textId="77777777" w:rsidR="00830D35" w:rsidRPr="00641BD3" w:rsidRDefault="00830D35" w:rsidP="00830D35">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08979253" w14:textId="77777777" w:rsidR="00830D35" w:rsidRPr="00641BD3" w:rsidRDefault="00830D35" w:rsidP="00830D35">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p w14:paraId="39D536FF" w14:textId="77777777" w:rsidR="00830D35" w:rsidRPr="00641BD3" w:rsidRDefault="00830D35" w:rsidP="00830D35">
            <w:pPr>
              <w:rPr>
                <w:sz w:val="16"/>
                <w:szCs w:val="16"/>
                <w:lang w:val="es-ES"/>
              </w:rPr>
            </w:pPr>
          </w:p>
        </w:tc>
      </w:tr>
      <w:tr w:rsidR="00830D35" w14:paraId="0B975BEC"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965F19E" w14:textId="77777777" w:rsidR="00830D35" w:rsidRPr="00641BD3" w:rsidRDefault="00830D35" w:rsidP="00830D35">
            <w:pPr>
              <w:widowControl w:val="0"/>
              <w:pBdr>
                <w:top w:val="nil"/>
                <w:left w:val="nil"/>
                <w:bottom w:val="nil"/>
                <w:right w:val="nil"/>
                <w:between w:val="nil"/>
              </w:pBdr>
              <w:spacing w:line="276" w:lineRule="auto"/>
              <w:rPr>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6F31117" w14:textId="77777777" w:rsidR="00830D35" w:rsidRPr="00641BD3" w:rsidRDefault="00830D35" w:rsidP="00830D35">
            <w:pPr>
              <w:widowControl w:val="0"/>
              <w:pBdr>
                <w:top w:val="nil"/>
                <w:left w:val="nil"/>
                <w:bottom w:val="nil"/>
                <w:right w:val="nil"/>
                <w:between w:val="nil"/>
              </w:pBdr>
              <w:spacing w:line="276" w:lineRule="auto"/>
              <w:rPr>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75E37F43" w14:textId="77777777" w:rsidR="00830D35" w:rsidRDefault="00830D35" w:rsidP="00830D35">
            <w:pPr>
              <w:rPr>
                <w:color w:val="000000"/>
                <w:sz w:val="16"/>
                <w:szCs w:val="16"/>
              </w:rPr>
            </w:pPr>
            <w:r>
              <w:rPr>
                <w:color w:val="000000"/>
                <w:sz w:val="16"/>
                <w:szCs w:val="16"/>
              </w:rPr>
              <w:t>rs17883795</w:t>
            </w:r>
          </w:p>
        </w:tc>
        <w:tc>
          <w:tcPr>
            <w:tcW w:w="851" w:type="dxa"/>
            <w:tcBorders>
              <w:top w:val="single" w:sz="4" w:space="0" w:color="D0CECE"/>
              <w:bottom w:val="single" w:sz="4" w:space="0" w:color="D0CECE"/>
            </w:tcBorders>
            <w:tcMar>
              <w:top w:w="-113" w:type="dxa"/>
              <w:left w:w="-113" w:type="dxa"/>
              <w:bottom w:w="-113" w:type="dxa"/>
              <w:right w:w="-113" w:type="dxa"/>
            </w:tcMar>
          </w:tcPr>
          <w:p w14:paraId="33961A5D" w14:textId="77777777" w:rsidR="00830D35" w:rsidRDefault="00830D35" w:rsidP="00830D35">
            <w:pPr>
              <w:rPr>
                <w:color w:val="000000"/>
                <w:sz w:val="16"/>
                <w:szCs w:val="16"/>
              </w:rPr>
            </w:pPr>
            <w:r>
              <w:rPr>
                <w:color w:val="000000"/>
                <w:sz w:val="16"/>
                <w:szCs w:val="16"/>
              </w:rPr>
              <w:t>G&gt;A</w:t>
            </w:r>
          </w:p>
        </w:tc>
        <w:tc>
          <w:tcPr>
            <w:tcW w:w="1701" w:type="dxa"/>
            <w:tcBorders>
              <w:top w:val="single" w:sz="4" w:space="0" w:color="D0CECE"/>
              <w:bottom w:val="single" w:sz="4" w:space="0" w:color="D0CECE"/>
            </w:tcBorders>
            <w:tcMar>
              <w:top w:w="-113" w:type="dxa"/>
              <w:left w:w="-113" w:type="dxa"/>
              <w:bottom w:w="-113" w:type="dxa"/>
              <w:right w:w="-113" w:type="dxa"/>
            </w:tcMar>
          </w:tcPr>
          <w:p w14:paraId="207E205A" w14:textId="77777777" w:rsidR="00830D35" w:rsidRDefault="00830D35" w:rsidP="00830D35">
            <w:pPr>
              <w:rPr>
                <w:color w:val="000000"/>
                <w:sz w:val="16"/>
                <w:szCs w:val="16"/>
              </w:rPr>
            </w:pPr>
            <w:r>
              <w:rPr>
                <w:sz w:val="16"/>
                <w:szCs w:val="16"/>
              </w:rPr>
              <w:t>500B Downstream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21ABE9E0"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5B37ED4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56A1B1FD"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8AE220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B5B862F"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6137A2A5" w14:textId="77777777" w:rsidR="00830D35" w:rsidRDefault="00830D35" w:rsidP="00830D35">
            <w:pPr>
              <w:rPr>
                <w:color w:val="000000"/>
                <w:sz w:val="16"/>
                <w:szCs w:val="16"/>
              </w:rPr>
            </w:pPr>
            <w:r>
              <w:rPr>
                <w:color w:val="000000"/>
                <w:sz w:val="16"/>
                <w:szCs w:val="16"/>
              </w:rPr>
              <w:t>rs17885714</w:t>
            </w:r>
          </w:p>
        </w:tc>
        <w:tc>
          <w:tcPr>
            <w:tcW w:w="851" w:type="dxa"/>
            <w:tcBorders>
              <w:top w:val="single" w:sz="4" w:space="0" w:color="D0CECE"/>
              <w:bottom w:val="single" w:sz="4" w:space="0" w:color="D0CECE"/>
            </w:tcBorders>
            <w:tcMar>
              <w:top w:w="-113" w:type="dxa"/>
              <w:left w:w="-113" w:type="dxa"/>
              <w:bottom w:w="-113" w:type="dxa"/>
              <w:right w:w="-113" w:type="dxa"/>
            </w:tcMar>
          </w:tcPr>
          <w:p w14:paraId="2E679186" w14:textId="77777777" w:rsidR="00830D35" w:rsidRDefault="00830D35" w:rsidP="00830D35">
            <w:pPr>
              <w:rPr>
                <w:color w:val="000000"/>
                <w:sz w:val="16"/>
                <w:szCs w:val="16"/>
              </w:rPr>
            </w:pPr>
            <w:r>
              <w:rPr>
                <w:color w:val="000000"/>
                <w:sz w:val="16"/>
                <w:szCs w:val="16"/>
              </w:rPr>
              <w:t>A&gt;G</w:t>
            </w:r>
          </w:p>
        </w:tc>
        <w:tc>
          <w:tcPr>
            <w:tcW w:w="1701" w:type="dxa"/>
            <w:tcBorders>
              <w:top w:val="single" w:sz="4" w:space="0" w:color="D0CECE"/>
              <w:bottom w:val="single" w:sz="4" w:space="0" w:color="D0CECE"/>
            </w:tcBorders>
            <w:tcMar>
              <w:top w:w="-113" w:type="dxa"/>
              <w:left w:w="-113" w:type="dxa"/>
              <w:bottom w:w="-113" w:type="dxa"/>
              <w:right w:w="-113" w:type="dxa"/>
            </w:tcMar>
          </w:tcPr>
          <w:p w14:paraId="564685A3"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6A81B4C0"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D00113B"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05E2F34E"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4362189"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BB14A73"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5B821B22" w14:textId="77777777" w:rsidR="00830D35" w:rsidRDefault="00830D35" w:rsidP="00830D35">
            <w:pPr>
              <w:rPr>
                <w:color w:val="000000"/>
                <w:sz w:val="16"/>
                <w:szCs w:val="16"/>
              </w:rPr>
            </w:pPr>
            <w:r>
              <w:rPr>
                <w:color w:val="000000"/>
                <w:sz w:val="16"/>
                <w:szCs w:val="16"/>
              </w:rPr>
              <w:t>rs17885917</w:t>
            </w:r>
          </w:p>
        </w:tc>
        <w:tc>
          <w:tcPr>
            <w:tcW w:w="851" w:type="dxa"/>
            <w:tcBorders>
              <w:top w:val="single" w:sz="4" w:space="0" w:color="D0CECE"/>
              <w:bottom w:val="single" w:sz="4" w:space="0" w:color="D0CECE"/>
            </w:tcBorders>
            <w:tcMar>
              <w:top w:w="-113" w:type="dxa"/>
              <w:left w:w="-113" w:type="dxa"/>
              <w:bottom w:w="-113" w:type="dxa"/>
              <w:right w:w="-113" w:type="dxa"/>
            </w:tcMar>
          </w:tcPr>
          <w:p w14:paraId="2957BCD9" w14:textId="77777777" w:rsidR="00830D35" w:rsidRDefault="00830D35" w:rsidP="00830D35">
            <w:pPr>
              <w:rPr>
                <w:color w:val="000000"/>
                <w:sz w:val="16"/>
                <w:szCs w:val="16"/>
              </w:rPr>
            </w:pPr>
            <w:r>
              <w:rPr>
                <w:color w:val="000000"/>
                <w:sz w:val="16"/>
                <w:szCs w:val="16"/>
              </w:rPr>
              <w:t>A&gt;G</w:t>
            </w:r>
          </w:p>
        </w:tc>
        <w:tc>
          <w:tcPr>
            <w:tcW w:w="1701" w:type="dxa"/>
            <w:tcBorders>
              <w:top w:val="single" w:sz="4" w:space="0" w:color="D0CECE"/>
              <w:bottom w:val="single" w:sz="4" w:space="0" w:color="D0CECE"/>
            </w:tcBorders>
            <w:tcMar>
              <w:top w:w="-113" w:type="dxa"/>
              <w:left w:w="-113" w:type="dxa"/>
              <w:bottom w:w="-113" w:type="dxa"/>
              <w:right w:w="-113" w:type="dxa"/>
            </w:tcMar>
          </w:tcPr>
          <w:p w14:paraId="25F48DFA"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31F76BB0"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7BEB1DCB"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6902C69E"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E9CA2D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A210CF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0FA61C7" w14:textId="77777777" w:rsidR="00830D35" w:rsidRDefault="00830D35" w:rsidP="00830D35">
            <w:pPr>
              <w:rPr>
                <w:color w:val="000000"/>
                <w:sz w:val="16"/>
                <w:szCs w:val="16"/>
              </w:rPr>
            </w:pPr>
            <w:r>
              <w:rPr>
                <w:color w:val="000000"/>
                <w:sz w:val="16"/>
                <w:szCs w:val="16"/>
              </w:rPr>
              <w:t>rs17886095</w:t>
            </w:r>
          </w:p>
        </w:tc>
        <w:tc>
          <w:tcPr>
            <w:tcW w:w="851" w:type="dxa"/>
            <w:tcBorders>
              <w:top w:val="single" w:sz="4" w:space="0" w:color="D0CECE"/>
              <w:bottom w:val="single" w:sz="4" w:space="0" w:color="D0CECE"/>
            </w:tcBorders>
            <w:tcMar>
              <w:top w:w="-113" w:type="dxa"/>
              <w:left w:w="-113" w:type="dxa"/>
              <w:bottom w:w="-113" w:type="dxa"/>
              <w:right w:w="-113" w:type="dxa"/>
            </w:tcMar>
          </w:tcPr>
          <w:p w14:paraId="1085DC2C" w14:textId="77777777" w:rsidR="00830D35" w:rsidRDefault="00830D35" w:rsidP="00830D35">
            <w:pPr>
              <w:rPr>
                <w:color w:val="000000"/>
                <w:sz w:val="16"/>
                <w:szCs w:val="16"/>
              </w:rPr>
            </w:pPr>
            <w:r>
              <w:rPr>
                <w:color w:val="000000"/>
                <w:sz w:val="16"/>
                <w:szCs w:val="16"/>
              </w:rPr>
              <w:t>G&gt;A</w:t>
            </w:r>
          </w:p>
        </w:tc>
        <w:tc>
          <w:tcPr>
            <w:tcW w:w="1701" w:type="dxa"/>
            <w:tcBorders>
              <w:top w:val="single" w:sz="4" w:space="0" w:color="D0CECE"/>
              <w:bottom w:val="single" w:sz="4" w:space="0" w:color="D0CECE"/>
            </w:tcBorders>
            <w:tcMar>
              <w:top w:w="-113" w:type="dxa"/>
              <w:left w:w="-113" w:type="dxa"/>
              <w:bottom w:w="-113" w:type="dxa"/>
              <w:right w:w="-113" w:type="dxa"/>
            </w:tcMar>
          </w:tcPr>
          <w:p w14:paraId="7A5C4565"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40DF237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4B61262F"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53EC66EB"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A8A8AAB"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FF691D9"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5145EF7F" w14:textId="77777777" w:rsidR="00830D35" w:rsidRDefault="00830D35" w:rsidP="00830D35">
            <w:pPr>
              <w:rPr>
                <w:color w:val="000000"/>
                <w:sz w:val="16"/>
                <w:szCs w:val="16"/>
              </w:rPr>
            </w:pPr>
            <w:r>
              <w:rPr>
                <w:color w:val="000000"/>
                <w:sz w:val="16"/>
                <w:szCs w:val="16"/>
              </w:rPr>
              <w:t>rs3790062</w:t>
            </w:r>
          </w:p>
        </w:tc>
        <w:tc>
          <w:tcPr>
            <w:tcW w:w="851" w:type="dxa"/>
            <w:tcBorders>
              <w:top w:val="single" w:sz="4" w:space="0" w:color="D0CECE"/>
              <w:bottom w:val="single" w:sz="4" w:space="0" w:color="D0CECE"/>
            </w:tcBorders>
            <w:tcMar>
              <w:top w:w="-113" w:type="dxa"/>
              <w:left w:w="-113" w:type="dxa"/>
              <w:bottom w:w="-113" w:type="dxa"/>
              <w:right w:w="-113" w:type="dxa"/>
            </w:tcMar>
          </w:tcPr>
          <w:p w14:paraId="0301C7C9" w14:textId="77777777" w:rsidR="00830D35" w:rsidRDefault="00830D35" w:rsidP="00830D35">
            <w:pPr>
              <w:rPr>
                <w:color w:val="000000"/>
                <w:sz w:val="16"/>
                <w:szCs w:val="16"/>
              </w:rPr>
            </w:pPr>
            <w:r>
              <w:rPr>
                <w:color w:val="000000"/>
                <w:sz w:val="16"/>
                <w:szCs w:val="16"/>
              </w:rPr>
              <w:t>G&gt;A</w:t>
            </w:r>
          </w:p>
        </w:tc>
        <w:tc>
          <w:tcPr>
            <w:tcW w:w="1701" w:type="dxa"/>
            <w:tcBorders>
              <w:top w:val="single" w:sz="4" w:space="0" w:color="D0CECE"/>
              <w:bottom w:val="single" w:sz="4" w:space="0" w:color="D0CECE"/>
            </w:tcBorders>
            <w:tcMar>
              <w:top w:w="-113" w:type="dxa"/>
              <w:left w:w="-113" w:type="dxa"/>
              <w:bottom w:w="-113" w:type="dxa"/>
              <w:right w:w="-113" w:type="dxa"/>
            </w:tcMar>
          </w:tcPr>
          <w:p w14:paraId="765A2C07"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7C5809B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5879CE4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1A270288"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F35246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4C1835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2ED976BB" w14:textId="77777777" w:rsidR="00830D35" w:rsidRDefault="00830D35" w:rsidP="00830D35">
            <w:pPr>
              <w:rPr>
                <w:color w:val="000000"/>
                <w:sz w:val="16"/>
                <w:szCs w:val="16"/>
              </w:rPr>
            </w:pPr>
            <w:r>
              <w:rPr>
                <w:color w:val="000000"/>
                <w:sz w:val="16"/>
                <w:szCs w:val="16"/>
              </w:rPr>
              <w:t>rs3790064</w:t>
            </w:r>
          </w:p>
        </w:tc>
        <w:tc>
          <w:tcPr>
            <w:tcW w:w="851" w:type="dxa"/>
            <w:tcBorders>
              <w:top w:val="single" w:sz="4" w:space="0" w:color="D0CECE"/>
              <w:bottom w:val="single" w:sz="4" w:space="0" w:color="000000"/>
            </w:tcBorders>
            <w:tcMar>
              <w:top w:w="-113" w:type="dxa"/>
              <w:left w:w="-113" w:type="dxa"/>
              <w:bottom w:w="-113" w:type="dxa"/>
              <w:right w:w="-113" w:type="dxa"/>
            </w:tcMar>
          </w:tcPr>
          <w:p w14:paraId="67ACA5A5" w14:textId="77777777" w:rsidR="00830D35" w:rsidRDefault="00830D35" w:rsidP="00830D35">
            <w:pPr>
              <w:rPr>
                <w:color w:val="000000"/>
                <w:sz w:val="16"/>
                <w:szCs w:val="16"/>
              </w:rPr>
            </w:pPr>
            <w:r>
              <w:rPr>
                <w:color w:val="000000"/>
                <w:sz w:val="16"/>
                <w:szCs w:val="16"/>
              </w:rPr>
              <w:t>A&gt;</w:t>
            </w:r>
            <w:proofErr w:type="gramStart"/>
            <w:r>
              <w:rPr>
                <w:color w:val="000000"/>
                <w:sz w:val="16"/>
                <w:szCs w:val="16"/>
              </w:rPr>
              <w:t>G,T</w:t>
            </w:r>
            <w:proofErr w:type="gramEnd"/>
          </w:p>
        </w:tc>
        <w:tc>
          <w:tcPr>
            <w:tcW w:w="1701" w:type="dxa"/>
            <w:tcBorders>
              <w:top w:val="single" w:sz="4" w:space="0" w:color="D0CECE"/>
              <w:bottom w:val="single" w:sz="4" w:space="0" w:color="000000"/>
            </w:tcBorders>
            <w:tcMar>
              <w:top w:w="-113" w:type="dxa"/>
              <w:left w:w="-113" w:type="dxa"/>
              <w:bottom w:w="-113" w:type="dxa"/>
              <w:right w:w="-113" w:type="dxa"/>
            </w:tcMar>
          </w:tcPr>
          <w:p w14:paraId="655B903E"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04B98A8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5D04BF2D"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0D36F421"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598E56F" w14:textId="77777777" w:rsidR="00830D35" w:rsidRDefault="00830D35" w:rsidP="00830D35">
            <w:pPr>
              <w:rPr>
                <w:i/>
                <w:color w:val="000000"/>
                <w:sz w:val="16"/>
                <w:szCs w:val="16"/>
              </w:rPr>
            </w:pPr>
            <w:r>
              <w:rPr>
                <w:i/>
                <w:color w:val="000000"/>
                <w:sz w:val="16"/>
                <w:szCs w:val="16"/>
              </w:rPr>
              <w:t>PON1</w:t>
            </w:r>
          </w:p>
          <w:p w14:paraId="35A6BED9" w14:textId="77777777" w:rsidR="00830D35" w:rsidRDefault="00830D35" w:rsidP="00830D35">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8F45768" w14:textId="77777777" w:rsidR="00830D35" w:rsidRDefault="00830D35" w:rsidP="00830D35">
            <w:pPr>
              <w:rPr>
                <w:color w:val="000000"/>
                <w:sz w:val="16"/>
                <w:szCs w:val="16"/>
              </w:rPr>
            </w:pPr>
            <w:proofErr w:type="spellStart"/>
            <w:r>
              <w:rPr>
                <w:color w:val="000000"/>
                <w:sz w:val="16"/>
                <w:szCs w:val="16"/>
              </w:rPr>
              <w:t>Paraoxonase</w:t>
            </w:r>
            <w:proofErr w:type="spellEnd"/>
            <w:r>
              <w:rPr>
                <w:color w:val="000000"/>
                <w:sz w:val="16"/>
                <w:szCs w:val="16"/>
              </w:rPr>
              <w:t xml:space="preserve"> 1</w:t>
            </w:r>
          </w:p>
        </w:tc>
        <w:tc>
          <w:tcPr>
            <w:tcW w:w="992" w:type="dxa"/>
            <w:vMerge w:val="restart"/>
            <w:tcBorders>
              <w:top w:val="single" w:sz="4" w:space="0" w:color="000000"/>
              <w:left w:val="nil"/>
              <w:bottom w:val="single" w:sz="4" w:space="0" w:color="D0CECE"/>
            </w:tcBorders>
            <w:shd w:val="clear" w:color="auto" w:fill="auto"/>
            <w:tcMar>
              <w:top w:w="-113" w:type="dxa"/>
              <w:left w:w="-113" w:type="dxa"/>
              <w:bottom w:w="-113" w:type="dxa"/>
              <w:right w:w="-113" w:type="dxa"/>
            </w:tcMar>
          </w:tcPr>
          <w:p w14:paraId="30CA230C" w14:textId="77777777" w:rsidR="00830D35" w:rsidRDefault="00830D35" w:rsidP="00830D35">
            <w:pPr>
              <w:rPr>
                <w:sz w:val="16"/>
                <w:szCs w:val="16"/>
              </w:rPr>
            </w:pPr>
            <w:r>
              <w:rPr>
                <w:color w:val="000000"/>
                <w:sz w:val="16"/>
                <w:szCs w:val="16"/>
                <w:highlight w:val="white"/>
              </w:rPr>
              <w:t>rs662</w:t>
            </w:r>
          </w:p>
          <w:p w14:paraId="55AF5D46" w14:textId="77777777" w:rsidR="00830D35" w:rsidRDefault="00830D35" w:rsidP="00830D35">
            <w:pPr>
              <w:rPr>
                <w:sz w:val="16"/>
                <w:szCs w:val="16"/>
              </w:rPr>
            </w:pPr>
          </w:p>
        </w:tc>
        <w:tc>
          <w:tcPr>
            <w:tcW w:w="851" w:type="dxa"/>
            <w:vMerge w:val="restart"/>
            <w:tcBorders>
              <w:top w:val="single" w:sz="4" w:space="0" w:color="000000"/>
              <w:bottom w:val="single" w:sz="4" w:space="0" w:color="D0CECE"/>
            </w:tcBorders>
            <w:tcMar>
              <w:top w:w="-113" w:type="dxa"/>
              <w:left w:w="-113" w:type="dxa"/>
              <w:bottom w:w="-113" w:type="dxa"/>
              <w:right w:w="-113" w:type="dxa"/>
            </w:tcMar>
          </w:tcPr>
          <w:p w14:paraId="439A1F12" w14:textId="77777777" w:rsidR="00830D35" w:rsidRDefault="00830D35" w:rsidP="00830D35">
            <w:pPr>
              <w:rPr>
                <w:color w:val="000000"/>
                <w:sz w:val="16"/>
                <w:szCs w:val="16"/>
              </w:rPr>
            </w:pPr>
            <w:r>
              <w:rPr>
                <w:color w:val="000000"/>
                <w:sz w:val="16"/>
                <w:szCs w:val="16"/>
              </w:rPr>
              <w:t>T&gt;</w:t>
            </w:r>
            <w:proofErr w:type="gramStart"/>
            <w:r>
              <w:rPr>
                <w:color w:val="000000"/>
                <w:sz w:val="16"/>
                <w:szCs w:val="16"/>
              </w:rPr>
              <w:t>A,C</w:t>
            </w:r>
            <w:proofErr w:type="gramEnd"/>
            <w:r>
              <w:rPr>
                <w:color w:val="000000"/>
                <w:sz w:val="16"/>
                <w:szCs w:val="16"/>
              </w:rPr>
              <w:t>,G</w:t>
            </w:r>
          </w:p>
        </w:tc>
        <w:tc>
          <w:tcPr>
            <w:tcW w:w="1701" w:type="dxa"/>
            <w:vMerge w:val="restart"/>
            <w:tcBorders>
              <w:top w:val="single" w:sz="4" w:space="0" w:color="000000"/>
              <w:bottom w:val="single" w:sz="4" w:space="0" w:color="D0CECE"/>
            </w:tcBorders>
            <w:tcMar>
              <w:top w:w="-113" w:type="dxa"/>
              <w:left w:w="-113" w:type="dxa"/>
              <w:bottom w:w="-113" w:type="dxa"/>
              <w:right w:w="-113" w:type="dxa"/>
            </w:tcMar>
          </w:tcPr>
          <w:p w14:paraId="0AA6CAD0" w14:textId="77777777" w:rsidR="00830D35" w:rsidRDefault="00830D35" w:rsidP="00830D35">
            <w:pPr>
              <w:rPr>
                <w:color w:val="000000"/>
                <w:sz w:val="16"/>
                <w:szCs w:val="16"/>
              </w:rPr>
            </w:pPr>
            <w:r>
              <w:rPr>
                <w:color w:val="000000"/>
                <w:sz w:val="16"/>
                <w:szCs w:val="16"/>
              </w:rPr>
              <w:t>Missense variant</w:t>
            </w:r>
          </w:p>
        </w:tc>
        <w:tc>
          <w:tcPr>
            <w:tcW w:w="708" w:type="dxa"/>
            <w:tcBorders>
              <w:top w:val="single" w:sz="4" w:space="0" w:color="000000"/>
              <w:bottom w:val="single" w:sz="4" w:space="0" w:color="D0CECE"/>
            </w:tcBorders>
            <w:tcMar>
              <w:top w:w="-113" w:type="dxa"/>
              <w:left w:w="-113" w:type="dxa"/>
              <w:bottom w:w="-113" w:type="dxa"/>
              <w:right w:w="-113" w:type="dxa"/>
            </w:tcMar>
          </w:tcPr>
          <w:p w14:paraId="3BBF35CD" w14:textId="77777777" w:rsidR="00830D35" w:rsidRDefault="00830D35" w:rsidP="00830D35">
            <w:pPr>
              <w:rPr>
                <w:color w:val="000000"/>
                <w:sz w:val="16"/>
                <w:szCs w:val="16"/>
              </w:rPr>
            </w:pPr>
            <w:r>
              <w:rPr>
                <w:color w:val="000000"/>
                <w:sz w:val="16"/>
                <w:szCs w:val="16"/>
              </w:rPr>
              <w:t xml:space="preserve">ECG </w:t>
            </w:r>
            <w:proofErr w:type="spellStart"/>
            <w:r>
              <w:rPr>
                <w:color w:val="000000"/>
                <w:sz w:val="16"/>
                <w:szCs w:val="16"/>
              </w:rPr>
              <w:t>abnor</w:t>
            </w:r>
            <w:proofErr w:type="spellEnd"/>
          </w:p>
        </w:tc>
        <w:tc>
          <w:tcPr>
            <w:tcW w:w="1838" w:type="dxa"/>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317FC1B4" w14:textId="77777777" w:rsidR="00830D35" w:rsidRDefault="00830D35" w:rsidP="00830D35">
            <w:pPr>
              <w:rPr>
                <w:color w:val="000000"/>
                <w:sz w:val="16"/>
                <w:szCs w:val="16"/>
              </w:rPr>
            </w:pPr>
            <w:r>
              <w:rPr>
                <w:color w:val="000000"/>
                <w:sz w:val="16"/>
                <w:szCs w:val="16"/>
              </w:rPr>
              <w:t xml:space="preserve">Liao </w:t>
            </w:r>
            <w:r>
              <w:rPr>
                <w:i/>
                <w:color w:val="000000"/>
                <w:sz w:val="16"/>
                <w:szCs w:val="16"/>
              </w:rPr>
              <w:t>et al.</w:t>
            </w:r>
            <w:r>
              <w:rPr>
                <w:color w:val="000000"/>
                <w:sz w:val="16"/>
                <w:szCs w:val="16"/>
              </w:rPr>
              <w:t xml:space="preserve"> 2009</w:t>
            </w:r>
          </w:p>
        </w:tc>
      </w:tr>
      <w:tr w:rsidR="00830D35" w14:paraId="37F79F4C"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040526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EA53C84"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000000"/>
              <w:left w:val="nil"/>
              <w:bottom w:val="single" w:sz="4" w:space="0" w:color="D0CECE"/>
            </w:tcBorders>
            <w:shd w:val="clear" w:color="auto" w:fill="auto"/>
            <w:tcMar>
              <w:top w:w="-113" w:type="dxa"/>
              <w:left w:w="-113" w:type="dxa"/>
              <w:bottom w:w="-113" w:type="dxa"/>
              <w:right w:w="-113" w:type="dxa"/>
            </w:tcMar>
          </w:tcPr>
          <w:p w14:paraId="740F4F4B"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000000"/>
              <w:bottom w:val="single" w:sz="4" w:space="0" w:color="D0CECE"/>
            </w:tcBorders>
            <w:tcMar>
              <w:top w:w="-113" w:type="dxa"/>
              <w:left w:w="-113" w:type="dxa"/>
              <w:bottom w:w="-113" w:type="dxa"/>
              <w:right w:w="-113" w:type="dxa"/>
            </w:tcMar>
          </w:tcPr>
          <w:p w14:paraId="0A61EB0F"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000000"/>
              <w:bottom w:val="single" w:sz="4" w:space="0" w:color="D0CECE"/>
            </w:tcBorders>
            <w:tcMar>
              <w:top w:w="-113" w:type="dxa"/>
              <w:left w:w="-113" w:type="dxa"/>
              <w:bottom w:w="-113" w:type="dxa"/>
              <w:right w:w="-113" w:type="dxa"/>
            </w:tcMar>
          </w:tcPr>
          <w:p w14:paraId="698346D5"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708" w:type="dxa"/>
            <w:tcBorders>
              <w:top w:val="single" w:sz="4" w:space="0" w:color="D0CECE"/>
              <w:bottom w:val="single" w:sz="4" w:space="0" w:color="D0CECE"/>
            </w:tcBorders>
            <w:tcMar>
              <w:top w:w="-113" w:type="dxa"/>
              <w:left w:w="-113" w:type="dxa"/>
              <w:bottom w:w="-113" w:type="dxa"/>
              <w:right w:w="-113" w:type="dxa"/>
            </w:tcMar>
          </w:tcPr>
          <w:p w14:paraId="6C4155E8" w14:textId="77777777" w:rsidR="00830D35" w:rsidRDefault="00830D35" w:rsidP="00830D35">
            <w:pPr>
              <w:rPr>
                <w:color w:val="000000"/>
                <w:sz w:val="16"/>
                <w:szCs w:val="16"/>
              </w:rPr>
            </w:pPr>
            <w:r>
              <w:rPr>
                <w:color w:val="000000"/>
                <w:sz w:val="16"/>
                <w:szCs w:val="16"/>
              </w:rPr>
              <w:t>T2DM</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2189A124" w14:textId="77777777" w:rsidR="00830D35" w:rsidRDefault="00830D35" w:rsidP="00830D35">
            <w:pPr>
              <w:rPr>
                <w:color w:val="000000"/>
                <w:sz w:val="16"/>
                <w:szCs w:val="16"/>
              </w:rPr>
            </w:pPr>
            <w:r>
              <w:rPr>
                <w:sz w:val="16"/>
                <w:szCs w:val="16"/>
              </w:rPr>
              <w:t>Grau-Perez et al. 2018</w:t>
            </w:r>
          </w:p>
        </w:tc>
      </w:tr>
      <w:tr w:rsidR="00830D35" w14:paraId="74A7582E"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1A6E97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B569526"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73A4D1BB" w14:textId="77777777" w:rsidR="00830D35" w:rsidRDefault="00830D35" w:rsidP="00830D35">
            <w:pPr>
              <w:rPr>
                <w:color w:val="000000"/>
                <w:sz w:val="16"/>
                <w:szCs w:val="16"/>
              </w:rPr>
            </w:pPr>
            <w:r>
              <w:rPr>
                <w:color w:val="000000"/>
                <w:sz w:val="16"/>
                <w:szCs w:val="16"/>
                <w:highlight w:val="white"/>
              </w:rPr>
              <w:t>rs705379</w:t>
            </w:r>
          </w:p>
        </w:tc>
        <w:tc>
          <w:tcPr>
            <w:tcW w:w="851" w:type="dxa"/>
            <w:tcBorders>
              <w:top w:val="single" w:sz="4" w:space="0" w:color="D0CECE"/>
              <w:bottom w:val="single" w:sz="4" w:space="0" w:color="D0CECE"/>
            </w:tcBorders>
            <w:tcMar>
              <w:top w:w="-113" w:type="dxa"/>
              <w:left w:w="-113" w:type="dxa"/>
              <w:bottom w:w="-113" w:type="dxa"/>
              <w:right w:w="-113" w:type="dxa"/>
            </w:tcMar>
          </w:tcPr>
          <w:p w14:paraId="150EE79A" w14:textId="77777777" w:rsidR="00830D35" w:rsidRDefault="00830D35" w:rsidP="00830D35">
            <w:pPr>
              <w:rPr>
                <w:color w:val="000000"/>
                <w:sz w:val="16"/>
                <w:szCs w:val="16"/>
              </w:rPr>
            </w:pPr>
            <w:r>
              <w:rPr>
                <w:color w:val="000000"/>
                <w:sz w:val="16"/>
                <w:szCs w:val="16"/>
              </w:rPr>
              <w:t>G&gt;</w:t>
            </w:r>
            <w:proofErr w:type="gramStart"/>
            <w:r>
              <w:rPr>
                <w:color w:val="000000"/>
                <w:sz w:val="16"/>
                <w:szCs w:val="16"/>
              </w:rPr>
              <w:t>A,C</w:t>
            </w:r>
            <w:proofErr w:type="gramEnd"/>
            <w:r>
              <w:rPr>
                <w:color w:val="000000"/>
                <w:sz w:val="16"/>
                <w:szCs w:val="16"/>
              </w:rPr>
              <w:t>,T</w:t>
            </w:r>
          </w:p>
        </w:tc>
        <w:tc>
          <w:tcPr>
            <w:tcW w:w="1701" w:type="dxa"/>
            <w:tcBorders>
              <w:top w:val="single" w:sz="4" w:space="0" w:color="D0CECE"/>
              <w:bottom w:val="single" w:sz="4" w:space="0" w:color="D0CECE"/>
            </w:tcBorders>
            <w:tcMar>
              <w:top w:w="-113" w:type="dxa"/>
              <w:left w:w="-113" w:type="dxa"/>
              <w:bottom w:w="-113" w:type="dxa"/>
              <w:right w:w="-113" w:type="dxa"/>
            </w:tcMar>
          </w:tcPr>
          <w:p w14:paraId="77D7AB60" w14:textId="77777777" w:rsidR="00830D35" w:rsidRDefault="00830D35" w:rsidP="00830D35">
            <w:pPr>
              <w:rPr>
                <w:color w:val="000000"/>
                <w:sz w:val="16"/>
                <w:szCs w:val="16"/>
              </w:rPr>
            </w:pPr>
            <w:r>
              <w:rPr>
                <w:sz w:val="16"/>
                <w:szCs w:val="16"/>
              </w:rPr>
              <w:t>2KB Upstream variant</w:t>
            </w:r>
          </w:p>
        </w:tc>
        <w:tc>
          <w:tcPr>
            <w:tcW w:w="708" w:type="dxa"/>
            <w:tcBorders>
              <w:top w:val="single" w:sz="4" w:space="0" w:color="D0CECE"/>
              <w:bottom w:val="single" w:sz="4" w:space="0" w:color="D0CECE"/>
            </w:tcBorders>
            <w:tcMar>
              <w:top w:w="-113" w:type="dxa"/>
              <w:left w:w="-113" w:type="dxa"/>
              <w:bottom w:w="-113" w:type="dxa"/>
              <w:right w:w="-113" w:type="dxa"/>
            </w:tcMar>
          </w:tcPr>
          <w:p w14:paraId="27D67711" w14:textId="77777777" w:rsidR="00830D35" w:rsidRDefault="00830D35" w:rsidP="00830D35">
            <w:pPr>
              <w:tabs>
                <w:tab w:val="left" w:pos="522"/>
              </w:tabs>
              <w:rPr>
                <w:color w:val="000000"/>
                <w:sz w:val="16"/>
                <w:szCs w:val="16"/>
              </w:rPr>
            </w:pPr>
            <w:r>
              <w:rPr>
                <w:color w:val="000000"/>
                <w:sz w:val="16"/>
                <w:szCs w:val="16"/>
              </w:rPr>
              <w:t xml:space="preserve">ECG </w:t>
            </w:r>
            <w:proofErr w:type="spellStart"/>
            <w:r>
              <w:rPr>
                <w:color w:val="000000"/>
                <w:sz w:val="16"/>
                <w:szCs w:val="16"/>
              </w:rPr>
              <w:t>abnor</w:t>
            </w:r>
            <w:proofErr w:type="spellEnd"/>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69A27DF2" w14:textId="77777777" w:rsidR="00830D35" w:rsidRDefault="00830D35" w:rsidP="00830D35">
            <w:pPr>
              <w:tabs>
                <w:tab w:val="left" w:pos="522"/>
              </w:tabs>
              <w:rPr>
                <w:sz w:val="16"/>
                <w:szCs w:val="16"/>
              </w:rPr>
            </w:pPr>
            <w:r>
              <w:rPr>
                <w:color w:val="000000"/>
                <w:sz w:val="16"/>
                <w:szCs w:val="16"/>
              </w:rPr>
              <w:t xml:space="preserve">Liao </w:t>
            </w:r>
            <w:r>
              <w:rPr>
                <w:i/>
                <w:color w:val="000000"/>
                <w:sz w:val="16"/>
                <w:szCs w:val="16"/>
              </w:rPr>
              <w:t>et al.</w:t>
            </w:r>
            <w:r>
              <w:rPr>
                <w:color w:val="000000"/>
                <w:sz w:val="16"/>
                <w:szCs w:val="16"/>
              </w:rPr>
              <w:t xml:space="preserve"> 2009</w:t>
            </w:r>
          </w:p>
          <w:p w14:paraId="19C6A4A7" w14:textId="77777777" w:rsidR="00830D35" w:rsidRDefault="00830D35" w:rsidP="00830D35">
            <w:pPr>
              <w:rPr>
                <w:sz w:val="16"/>
                <w:szCs w:val="16"/>
              </w:rPr>
            </w:pPr>
          </w:p>
        </w:tc>
      </w:tr>
      <w:tr w:rsidR="00830D35" w14:paraId="5BAF6A9B"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2EEE1C8" w14:textId="77777777" w:rsidR="00830D35" w:rsidRDefault="00830D35" w:rsidP="00830D35">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158A646" w14:textId="77777777" w:rsidR="00830D35" w:rsidRDefault="00830D35" w:rsidP="00830D35">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0EFA57F" w14:textId="77777777" w:rsidR="00830D35" w:rsidRDefault="00830D35" w:rsidP="00830D35">
            <w:pPr>
              <w:rPr>
                <w:color w:val="000000"/>
                <w:sz w:val="16"/>
                <w:szCs w:val="16"/>
              </w:rPr>
            </w:pPr>
            <w:r>
              <w:rPr>
                <w:color w:val="000000"/>
                <w:sz w:val="16"/>
                <w:szCs w:val="16"/>
                <w:highlight w:val="white"/>
              </w:rPr>
              <w:t>rs854560</w:t>
            </w:r>
          </w:p>
        </w:tc>
        <w:tc>
          <w:tcPr>
            <w:tcW w:w="851" w:type="dxa"/>
            <w:tcBorders>
              <w:top w:val="single" w:sz="4" w:space="0" w:color="D0CECE"/>
              <w:bottom w:val="single" w:sz="4" w:space="0" w:color="D0CECE"/>
            </w:tcBorders>
            <w:tcMar>
              <w:top w:w="-113" w:type="dxa"/>
              <w:left w:w="-113" w:type="dxa"/>
              <w:bottom w:w="-113" w:type="dxa"/>
              <w:right w:w="-113" w:type="dxa"/>
            </w:tcMar>
          </w:tcPr>
          <w:p w14:paraId="74ACB959" w14:textId="77777777" w:rsidR="00830D35" w:rsidRDefault="00830D35" w:rsidP="00830D35">
            <w:pPr>
              <w:rPr>
                <w:color w:val="000000"/>
                <w:sz w:val="16"/>
                <w:szCs w:val="16"/>
              </w:rPr>
            </w:pPr>
            <w:r>
              <w:rPr>
                <w:color w:val="000000"/>
                <w:sz w:val="16"/>
                <w:szCs w:val="16"/>
              </w:rPr>
              <w:t>A&gt;</w:t>
            </w:r>
            <w:proofErr w:type="gramStart"/>
            <w:r>
              <w:rPr>
                <w:color w:val="000000"/>
                <w:sz w:val="16"/>
                <w:szCs w:val="16"/>
              </w:rPr>
              <w:t>C,G</w:t>
            </w:r>
            <w:proofErr w:type="gramEnd"/>
            <w:r>
              <w:rPr>
                <w:color w:val="000000"/>
                <w:sz w:val="16"/>
                <w:szCs w:val="16"/>
              </w:rPr>
              <w:t>,</w:t>
            </w:r>
            <w:proofErr w:type="gramStart"/>
            <w:r>
              <w:rPr>
                <w:color w:val="000000"/>
                <w:sz w:val="16"/>
                <w:szCs w:val="16"/>
              </w:rPr>
              <w:t>N,T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214F7EB9" w14:textId="77777777" w:rsidR="00830D35" w:rsidRDefault="00830D35" w:rsidP="00830D35">
            <w:pPr>
              <w:rPr>
                <w:color w:val="000000"/>
                <w:sz w:val="16"/>
                <w:szCs w:val="16"/>
              </w:rPr>
            </w:pPr>
            <w:r>
              <w:rPr>
                <w:color w:val="000000"/>
                <w:sz w:val="16"/>
                <w:szCs w:val="16"/>
              </w:rPr>
              <w:t>Missense variant</w:t>
            </w:r>
          </w:p>
        </w:tc>
        <w:tc>
          <w:tcPr>
            <w:tcW w:w="708" w:type="dxa"/>
            <w:tcBorders>
              <w:top w:val="single" w:sz="4" w:space="0" w:color="D0CECE"/>
              <w:bottom w:val="single" w:sz="4" w:space="0" w:color="D0CECE"/>
            </w:tcBorders>
            <w:tcMar>
              <w:top w:w="-113" w:type="dxa"/>
              <w:left w:w="-113" w:type="dxa"/>
              <w:bottom w:w="-113" w:type="dxa"/>
              <w:right w:w="-113" w:type="dxa"/>
            </w:tcMar>
          </w:tcPr>
          <w:p w14:paraId="01BD4E8F" w14:textId="77777777" w:rsidR="00830D35" w:rsidRDefault="00830D35" w:rsidP="00830D35">
            <w:pPr>
              <w:rPr>
                <w:color w:val="000000"/>
                <w:sz w:val="16"/>
                <w:szCs w:val="16"/>
              </w:rPr>
            </w:pPr>
            <w:r>
              <w:rPr>
                <w:color w:val="000000"/>
                <w:sz w:val="16"/>
                <w:szCs w:val="16"/>
              </w:rPr>
              <w:t xml:space="preserve">ECG </w:t>
            </w:r>
            <w:proofErr w:type="spellStart"/>
            <w:r>
              <w:rPr>
                <w:color w:val="000000"/>
                <w:sz w:val="16"/>
                <w:szCs w:val="16"/>
              </w:rPr>
              <w:t>abnor</w:t>
            </w:r>
            <w:proofErr w:type="spellEnd"/>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567B8523"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55AAE74A" w14:textId="77777777" w:rsidTr="00923C73">
        <w:trPr>
          <w:trHeight w:val="61"/>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3999373"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5BA862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3FB89AA5" w14:textId="77777777" w:rsidR="00830D35" w:rsidRDefault="00830D35" w:rsidP="00830D35">
            <w:pPr>
              <w:rPr>
                <w:color w:val="000000"/>
                <w:sz w:val="16"/>
                <w:szCs w:val="16"/>
              </w:rPr>
            </w:pPr>
            <w:r>
              <w:rPr>
                <w:color w:val="000000"/>
                <w:sz w:val="16"/>
                <w:szCs w:val="16"/>
              </w:rPr>
              <w:t>rs854571</w:t>
            </w:r>
          </w:p>
        </w:tc>
        <w:tc>
          <w:tcPr>
            <w:tcW w:w="851" w:type="dxa"/>
            <w:tcBorders>
              <w:top w:val="single" w:sz="4" w:space="0" w:color="D0CECE"/>
              <w:bottom w:val="single" w:sz="4" w:space="0" w:color="000000"/>
            </w:tcBorders>
            <w:tcMar>
              <w:top w:w="-113" w:type="dxa"/>
              <w:left w:w="-113" w:type="dxa"/>
              <w:bottom w:w="-113" w:type="dxa"/>
              <w:right w:w="-113" w:type="dxa"/>
            </w:tcMar>
          </w:tcPr>
          <w:p w14:paraId="2811930B" w14:textId="77777777" w:rsidR="00830D35" w:rsidRDefault="00830D35" w:rsidP="00830D35">
            <w:pPr>
              <w:rPr>
                <w:color w:val="000000"/>
                <w:sz w:val="16"/>
                <w:szCs w:val="16"/>
              </w:rPr>
            </w:pPr>
            <w:r>
              <w:rPr>
                <w:color w:val="000000"/>
                <w:sz w:val="16"/>
                <w:szCs w:val="16"/>
              </w:rPr>
              <w:t>T&gt;C</w:t>
            </w:r>
          </w:p>
        </w:tc>
        <w:tc>
          <w:tcPr>
            <w:tcW w:w="1701" w:type="dxa"/>
            <w:tcBorders>
              <w:top w:val="single" w:sz="4" w:space="0" w:color="D0CECE"/>
              <w:bottom w:val="single" w:sz="4" w:space="0" w:color="000000"/>
            </w:tcBorders>
            <w:tcMar>
              <w:top w:w="-113" w:type="dxa"/>
              <w:left w:w="-113" w:type="dxa"/>
              <w:bottom w:w="-113" w:type="dxa"/>
              <w:right w:w="-113" w:type="dxa"/>
            </w:tcMar>
          </w:tcPr>
          <w:p w14:paraId="4542E470" w14:textId="77777777" w:rsidR="00830D35" w:rsidRDefault="00830D35" w:rsidP="00830D35">
            <w:pPr>
              <w:rPr>
                <w:color w:val="000000"/>
                <w:sz w:val="16"/>
                <w:szCs w:val="16"/>
              </w:rPr>
            </w:pPr>
            <w:r>
              <w:rPr>
                <w:sz w:val="16"/>
                <w:szCs w:val="16"/>
              </w:rPr>
              <w:t>2KB Upstream variant</w:t>
            </w:r>
          </w:p>
        </w:tc>
        <w:tc>
          <w:tcPr>
            <w:tcW w:w="708" w:type="dxa"/>
            <w:tcBorders>
              <w:top w:val="single" w:sz="4" w:space="0" w:color="D0CECE"/>
              <w:bottom w:val="single" w:sz="4" w:space="0" w:color="000000"/>
            </w:tcBorders>
            <w:tcMar>
              <w:top w:w="-113" w:type="dxa"/>
              <w:left w:w="-113" w:type="dxa"/>
              <w:bottom w:w="-113" w:type="dxa"/>
              <w:right w:w="-113" w:type="dxa"/>
            </w:tcMar>
          </w:tcPr>
          <w:p w14:paraId="3242758E" w14:textId="77777777" w:rsidR="00830D35" w:rsidRDefault="00830D35" w:rsidP="00830D35">
            <w:pPr>
              <w:rPr>
                <w:color w:val="000000"/>
                <w:sz w:val="16"/>
                <w:szCs w:val="16"/>
              </w:rPr>
            </w:pPr>
            <w:r>
              <w:rPr>
                <w:color w:val="000000"/>
                <w:sz w:val="16"/>
                <w:szCs w:val="16"/>
              </w:rPr>
              <w:t>T2DM</w:t>
            </w:r>
          </w:p>
        </w:tc>
        <w:tc>
          <w:tcPr>
            <w:tcW w:w="1838" w:type="dxa"/>
            <w:tcBorders>
              <w:top w:val="single" w:sz="4" w:space="0" w:color="D0CECE"/>
              <w:bottom w:val="single" w:sz="4" w:space="0" w:color="000000"/>
              <w:right w:val="single" w:sz="4" w:space="0" w:color="000000" w:themeColor="text1"/>
            </w:tcBorders>
            <w:tcMar>
              <w:top w:w="-113" w:type="dxa"/>
              <w:left w:w="-113" w:type="dxa"/>
              <w:bottom w:w="-113" w:type="dxa"/>
              <w:right w:w="-113" w:type="dxa"/>
            </w:tcMar>
          </w:tcPr>
          <w:p w14:paraId="3AA48C66" w14:textId="77777777" w:rsidR="00830D35" w:rsidRDefault="00830D35" w:rsidP="00830D35">
            <w:pPr>
              <w:rPr>
                <w:color w:val="000000"/>
                <w:sz w:val="16"/>
                <w:szCs w:val="16"/>
              </w:rPr>
            </w:pPr>
            <w:r>
              <w:rPr>
                <w:sz w:val="16"/>
                <w:szCs w:val="16"/>
              </w:rPr>
              <w:t>Grau-Perez et al. 2018</w:t>
            </w:r>
          </w:p>
        </w:tc>
      </w:tr>
      <w:tr w:rsidR="00830D35" w14:paraId="25238833"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877F19B" w14:textId="77777777" w:rsidR="00830D35" w:rsidRDefault="00830D35" w:rsidP="00830D35">
            <w:pPr>
              <w:rPr>
                <w:i/>
                <w:color w:val="000000"/>
                <w:sz w:val="16"/>
                <w:szCs w:val="16"/>
              </w:rPr>
            </w:pPr>
            <w:r>
              <w:rPr>
                <w:i/>
                <w:color w:val="000000"/>
                <w:sz w:val="16"/>
                <w:szCs w:val="16"/>
              </w:rPr>
              <w:t>PON2</w:t>
            </w:r>
          </w:p>
          <w:p w14:paraId="4C7C741E" w14:textId="77777777" w:rsidR="00830D35" w:rsidRDefault="00830D35" w:rsidP="00830D35">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D7F6E33" w14:textId="77777777" w:rsidR="00830D35" w:rsidRDefault="00830D35" w:rsidP="00830D35">
            <w:pPr>
              <w:rPr>
                <w:color w:val="000000"/>
                <w:sz w:val="16"/>
                <w:szCs w:val="16"/>
              </w:rPr>
            </w:pPr>
            <w:proofErr w:type="spellStart"/>
            <w:r>
              <w:rPr>
                <w:color w:val="000000"/>
                <w:sz w:val="16"/>
                <w:szCs w:val="16"/>
              </w:rPr>
              <w:t>Paraoxonase</w:t>
            </w:r>
            <w:proofErr w:type="spellEnd"/>
            <w:r>
              <w:rPr>
                <w:color w:val="000000"/>
                <w:sz w:val="16"/>
                <w:szCs w:val="16"/>
              </w:rPr>
              <w:t xml:space="preserve"> 2</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7CB3896B" w14:textId="77777777" w:rsidR="00830D35" w:rsidRDefault="00830D35" w:rsidP="00830D35">
            <w:pPr>
              <w:rPr>
                <w:color w:val="000000"/>
                <w:sz w:val="16"/>
                <w:szCs w:val="16"/>
              </w:rPr>
            </w:pPr>
            <w:r>
              <w:rPr>
                <w:color w:val="000000"/>
                <w:sz w:val="16"/>
                <w:szCs w:val="16"/>
              </w:rPr>
              <w:t>rs17876142</w:t>
            </w:r>
          </w:p>
        </w:tc>
        <w:tc>
          <w:tcPr>
            <w:tcW w:w="851" w:type="dxa"/>
            <w:tcBorders>
              <w:top w:val="single" w:sz="4" w:space="0" w:color="000000"/>
              <w:bottom w:val="single" w:sz="4" w:space="0" w:color="D0CECE"/>
            </w:tcBorders>
            <w:tcMar>
              <w:top w:w="-113" w:type="dxa"/>
              <w:left w:w="-113" w:type="dxa"/>
              <w:bottom w:w="-113" w:type="dxa"/>
              <w:right w:w="-113" w:type="dxa"/>
            </w:tcMar>
          </w:tcPr>
          <w:p w14:paraId="0EABC77C" w14:textId="77777777" w:rsidR="00830D35" w:rsidRDefault="00830D35" w:rsidP="00830D35">
            <w:pPr>
              <w:rPr>
                <w:color w:val="000000"/>
                <w:sz w:val="16"/>
                <w:szCs w:val="16"/>
              </w:rPr>
            </w:pPr>
            <w:r>
              <w:rPr>
                <w:color w:val="000000"/>
                <w:sz w:val="16"/>
                <w:szCs w:val="16"/>
              </w:rPr>
              <w:t>G&gt;C</w:t>
            </w:r>
          </w:p>
        </w:tc>
        <w:tc>
          <w:tcPr>
            <w:tcW w:w="1701" w:type="dxa"/>
            <w:tcBorders>
              <w:top w:val="single" w:sz="4" w:space="0" w:color="000000"/>
              <w:bottom w:val="single" w:sz="4" w:space="0" w:color="D0CECE"/>
            </w:tcBorders>
            <w:tcMar>
              <w:top w:w="-113" w:type="dxa"/>
              <w:left w:w="-113" w:type="dxa"/>
              <w:bottom w:w="-113" w:type="dxa"/>
              <w:right w:w="-113" w:type="dxa"/>
            </w:tcMar>
          </w:tcPr>
          <w:p w14:paraId="6F108C07" w14:textId="77777777" w:rsidR="00830D35" w:rsidRDefault="00830D35" w:rsidP="00830D35">
            <w:pPr>
              <w:rPr>
                <w:color w:val="000000"/>
                <w:sz w:val="16"/>
                <w:szCs w:val="16"/>
              </w:rPr>
            </w:pPr>
            <w:r>
              <w:rPr>
                <w:color w:val="000000"/>
                <w:sz w:val="16"/>
                <w:szCs w:val="16"/>
              </w:rPr>
              <w:t>Missense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68D8DA48" w14:textId="77777777" w:rsidR="00830D35" w:rsidRDefault="00830D35" w:rsidP="00830D35">
            <w:pPr>
              <w:rPr>
                <w:sz w:val="16"/>
                <w:szCs w:val="16"/>
              </w:rPr>
            </w:pPr>
            <w:r>
              <w:rPr>
                <w:color w:val="000000"/>
                <w:sz w:val="16"/>
                <w:szCs w:val="16"/>
              </w:rPr>
              <w:t xml:space="preserve">ECG </w:t>
            </w:r>
            <w:proofErr w:type="spellStart"/>
            <w:r>
              <w:rPr>
                <w:color w:val="000000"/>
                <w:sz w:val="16"/>
                <w:szCs w:val="16"/>
              </w:rPr>
              <w:t>abnor</w:t>
            </w:r>
            <w:proofErr w:type="spellEnd"/>
          </w:p>
          <w:p w14:paraId="623AF204" w14:textId="77777777" w:rsidR="00830D35" w:rsidRDefault="00830D35" w:rsidP="00830D35">
            <w:pPr>
              <w:rPr>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0A6378F2" w14:textId="77777777" w:rsidR="00830D35" w:rsidRDefault="00830D35" w:rsidP="00830D35">
            <w:pPr>
              <w:rPr>
                <w:sz w:val="16"/>
                <w:szCs w:val="16"/>
              </w:rPr>
            </w:pPr>
            <w:r>
              <w:rPr>
                <w:color w:val="000000"/>
                <w:sz w:val="16"/>
                <w:szCs w:val="16"/>
              </w:rPr>
              <w:t xml:space="preserve">Liao </w:t>
            </w:r>
            <w:r>
              <w:rPr>
                <w:i/>
                <w:color w:val="000000"/>
                <w:sz w:val="16"/>
                <w:szCs w:val="16"/>
              </w:rPr>
              <w:t>et al.</w:t>
            </w:r>
            <w:r>
              <w:rPr>
                <w:color w:val="000000"/>
                <w:sz w:val="16"/>
                <w:szCs w:val="16"/>
              </w:rPr>
              <w:t xml:space="preserve"> 2009</w:t>
            </w:r>
          </w:p>
        </w:tc>
      </w:tr>
      <w:tr w:rsidR="00830D35" w14:paraId="209E75EE"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F2CCD6A" w14:textId="77777777" w:rsidR="00830D35" w:rsidRDefault="00830D35" w:rsidP="00830D35">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4D140E3" w14:textId="77777777" w:rsidR="00830D35" w:rsidRDefault="00830D35" w:rsidP="00830D35">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7AB31516" w14:textId="77777777" w:rsidR="00830D35" w:rsidRDefault="00830D35" w:rsidP="00830D35">
            <w:pPr>
              <w:rPr>
                <w:color w:val="000000"/>
                <w:sz w:val="16"/>
                <w:szCs w:val="16"/>
              </w:rPr>
            </w:pPr>
            <w:r>
              <w:rPr>
                <w:color w:val="000000"/>
                <w:sz w:val="16"/>
                <w:szCs w:val="16"/>
              </w:rPr>
              <w:t>rs17876171</w:t>
            </w:r>
          </w:p>
        </w:tc>
        <w:tc>
          <w:tcPr>
            <w:tcW w:w="851" w:type="dxa"/>
            <w:tcBorders>
              <w:top w:val="single" w:sz="4" w:space="0" w:color="D0CECE"/>
              <w:bottom w:val="single" w:sz="4" w:space="0" w:color="000000"/>
            </w:tcBorders>
            <w:tcMar>
              <w:top w:w="-113" w:type="dxa"/>
              <w:left w:w="-113" w:type="dxa"/>
              <w:bottom w:w="-113" w:type="dxa"/>
              <w:right w:w="-113" w:type="dxa"/>
            </w:tcMar>
          </w:tcPr>
          <w:p w14:paraId="433CD7EA" w14:textId="77777777" w:rsidR="00830D35" w:rsidRDefault="00830D35" w:rsidP="00830D35">
            <w:pPr>
              <w:rPr>
                <w:color w:val="000000"/>
                <w:sz w:val="16"/>
                <w:szCs w:val="16"/>
              </w:rPr>
            </w:pPr>
            <w:r>
              <w:rPr>
                <w:color w:val="000000"/>
                <w:sz w:val="16"/>
                <w:szCs w:val="16"/>
              </w:rPr>
              <w:t>G&gt;</w:t>
            </w:r>
            <w:proofErr w:type="gramStart"/>
            <w:r>
              <w:rPr>
                <w:color w:val="000000"/>
                <w:sz w:val="16"/>
                <w:szCs w:val="16"/>
              </w:rPr>
              <w:t>C,T</w:t>
            </w:r>
            <w:proofErr w:type="gramEnd"/>
          </w:p>
        </w:tc>
        <w:tc>
          <w:tcPr>
            <w:tcW w:w="1701" w:type="dxa"/>
            <w:tcBorders>
              <w:top w:val="single" w:sz="4" w:space="0" w:color="D0CECE"/>
              <w:bottom w:val="single" w:sz="4" w:space="0" w:color="000000"/>
            </w:tcBorders>
            <w:tcMar>
              <w:top w:w="-113" w:type="dxa"/>
              <w:left w:w="-113" w:type="dxa"/>
              <w:bottom w:w="-113" w:type="dxa"/>
              <w:right w:w="-113" w:type="dxa"/>
            </w:tcMar>
          </w:tcPr>
          <w:p w14:paraId="10340DA5" w14:textId="77777777" w:rsidR="00830D35" w:rsidRDefault="00830D35" w:rsidP="00830D35">
            <w:pPr>
              <w:rPr>
                <w:color w:val="000000"/>
                <w:sz w:val="16"/>
                <w:szCs w:val="16"/>
              </w:rPr>
            </w:pPr>
            <w:r>
              <w:rPr>
                <w:color w:val="000000"/>
                <w:sz w:val="16"/>
                <w:szCs w:val="16"/>
              </w:rPr>
              <w:t>Missense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37FC1A0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D805DE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210D428E"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A1EE23B" w14:textId="77777777" w:rsidR="00830D35" w:rsidRDefault="00830D35" w:rsidP="00830D35">
            <w:pPr>
              <w:rPr>
                <w:i/>
                <w:color w:val="000000"/>
                <w:sz w:val="16"/>
                <w:szCs w:val="16"/>
              </w:rPr>
            </w:pPr>
            <w:r>
              <w:rPr>
                <w:i/>
                <w:color w:val="000000"/>
                <w:sz w:val="16"/>
                <w:szCs w:val="16"/>
              </w:rPr>
              <w:t>PPARA</w:t>
            </w:r>
          </w:p>
          <w:p w14:paraId="0DD9E92C" w14:textId="77777777" w:rsidR="00830D35" w:rsidRDefault="00830D35" w:rsidP="00830D35">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BD2FA7F" w14:textId="77777777" w:rsidR="00830D35" w:rsidRDefault="00830D35" w:rsidP="00830D35">
            <w:pPr>
              <w:rPr>
                <w:color w:val="000000"/>
                <w:sz w:val="16"/>
                <w:szCs w:val="16"/>
              </w:rPr>
            </w:pPr>
            <w:r>
              <w:rPr>
                <w:color w:val="000000"/>
                <w:sz w:val="16"/>
                <w:szCs w:val="16"/>
              </w:rPr>
              <w:t>Peroxisome Proliferator Activated Receptor Alpha</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67E0DF35" w14:textId="77777777" w:rsidR="00830D35" w:rsidRDefault="00830D35" w:rsidP="00830D35">
            <w:pPr>
              <w:rPr>
                <w:color w:val="000000"/>
                <w:sz w:val="16"/>
                <w:szCs w:val="16"/>
              </w:rPr>
            </w:pPr>
            <w:r>
              <w:rPr>
                <w:color w:val="000000"/>
                <w:sz w:val="16"/>
                <w:szCs w:val="16"/>
              </w:rPr>
              <w:t>rs135542</w:t>
            </w:r>
          </w:p>
        </w:tc>
        <w:tc>
          <w:tcPr>
            <w:tcW w:w="851" w:type="dxa"/>
            <w:tcBorders>
              <w:top w:val="single" w:sz="4" w:space="0" w:color="000000"/>
              <w:bottom w:val="single" w:sz="4" w:space="0" w:color="D0CECE"/>
            </w:tcBorders>
            <w:tcMar>
              <w:top w:w="-113" w:type="dxa"/>
              <w:left w:w="-113" w:type="dxa"/>
              <w:bottom w:w="-113" w:type="dxa"/>
              <w:right w:w="-113" w:type="dxa"/>
            </w:tcMar>
          </w:tcPr>
          <w:p w14:paraId="38DFE4DF" w14:textId="77777777" w:rsidR="00830D35" w:rsidRDefault="00830D35" w:rsidP="00830D35">
            <w:pPr>
              <w:rPr>
                <w:color w:val="000000"/>
                <w:sz w:val="16"/>
                <w:szCs w:val="16"/>
              </w:rPr>
            </w:pPr>
            <w:r>
              <w:rPr>
                <w:color w:val="000000"/>
                <w:sz w:val="16"/>
                <w:szCs w:val="16"/>
              </w:rPr>
              <w:t>T&gt;</w:t>
            </w:r>
            <w:proofErr w:type="gramStart"/>
            <w:r>
              <w:rPr>
                <w:color w:val="000000"/>
                <w:sz w:val="16"/>
                <w:szCs w:val="16"/>
              </w:rPr>
              <w:t>A,C</w:t>
            </w:r>
            <w:proofErr w:type="gramEnd"/>
            <w:r>
              <w:rPr>
                <w:color w:val="000000"/>
                <w:sz w:val="16"/>
                <w:szCs w:val="16"/>
              </w:rPr>
              <w:t>,G</w:t>
            </w:r>
          </w:p>
        </w:tc>
        <w:tc>
          <w:tcPr>
            <w:tcW w:w="1701" w:type="dxa"/>
            <w:tcBorders>
              <w:top w:val="single" w:sz="4" w:space="0" w:color="000000"/>
              <w:bottom w:val="single" w:sz="4" w:space="0" w:color="D0CECE"/>
            </w:tcBorders>
            <w:tcMar>
              <w:top w:w="-113" w:type="dxa"/>
              <w:left w:w="-113" w:type="dxa"/>
              <w:bottom w:w="-113" w:type="dxa"/>
              <w:right w:w="-113" w:type="dxa"/>
            </w:tcMar>
          </w:tcPr>
          <w:p w14:paraId="005C1914" w14:textId="77777777" w:rsidR="00830D35" w:rsidRDefault="00830D35" w:rsidP="00830D35">
            <w:pPr>
              <w:rPr>
                <w:color w:val="000000"/>
                <w:sz w:val="16"/>
                <w:szCs w:val="16"/>
              </w:rPr>
            </w:pPr>
            <w:r>
              <w:rPr>
                <w:sz w:val="16"/>
                <w:szCs w:val="16"/>
              </w:rPr>
              <w:t>Intron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683AD47A" w14:textId="77777777" w:rsidR="00830D35" w:rsidRDefault="00830D35" w:rsidP="00830D35">
            <w:pPr>
              <w:rPr>
                <w:sz w:val="16"/>
                <w:szCs w:val="16"/>
              </w:rPr>
            </w:pPr>
            <w:r>
              <w:rPr>
                <w:color w:val="000000"/>
                <w:sz w:val="16"/>
                <w:szCs w:val="16"/>
              </w:rPr>
              <w:t>T2DM</w:t>
            </w:r>
          </w:p>
          <w:p w14:paraId="33F63FB6" w14:textId="77777777" w:rsidR="00830D35" w:rsidRDefault="00830D35" w:rsidP="00830D35">
            <w:pPr>
              <w:rPr>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08F706DB" w14:textId="77777777" w:rsidR="00830D35" w:rsidRDefault="00830D35" w:rsidP="00830D35">
            <w:pPr>
              <w:rPr>
                <w:sz w:val="16"/>
                <w:szCs w:val="16"/>
              </w:rPr>
            </w:pPr>
            <w:r>
              <w:rPr>
                <w:sz w:val="16"/>
                <w:szCs w:val="16"/>
              </w:rPr>
              <w:t>Grau-Perez et al. 2018</w:t>
            </w:r>
          </w:p>
          <w:p w14:paraId="07CEBBF4" w14:textId="77777777" w:rsidR="00830D35" w:rsidRDefault="00830D35" w:rsidP="00830D35">
            <w:pPr>
              <w:rPr>
                <w:sz w:val="16"/>
                <w:szCs w:val="16"/>
              </w:rPr>
            </w:pPr>
          </w:p>
        </w:tc>
      </w:tr>
      <w:tr w:rsidR="00830D35" w14:paraId="5FF474D8"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4BEFCEF" w14:textId="77777777" w:rsidR="00830D35" w:rsidRDefault="00830D35" w:rsidP="00830D35">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DFA0AE7" w14:textId="77777777" w:rsidR="00830D35" w:rsidRDefault="00830D35" w:rsidP="00830D35">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7C8134F4" w14:textId="77777777" w:rsidR="00830D35" w:rsidRDefault="00830D35" w:rsidP="00830D35">
            <w:pPr>
              <w:rPr>
                <w:color w:val="000000"/>
                <w:sz w:val="16"/>
                <w:szCs w:val="16"/>
              </w:rPr>
            </w:pPr>
            <w:r>
              <w:rPr>
                <w:color w:val="000000"/>
                <w:sz w:val="16"/>
                <w:szCs w:val="16"/>
              </w:rPr>
              <w:t>rs135549</w:t>
            </w:r>
          </w:p>
        </w:tc>
        <w:tc>
          <w:tcPr>
            <w:tcW w:w="851" w:type="dxa"/>
            <w:tcBorders>
              <w:top w:val="single" w:sz="4" w:space="0" w:color="D0CECE"/>
              <w:bottom w:val="single" w:sz="4" w:space="0" w:color="D0CECE"/>
            </w:tcBorders>
            <w:tcMar>
              <w:top w:w="-113" w:type="dxa"/>
              <w:left w:w="-113" w:type="dxa"/>
              <w:bottom w:w="-113" w:type="dxa"/>
              <w:right w:w="-113" w:type="dxa"/>
            </w:tcMar>
          </w:tcPr>
          <w:p w14:paraId="03D96A35" w14:textId="77777777" w:rsidR="00830D35" w:rsidRDefault="00830D35" w:rsidP="00830D35">
            <w:pPr>
              <w:rPr>
                <w:color w:val="000000"/>
                <w:sz w:val="16"/>
                <w:szCs w:val="16"/>
              </w:rPr>
            </w:pPr>
            <w:r>
              <w:rPr>
                <w:color w:val="000000"/>
                <w:sz w:val="16"/>
                <w:szCs w:val="16"/>
              </w:rPr>
              <w:t>T&gt;C</w:t>
            </w:r>
          </w:p>
        </w:tc>
        <w:tc>
          <w:tcPr>
            <w:tcW w:w="1701" w:type="dxa"/>
            <w:tcBorders>
              <w:top w:val="single" w:sz="4" w:space="0" w:color="D0CECE"/>
              <w:bottom w:val="single" w:sz="4" w:space="0" w:color="D0CECE"/>
            </w:tcBorders>
            <w:tcMar>
              <w:top w:w="-113" w:type="dxa"/>
              <w:left w:w="-113" w:type="dxa"/>
              <w:bottom w:w="-113" w:type="dxa"/>
              <w:right w:w="-113" w:type="dxa"/>
            </w:tcMar>
          </w:tcPr>
          <w:p w14:paraId="46CC2694"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20F0E5D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4AF30EA"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55BB7ABE"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0337BA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21A9E5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22384033" w14:textId="77777777" w:rsidR="00830D35" w:rsidRDefault="00830D35" w:rsidP="00830D35">
            <w:pPr>
              <w:rPr>
                <w:color w:val="000000"/>
                <w:sz w:val="16"/>
                <w:szCs w:val="16"/>
              </w:rPr>
            </w:pPr>
            <w:r>
              <w:rPr>
                <w:color w:val="000000"/>
                <w:sz w:val="16"/>
                <w:szCs w:val="16"/>
              </w:rPr>
              <w:t>rs4253765</w:t>
            </w:r>
          </w:p>
        </w:tc>
        <w:tc>
          <w:tcPr>
            <w:tcW w:w="851" w:type="dxa"/>
            <w:tcBorders>
              <w:top w:val="single" w:sz="4" w:space="0" w:color="D0CECE"/>
              <w:bottom w:val="single" w:sz="4" w:space="0" w:color="D0CECE"/>
            </w:tcBorders>
            <w:tcMar>
              <w:top w:w="-113" w:type="dxa"/>
              <w:left w:w="-113" w:type="dxa"/>
              <w:bottom w:w="-113" w:type="dxa"/>
              <w:right w:w="-113" w:type="dxa"/>
            </w:tcMar>
          </w:tcPr>
          <w:p w14:paraId="6303B5E6" w14:textId="77777777" w:rsidR="00830D35" w:rsidRDefault="00830D35" w:rsidP="00830D35">
            <w:pPr>
              <w:rPr>
                <w:color w:val="000000"/>
                <w:sz w:val="16"/>
                <w:szCs w:val="16"/>
              </w:rPr>
            </w:pPr>
            <w:r>
              <w:rPr>
                <w:color w:val="000000"/>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20661C70"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085DAD0A"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0CC3FC8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04A6BB8B"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460B19A"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C8A2DF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C1278CF" w14:textId="77777777" w:rsidR="00830D35" w:rsidRDefault="00830D35" w:rsidP="00830D35">
            <w:pPr>
              <w:rPr>
                <w:color w:val="000000"/>
                <w:sz w:val="16"/>
                <w:szCs w:val="16"/>
              </w:rPr>
            </w:pPr>
            <w:r>
              <w:rPr>
                <w:color w:val="000000"/>
                <w:sz w:val="16"/>
                <w:szCs w:val="16"/>
              </w:rPr>
              <w:t>rs5766743</w:t>
            </w:r>
          </w:p>
        </w:tc>
        <w:tc>
          <w:tcPr>
            <w:tcW w:w="851" w:type="dxa"/>
            <w:tcBorders>
              <w:top w:val="single" w:sz="4" w:space="0" w:color="D0CECE"/>
              <w:bottom w:val="single" w:sz="4" w:space="0" w:color="D0CECE"/>
            </w:tcBorders>
            <w:tcMar>
              <w:top w:w="-113" w:type="dxa"/>
              <w:left w:w="-113" w:type="dxa"/>
              <w:bottom w:w="-113" w:type="dxa"/>
              <w:right w:w="-113" w:type="dxa"/>
            </w:tcMar>
          </w:tcPr>
          <w:p w14:paraId="2BB15E63" w14:textId="77777777" w:rsidR="00830D35" w:rsidRDefault="00830D35" w:rsidP="00830D35">
            <w:pPr>
              <w:rPr>
                <w:color w:val="000000"/>
                <w:sz w:val="16"/>
                <w:szCs w:val="16"/>
              </w:rPr>
            </w:pPr>
            <w:r>
              <w:rPr>
                <w:color w:val="000000"/>
                <w:sz w:val="16"/>
                <w:szCs w:val="16"/>
              </w:rPr>
              <w:t>A&gt;G</w:t>
            </w:r>
          </w:p>
        </w:tc>
        <w:tc>
          <w:tcPr>
            <w:tcW w:w="1701" w:type="dxa"/>
            <w:tcBorders>
              <w:top w:val="single" w:sz="4" w:space="0" w:color="D0CECE"/>
              <w:bottom w:val="single" w:sz="4" w:space="0" w:color="D0CECE"/>
            </w:tcBorders>
            <w:tcMar>
              <w:top w:w="-113" w:type="dxa"/>
              <w:left w:w="-113" w:type="dxa"/>
              <w:bottom w:w="-113" w:type="dxa"/>
              <w:right w:w="-113" w:type="dxa"/>
            </w:tcMar>
          </w:tcPr>
          <w:p w14:paraId="4E7ED6DA"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73054FB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2DCF4C16"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3E07FC5D"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B7564EB"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1AD3F4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5E621BBA" w14:textId="77777777" w:rsidR="00830D35" w:rsidRDefault="00830D35" w:rsidP="00830D35">
            <w:pPr>
              <w:rPr>
                <w:color w:val="000000"/>
                <w:sz w:val="16"/>
                <w:szCs w:val="16"/>
              </w:rPr>
            </w:pPr>
            <w:r>
              <w:rPr>
                <w:color w:val="000000"/>
                <w:sz w:val="16"/>
                <w:szCs w:val="16"/>
              </w:rPr>
              <w:t>rs8138102</w:t>
            </w:r>
          </w:p>
        </w:tc>
        <w:tc>
          <w:tcPr>
            <w:tcW w:w="851" w:type="dxa"/>
            <w:tcBorders>
              <w:top w:val="single" w:sz="4" w:space="0" w:color="D0CECE"/>
              <w:bottom w:val="single" w:sz="4" w:space="0" w:color="000000"/>
            </w:tcBorders>
            <w:tcMar>
              <w:top w:w="-113" w:type="dxa"/>
              <w:left w:w="-113" w:type="dxa"/>
              <w:bottom w:w="-113" w:type="dxa"/>
              <w:right w:w="-113" w:type="dxa"/>
            </w:tcMar>
          </w:tcPr>
          <w:p w14:paraId="74CE9598" w14:textId="77777777" w:rsidR="00830D35" w:rsidRDefault="00830D35" w:rsidP="00830D35">
            <w:pPr>
              <w:rPr>
                <w:color w:val="000000"/>
                <w:sz w:val="16"/>
                <w:szCs w:val="16"/>
              </w:rPr>
            </w:pPr>
            <w:r>
              <w:rPr>
                <w:color w:val="000000"/>
                <w:sz w:val="16"/>
                <w:szCs w:val="16"/>
              </w:rPr>
              <w:t>A&gt;G</w:t>
            </w:r>
          </w:p>
        </w:tc>
        <w:tc>
          <w:tcPr>
            <w:tcW w:w="1701" w:type="dxa"/>
            <w:tcBorders>
              <w:top w:val="single" w:sz="4" w:space="0" w:color="D0CECE"/>
              <w:bottom w:val="single" w:sz="4" w:space="0" w:color="000000"/>
            </w:tcBorders>
            <w:tcMar>
              <w:top w:w="-113" w:type="dxa"/>
              <w:left w:w="-113" w:type="dxa"/>
              <w:bottom w:w="-113" w:type="dxa"/>
              <w:right w:w="-113" w:type="dxa"/>
            </w:tcMar>
          </w:tcPr>
          <w:p w14:paraId="344DDF0E"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2A72F913"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17CA115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322668CD"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36959BF" w14:textId="77777777" w:rsidR="00830D35" w:rsidRDefault="00830D35" w:rsidP="00830D35">
            <w:pPr>
              <w:rPr>
                <w:i/>
                <w:color w:val="000000"/>
                <w:sz w:val="16"/>
                <w:szCs w:val="16"/>
              </w:rPr>
            </w:pPr>
            <w:r>
              <w:rPr>
                <w:i/>
                <w:color w:val="000000"/>
                <w:sz w:val="16"/>
                <w:szCs w:val="16"/>
              </w:rPr>
              <w:t>PPARG</w:t>
            </w:r>
          </w:p>
          <w:p w14:paraId="0BA4C5B0" w14:textId="77777777" w:rsidR="00830D35" w:rsidRDefault="00830D35" w:rsidP="00830D35">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B40A77C" w14:textId="77777777" w:rsidR="00830D35" w:rsidRDefault="00830D35" w:rsidP="00830D35">
            <w:pPr>
              <w:rPr>
                <w:color w:val="000000"/>
                <w:sz w:val="16"/>
                <w:szCs w:val="16"/>
              </w:rPr>
            </w:pPr>
            <w:r>
              <w:rPr>
                <w:color w:val="000000"/>
                <w:sz w:val="16"/>
                <w:szCs w:val="16"/>
              </w:rPr>
              <w:t>Peroxisome proliferator- activated receptor gamma</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0A6622E2" w14:textId="77777777" w:rsidR="00830D35" w:rsidRDefault="00830D35" w:rsidP="00830D35">
            <w:pPr>
              <w:rPr>
                <w:color w:val="000000"/>
                <w:sz w:val="16"/>
                <w:szCs w:val="16"/>
              </w:rPr>
            </w:pPr>
            <w:r>
              <w:rPr>
                <w:color w:val="000000"/>
                <w:sz w:val="16"/>
                <w:szCs w:val="16"/>
              </w:rPr>
              <w:t>rs1175543</w:t>
            </w:r>
          </w:p>
        </w:tc>
        <w:tc>
          <w:tcPr>
            <w:tcW w:w="851" w:type="dxa"/>
            <w:tcBorders>
              <w:top w:val="single" w:sz="4" w:space="0" w:color="000000"/>
              <w:bottom w:val="single" w:sz="4" w:space="0" w:color="D0CECE"/>
            </w:tcBorders>
            <w:tcMar>
              <w:top w:w="-113" w:type="dxa"/>
              <w:left w:w="-113" w:type="dxa"/>
              <w:bottom w:w="-113" w:type="dxa"/>
              <w:right w:w="-113" w:type="dxa"/>
            </w:tcMar>
          </w:tcPr>
          <w:p w14:paraId="0B54DB9F" w14:textId="77777777" w:rsidR="00830D35" w:rsidRDefault="00830D35" w:rsidP="00830D35">
            <w:pPr>
              <w:rPr>
                <w:color w:val="000000"/>
                <w:sz w:val="16"/>
                <w:szCs w:val="16"/>
              </w:rPr>
            </w:pPr>
            <w:r>
              <w:rPr>
                <w:color w:val="000000"/>
                <w:sz w:val="16"/>
                <w:szCs w:val="16"/>
              </w:rPr>
              <w:t>A&gt;G</w:t>
            </w:r>
          </w:p>
        </w:tc>
        <w:tc>
          <w:tcPr>
            <w:tcW w:w="1701" w:type="dxa"/>
            <w:tcBorders>
              <w:top w:val="single" w:sz="4" w:space="0" w:color="000000"/>
              <w:bottom w:val="single" w:sz="4" w:space="0" w:color="D0CECE"/>
            </w:tcBorders>
            <w:tcMar>
              <w:top w:w="-113" w:type="dxa"/>
              <w:left w:w="-113" w:type="dxa"/>
              <w:bottom w:w="-113" w:type="dxa"/>
              <w:right w:w="-113" w:type="dxa"/>
            </w:tcMar>
          </w:tcPr>
          <w:p w14:paraId="517A19FC" w14:textId="77777777" w:rsidR="00830D35" w:rsidRDefault="00830D35" w:rsidP="00830D35">
            <w:pPr>
              <w:rPr>
                <w:color w:val="000000"/>
                <w:sz w:val="16"/>
                <w:szCs w:val="16"/>
              </w:rPr>
            </w:pPr>
            <w:r>
              <w:rPr>
                <w:sz w:val="16"/>
                <w:szCs w:val="16"/>
              </w:rPr>
              <w:t>Intron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5443AD5D" w14:textId="77777777" w:rsidR="00830D35" w:rsidRDefault="00830D35" w:rsidP="00830D35">
            <w:pPr>
              <w:rPr>
                <w:sz w:val="16"/>
                <w:szCs w:val="16"/>
              </w:rPr>
            </w:pPr>
            <w:r>
              <w:rPr>
                <w:color w:val="000000"/>
                <w:sz w:val="16"/>
                <w:szCs w:val="16"/>
              </w:rPr>
              <w:t>T2DM</w:t>
            </w:r>
          </w:p>
          <w:p w14:paraId="435EBA4D" w14:textId="77777777" w:rsidR="00830D35" w:rsidRDefault="00830D35" w:rsidP="00830D35">
            <w:pPr>
              <w:rPr>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241DFCEF" w14:textId="77777777" w:rsidR="00830D35" w:rsidRDefault="00830D35" w:rsidP="00830D35">
            <w:pPr>
              <w:rPr>
                <w:sz w:val="16"/>
                <w:szCs w:val="16"/>
              </w:rPr>
            </w:pPr>
            <w:r>
              <w:rPr>
                <w:sz w:val="16"/>
                <w:szCs w:val="16"/>
              </w:rPr>
              <w:t>Grau-Perez et al. 2018</w:t>
            </w:r>
          </w:p>
          <w:p w14:paraId="2D7D11F3" w14:textId="77777777" w:rsidR="00830D35" w:rsidRDefault="00830D35" w:rsidP="00830D35">
            <w:pPr>
              <w:rPr>
                <w:sz w:val="16"/>
                <w:szCs w:val="16"/>
              </w:rPr>
            </w:pPr>
          </w:p>
        </w:tc>
      </w:tr>
      <w:tr w:rsidR="00830D35" w14:paraId="4CCF94BB"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68F4BEE" w14:textId="77777777" w:rsidR="00830D35" w:rsidRDefault="00830D35" w:rsidP="00830D35">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2609991" w14:textId="77777777" w:rsidR="00830D35" w:rsidRDefault="00830D35" w:rsidP="00830D35">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EF01AAF" w14:textId="77777777" w:rsidR="00830D35" w:rsidRDefault="00830D35" w:rsidP="00830D35">
            <w:pPr>
              <w:rPr>
                <w:color w:val="000000"/>
                <w:sz w:val="16"/>
                <w:szCs w:val="16"/>
              </w:rPr>
            </w:pPr>
            <w:r>
              <w:rPr>
                <w:color w:val="000000"/>
                <w:sz w:val="16"/>
                <w:szCs w:val="16"/>
              </w:rPr>
              <w:t>rs12490265</w:t>
            </w:r>
          </w:p>
        </w:tc>
        <w:tc>
          <w:tcPr>
            <w:tcW w:w="851" w:type="dxa"/>
            <w:tcBorders>
              <w:top w:val="single" w:sz="4" w:space="0" w:color="D0CECE"/>
              <w:bottom w:val="single" w:sz="4" w:space="0" w:color="D0CECE"/>
            </w:tcBorders>
            <w:tcMar>
              <w:top w:w="-113" w:type="dxa"/>
              <w:left w:w="-113" w:type="dxa"/>
              <w:bottom w:w="-113" w:type="dxa"/>
              <w:right w:w="-113" w:type="dxa"/>
            </w:tcMar>
          </w:tcPr>
          <w:p w14:paraId="2C3C583C" w14:textId="77777777" w:rsidR="00830D35" w:rsidRDefault="00830D35" w:rsidP="00830D35">
            <w:pPr>
              <w:rPr>
                <w:color w:val="000000"/>
                <w:sz w:val="16"/>
                <w:szCs w:val="16"/>
              </w:rPr>
            </w:pPr>
            <w:r>
              <w:rPr>
                <w:color w:val="000000"/>
                <w:sz w:val="16"/>
                <w:szCs w:val="16"/>
              </w:rPr>
              <w:t>G&gt;</w:t>
            </w:r>
            <w:proofErr w:type="gramStart"/>
            <w:r>
              <w:rPr>
                <w:color w:val="000000"/>
                <w:sz w:val="16"/>
                <w:szCs w:val="16"/>
              </w:rPr>
              <w:t>A,T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2211B32A"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1C13230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2533BC6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19EF0A5A"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289B78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853927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9268479" w14:textId="77777777" w:rsidR="00830D35" w:rsidRDefault="00830D35" w:rsidP="00830D35">
            <w:pPr>
              <w:rPr>
                <w:color w:val="000000"/>
                <w:sz w:val="16"/>
                <w:szCs w:val="16"/>
              </w:rPr>
            </w:pPr>
            <w:r>
              <w:rPr>
                <w:color w:val="000000"/>
                <w:sz w:val="16"/>
                <w:szCs w:val="16"/>
              </w:rPr>
              <w:t>rs2938392</w:t>
            </w:r>
          </w:p>
        </w:tc>
        <w:tc>
          <w:tcPr>
            <w:tcW w:w="851" w:type="dxa"/>
            <w:tcBorders>
              <w:top w:val="single" w:sz="4" w:space="0" w:color="D0CECE"/>
              <w:bottom w:val="single" w:sz="4" w:space="0" w:color="D0CECE"/>
            </w:tcBorders>
            <w:tcMar>
              <w:top w:w="-113" w:type="dxa"/>
              <w:left w:w="-113" w:type="dxa"/>
              <w:bottom w:w="-113" w:type="dxa"/>
              <w:right w:w="-113" w:type="dxa"/>
            </w:tcMar>
          </w:tcPr>
          <w:p w14:paraId="25B4D400" w14:textId="77777777" w:rsidR="00830D35" w:rsidRDefault="00830D35" w:rsidP="00830D35">
            <w:pPr>
              <w:rPr>
                <w:color w:val="000000"/>
                <w:sz w:val="16"/>
                <w:szCs w:val="16"/>
              </w:rPr>
            </w:pPr>
            <w:r>
              <w:rPr>
                <w:color w:val="000000"/>
                <w:sz w:val="16"/>
                <w:szCs w:val="16"/>
              </w:rPr>
              <w:t>G&gt;</w:t>
            </w:r>
            <w:proofErr w:type="gramStart"/>
            <w:r>
              <w:rPr>
                <w:color w:val="000000"/>
                <w:sz w:val="16"/>
                <w:szCs w:val="16"/>
              </w:rPr>
              <w:t>A,T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2535C6C3"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1B16FA9D"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B990F5B"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23AAD8FD"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26CCE94"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33DB9D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121032AD" w14:textId="77777777" w:rsidR="00830D35" w:rsidRDefault="00830D35" w:rsidP="00830D35">
            <w:pPr>
              <w:rPr>
                <w:color w:val="000000"/>
                <w:sz w:val="16"/>
                <w:szCs w:val="16"/>
              </w:rPr>
            </w:pPr>
            <w:r>
              <w:rPr>
                <w:color w:val="000000"/>
                <w:sz w:val="16"/>
                <w:szCs w:val="16"/>
              </w:rPr>
              <w:t>rs7645903</w:t>
            </w:r>
          </w:p>
        </w:tc>
        <w:tc>
          <w:tcPr>
            <w:tcW w:w="851" w:type="dxa"/>
            <w:tcBorders>
              <w:top w:val="single" w:sz="4" w:space="0" w:color="D0CECE"/>
              <w:bottom w:val="single" w:sz="4" w:space="0" w:color="000000"/>
            </w:tcBorders>
            <w:tcMar>
              <w:top w:w="-113" w:type="dxa"/>
              <w:left w:w="-113" w:type="dxa"/>
              <w:bottom w:w="-113" w:type="dxa"/>
              <w:right w:w="-113" w:type="dxa"/>
            </w:tcMar>
          </w:tcPr>
          <w:p w14:paraId="1274C3BC" w14:textId="77777777" w:rsidR="00830D35" w:rsidRDefault="00830D35" w:rsidP="00830D35">
            <w:pPr>
              <w:rPr>
                <w:color w:val="000000"/>
                <w:sz w:val="16"/>
                <w:szCs w:val="16"/>
              </w:rPr>
            </w:pPr>
            <w:r>
              <w:rPr>
                <w:color w:val="000000"/>
                <w:sz w:val="16"/>
                <w:szCs w:val="16"/>
              </w:rPr>
              <w:t>A&gt;T</w:t>
            </w:r>
          </w:p>
        </w:tc>
        <w:tc>
          <w:tcPr>
            <w:tcW w:w="1701" w:type="dxa"/>
            <w:tcBorders>
              <w:top w:val="single" w:sz="4" w:space="0" w:color="D0CECE"/>
              <w:bottom w:val="single" w:sz="4" w:space="0" w:color="000000"/>
            </w:tcBorders>
            <w:tcMar>
              <w:top w:w="-113" w:type="dxa"/>
              <w:left w:w="-113" w:type="dxa"/>
              <w:bottom w:w="-113" w:type="dxa"/>
              <w:right w:w="-113" w:type="dxa"/>
            </w:tcMar>
          </w:tcPr>
          <w:p w14:paraId="2485AF35"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379F48AA"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74B37560"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2CE03C2A"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C533826" w14:textId="77777777" w:rsidR="00830D35" w:rsidRDefault="00830D35" w:rsidP="00830D35">
            <w:pPr>
              <w:rPr>
                <w:i/>
                <w:color w:val="000000"/>
                <w:sz w:val="16"/>
                <w:szCs w:val="16"/>
              </w:rPr>
            </w:pPr>
            <w:r>
              <w:rPr>
                <w:i/>
                <w:color w:val="000000"/>
                <w:sz w:val="16"/>
                <w:szCs w:val="16"/>
              </w:rPr>
              <w:t>PPARGC1A</w:t>
            </w:r>
          </w:p>
          <w:p w14:paraId="4F9E0CA1" w14:textId="77777777" w:rsidR="00830D35" w:rsidRDefault="00830D35" w:rsidP="00830D35">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D575BDE" w14:textId="77777777" w:rsidR="00830D35" w:rsidRDefault="00830D35" w:rsidP="00830D35">
            <w:pPr>
              <w:rPr>
                <w:color w:val="000000"/>
                <w:sz w:val="16"/>
                <w:szCs w:val="16"/>
              </w:rPr>
            </w:pPr>
            <w:r>
              <w:rPr>
                <w:color w:val="000000"/>
                <w:sz w:val="16"/>
                <w:szCs w:val="16"/>
              </w:rPr>
              <w:t>PPARG coactivator 1 alpha</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1B6C5C9F" w14:textId="77777777" w:rsidR="00830D35" w:rsidRDefault="00830D35" w:rsidP="00830D35">
            <w:pPr>
              <w:rPr>
                <w:color w:val="000000"/>
                <w:sz w:val="16"/>
                <w:szCs w:val="16"/>
              </w:rPr>
            </w:pPr>
            <w:r>
              <w:rPr>
                <w:color w:val="000000"/>
                <w:sz w:val="16"/>
                <w:szCs w:val="16"/>
              </w:rPr>
              <w:t>rs2932966</w:t>
            </w:r>
          </w:p>
        </w:tc>
        <w:tc>
          <w:tcPr>
            <w:tcW w:w="851" w:type="dxa"/>
            <w:tcBorders>
              <w:top w:val="single" w:sz="4" w:space="0" w:color="000000"/>
              <w:bottom w:val="single" w:sz="4" w:space="0" w:color="D0CECE"/>
            </w:tcBorders>
            <w:tcMar>
              <w:top w:w="-113" w:type="dxa"/>
              <w:left w:w="-113" w:type="dxa"/>
              <w:bottom w:w="-113" w:type="dxa"/>
              <w:right w:w="-113" w:type="dxa"/>
            </w:tcMar>
          </w:tcPr>
          <w:p w14:paraId="2729F4BD" w14:textId="77777777" w:rsidR="00830D35" w:rsidRDefault="00830D35" w:rsidP="00830D35">
            <w:pPr>
              <w:rPr>
                <w:color w:val="000000"/>
                <w:sz w:val="16"/>
                <w:szCs w:val="16"/>
              </w:rPr>
            </w:pPr>
            <w:r>
              <w:rPr>
                <w:color w:val="000000"/>
                <w:sz w:val="16"/>
                <w:szCs w:val="16"/>
              </w:rPr>
              <w:t>A&gt;C</w:t>
            </w:r>
          </w:p>
        </w:tc>
        <w:tc>
          <w:tcPr>
            <w:tcW w:w="1701" w:type="dxa"/>
            <w:tcBorders>
              <w:top w:val="single" w:sz="4" w:space="0" w:color="000000"/>
              <w:bottom w:val="single" w:sz="4" w:space="0" w:color="D0CECE"/>
            </w:tcBorders>
            <w:tcMar>
              <w:top w:w="-113" w:type="dxa"/>
              <w:left w:w="-113" w:type="dxa"/>
              <w:bottom w:w="-113" w:type="dxa"/>
              <w:right w:w="-113" w:type="dxa"/>
            </w:tcMar>
          </w:tcPr>
          <w:p w14:paraId="0F9EBA40" w14:textId="77777777" w:rsidR="00830D35" w:rsidRDefault="00830D35" w:rsidP="00830D35">
            <w:pPr>
              <w:rPr>
                <w:color w:val="000000"/>
                <w:sz w:val="16"/>
                <w:szCs w:val="16"/>
              </w:rPr>
            </w:pPr>
            <w:r>
              <w:rPr>
                <w:sz w:val="16"/>
                <w:szCs w:val="16"/>
              </w:rPr>
              <w:t>Intron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575BD695" w14:textId="77777777" w:rsidR="00830D35" w:rsidRDefault="00830D35" w:rsidP="00830D35">
            <w:pPr>
              <w:rPr>
                <w:sz w:val="16"/>
                <w:szCs w:val="16"/>
              </w:rPr>
            </w:pPr>
            <w:r>
              <w:rPr>
                <w:color w:val="000000"/>
                <w:sz w:val="16"/>
                <w:szCs w:val="16"/>
              </w:rPr>
              <w:t>T2DM</w:t>
            </w:r>
          </w:p>
          <w:p w14:paraId="7943E7D8" w14:textId="77777777" w:rsidR="00830D35" w:rsidRDefault="00830D35" w:rsidP="00830D35">
            <w:pPr>
              <w:rPr>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3D2241E1" w14:textId="77777777" w:rsidR="00830D35" w:rsidRDefault="00830D35" w:rsidP="00830D35">
            <w:pPr>
              <w:rPr>
                <w:sz w:val="16"/>
                <w:szCs w:val="16"/>
              </w:rPr>
            </w:pPr>
            <w:r>
              <w:rPr>
                <w:sz w:val="16"/>
                <w:szCs w:val="16"/>
              </w:rPr>
              <w:t>Grau-Perez et al. 2018</w:t>
            </w:r>
          </w:p>
          <w:p w14:paraId="66462AAE" w14:textId="77777777" w:rsidR="00830D35" w:rsidRDefault="00830D35" w:rsidP="00830D35">
            <w:pPr>
              <w:rPr>
                <w:sz w:val="16"/>
                <w:szCs w:val="16"/>
              </w:rPr>
            </w:pPr>
          </w:p>
        </w:tc>
      </w:tr>
      <w:tr w:rsidR="00830D35" w14:paraId="1990D53B"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170E0C4" w14:textId="77777777" w:rsidR="00830D35" w:rsidRDefault="00830D35" w:rsidP="00830D35">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26B79F2" w14:textId="77777777" w:rsidR="00830D35" w:rsidRDefault="00830D35" w:rsidP="00830D35">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0322258" w14:textId="77777777" w:rsidR="00830D35" w:rsidRDefault="00830D35" w:rsidP="00830D35">
            <w:pPr>
              <w:rPr>
                <w:color w:val="000000"/>
                <w:sz w:val="16"/>
                <w:szCs w:val="16"/>
              </w:rPr>
            </w:pPr>
            <w:r>
              <w:rPr>
                <w:color w:val="000000"/>
                <w:sz w:val="16"/>
                <w:szCs w:val="16"/>
              </w:rPr>
              <w:t>rs2970848</w:t>
            </w:r>
          </w:p>
        </w:tc>
        <w:tc>
          <w:tcPr>
            <w:tcW w:w="851" w:type="dxa"/>
            <w:tcBorders>
              <w:top w:val="single" w:sz="4" w:space="0" w:color="D0CECE"/>
              <w:bottom w:val="single" w:sz="4" w:space="0" w:color="D0CECE"/>
            </w:tcBorders>
            <w:tcMar>
              <w:top w:w="-113" w:type="dxa"/>
              <w:left w:w="-113" w:type="dxa"/>
              <w:bottom w:w="-113" w:type="dxa"/>
              <w:right w:w="-113" w:type="dxa"/>
            </w:tcMar>
          </w:tcPr>
          <w:p w14:paraId="1E5C2CE3" w14:textId="77777777" w:rsidR="00830D35" w:rsidRDefault="00830D35" w:rsidP="00830D35">
            <w:pPr>
              <w:rPr>
                <w:color w:val="000000"/>
                <w:sz w:val="16"/>
                <w:szCs w:val="16"/>
              </w:rPr>
            </w:pPr>
            <w:r>
              <w:rPr>
                <w:color w:val="000000"/>
                <w:sz w:val="16"/>
                <w:szCs w:val="16"/>
              </w:rPr>
              <w:t>A&gt;</w:t>
            </w:r>
            <w:proofErr w:type="gramStart"/>
            <w:r>
              <w:rPr>
                <w:color w:val="000000"/>
                <w:sz w:val="16"/>
                <w:szCs w:val="16"/>
              </w:rPr>
              <w:t>C,G</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5132CCAB"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24E299EF"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24382930"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139CBC10"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450F426"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0B34D1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9A14BCA" w14:textId="77777777" w:rsidR="00830D35" w:rsidRDefault="00830D35" w:rsidP="00830D35">
            <w:pPr>
              <w:rPr>
                <w:color w:val="000000"/>
                <w:sz w:val="16"/>
                <w:szCs w:val="16"/>
              </w:rPr>
            </w:pPr>
            <w:r>
              <w:rPr>
                <w:color w:val="000000"/>
                <w:sz w:val="16"/>
                <w:szCs w:val="16"/>
              </w:rPr>
              <w:t>rs2970853</w:t>
            </w:r>
          </w:p>
        </w:tc>
        <w:tc>
          <w:tcPr>
            <w:tcW w:w="851" w:type="dxa"/>
            <w:tcBorders>
              <w:top w:val="single" w:sz="4" w:space="0" w:color="D0CECE"/>
              <w:bottom w:val="single" w:sz="4" w:space="0" w:color="D0CECE"/>
            </w:tcBorders>
            <w:tcMar>
              <w:top w:w="-113" w:type="dxa"/>
              <w:left w:w="-113" w:type="dxa"/>
              <w:bottom w:w="-113" w:type="dxa"/>
              <w:right w:w="-113" w:type="dxa"/>
            </w:tcMar>
          </w:tcPr>
          <w:p w14:paraId="4BE55574" w14:textId="77777777" w:rsidR="00830D35" w:rsidRDefault="00830D35" w:rsidP="00830D35">
            <w:pPr>
              <w:rPr>
                <w:color w:val="000000"/>
                <w:sz w:val="16"/>
                <w:szCs w:val="16"/>
              </w:rPr>
            </w:pPr>
            <w:r>
              <w:rPr>
                <w:color w:val="000000"/>
                <w:sz w:val="16"/>
                <w:szCs w:val="16"/>
              </w:rPr>
              <w:t>A&gt;</w:t>
            </w:r>
            <w:proofErr w:type="gramStart"/>
            <w:r>
              <w:rPr>
                <w:color w:val="000000"/>
                <w:sz w:val="16"/>
                <w:szCs w:val="16"/>
              </w:rPr>
              <w:t>C,G</w:t>
            </w:r>
            <w:proofErr w:type="gramEnd"/>
            <w:r>
              <w:rPr>
                <w:color w:val="000000"/>
                <w:sz w:val="16"/>
                <w:szCs w:val="16"/>
              </w:rPr>
              <w:t>,T</w:t>
            </w:r>
          </w:p>
        </w:tc>
        <w:tc>
          <w:tcPr>
            <w:tcW w:w="1701" w:type="dxa"/>
            <w:tcBorders>
              <w:top w:val="single" w:sz="4" w:space="0" w:color="D0CECE"/>
              <w:bottom w:val="single" w:sz="4" w:space="0" w:color="D0CECE"/>
            </w:tcBorders>
            <w:tcMar>
              <w:top w:w="-113" w:type="dxa"/>
              <w:left w:w="-113" w:type="dxa"/>
              <w:bottom w:w="-113" w:type="dxa"/>
              <w:right w:w="-113" w:type="dxa"/>
            </w:tcMar>
          </w:tcPr>
          <w:p w14:paraId="380C3183"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46D4376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65EF2FD"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4B3D7DA2"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EE777B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0E8B9B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B2A7714" w14:textId="77777777" w:rsidR="00830D35" w:rsidRDefault="00830D35" w:rsidP="00830D35">
            <w:pPr>
              <w:rPr>
                <w:color w:val="000000"/>
                <w:sz w:val="16"/>
                <w:szCs w:val="16"/>
              </w:rPr>
            </w:pPr>
            <w:r>
              <w:rPr>
                <w:color w:val="000000"/>
                <w:sz w:val="16"/>
                <w:szCs w:val="16"/>
              </w:rPr>
              <w:t>rs2970870</w:t>
            </w:r>
          </w:p>
        </w:tc>
        <w:tc>
          <w:tcPr>
            <w:tcW w:w="851" w:type="dxa"/>
            <w:tcBorders>
              <w:top w:val="single" w:sz="4" w:space="0" w:color="D0CECE"/>
              <w:bottom w:val="single" w:sz="4" w:space="0" w:color="D0CECE"/>
            </w:tcBorders>
            <w:tcMar>
              <w:top w:w="-113" w:type="dxa"/>
              <w:left w:w="-113" w:type="dxa"/>
              <w:bottom w:w="-113" w:type="dxa"/>
              <w:right w:w="-113" w:type="dxa"/>
            </w:tcMar>
          </w:tcPr>
          <w:p w14:paraId="372717ED" w14:textId="77777777" w:rsidR="00830D35" w:rsidRDefault="00830D35" w:rsidP="00830D35">
            <w:pPr>
              <w:rPr>
                <w:color w:val="000000"/>
                <w:sz w:val="16"/>
                <w:szCs w:val="16"/>
              </w:rPr>
            </w:pPr>
            <w:r>
              <w:rPr>
                <w:color w:val="000000"/>
                <w:sz w:val="16"/>
                <w:szCs w:val="16"/>
              </w:rPr>
              <w:t>A&gt;G</w:t>
            </w:r>
          </w:p>
        </w:tc>
        <w:tc>
          <w:tcPr>
            <w:tcW w:w="1701" w:type="dxa"/>
            <w:tcBorders>
              <w:top w:val="single" w:sz="4" w:space="0" w:color="D0CECE"/>
              <w:bottom w:val="single" w:sz="4" w:space="0" w:color="D0CECE"/>
            </w:tcBorders>
            <w:tcMar>
              <w:top w:w="-113" w:type="dxa"/>
              <w:left w:w="-113" w:type="dxa"/>
              <w:bottom w:w="-113" w:type="dxa"/>
              <w:right w:w="-113" w:type="dxa"/>
            </w:tcMar>
          </w:tcPr>
          <w:p w14:paraId="71CDBAE2"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7C875D7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701AB27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642EB302"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1099A2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86C8086"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58B55CB" w14:textId="77777777" w:rsidR="00830D35" w:rsidRDefault="00830D35" w:rsidP="00830D35">
            <w:pPr>
              <w:rPr>
                <w:color w:val="000000"/>
                <w:sz w:val="16"/>
                <w:szCs w:val="16"/>
              </w:rPr>
            </w:pPr>
            <w:r>
              <w:rPr>
                <w:color w:val="000000"/>
                <w:sz w:val="16"/>
                <w:szCs w:val="16"/>
              </w:rPr>
              <w:t>rs3755863</w:t>
            </w:r>
          </w:p>
        </w:tc>
        <w:tc>
          <w:tcPr>
            <w:tcW w:w="851" w:type="dxa"/>
            <w:tcBorders>
              <w:top w:val="single" w:sz="4" w:space="0" w:color="D0CECE"/>
              <w:bottom w:val="single" w:sz="4" w:space="0" w:color="D0CECE"/>
            </w:tcBorders>
            <w:tcMar>
              <w:top w:w="-113" w:type="dxa"/>
              <w:left w:w="-113" w:type="dxa"/>
              <w:bottom w:w="-113" w:type="dxa"/>
              <w:right w:w="-113" w:type="dxa"/>
            </w:tcMar>
          </w:tcPr>
          <w:p w14:paraId="3D6720AB" w14:textId="77777777" w:rsidR="00830D35" w:rsidRDefault="00830D35" w:rsidP="00830D35">
            <w:pPr>
              <w:rPr>
                <w:color w:val="000000"/>
                <w:sz w:val="16"/>
                <w:szCs w:val="16"/>
              </w:rPr>
            </w:pPr>
            <w:r>
              <w:rPr>
                <w:color w:val="000000"/>
                <w:sz w:val="16"/>
                <w:szCs w:val="16"/>
              </w:rPr>
              <w:t>C&gt;</w:t>
            </w:r>
            <w:proofErr w:type="gramStart"/>
            <w:r>
              <w:rPr>
                <w:color w:val="000000"/>
                <w:sz w:val="16"/>
                <w:szCs w:val="16"/>
              </w:rPr>
              <w:t>A,G</w:t>
            </w:r>
            <w:proofErr w:type="gramEnd"/>
            <w:r>
              <w:rPr>
                <w:color w:val="000000"/>
                <w:sz w:val="16"/>
                <w:szCs w:val="16"/>
              </w:rPr>
              <w:t>,T</w:t>
            </w:r>
          </w:p>
        </w:tc>
        <w:tc>
          <w:tcPr>
            <w:tcW w:w="1701" w:type="dxa"/>
            <w:tcBorders>
              <w:top w:val="single" w:sz="4" w:space="0" w:color="D0CECE"/>
              <w:bottom w:val="single" w:sz="4" w:space="0" w:color="D0CECE"/>
            </w:tcBorders>
            <w:tcMar>
              <w:top w:w="-113" w:type="dxa"/>
              <w:left w:w="-113" w:type="dxa"/>
              <w:bottom w:w="-113" w:type="dxa"/>
              <w:right w:w="-113" w:type="dxa"/>
            </w:tcMar>
          </w:tcPr>
          <w:p w14:paraId="385D0462" w14:textId="77777777" w:rsidR="00830D35" w:rsidRDefault="00830D35" w:rsidP="00830D35">
            <w:pPr>
              <w:rPr>
                <w:color w:val="000000"/>
                <w:sz w:val="16"/>
                <w:szCs w:val="16"/>
              </w:rPr>
            </w:pPr>
            <w:r>
              <w:rPr>
                <w:color w:val="000000"/>
                <w:sz w:val="16"/>
                <w:szCs w:val="16"/>
              </w:rPr>
              <w:t>Synonymous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637DE94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706B6C8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5405FA9B"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E963043"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2C660B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5F7844C9" w14:textId="77777777" w:rsidR="00830D35" w:rsidRDefault="00830D35" w:rsidP="00830D35">
            <w:pPr>
              <w:rPr>
                <w:color w:val="000000"/>
                <w:sz w:val="16"/>
                <w:szCs w:val="16"/>
              </w:rPr>
            </w:pPr>
            <w:r>
              <w:rPr>
                <w:color w:val="000000"/>
                <w:sz w:val="16"/>
                <w:szCs w:val="16"/>
              </w:rPr>
              <w:t>rs4697046</w:t>
            </w:r>
          </w:p>
        </w:tc>
        <w:tc>
          <w:tcPr>
            <w:tcW w:w="851" w:type="dxa"/>
            <w:tcBorders>
              <w:top w:val="single" w:sz="4" w:space="0" w:color="D0CECE"/>
              <w:bottom w:val="single" w:sz="4" w:space="0" w:color="D0CECE"/>
            </w:tcBorders>
            <w:tcMar>
              <w:top w:w="-113" w:type="dxa"/>
              <w:left w:w="-113" w:type="dxa"/>
              <w:bottom w:w="-113" w:type="dxa"/>
              <w:right w:w="-113" w:type="dxa"/>
            </w:tcMar>
          </w:tcPr>
          <w:p w14:paraId="23F3AEBC" w14:textId="77777777" w:rsidR="00830D35" w:rsidRDefault="00830D35" w:rsidP="00830D35">
            <w:pPr>
              <w:rPr>
                <w:color w:val="000000"/>
                <w:sz w:val="16"/>
                <w:szCs w:val="16"/>
              </w:rPr>
            </w:pPr>
            <w:r>
              <w:rPr>
                <w:color w:val="000000"/>
                <w:sz w:val="16"/>
                <w:szCs w:val="16"/>
              </w:rPr>
              <w:t>C&gt;</w:t>
            </w:r>
            <w:proofErr w:type="gramStart"/>
            <w:r>
              <w:rPr>
                <w:color w:val="000000"/>
                <w:sz w:val="16"/>
                <w:szCs w:val="16"/>
              </w:rPr>
              <w:t>A,T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5683225C"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7FCA08DF"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04C350F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0333D758"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46BF536"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CAAD77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11972BD" w14:textId="77777777" w:rsidR="00830D35" w:rsidRDefault="00830D35" w:rsidP="00830D35">
            <w:pPr>
              <w:rPr>
                <w:color w:val="000000"/>
                <w:sz w:val="16"/>
                <w:szCs w:val="16"/>
              </w:rPr>
            </w:pPr>
            <w:r>
              <w:rPr>
                <w:color w:val="000000"/>
                <w:sz w:val="16"/>
                <w:szCs w:val="16"/>
              </w:rPr>
              <w:t>rs6838600</w:t>
            </w:r>
          </w:p>
        </w:tc>
        <w:tc>
          <w:tcPr>
            <w:tcW w:w="851" w:type="dxa"/>
            <w:tcBorders>
              <w:top w:val="single" w:sz="4" w:space="0" w:color="D0CECE"/>
              <w:bottom w:val="single" w:sz="4" w:space="0" w:color="D0CECE"/>
            </w:tcBorders>
            <w:tcMar>
              <w:top w:w="-113" w:type="dxa"/>
              <w:left w:w="-113" w:type="dxa"/>
              <w:bottom w:w="-113" w:type="dxa"/>
              <w:right w:w="-113" w:type="dxa"/>
            </w:tcMar>
          </w:tcPr>
          <w:p w14:paraId="48536319" w14:textId="77777777" w:rsidR="00830D35" w:rsidRDefault="00830D35" w:rsidP="00830D35">
            <w:pPr>
              <w:rPr>
                <w:color w:val="000000"/>
                <w:sz w:val="16"/>
                <w:szCs w:val="16"/>
              </w:rPr>
            </w:pPr>
            <w:r>
              <w:rPr>
                <w:color w:val="000000"/>
                <w:sz w:val="16"/>
                <w:szCs w:val="16"/>
              </w:rPr>
              <w:t>A&gt;</w:t>
            </w:r>
            <w:proofErr w:type="gramStart"/>
            <w:r>
              <w:rPr>
                <w:color w:val="000000"/>
                <w:sz w:val="16"/>
                <w:szCs w:val="16"/>
              </w:rPr>
              <w:t>C,G</w:t>
            </w:r>
            <w:proofErr w:type="gramEnd"/>
            <w:r>
              <w:rPr>
                <w:color w:val="000000"/>
                <w:sz w:val="16"/>
                <w:szCs w:val="16"/>
              </w:rPr>
              <w:t>,T</w:t>
            </w:r>
          </w:p>
        </w:tc>
        <w:tc>
          <w:tcPr>
            <w:tcW w:w="1701" w:type="dxa"/>
            <w:tcBorders>
              <w:top w:val="single" w:sz="4" w:space="0" w:color="D0CECE"/>
              <w:bottom w:val="single" w:sz="4" w:space="0" w:color="D0CECE"/>
            </w:tcBorders>
            <w:tcMar>
              <w:top w:w="-113" w:type="dxa"/>
              <w:left w:w="-113" w:type="dxa"/>
              <w:bottom w:w="-113" w:type="dxa"/>
              <w:right w:w="-113" w:type="dxa"/>
            </w:tcMar>
          </w:tcPr>
          <w:p w14:paraId="420D96E4"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1E6281D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441C0D3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0C8F81DA"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6D8EEB5"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B4A883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7559B844" w14:textId="77777777" w:rsidR="00830D35" w:rsidRDefault="00830D35" w:rsidP="00830D35">
            <w:pPr>
              <w:rPr>
                <w:color w:val="000000"/>
                <w:sz w:val="16"/>
                <w:szCs w:val="16"/>
              </w:rPr>
            </w:pPr>
            <w:r>
              <w:rPr>
                <w:color w:val="000000"/>
                <w:sz w:val="16"/>
                <w:szCs w:val="16"/>
              </w:rPr>
              <w:t>rs8192678</w:t>
            </w:r>
          </w:p>
        </w:tc>
        <w:tc>
          <w:tcPr>
            <w:tcW w:w="851" w:type="dxa"/>
            <w:tcBorders>
              <w:top w:val="single" w:sz="4" w:space="0" w:color="D0CECE"/>
              <w:bottom w:val="single" w:sz="4" w:space="0" w:color="000000"/>
            </w:tcBorders>
            <w:tcMar>
              <w:top w:w="-113" w:type="dxa"/>
              <w:left w:w="-113" w:type="dxa"/>
              <w:bottom w:w="-113" w:type="dxa"/>
              <w:right w:w="-113" w:type="dxa"/>
            </w:tcMar>
          </w:tcPr>
          <w:p w14:paraId="0DFF11C0" w14:textId="77777777" w:rsidR="00830D35" w:rsidRDefault="00830D35" w:rsidP="00830D35">
            <w:pPr>
              <w:rPr>
                <w:color w:val="000000"/>
                <w:sz w:val="16"/>
                <w:szCs w:val="16"/>
              </w:rPr>
            </w:pPr>
            <w:r>
              <w:rPr>
                <w:color w:val="000000"/>
                <w:sz w:val="16"/>
                <w:szCs w:val="16"/>
              </w:rPr>
              <w:t>C&gt;T</w:t>
            </w:r>
          </w:p>
        </w:tc>
        <w:tc>
          <w:tcPr>
            <w:tcW w:w="1701" w:type="dxa"/>
            <w:tcBorders>
              <w:top w:val="single" w:sz="4" w:space="0" w:color="D0CECE"/>
              <w:bottom w:val="single" w:sz="4" w:space="0" w:color="000000"/>
            </w:tcBorders>
            <w:tcMar>
              <w:top w:w="-113" w:type="dxa"/>
              <w:left w:w="-113" w:type="dxa"/>
              <w:bottom w:w="-113" w:type="dxa"/>
              <w:right w:w="-113" w:type="dxa"/>
            </w:tcMar>
          </w:tcPr>
          <w:p w14:paraId="0D58AEC5" w14:textId="77777777" w:rsidR="00830D35" w:rsidRDefault="00830D35" w:rsidP="00830D35">
            <w:pPr>
              <w:rPr>
                <w:color w:val="000000"/>
                <w:sz w:val="16"/>
                <w:szCs w:val="16"/>
              </w:rPr>
            </w:pPr>
            <w:r>
              <w:rPr>
                <w:color w:val="000000"/>
                <w:sz w:val="16"/>
                <w:szCs w:val="16"/>
              </w:rPr>
              <w:t>Missense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1E358200"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05C909F4"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19BD05EB"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875421D" w14:textId="77777777" w:rsidR="00830D35" w:rsidRDefault="00830D35" w:rsidP="00830D35">
            <w:pPr>
              <w:rPr>
                <w:i/>
                <w:color w:val="000000"/>
                <w:sz w:val="16"/>
                <w:szCs w:val="16"/>
              </w:rPr>
            </w:pPr>
            <w:r>
              <w:rPr>
                <w:i/>
                <w:color w:val="000000"/>
                <w:sz w:val="16"/>
                <w:szCs w:val="16"/>
              </w:rPr>
              <w:t>PRC1</w:t>
            </w:r>
          </w:p>
          <w:p w14:paraId="45763C09" w14:textId="77777777" w:rsidR="00830D35" w:rsidRDefault="00830D35" w:rsidP="00830D35">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3E9F584" w14:textId="77777777" w:rsidR="00830D35" w:rsidRDefault="00830D35" w:rsidP="00830D35">
            <w:pPr>
              <w:rPr>
                <w:color w:val="000000"/>
                <w:sz w:val="16"/>
                <w:szCs w:val="16"/>
              </w:rPr>
            </w:pPr>
            <w:r>
              <w:rPr>
                <w:color w:val="000000"/>
                <w:sz w:val="16"/>
                <w:szCs w:val="16"/>
              </w:rPr>
              <w:t>Protein Regulator of cytokinesis 1</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217CB766" w14:textId="77777777" w:rsidR="00830D35" w:rsidRDefault="00830D35" w:rsidP="00830D35">
            <w:pPr>
              <w:rPr>
                <w:color w:val="000000"/>
                <w:sz w:val="16"/>
                <w:szCs w:val="16"/>
              </w:rPr>
            </w:pPr>
            <w:r>
              <w:rPr>
                <w:color w:val="000000"/>
                <w:sz w:val="16"/>
                <w:szCs w:val="16"/>
              </w:rPr>
              <w:t>rs12911192</w:t>
            </w:r>
          </w:p>
        </w:tc>
        <w:tc>
          <w:tcPr>
            <w:tcW w:w="851" w:type="dxa"/>
            <w:tcBorders>
              <w:top w:val="single" w:sz="4" w:space="0" w:color="000000"/>
              <w:bottom w:val="single" w:sz="4" w:space="0" w:color="D0CECE"/>
            </w:tcBorders>
            <w:tcMar>
              <w:top w:w="-113" w:type="dxa"/>
              <w:left w:w="-113" w:type="dxa"/>
              <w:bottom w:w="-113" w:type="dxa"/>
              <w:right w:w="-113" w:type="dxa"/>
            </w:tcMar>
          </w:tcPr>
          <w:p w14:paraId="489493DA" w14:textId="77777777" w:rsidR="00830D35" w:rsidRDefault="00830D35" w:rsidP="00830D35">
            <w:pPr>
              <w:rPr>
                <w:color w:val="000000"/>
                <w:sz w:val="16"/>
                <w:szCs w:val="16"/>
              </w:rPr>
            </w:pPr>
            <w:r>
              <w:rPr>
                <w:color w:val="000000"/>
                <w:sz w:val="16"/>
                <w:szCs w:val="16"/>
              </w:rPr>
              <w:t>T&gt;C</w:t>
            </w:r>
          </w:p>
        </w:tc>
        <w:tc>
          <w:tcPr>
            <w:tcW w:w="1701" w:type="dxa"/>
            <w:tcBorders>
              <w:top w:val="single" w:sz="4" w:space="0" w:color="000000"/>
              <w:bottom w:val="single" w:sz="4" w:space="0" w:color="D0CECE"/>
            </w:tcBorders>
            <w:tcMar>
              <w:top w:w="-113" w:type="dxa"/>
              <w:left w:w="-113" w:type="dxa"/>
              <w:bottom w:w="-113" w:type="dxa"/>
              <w:right w:w="-113" w:type="dxa"/>
            </w:tcMar>
          </w:tcPr>
          <w:p w14:paraId="06F8FD32" w14:textId="77777777" w:rsidR="00830D35" w:rsidRDefault="00830D35" w:rsidP="00830D35">
            <w:pPr>
              <w:rPr>
                <w:color w:val="000000"/>
                <w:sz w:val="16"/>
                <w:szCs w:val="16"/>
              </w:rPr>
            </w:pPr>
            <w:r>
              <w:rPr>
                <w:color w:val="000000"/>
                <w:sz w:val="16"/>
                <w:szCs w:val="16"/>
              </w:rPr>
              <w:t>Missense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19162954" w14:textId="77777777" w:rsidR="00830D35" w:rsidRDefault="00830D35" w:rsidP="00830D35">
            <w:pPr>
              <w:rPr>
                <w:sz w:val="16"/>
                <w:szCs w:val="16"/>
              </w:rPr>
            </w:pPr>
            <w:r>
              <w:rPr>
                <w:color w:val="000000"/>
                <w:sz w:val="16"/>
                <w:szCs w:val="16"/>
              </w:rPr>
              <w:t>T2DM</w:t>
            </w:r>
          </w:p>
          <w:p w14:paraId="023C3DE8" w14:textId="77777777" w:rsidR="00830D35" w:rsidRDefault="00830D35" w:rsidP="00830D35">
            <w:pPr>
              <w:rPr>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C1F9E35" w14:textId="77777777" w:rsidR="00830D35" w:rsidRDefault="00830D35" w:rsidP="00830D35">
            <w:pPr>
              <w:rPr>
                <w:sz w:val="16"/>
                <w:szCs w:val="16"/>
              </w:rPr>
            </w:pPr>
            <w:r>
              <w:rPr>
                <w:sz w:val="16"/>
                <w:szCs w:val="16"/>
              </w:rPr>
              <w:t xml:space="preserve">Pan </w:t>
            </w:r>
            <w:r>
              <w:rPr>
                <w:i/>
                <w:sz w:val="16"/>
                <w:szCs w:val="16"/>
              </w:rPr>
              <w:t>et al.</w:t>
            </w:r>
            <w:r>
              <w:rPr>
                <w:sz w:val="16"/>
                <w:szCs w:val="16"/>
              </w:rPr>
              <w:t xml:space="preserve"> 2013 </w:t>
            </w:r>
          </w:p>
          <w:p w14:paraId="4405488C" w14:textId="77777777" w:rsidR="00830D35" w:rsidRDefault="00830D35" w:rsidP="00830D35">
            <w:pPr>
              <w:rPr>
                <w:sz w:val="16"/>
                <w:szCs w:val="16"/>
              </w:rPr>
            </w:pPr>
          </w:p>
        </w:tc>
      </w:tr>
      <w:tr w:rsidR="00830D35" w14:paraId="4EFA2221"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398C0CC" w14:textId="77777777" w:rsidR="00830D35" w:rsidRDefault="00830D35" w:rsidP="00830D35">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628FCF9" w14:textId="77777777" w:rsidR="00830D35" w:rsidRDefault="00830D35" w:rsidP="00830D35">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D7D8C09" w14:textId="77777777" w:rsidR="00830D35" w:rsidRDefault="00830D35" w:rsidP="00830D35">
            <w:pPr>
              <w:rPr>
                <w:color w:val="000000"/>
                <w:sz w:val="16"/>
                <w:szCs w:val="16"/>
              </w:rPr>
            </w:pPr>
            <w:r>
              <w:rPr>
                <w:color w:val="000000"/>
                <w:sz w:val="16"/>
                <w:szCs w:val="16"/>
              </w:rPr>
              <w:t>rs14280</w:t>
            </w:r>
          </w:p>
        </w:tc>
        <w:tc>
          <w:tcPr>
            <w:tcW w:w="851" w:type="dxa"/>
            <w:tcBorders>
              <w:top w:val="single" w:sz="4" w:space="0" w:color="D0CECE"/>
              <w:bottom w:val="single" w:sz="4" w:space="0" w:color="D0CECE"/>
            </w:tcBorders>
            <w:tcMar>
              <w:top w:w="-113" w:type="dxa"/>
              <w:left w:w="-113" w:type="dxa"/>
              <w:bottom w:w="-113" w:type="dxa"/>
              <w:right w:w="-113" w:type="dxa"/>
            </w:tcMar>
          </w:tcPr>
          <w:p w14:paraId="14721C39" w14:textId="77777777" w:rsidR="00830D35" w:rsidRDefault="00830D35" w:rsidP="00830D35">
            <w:pPr>
              <w:rPr>
                <w:color w:val="000000"/>
                <w:sz w:val="16"/>
                <w:szCs w:val="16"/>
              </w:rPr>
            </w:pPr>
            <w:r>
              <w:rPr>
                <w:color w:val="000000"/>
                <w:sz w:val="16"/>
                <w:szCs w:val="16"/>
              </w:rPr>
              <w:t>A&gt;G</w:t>
            </w:r>
          </w:p>
        </w:tc>
        <w:tc>
          <w:tcPr>
            <w:tcW w:w="1701" w:type="dxa"/>
            <w:tcBorders>
              <w:top w:val="single" w:sz="4" w:space="0" w:color="D0CECE"/>
              <w:bottom w:val="single" w:sz="4" w:space="0" w:color="D0CECE"/>
            </w:tcBorders>
            <w:tcMar>
              <w:top w:w="-113" w:type="dxa"/>
              <w:left w:w="-113" w:type="dxa"/>
              <w:bottom w:w="-113" w:type="dxa"/>
              <w:right w:w="-113" w:type="dxa"/>
            </w:tcMar>
          </w:tcPr>
          <w:p w14:paraId="78B18035" w14:textId="77777777" w:rsidR="00830D35" w:rsidRDefault="00830D35" w:rsidP="00830D35">
            <w:pPr>
              <w:rPr>
                <w:color w:val="000000"/>
                <w:sz w:val="16"/>
                <w:szCs w:val="16"/>
              </w:rPr>
            </w:pPr>
            <w:r>
              <w:rPr>
                <w:sz w:val="16"/>
                <w:szCs w:val="16"/>
              </w:rPr>
              <w:t>3 Prime UTR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4C9078B9"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D743AA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3A809C6C"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CFC3E8D"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3F89D03"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13AC4440" w14:textId="77777777" w:rsidR="00830D35" w:rsidRDefault="00830D35" w:rsidP="00830D35">
            <w:pPr>
              <w:rPr>
                <w:color w:val="000000"/>
                <w:sz w:val="16"/>
                <w:szCs w:val="16"/>
              </w:rPr>
            </w:pPr>
            <w:r>
              <w:rPr>
                <w:color w:val="000000"/>
                <w:sz w:val="16"/>
                <w:szCs w:val="16"/>
              </w:rPr>
              <w:t>rs7601</w:t>
            </w:r>
          </w:p>
        </w:tc>
        <w:tc>
          <w:tcPr>
            <w:tcW w:w="851" w:type="dxa"/>
            <w:tcBorders>
              <w:top w:val="single" w:sz="4" w:space="0" w:color="D0CECE"/>
              <w:bottom w:val="single" w:sz="4" w:space="0" w:color="000000"/>
            </w:tcBorders>
            <w:tcMar>
              <w:top w:w="-113" w:type="dxa"/>
              <w:left w:w="-113" w:type="dxa"/>
              <w:bottom w:w="-113" w:type="dxa"/>
              <w:right w:w="-113" w:type="dxa"/>
            </w:tcMar>
          </w:tcPr>
          <w:p w14:paraId="52C2FBA7" w14:textId="77777777" w:rsidR="00830D35" w:rsidRDefault="00830D35" w:rsidP="00830D35">
            <w:pPr>
              <w:rPr>
                <w:color w:val="000000"/>
                <w:sz w:val="16"/>
                <w:szCs w:val="16"/>
              </w:rPr>
            </w:pPr>
            <w:r>
              <w:rPr>
                <w:color w:val="000000"/>
                <w:sz w:val="16"/>
                <w:szCs w:val="16"/>
              </w:rPr>
              <w:t>T&gt;</w:t>
            </w:r>
            <w:proofErr w:type="gramStart"/>
            <w:r>
              <w:rPr>
                <w:color w:val="000000"/>
                <w:sz w:val="16"/>
                <w:szCs w:val="16"/>
              </w:rPr>
              <w:t>A,C</w:t>
            </w:r>
            <w:proofErr w:type="gramEnd"/>
            <w:r>
              <w:rPr>
                <w:color w:val="000000"/>
                <w:sz w:val="16"/>
                <w:szCs w:val="16"/>
              </w:rPr>
              <w:t>,G</w:t>
            </w:r>
          </w:p>
        </w:tc>
        <w:tc>
          <w:tcPr>
            <w:tcW w:w="1701" w:type="dxa"/>
            <w:tcBorders>
              <w:top w:val="single" w:sz="4" w:space="0" w:color="D0CECE"/>
              <w:bottom w:val="single" w:sz="4" w:space="0" w:color="000000"/>
            </w:tcBorders>
            <w:tcMar>
              <w:top w:w="-113" w:type="dxa"/>
              <w:left w:w="-113" w:type="dxa"/>
              <w:bottom w:w="-113" w:type="dxa"/>
              <w:right w:w="-113" w:type="dxa"/>
            </w:tcMar>
          </w:tcPr>
          <w:p w14:paraId="1D3D1C8C" w14:textId="77777777" w:rsidR="00830D35" w:rsidRDefault="00830D35" w:rsidP="00830D35">
            <w:pPr>
              <w:rPr>
                <w:color w:val="000000"/>
                <w:sz w:val="16"/>
                <w:szCs w:val="16"/>
              </w:rPr>
            </w:pPr>
            <w:r>
              <w:rPr>
                <w:sz w:val="16"/>
                <w:szCs w:val="16"/>
              </w:rPr>
              <w:t>3 Prime UTR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4C7CE965"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6F12ACEB"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23795C59"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72FDA808" w14:textId="77777777" w:rsidR="00830D35" w:rsidRDefault="00830D35" w:rsidP="00830D35">
            <w:pPr>
              <w:rPr>
                <w:i/>
                <w:color w:val="000000"/>
                <w:sz w:val="16"/>
                <w:szCs w:val="16"/>
              </w:rPr>
            </w:pPr>
            <w:r>
              <w:rPr>
                <w:i/>
                <w:color w:val="000000"/>
                <w:sz w:val="16"/>
                <w:szCs w:val="16"/>
              </w:rPr>
              <w:t>PRL</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08244215" w14:textId="77777777" w:rsidR="00830D35" w:rsidRDefault="00830D35" w:rsidP="00830D35">
            <w:pPr>
              <w:rPr>
                <w:color w:val="000000"/>
                <w:sz w:val="16"/>
                <w:szCs w:val="16"/>
              </w:rPr>
            </w:pPr>
            <w:r>
              <w:rPr>
                <w:color w:val="000000"/>
                <w:sz w:val="16"/>
                <w:szCs w:val="16"/>
              </w:rPr>
              <w:t>Prolactin</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7207C6D0" w14:textId="77777777" w:rsidR="00830D35" w:rsidRDefault="00830D35" w:rsidP="00830D35">
            <w:pPr>
              <w:rPr>
                <w:color w:val="000000"/>
                <w:sz w:val="16"/>
                <w:szCs w:val="16"/>
              </w:rPr>
            </w:pPr>
            <w:r>
              <w:rPr>
                <w:color w:val="000000"/>
                <w:sz w:val="16"/>
                <w:szCs w:val="16"/>
              </w:rPr>
              <w:t>rs4712652</w:t>
            </w:r>
          </w:p>
        </w:tc>
        <w:tc>
          <w:tcPr>
            <w:tcW w:w="851" w:type="dxa"/>
            <w:tcBorders>
              <w:top w:val="single" w:sz="4" w:space="0" w:color="000000"/>
              <w:bottom w:val="single" w:sz="4" w:space="0" w:color="000000"/>
            </w:tcBorders>
            <w:tcMar>
              <w:top w:w="-113" w:type="dxa"/>
              <w:left w:w="-113" w:type="dxa"/>
              <w:bottom w:w="-113" w:type="dxa"/>
              <w:right w:w="-113" w:type="dxa"/>
            </w:tcMar>
          </w:tcPr>
          <w:p w14:paraId="2F6319B1" w14:textId="77777777" w:rsidR="00830D35" w:rsidRDefault="00830D35" w:rsidP="00830D35">
            <w:pPr>
              <w:rPr>
                <w:color w:val="000000"/>
                <w:sz w:val="16"/>
                <w:szCs w:val="16"/>
              </w:rPr>
            </w:pPr>
            <w:r>
              <w:rPr>
                <w:color w:val="000000"/>
                <w:sz w:val="16"/>
                <w:szCs w:val="16"/>
              </w:rPr>
              <w:t>G&gt;</w:t>
            </w:r>
            <w:proofErr w:type="gramStart"/>
            <w:r>
              <w:rPr>
                <w:color w:val="000000"/>
                <w:sz w:val="16"/>
                <w:szCs w:val="16"/>
              </w:rPr>
              <w:t>A,C</w:t>
            </w:r>
            <w:proofErr w:type="gramEnd"/>
            <w:r>
              <w:rPr>
                <w:color w:val="000000"/>
                <w:sz w:val="16"/>
                <w:szCs w:val="16"/>
              </w:rPr>
              <w:t>,T</w:t>
            </w:r>
          </w:p>
        </w:tc>
        <w:tc>
          <w:tcPr>
            <w:tcW w:w="1701" w:type="dxa"/>
            <w:tcBorders>
              <w:top w:val="single" w:sz="4" w:space="0" w:color="000000"/>
              <w:bottom w:val="single" w:sz="4" w:space="0" w:color="000000"/>
            </w:tcBorders>
            <w:tcMar>
              <w:top w:w="-113" w:type="dxa"/>
              <w:left w:w="-113" w:type="dxa"/>
              <w:bottom w:w="-113" w:type="dxa"/>
              <w:right w:w="-113" w:type="dxa"/>
            </w:tcMar>
          </w:tcPr>
          <w:p w14:paraId="07DD6602" w14:textId="77777777" w:rsidR="00830D35" w:rsidRDefault="00830D35" w:rsidP="00830D35">
            <w:pPr>
              <w:rPr>
                <w:color w:val="000000"/>
                <w:sz w:val="16"/>
                <w:szCs w:val="16"/>
              </w:rPr>
            </w:pPr>
            <w:r>
              <w:rPr>
                <w:sz w:val="16"/>
                <w:szCs w:val="16"/>
              </w:rPr>
              <w:t>Intron variant</w:t>
            </w:r>
          </w:p>
        </w:tc>
        <w:tc>
          <w:tcPr>
            <w:tcW w:w="708" w:type="dxa"/>
            <w:tcBorders>
              <w:top w:val="single" w:sz="4" w:space="0" w:color="000000"/>
              <w:bottom w:val="single" w:sz="4" w:space="0" w:color="000000"/>
            </w:tcBorders>
            <w:tcMar>
              <w:top w:w="-113" w:type="dxa"/>
              <w:left w:w="-113" w:type="dxa"/>
              <w:bottom w:w="-113" w:type="dxa"/>
              <w:right w:w="-113" w:type="dxa"/>
            </w:tcMar>
          </w:tcPr>
          <w:p w14:paraId="539F11DF" w14:textId="77777777" w:rsidR="00830D35" w:rsidRDefault="00830D35" w:rsidP="00830D35">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187D8C3A" w14:textId="77777777" w:rsidR="00830D35" w:rsidRDefault="00830D35" w:rsidP="00830D35">
            <w:pPr>
              <w:rPr>
                <w:color w:val="000000"/>
                <w:sz w:val="16"/>
                <w:szCs w:val="16"/>
              </w:rPr>
            </w:pPr>
            <w:r>
              <w:rPr>
                <w:sz w:val="16"/>
                <w:szCs w:val="16"/>
              </w:rPr>
              <w:t>Grau-Perez et al. 2018</w:t>
            </w:r>
          </w:p>
        </w:tc>
      </w:tr>
      <w:tr w:rsidR="00830D35" w14:paraId="521014F4"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1D87C8E" w14:textId="77777777" w:rsidR="00830D35" w:rsidRDefault="00830D35" w:rsidP="00830D35">
            <w:pPr>
              <w:rPr>
                <w:i/>
                <w:color w:val="000000"/>
                <w:sz w:val="16"/>
                <w:szCs w:val="16"/>
              </w:rPr>
            </w:pPr>
            <w:r>
              <w:rPr>
                <w:i/>
                <w:color w:val="000000"/>
                <w:sz w:val="16"/>
                <w:szCs w:val="16"/>
              </w:rPr>
              <w:t>RAC2</w:t>
            </w:r>
          </w:p>
          <w:p w14:paraId="692F0C3B" w14:textId="77777777" w:rsidR="00830D35" w:rsidRDefault="00830D35" w:rsidP="00830D35">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CF51990" w14:textId="77777777" w:rsidR="00830D35" w:rsidRDefault="00830D35" w:rsidP="00830D35">
            <w:pPr>
              <w:rPr>
                <w:color w:val="000000"/>
                <w:sz w:val="16"/>
                <w:szCs w:val="16"/>
              </w:rPr>
            </w:pPr>
            <w:r>
              <w:rPr>
                <w:color w:val="000000"/>
                <w:sz w:val="16"/>
                <w:szCs w:val="16"/>
              </w:rPr>
              <w:lastRenderedPageBreak/>
              <w:t>Rac Family Small GTPase 2</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71E289E4" w14:textId="77777777" w:rsidR="00830D35" w:rsidRDefault="00830D35" w:rsidP="00830D35">
            <w:pPr>
              <w:rPr>
                <w:color w:val="000000"/>
                <w:sz w:val="16"/>
                <w:szCs w:val="16"/>
              </w:rPr>
            </w:pPr>
            <w:r>
              <w:rPr>
                <w:color w:val="000000"/>
                <w:sz w:val="16"/>
                <w:szCs w:val="16"/>
              </w:rPr>
              <w:t>rs6572</w:t>
            </w:r>
          </w:p>
        </w:tc>
        <w:tc>
          <w:tcPr>
            <w:tcW w:w="851" w:type="dxa"/>
            <w:tcBorders>
              <w:top w:val="single" w:sz="4" w:space="0" w:color="000000"/>
              <w:bottom w:val="single" w:sz="4" w:space="0" w:color="D0CECE"/>
            </w:tcBorders>
            <w:tcMar>
              <w:top w:w="-113" w:type="dxa"/>
              <w:left w:w="-113" w:type="dxa"/>
              <w:bottom w:w="-113" w:type="dxa"/>
              <w:right w:w="-113" w:type="dxa"/>
            </w:tcMar>
          </w:tcPr>
          <w:p w14:paraId="1AD0F534" w14:textId="77777777" w:rsidR="00830D35" w:rsidRDefault="00830D35" w:rsidP="00830D35">
            <w:pPr>
              <w:rPr>
                <w:color w:val="000000"/>
                <w:sz w:val="16"/>
                <w:szCs w:val="16"/>
              </w:rPr>
            </w:pPr>
            <w:r>
              <w:rPr>
                <w:color w:val="000000"/>
                <w:sz w:val="16"/>
                <w:szCs w:val="16"/>
              </w:rPr>
              <w:t>C&gt;G</w:t>
            </w:r>
          </w:p>
        </w:tc>
        <w:tc>
          <w:tcPr>
            <w:tcW w:w="1701" w:type="dxa"/>
            <w:tcBorders>
              <w:top w:val="single" w:sz="4" w:space="0" w:color="000000"/>
              <w:bottom w:val="single" w:sz="4" w:space="0" w:color="D0CECE"/>
            </w:tcBorders>
            <w:tcMar>
              <w:top w:w="-113" w:type="dxa"/>
              <w:left w:w="-113" w:type="dxa"/>
              <w:bottom w:w="-113" w:type="dxa"/>
              <w:right w:w="-113" w:type="dxa"/>
            </w:tcMar>
          </w:tcPr>
          <w:p w14:paraId="5D5B8BA7" w14:textId="77777777" w:rsidR="00830D35" w:rsidRDefault="00830D35" w:rsidP="00830D35">
            <w:pPr>
              <w:rPr>
                <w:color w:val="000000"/>
                <w:sz w:val="16"/>
                <w:szCs w:val="16"/>
              </w:rPr>
            </w:pPr>
            <w:r>
              <w:rPr>
                <w:sz w:val="16"/>
                <w:szCs w:val="16"/>
              </w:rPr>
              <w:t>3 Prime UTR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1C09759D" w14:textId="77777777" w:rsidR="00830D35" w:rsidRDefault="00830D35" w:rsidP="00830D35">
            <w:pPr>
              <w:rPr>
                <w:sz w:val="16"/>
                <w:szCs w:val="16"/>
              </w:rPr>
            </w:pPr>
            <w:r>
              <w:rPr>
                <w:color w:val="000000"/>
                <w:sz w:val="16"/>
                <w:szCs w:val="16"/>
              </w:rPr>
              <w:t>T2DM</w:t>
            </w: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31F1C9C0" w14:textId="77777777" w:rsidR="00830D35" w:rsidRDefault="00830D35" w:rsidP="00830D35">
            <w:pPr>
              <w:rPr>
                <w:sz w:val="16"/>
                <w:szCs w:val="16"/>
              </w:rPr>
            </w:pPr>
            <w:r>
              <w:rPr>
                <w:sz w:val="16"/>
                <w:szCs w:val="16"/>
              </w:rPr>
              <w:t>Grau-Perez et al. 2018</w:t>
            </w:r>
          </w:p>
          <w:p w14:paraId="23D589B1" w14:textId="77777777" w:rsidR="00830D35" w:rsidRDefault="00830D35" w:rsidP="00830D35">
            <w:pPr>
              <w:rPr>
                <w:sz w:val="16"/>
                <w:szCs w:val="16"/>
              </w:rPr>
            </w:pPr>
          </w:p>
        </w:tc>
      </w:tr>
      <w:tr w:rsidR="00830D35" w14:paraId="60AD7BAE"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E00C3AF" w14:textId="77777777" w:rsidR="00830D35" w:rsidRDefault="00830D35" w:rsidP="00830D35">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E5FF1C2" w14:textId="77777777" w:rsidR="00830D35" w:rsidRDefault="00830D35" w:rsidP="00830D35">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11CA6982" w14:textId="77777777" w:rsidR="00830D35" w:rsidRDefault="00830D35" w:rsidP="00830D35">
            <w:pPr>
              <w:rPr>
                <w:color w:val="000000"/>
                <w:sz w:val="16"/>
                <w:szCs w:val="16"/>
              </w:rPr>
            </w:pPr>
            <w:r>
              <w:rPr>
                <w:color w:val="000000"/>
                <w:sz w:val="16"/>
                <w:szCs w:val="16"/>
              </w:rPr>
              <w:t>rs9798725</w:t>
            </w:r>
          </w:p>
        </w:tc>
        <w:tc>
          <w:tcPr>
            <w:tcW w:w="851" w:type="dxa"/>
            <w:tcBorders>
              <w:top w:val="single" w:sz="4" w:space="0" w:color="D0CECE"/>
              <w:bottom w:val="single" w:sz="4" w:space="0" w:color="000000"/>
            </w:tcBorders>
            <w:tcMar>
              <w:top w:w="-113" w:type="dxa"/>
              <w:left w:w="-113" w:type="dxa"/>
              <w:bottom w:w="-113" w:type="dxa"/>
              <w:right w:w="-113" w:type="dxa"/>
            </w:tcMar>
          </w:tcPr>
          <w:p w14:paraId="1D3E6563" w14:textId="77777777" w:rsidR="00830D35" w:rsidRDefault="00830D35" w:rsidP="00830D35">
            <w:pPr>
              <w:rPr>
                <w:color w:val="000000"/>
                <w:sz w:val="16"/>
                <w:szCs w:val="16"/>
              </w:rPr>
            </w:pPr>
            <w:r>
              <w:rPr>
                <w:color w:val="000000"/>
                <w:sz w:val="16"/>
                <w:szCs w:val="16"/>
              </w:rPr>
              <w:t>A&gt;</w:t>
            </w:r>
            <w:proofErr w:type="gramStart"/>
            <w:r>
              <w:rPr>
                <w:color w:val="000000"/>
                <w:sz w:val="16"/>
                <w:szCs w:val="16"/>
              </w:rPr>
              <w:t>C,G</w:t>
            </w:r>
            <w:proofErr w:type="gramEnd"/>
            <w:r>
              <w:rPr>
                <w:color w:val="000000"/>
                <w:sz w:val="16"/>
                <w:szCs w:val="16"/>
              </w:rPr>
              <w:t>,T</w:t>
            </w:r>
          </w:p>
        </w:tc>
        <w:tc>
          <w:tcPr>
            <w:tcW w:w="1701" w:type="dxa"/>
            <w:tcBorders>
              <w:top w:val="single" w:sz="4" w:space="0" w:color="D0CECE"/>
              <w:bottom w:val="single" w:sz="4" w:space="0" w:color="000000"/>
            </w:tcBorders>
            <w:tcMar>
              <w:top w:w="-113" w:type="dxa"/>
              <w:left w:w="-113" w:type="dxa"/>
              <w:bottom w:w="-113" w:type="dxa"/>
              <w:right w:w="-113" w:type="dxa"/>
            </w:tcMar>
          </w:tcPr>
          <w:p w14:paraId="7DC4538A" w14:textId="77777777" w:rsidR="00830D35" w:rsidRDefault="00830D35" w:rsidP="00830D35">
            <w:pPr>
              <w:rPr>
                <w:color w:val="000000"/>
                <w:sz w:val="16"/>
                <w:szCs w:val="16"/>
              </w:rPr>
            </w:pPr>
            <w:r>
              <w:rPr>
                <w:sz w:val="16"/>
                <w:szCs w:val="16"/>
              </w:rPr>
              <w:t>500B Downstream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6FC5C765"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117F6E0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6729A77B"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A6E9A53" w14:textId="77777777" w:rsidR="00830D35" w:rsidRDefault="00830D35" w:rsidP="00830D35">
            <w:pPr>
              <w:rPr>
                <w:i/>
                <w:color w:val="000000"/>
                <w:sz w:val="16"/>
                <w:szCs w:val="16"/>
              </w:rPr>
            </w:pPr>
            <w:r>
              <w:rPr>
                <w:i/>
                <w:color w:val="000000"/>
                <w:sz w:val="16"/>
                <w:szCs w:val="16"/>
              </w:rPr>
              <w:t>REN</w:t>
            </w:r>
          </w:p>
          <w:p w14:paraId="00235360" w14:textId="77777777" w:rsidR="00830D35" w:rsidRDefault="00830D35" w:rsidP="00830D35">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64228AB" w14:textId="77777777" w:rsidR="00830D35" w:rsidRDefault="00830D35" w:rsidP="00830D35">
            <w:pPr>
              <w:rPr>
                <w:color w:val="000000"/>
                <w:sz w:val="16"/>
                <w:szCs w:val="16"/>
              </w:rPr>
            </w:pPr>
            <w:r>
              <w:rPr>
                <w:color w:val="000000"/>
                <w:sz w:val="16"/>
                <w:szCs w:val="16"/>
              </w:rPr>
              <w:t>Renin</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131F1B11" w14:textId="77777777" w:rsidR="00830D35" w:rsidRDefault="00830D35" w:rsidP="00830D35">
            <w:pPr>
              <w:rPr>
                <w:color w:val="000000"/>
                <w:sz w:val="16"/>
                <w:szCs w:val="16"/>
              </w:rPr>
            </w:pPr>
            <w:r>
              <w:rPr>
                <w:color w:val="000000"/>
                <w:sz w:val="16"/>
                <w:szCs w:val="16"/>
              </w:rPr>
              <w:t>rs11571080</w:t>
            </w:r>
          </w:p>
        </w:tc>
        <w:tc>
          <w:tcPr>
            <w:tcW w:w="851" w:type="dxa"/>
            <w:tcBorders>
              <w:top w:val="single" w:sz="4" w:space="0" w:color="000000"/>
              <w:bottom w:val="single" w:sz="4" w:space="0" w:color="D0CECE"/>
            </w:tcBorders>
            <w:tcMar>
              <w:top w:w="-113" w:type="dxa"/>
              <w:left w:w="-113" w:type="dxa"/>
              <w:bottom w:w="-113" w:type="dxa"/>
              <w:right w:w="-113" w:type="dxa"/>
            </w:tcMar>
          </w:tcPr>
          <w:p w14:paraId="2B5E0F1A" w14:textId="77777777" w:rsidR="00830D35" w:rsidRDefault="00830D35" w:rsidP="00830D35">
            <w:pPr>
              <w:rPr>
                <w:color w:val="000000"/>
                <w:sz w:val="16"/>
                <w:szCs w:val="16"/>
              </w:rPr>
            </w:pPr>
            <w:r>
              <w:rPr>
                <w:color w:val="000000"/>
                <w:sz w:val="16"/>
                <w:szCs w:val="16"/>
              </w:rPr>
              <w:t>T&gt;</w:t>
            </w:r>
            <w:proofErr w:type="gramStart"/>
            <w:r>
              <w:rPr>
                <w:color w:val="000000"/>
                <w:sz w:val="16"/>
                <w:szCs w:val="16"/>
              </w:rPr>
              <w:t>A,C</w:t>
            </w:r>
            <w:proofErr w:type="gramEnd"/>
          </w:p>
        </w:tc>
        <w:tc>
          <w:tcPr>
            <w:tcW w:w="1701" w:type="dxa"/>
            <w:tcBorders>
              <w:top w:val="single" w:sz="4" w:space="0" w:color="000000"/>
              <w:bottom w:val="single" w:sz="4" w:space="0" w:color="D0CECE"/>
            </w:tcBorders>
            <w:tcMar>
              <w:top w:w="-113" w:type="dxa"/>
              <w:left w:w="-113" w:type="dxa"/>
              <w:bottom w:w="-113" w:type="dxa"/>
              <w:right w:w="-113" w:type="dxa"/>
            </w:tcMar>
          </w:tcPr>
          <w:p w14:paraId="52762D90" w14:textId="77777777" w:rsidR="00830D35" w:rsidRDefault="00830D35" w:rsidP="00830D35">
            <w:pPr>
              <w:rPr>
                <w:color w:val="000000"/>
                <w:sz w:val="16"/>
                <w:szCs w:val="16"/>
              </w:rPr>
            </w:pPr>
            <w:r>
              <w:rPr>
                <w:sz w:val="16"/>
                <w:szCs w:val="16"/>
              </w:rPr>
              <w:t>Intron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1ABED457" w14:textId="77777777" w:rsidR="00830D35" w:rsidRDefault="00830D35" w:rsidP="00830D35">
            <w:pPr>
              <w:rPr>
                <w:sz w:val="16"/>
                <w:szCs w:val="16"/>
              </w:rPr>
            </w:pPr>
            <w:r>
              <w:rPr>
                <w:color w:val="000000"/>
                <w:sz w:val="16"/>
                <w:szCs w:val="16"/>
              </w:rPr>
              <w:t>T2DM</w:t>
            </w:r>
          </w:p>
          <w:p w14:paraId="25E4DE15" w14:textId="77777777" w:rsidR="00830D35" w:rsidRDefault="00830D35" w:rsidP="00830D35">
            <w:pPr>
              <w:rPr>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8288240" w14:textId="77777777" w:rsidR="00830D35" w:rsidRDefault="00830D35" w:rsidP="00830D35">
            <w:pPr>
              <w:rPr>
                <w:sz w:val="16"/>
                <w:szCs w:val="16"/>
              </w:rPr>
            </w:pPr>
            <w:r>
              <w:rPr>
                <w:sz w:val="16"/>
                <w:szCs w:val="16"/>
              </w:rPr>
              <w:t>Grau-Perez et al. 2018</w:t>
            </w:r>
          </w:p>
          <w:p w14:paraId="2519BB0D" w14:textId="77777777" w:rsidR="00830D35" w:rsidRDefault="00830D35" w:rsidP="00830D35">
            <w:pPr>
              <w:rPr>
                <w:sz w:val="16"/>
                <w:szCs w:val="16"/>
              </w:rPr>
            </w:pPr>
          </w:p>
        </w:tc>
      </w:tr>
      <w:tr w:rsidR="00830D35" w14:paraId="295AA82C"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40AF7A5" w14:textId="77777777" w:rsidR="00830D35" w:rsidRDefault="00830D35" w:rsidP="00830D35">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3CB463C" w14:textId="77777777" w:rsidR="00830D35" w:rsidRDefault="00830D35" w:rsidP="00830D35">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58526F12" w14:textId="77777777" w:rsidR="00830D35" w:rsidRDefault="00830D35" w:rsidP="00830D35">
            <w:pPr>
              <w:rPr>
                <w:color w:val="000000"/>
                <w:sz w:val="16"/>
                <w:szCs w:val="16"/>
              </w:rPr>
            </w:pPr>
            <w:r>
              <w:rPr>
                <w:color w:val="000000"/>
                <w:sz w:val="16"/>
                <w:szCs w:val="16"/>
              </w:rPr>
              <w:t>rs3215332</w:t>
            </w:r>
          </w:p>
        </w:tc>
        <w:tc>
          <w:tcPr>
            <w:tcW w:w="851" w:type="dxa"/>
            <w:tcBorders>
              <w:top w:val="single" w:sz="4" w:space="0" w:color="D0CECE"/>
              <w:bottom w:val="single" w:sz="4" w:space="0" w:color="D0CECE"/>
            </w:tcBorders>
            <w:tcMar>
              <w:top w:w="-113" w:type="dxa"/>
              <w:left w:w="-113" w:type="dxa"/>
              <w:bottom w:w="-113" w:type="dxa"/>
              <w:right w:w="-113" w:type="dxa"/>
            </w:tcMar>
          </w:tcPr>
          <w:p w14:paraId="6D7BE85E" w14:textId="77777777" w:rsidR="00830D35" w:rsidRDefault="00830D35" w:rsidP="00830D35">
            <w:pPr>
              <w:rPr>
                <w:color w:val="000000"/>
                <w:sz w:val="16"/>
                <w:szCs w:val="16"/>
              </w:rPr>
            </w:pPr>
            <w:r>
              <w:rPr>
                <w:color w:val="000000"/>
                <w:sz w:val="16"/>
                <w:szCs w:val="16"/>
              </w:rPr>
              <w:t>CC&gt;</w:t>
            </w:r>
            <w:proofErr w:type="gramStart"/>
            <w:r>
              <w:rPr>
                <w:color w:val="000000"/>
                <w:sz w:val="16"/>
                <w:szCs w:val="16"/>
              </w:rPr>
              <w:t>-,C</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458E4E64"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7F622FE9"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74D4F8D3"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357348C8"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5F25AA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D8C9B2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6627E806" w14:textId="77777777" w:rsidR="00830D35" w:rsidRDefault="00830D35" w:rsidP="00830D35">
            <w:pPr>
              <w:rPr>
                <w:color w:val="000000"/>
                <w:sz w:val="16"/>
                <w:szCs w:val="16"/>
              </w:rPr>
            </w:pPr>
            <w:r>
              <w:rPr>
                <w:color w:val="000000"/>
                <w:sz w:val="16"/>
                <w:szCs w:val="16"/>
              </w:rPr>
              <w:t>rs5707</w:t>
            </w:r>
          </w:p>
        </w:tc>
        <w:tc>
          <w:tcPr>
            <w:tcW w:w="851" w:type="dxa"/>
            <w:tcBorders>
              <w:top w:val="single" w:sz="4" w:space="0" w:color="D0CECE"/>
              <w:bottom w:val="single" w:sz="4" w:space="0" w:color="000000"/>
            </w:tcBorders>
            <w:tcMar>
              <w:top w:w="-113" w:type="dxa"/>
              <w:left w:w="-113" w:type="dxa"/>
              <w:bottom w:w="-113" w:type="dxa"/>
              <w:right w:w="-113" w:type="dxa"/>
            </w:tcMar>
          </w:tcPr>
          <w:p w14:paraId="23FD205F" w14:textId="77777777" w:rsidR="00830D35" w:rsidRDefault="00830D35" w:rsidP="00830D35">
            <w:pPr>
              <w:rPr>
                <w:color w:val="000000"/>
                <w:sz w:val="16"/>
                <w:szCs w:val="16"/>
              </w:rPr>
            </w:pPr>
            <w:r>
              <w:rPr>
                <w:color w:val="000000"/>
                <w:sz w:val="16"/>
                <w:szCs w:val="16"/>
              </w:rPr>
              <w:t>A&gt;</w:t>
            </w:r>
            <w:proofErr w:type="gramStart"/>
            <w:r>
              <w:rPr>
                <w:color w:val="000000"/>
                <w:sz w:val="16"/>
                <w:szCs w:val="16"/>
              </w:rPr>
              <w:t>C,G</w:t>
            </w:r>
            <w:proofErr w:type="gramEnd"/>
            <w:r>
              <w:rPr>
                <w:color w:val="000000"/>
                <w:sz w:val="16"/>
                <w:szCs w:val="16"/>
              </w:rPr>
              <w:t>,T</w:t>
            </w:r>
          </w:p>
        </w:tc>
        <w:tc>
          <w:tcPr>
            <w:tcW w:w="1701" w:type="dxa"/>
            <w:tcBorders>
              <w:top w:val="single" w:sz="4" w:space="0" w:color="D0CECE"/>
              <w:bottom w:val="single" w:sz="4" w:space="0" w:color="000000"/>
            </w:tcBorders>
            <w:tcMar>
              <w:top w:w="-113" w:type="dxa"/>
              <w:left w:w="-113" w:type="dxa"/>
              <w:bottom w:w="-113" w:type="dxa"/>
              <w:right w:w="-113" w:type="dxa"/>
            </w:tcMar>
          </w:tcPr>
          <w:p w14:paraId="40CFAF75"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7A8AF843"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40631D99"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rsidRPr="0030321B" w14:paraId="0A110BF8"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2BBDE19" w14:textId="77777777" w:rsidR="00830D35" w:rsidRDefault="00830D35" w:rsidP="00830D35">
            <w:pPr>
              <w:rPr>
                <w:i/>
                <w:color w:val="000000"/>
                <w:sz w:val="16"/>
                <w:szCs w:val="16"/>
              </w:rPr>
            </w:pPr>
            <w:r>
              <w:rPr>
                <w:i/>
                <w:color w:val="000000"/>
                <w:sz w:val="16"/>
                <w:szCs w:val="16"/>
              </w:rPr>
              <w:t>S1PR1</w:t>
            </w: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C443CD3" w14:textId="77777777" w:rsidR="00830D35" w:rsidRDefault="00830D35" w:rsidP="00830D35">
            <w:pPr>
              <w:rPr>
                <w:color w:val="000000"/>
                <w:sz w:val="16"/>
                <w:szCs w:val="16"/>
              </w:rPr>
            </w:pPr>
            <w:r>
              <w:rPr>
                <w:color w:val="000000"/>
                <w:sz w:val="16"/>
                <w:szCs w:val="16"/>
              </w:rPr>
              <w:t>Sphingosine-1-Phosphate Receptor 1</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00DE3908" w14:textId="77777777" w:rsidR="00830D35" w:rsidRDefault="00830D35" w:rsidP="00830D35">
            <w:pPr>
              <w:rPr>
                <w:color w:val="000000"/>
                <w:sz w:val="16"/>
                <w:szCs w:val="16"/>
              </w:rPr>
            </w:pPr>
            <w:r>
              <w:rPr>
                <w:color w:val="000000"/>
                <w:sz w:val="16"/>
                <w:szCs w:val="16"/>
              </w:rPr>
              <w:t>rs1411017</w:t>
            </w:r>
          </w:p>
        </w:tc>
        <w:tc>
          <w:tcPr>
            <w:tcW w:w="851" w:type="dxa"/>
            <w:tcBorders>
              <w:top w:val="single" w:sz="4" w:space="0" w:color="000000"/>
              <w:bottom w:val="single" w:sz="4" w:space="0" w:color="D0CECE"/>
            </w:tcBorders>
            <w:tcMar>
              <w:top w:w="-113" w:type="dxa"/>
              <w:left w:w="-113" w:type="dxa"/>
              <w:bottom w:w="-113" w:type="dxa"/>
              <w:right w:w="-113" w:type="dxa"/>
            </w:tcMar>
          </w:tcPr>
          <w:p w14:paraId="683E9B3B" w14:textId="77777777" w:rsidR="00830D35" w:rsidRDefault="00830D35" w:rsidP="00830D35">
            <w:pPr>
              <w:rPr>
                <w:color w:val="000000"/>
                <w:sz w:val="16"/>
                <w:szCs w:val="16"/>
              </w:rPr>
            </w:pPr>
            <w:r>
              <w:rPr>
                <w:color w:val="000000"/>
                <w:sz w:val="16"/>
                <w:szCs w:val="16"/>
              </w:rPr>
              <w:t>T&gt;</w:t>
            </w:r>
            <w:proofErr w:type="gramStart"/>
            <w:r>
              <w:rPr>
                <w:color w:val="000000"/>
                <w:sz w:val="16"/>
                <w:szCs w:val="16"/>
              </w:rPr>
              <w:t>A,C</w:t>
            </w:r>
            <w:proofErr w:type="gramEnd"/>
          </w:p>
        </w:tc>
        <w:tc>
          <w:tcPr>
            <w:tcW w:w="1701" w:type="dxa"/>
            <w:tcBorders>
              <w:top w:val="single" w:sz="4" w:space="0" w:color="000000"/>
              <w:bottom w:val="single" w:sz="4" w:space="0" w:color="D0CECE"/>
            </w:tcBorders>
            <w:tcMar>
              <w:top w:w="-113" w:type="dxa"/>
              <w:left w:w="-113" w:type="dxa"/>
              <w:bottom w:w="-113" w:type="dxa"/>
              <w:right w:w="-113" w:type="dxa"/>
            </w:tcMar>
          </w:tcPr>
          <w:p w14:paraId="44D61089" w14:textId="77777777" w:rsidR="00830D35" w:rsidRDefault="00830D35" w:rsidP="00830D35">
            <w:pPr>
              <w:rPr>
                <w:color w:val="000000"/>
                <w:sz w:val="16"/>
                <w:szCs w:val="16"/>
              </w:rPr>
            </w:pPr>
            <w:r>
              <w:rPr>
                <w:sz w:val="16"/>
                <w:szCs w:val="16"/>
              </w:rPr>
              <w:t>Intron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63451E80" w14:textId="77777777" w:rsidR="00830D35" w:rsidRDefault="00830D35" w:rsidP="00830D35">
            <w:pPr>
              <w:rPr>
                <w:sz w:val="16"/>
                <w:szCs w:val="16"/>
              </w:rPr>
            </w:pPr>
            <w:r>
              <w:rPr>
                <w:color w:val="000000"/>
                <w:sz w:val="16"/>
                <w:szCs w:val="16"/>
              </w:rPr>
              <w:t>CVD</w:t>
            </w:r>
          </w:p>
          <w:p w14:paraId="6DB00052" w14:textId="77777777" w:rsidR="00830D35" w:rsidRDefault="00830D35" w:rsidP="00830D35">
            <w:pPr>
              <w:rPr>
                <w:sz w:val="16"/>
                <w:szCs w:val="16"/>
              </w:rPr>
            </w:pPr>
            <w:r>
              <w:rPr>
                <w:sz w:val="16"/>
                <w:szCs w:val="16"/>
              </w:rPr>
              <w:t>CIMT</w:t>
            </w: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1409323E" w14:textId="77777777" w:rsidR="00830D35" w:rsidRPr="00641BD3" w:rsidRDefault="00830D35" w:rsidP="00830D35">
            <w:pPr>
              <w:rPr>
                <w:sz w:val="16"/>
                <w:szCs w:val="16"/>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3FD92FF1" w14:textId="77777777" w:rsidR="00830D35" w:rsidRPr="00641BD3" w:rsidRDefault="00830D35" w:rsidP="00830D35">
            <w:pPr>
              <w:rPr>
                <w:sz w:val="16"/>
                <w:szCs w:val="16"/>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tc>
      </w:tr>
      <w:tr w:rsidR="00830D35" w14:paraId="5BE98711"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B04CD49" w14:textId="77777777" w:rsidR="00830D35" w:rsidRPr="00641BD3" w:rsidRDefault="00830D35" w:rsidP="00830D35">
            <w:pPr>
              <w:widowControl w:val="0"/>
              <w:pBdr>
                <w:top w:val="nil"/>
                <w:left w:val="nil"/>
                <w:bottom w:val="nil"/>
                <w:right w:val="nil"/>
                <w:between w:val="nil"/>
              </w:pBdr>
              <w:spacing w:line="276" w:lineRule="auto"/>
              <w:rPr>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2443919" w14:textId="77777777" w:rsidR="00830D35" w:rsidRPr="00641BD3" w:rsidRDefault="00830D35" w:rsidP="00830D35">
            <w:pPr>
              <w:widowControl w:val="0"/>
              <w:pBdr>
                <w:top w:val="nil"/>
                <w:left w:val="nil"/>
                <w:bottom w:val="nil"/>
                <w:right w:val="nil"/>
                <w:between w:val="nil"/>
              </w:pBdr>
              <w:spacing w:line="276" w:lineRule="auto"/>
              <w:rPr>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5E4F23CF" w14:textId="77777777" w:rsidR="00830D35" w:rsidRDefault="00830D35" w:rsidP="00830D35">
            <w:pPr>
              <w:rPr>
                <w:color w:val="000000"/>
                <w:sz w:val="16"/>
                <w:szCs w:val="16"/>
              </w:rPr>
            </w:pPr>
            <w:r>
              <w:rPr>
                <w:color w:val="000000"/>
                <w:sz w:val="16"/>
                <w:szCs w:val="16"/>
              </w:rPr>
              <w:t>rs17100954</w:t>
            </w:r>
          </w:p>
        </w:tc>
        <w:tc>
          <w:tcPr>
            <w:tcW w:w="851" w:type="dxa"/>
            <w:tcBorders>
              <w:top w:val="single" w:sz="4" w:space="0" w:color="D0CECE"/>
              <w:bottom w:val="single" w:sz="4" w:space="0" w:color="D0CECE"/>
            </w:tcBorders>
            <w:tcMar>
              <w:top w:w="-113" w:type="dxa"/>
              <w:left w:w="-113" w:type="dxa"/>
              <w:bottom w:w="-113" w:type="dxa"/>
              <w:right w:w="-113" w:type="dxa"/>
            </w:tcMar>
          </w:tcPr>
          <w:p w14:paraId="1D1DB117" w14:textId="77777777" w:rsidR="00830D35" w:rsidRDefault="00830D35" w:rsidP="00830D35">
            <w:pPr>
              <w:rPr>
                <w:color w:val="000000"/>
                <w:sz w:val="16"/>
                <w:szCs w:val="16"/>
              </w:rPr>
            </w:pPr>
            <w:r>
              <w:rPr>
                <w:color w:val="000000"/>
                <w:sz w:val="16"/>
                <w:szCs w:val="16"/>
              </w:rPr>
              <w:t>G&gt;</w:t>
            </w:r>
            <w:proofErr w:type="gramStart"/>
            <w:r>
              <w:rPr>
                <w:color w:val="000000"/>
                <w:sz w:val="16"/>
                <w:szCs w:val="16"/>
              </w:rPr>
              <w:t>A,T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171F809F"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2E960F4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4DD412F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18FFC768"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8EF8D7D"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913C6F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56C56B77" w14:textId="77777777" w:rsidR="00830D35" w:rsidRDefault="00830D35" w:rsidP="00830D35">
            <w:pPr>
              <w:rPr>
                <w:color w:val="000000"/>
                <w:sz w:val="16"/>
                <w:szCs w:val="16"/>
              </w:rPr>
            </w:pPr>
            <w:r>
              <w:rPr>
                <w:color w:val="000000"/>
                <w:sz w:val="16"/>
                <w:szCs w:val="16"/>
              </w:rPr>
              <w:t>rs3737577</w:t>
            </w:r>
          </w:p>
        </w:tc>
        <w:tc>
          <w:tcPr>
            <w:tcW w:w="851" w:type="dxa"/>
            <w:tcBorders>
              <w:top w:val="single" w:sz="4" w:space="0" w:color="D0CECE"/>
              <w:bottom w:val="single" w:sz="4" w:space="0" w:color="D0CECE"/>
            </w:tcBorders>
            <w:tcMar>
              <w:top w:w="-113" w:type="dxa"/>
              <w:left w:w="-113" w:type="dxa"/>
              <w:bottom w:w="-113" w:type="dxa"/>
              <w:right w:w="-113" w:type="dxa"/>
            </w:tcMar>
          </w:tcPr>
          <w:p w14:paraId="6EB89DBA" w14:textId="77777777" w:rsidR="00830D35" w:rsidRDefault="00830D35" w:rsidP="00830D35">
            <w:pPr>
              <w:rPr>
                <w:color w:val="000000"/>
                <w:sz w:val="16"/>
                <w:szCs w:val="16"/>
              </w:rPr>
            </w:pPr>
            <w:r>
              <w:rPr>
                <w:color w:val="000000"/>
                <w:sz w:val="16"/>
                <w:szCs w:val="16"/>
              </w:rPr>
              <w:t>G&gt;T</w:t>
            </w:r>
          </w:p>
        </w:tc>
        <w:tc>
          <w:tcPr>
            <w:tcW w:w="1701" w:type="dxa"/>
            <w:tcBorders>
              <w:top w:val="single" w:sz="4" w:space="0" w:color="D0CECE"/>
              <w:bottom w:val="single" w:sz="4" w:space="0" w:color="D0CECE"/>
            </w:tcBorders>
            <w:tcMar>
              <w:top w:w="-113" w:type="dxa"/>
              <w:left w:w="-113" w:type="dxa"/>
              <w:bottom w:w="-113" w:type="dxa"/>
              <w:right w:w="-113" w:type="dxa"/>
            </w:tcMar>
          </w:tcPr>
          <w:p w14:paraId="3B87DF2F" w14:textId="77777777" w:rsidR="00830D35" w:rsidRDefault="00830D35" w:rsidP="00830D35">
            <w:pPr>
              <w:rPr>
                <w:color w:val="000000"/>
                <w:sz w:val="16"/>
                <w:szCs w:val="16"/>
              </w:rPr>
            </w:pPr>
            <w:r>
              <w:rPr>
                <w:sz w:val="16"/>
                <w:szCs w:val="16"/>
              </w:rPr>
              <w:t>5 Prime UTR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6689D63A"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0EC6C33"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4F931F4C"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791A35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9333FA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5E1DD2B7" w14:textId="77777777" w:rsidR="00830D35" w:rsidRDefault="00830D35" w:rsidP="00830D35">
            <w:pPr>
              <w:rPr>
                <w:sz w:val="16"/>
                <w:szCs w:val="16"/>
              </w:rPr>
            </w:pPr>
            <w:r>
              <w:rPr>
                <w:color w:val="000000"/>
                <w:sz w:val="16"/>
                <w:szCs w:val="16"/>
              </w:rPr>
              <w:t>rs3753194</w:t>
            </w:r>
          </w:p>
          <w:p w14:paraId="3929A9A5" w14:textId="77777777" w:rsidR="00830D35" w:rsidRDefault="00830D35" w:rsidP="00830D35">
            <w:pPr>
              <w:rPr>
                <w:sz w:val="16"/>
                <w:szCs w:val="16"/>
              </w:rPr>
            </w:pPr>
          </w:p>
        </w:tc>
        <w:tc>
          <w:tcPr>
            <w:tcW w:w="85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0E5DFFC1" w14:textId="77777777" w:rsidR="00830D35" w:rsidRDefault="00830D35" w:rsidP="00830D35">
            <w:pPr>
              <w:rPr>
                <w:color w:val="000000"/>
                <w:sz w:val="16"/>
                <w:szCs w:val="16"/>
              </w:rPr>
            </w:pPr>
            <w:r>
              <w:rPr>
                <w:color w:val="000000"/>
                <w:sz w:val="16"/>
                <w:szCs w:val="16"/>
              </w:rPr>
              <w:t>A&gt;</w:t>
            </w:r>
            <w:proofErr w:type="gramStart"/>
            <w:r>
              <w:rPr>
                <w:color w:val="000000"/>
                <w:sz w:val="16"/>
                <w:szCs w:val="16"/>
              </w:rPr>
              <w:t>C,G</w:t>
            </w:r>
            <w:proofErr w:type="gramEnd"/>
          </w:p>
        </w:tc>
        <w:tc>
          <w:tcPr>
            <w:tcW w:w="170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4729364D" w14:textId="77777777" w:rsidR="00830D35" w:rsidRDefault="00830D35" w:rsidP="00830D35">
            <w:pPr>
              <w:rPr>
                <w:color w:val="000000"/>
                <w:sz w:val="16"/>
                <w:szCs w:val="16"/>
              </w:rPr>
            </w:pPr>
            <w:r>
              <w:rPr>
                <w:sz w:val="16"/>
                <w:szCs w:val="16"/>
              </w:rPr>
              <w:t>Intron variant</w:t>
            </w:r>
          </w:p>
        </w:tc>
        <w:tc>
          <w:tcPr>
            <w:tcW w:w="708" w:type="dxa"/>
            <w:tcBorders>
              <w:top w:val="single" w:sz="4" w:space="0" w:color="D0CECE"/>
              <w:bottom w:val="single" w:sz="4" w:space="0" w:color="D0CECE"/>
            </w:tcBorders>
            <w:shd w:val="clear" w:color="auto" w:fill="auto"/>
            <w:tcMar>
              <w:top w:w="-113" w:type="dxa"/>
              <w:left w:w="-113" w:type="dxa"/>
              <w:bottom w:w="-113" w:type="dxa"/>
              <w:right w:w="-113" w:type="dxa"/>
            </w:tcMar>
          </w:tcPr>
          <w:p w14:paraId="131501BD" w14:textId="77777777" w:rsidR="00830D35" w:rsidRDefault="00830D35" w:rsidP="00830D35">
            <w:pPr>
              <w:rPr>
                <w:color w:val="000000"/>
                <w:sz w:val="16"/>
                <w:szCs w:val="16"/>
              </w:rPr>
            </w:pPr>
            <w:r>
              <w:rPr>
                <w:color w:val="000000"/>
                <w:sz w:val="16"/>
                <w:szCs w:val="16"/>
              </w:rPr>
              <w:t>DBP</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27F07A5E" w14:textId="77777777" w:rsidR="00830D35" w:rsidRDefault="00830D35" w:rsidP="00830D35">
            <w:pPr>
              <w:rPr>
                <w:color w:val="000000"/>
                <w:sz w:val="16"/>
                <w:szCs w:val="16"/>
              </w:rPr>
            </w:pPr>
            <w:r>
              <w:rPr>
                <w:sz w:val="16"/>
                <w:szCs w:val="16"/>
              </w:rPr>
              <w:t xml:space="preserve">Farzan </w:t>
            </w:r>
            <w:r>
              <w:rPr>
                <w:i/>
                <w:sz w:val="16"/>
                <w:szCs w:val="16"/>
              </w:rPr>
              <w:t>et al.</w:t>
            </w:r>
            <w:r>
              <w:rPr>
                <w:sz w:val="16"/>
                <w:szCs w:val="16"/>
              </w:rPr>
              <w:t xml:space="preserve"> 2016</w:t>
            </w:r>
          </w:p>
        </w:tc>
      </w:tr>
      <w:tr w:rsidR="00830D35" w:rsidRPr="0030321B" w14:paraId="0BBDEA4A" w14:textId="77777777" w:rsidTr="00923C73">
        <w:trPr>
          <w:trHeight w:val="317"/>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A247475"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394A224"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381D1FA9"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5054756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5328D68B"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708" w:type="dxa"/>
            <w:vMerge w:val="restart"/>
            <w:tcBorders>
              <w:top w:val="single" w:sz="4" w:space="0" w:color="D0CECE"/>
              <w:bottom w:val="single" w:sz="4" w:space="0" w:color="D0CECE"/>
            </w:tcBorders>
            <w:tcMar>
              <w:top w:w="-113" w:type="dxa"/>
              <w:left w:w="-113" w:type="dxa"/>
              <w:bottom w:w="-113" w:type="dxa"/>
              <w:right w:w="-113" w:type="dxa"/>
            </w:tcMar>
          </w:tcPr>
          <w:p w14:paraId="60BB8270" w14:textId="77777777" w:rsidR="00830D35" w:rsidRDefault="00830D35" w:rsidP="00830D35">
            <w:pPr>
              <w:rPr>
                <w:color w:val="000000"/>
                <w:sz w:val="16"/>
                <w:szCs w:val="16"/>
              </w:rPr>
            </w:pPr>
            <w:r>
              <w:rPr>
                <w:color w:val="000000"/>
                <w:sz w:val="16"/>
                <w:szCs w:val="16"/>
              </w:rPr>
              <w:t>CVD</w:t>
            </w:r>
          </w:p>
          <w:p w14:paraId="1487EAC4" w14:textId="77777777" w:rsidR="00830D35" w:rsidRDefault="00830D35" w:rsidP="00830D35">
            <w:pPr>
              <w:rPr>
                <w:sz w:val="16"/>
                <w:szCs w:val="16"/>
              </w:rPr>
            </w:pPr>
            <w:r>
              <w:rPr>
                <w:sz w:val="16"/>
                <w:szCs w:val="16"/>
              </w:rPr>
              <w:t>CIMT</w:t>
            </w:r>
          </w:p>
          <w:p w14:paraId="3D462025" w14:textId="77777777" w:rsidR="00830D35" w:rsidRDefault="00830D35" w:rsidP="00830D35">
            <w:pPr>
              <w:rPr>
                <w:sz w:val="16"/>
                <w:szCs w:val="16"/>
              </w:rPr>
            </w:pP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464BF519" w14:textId="77777777" w:rsidR="00830D35" w:rsidRPr="00641BD3" w:rsidRDefault="00830D35" w:rsidP="00830D35">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6B0688C3" w14:textId="77777777" w:rsidR="00830D35" w:rsidRPr="00641BD3" w:rsidRDefault="00830D35" w:rsidP="00830D35">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p w14:paraId="74B98205" w14:textId="77777777" w:rsidR="00830D35" w:rsidRPr="00641BD3" w:rsidRDefault="00830D35" w:rsidP="00830D35">
            <w:pPr>
              <w:rPr>
                <w:sz w:val="16"/>
                <w:szCs w:val="16"/>
                <w:lang w:val="es-ES"/>
              </w:rPr>
            </w:pPr>
          </w:p>
        </w:tc>
      </w:tr>
      <w:tr w:rsidR="00830D35" w14:paraId="77B23C50"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FD1BEBA" w14:textId="77777777" w:rsidR="00830D35" w:rsidRPr="00641BD3" w:rsidRDefault="00830D35" w:rsidP="00830D35">
            <w:pPr>
              <w:widowControl w:val="0"/>
              <w:pBdr>
                <w:top w:val="nil"/>
                <w:left w:val="nil"/>
                <w:bottom w:val="nil"/>
                <w:right w:val="nil"/>
                <w:between w:val="nil"/>
              </w:pBdr>
              <w:spacing w:line="276" w:lineRule="auto"/>
              <w:rPr>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C8E8EA1" w14:textId="77777777" w:rsidR="00830D35" w:rsidRPr="00641BD3" w:rsidRDefault="00830D35" w:rsidP="00830D35">
            <w:pPr>
              <w:widowControl w:val="0"/>
              <w:pBdr>
                <w:top w:val="nil"/>
                <w:left w:val="nil"/>
                <w:bottom w:val="nil"/>
                <w:right w:val="nil"/>
                <w:between w:val="nil"/>
              </w:pBdr>
              <w:spacing w:line="276" w:lineRule="auto"/>
              <w:rPr>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402A503" w14:textId="77777777" w:rsidR="00830D35" w:rsidRDefault="00830D35" w:rsidP="00830D35">
            <w:pPr>
              <w:rPr>
                <w:color w:val="000000"/>
                <w:sz w:val="16"/>
                <w:szCs w:val="16"/>
              </w:rPr>
            </w:pPr>
            <w:r>
              <w:rPr>
                <w:color w:val="000000"/>
                <w:sz w:val="16"/>
                <w:szCs w:val="16"/>
              </w:rPr>
              <w:t>rs4987248</w:t>
            </w:r>
          </w:p>
        </w:tc>
        <w:tc>
          <w:tcPr>
            <w:tcW w:w="851" w:type="dxa"/>
            <w:tcBorders>
              <w:top w:val="single" w:sz="4" w:space="0" w:color="D0CECE"/>
              <w:bottom w:val="single" w:sz="4" w:space="0" w:color="D0CECE"/>
            </w:tcBorders>
            <w:tcMar>
              <w:top w:w="-113" w:type="dxa"/>
              <w:left w:w="-113" w:type="dxa"/>
              <w:bottom w:w="-113" w:type="dxa"/>
              <w:right w:w="-113" w:type="dxa"/>
            </w:tcMar>
          </w:tcPr>
          <w:p w14:paraId="74811491" w14:textId="77777777" w:rsidR="00830D35" w:rsidRDefault="00830D35" w:rsidP="00830D35">
            <w:pPr>
              <w:rPr>
                <w:color w:val="000000"/>
                <w:sz w:val="16"/>
                <w:szCs w:val="16"/>
              </w:rPr>
            </w:pPr>
            <w:r>
              <w:rPr>
                <w:color w:val="000000"/>
                <w:sz w:val="16"/>
                <w:szCs w:val="16"/>
              </w:rPr>
              <w:t>G&gt;</w:t>
            </w:r>
            <w:proofErr w:type="gramStart"/>
            <w:r>
              <w:rPr>
                <w:color w:val="000000"/>
                <w:sz w:val="16"/>
                <w:szCs w:val="16"/>
              </w:rPr>
              <w:t>C,T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16FEEC86" w14:textId="77777777" w:rsidR="00830D35" w:rsidRDefault="00830D35" w:rsidP="00830D35">
            <w:pPr>
              <w:rPr>
                <w:color w:val="000000"/>
                <w:sz w:val="16"/>
                <w:szCs w:val="16"/>
              </w:rPr>
            </w:pPr>
            <w:r>
              <w:rPr>
                <w:sz w:val="16"/>
                <w:szCs w:val="16"/>
              </w:rPr>
              <w:t>5 Prime UTR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4CC48F1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2BB27153"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4DB83A24"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BC0CDFD"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EAB1F39"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05D9D661" w14:textId="77777777" w:rsidR="00830D35" w:rsidRDefault="00830D35" w:rsidP="00830D35">
            <w:pPr>
              <w:rPr>
                <w:color w:val="000000"/>
                <w:sz w:val="16"/>
                <w:szCs w:val="16"/>
              </w:rPr>
            </w:pPr>
            <w:r>
              <w:rPr>
                <w:color w:val="000000"/>
                <w:sz w:val="16"/>
                <w:szCs w:val="16"/>
              </w:rPr>
              <w:t>rs7549921</w:t>
            </w:r>
          </w:p>
        </w:tc>
        <w:tc>
          <w:tcPr>
            <w:tcW w:w="851" w:type="dxa"/>
            <w:tcBorders>
              <w:top w:val="single" w:sz="4" w:space="0" w:color="D0CECE"/>
              <w:bottom w:val="single" w:sz="4" w:space="0" w:color="000000"/>
            </w:tcBorders>
            <w:tcMar>
              <w:top w:w="-113" w:type="dxa"/>
              <w:left w:w="-113" w:type="dxa"/>
              <w:bottom w:w="-113" w:type="dxa"/>
              <w:right w:w="-113" w:type="dxa"/>
            </w:tcMar>
          </w:tcPr>
          <w:p w14:paraId="110206B5" w14:textId="77777777" w:rsidR="00830D35" w:rsidRDefault="00830D35" w:rsidP="00830D35">
            <w:pPr>
              <w:rPr>
                <w:color w:val="000000"/>
                <w:sz w:val="16"/>
                <w:szCs w:val="16"/>
              </w:rPr>
            </w:pPr>
            <w:r>
              <w:rPr>
                <w:color w:val="000000"/>
                <w:sz w:val="16"/>
                <w:szCs w:val="16"/>
              </w:rPr>
              <w:t>C&gt;</w:t>
            </w:r>
            <w:proofErr w:type="gramStart"/>
            <w:r>
              <w:rPr>
                <w:color w:val="000000"/>
                <w:sz w:val="16"/>
                <w:szCs w:val="16"/>
              </w:rPr>
              <w:t>A,G</w:t>
            </w:r>
            <w:proofErr w:type="gramEnd"/>
            <w:r>
              <w:rPr>
                <w:color w:val="000000"/>
                <w:sz w:val="16"/>
                <w:szCs w:val="16"/>
              </w:rPr>
              <w:t>,T</w:t>
            </w:r>
          </w:p>
        </w:tc>
        <w:tc>
          <w:tcPr>
            <w:tcW w:w="1701" w:type="dxa"/>
            <w:tcBorders>
              <w:top w:val="single" w:sz="4" w:space="0" w:color="D0CECE"/>
              <w:bottom w:val="single" w:sz="4" w:space="0" w:color="000000"/>
            </w:tcBorders>
            <w:tcMar>
              <w:top w:w="-113" w:type="dxa"/>
              <w:left w:w="-113" w:type="dxa"/>
              <w:bottom w:w="-113" w:type="dxa"/>
              <w:right w:w="-113" w:type="dxa"/>
            </w:tcMar>
          </w:tcPr>
          <w:p w14:paraId="15C7FB77" w14:textId="77777777" w:rsidR="00830D35" w:rsidRDefault="00830D35" w:rsidP="00830D35">
            <w:pPr>
              <w:rPr>
                <w:color w:val="000000"/>
                <w:sz w:val="16"/>
                <w:szCs w:val="16"/>
              </w:rPr>
            </w:pPr>
            <w:r>
              <w:rPr>
                <w:color w:val="000000"/>
                <w:sz w:val="16"/>
                <w:szCs w:val="16"/>
              </w:rPr>
              <w:t>Missense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3406B01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7F9D399D"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3D7880BE"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2F9B4588" w14:textId="77777777" w:rsidR="00830D35" w:rsidRDefault="00830D35" w:rsidP="00830D35">
            <w:pPr>
              <w:rPr>
                <w:i/>
                <w:color w:val="000000"/>
                <w:sz w:val="16"/>
                <w:szCs w:val="16"/>
              </w:rPr>
            </w:pPr>
            <w:r>
              <w:rPr>
                <w:i/>
                <w:color w:val="000000"/>
                <w:sz w:val="16"/>
                <w:szCs w:val="16"/>
              </w:rPr>
              <w:t>SCNN1A</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72C72CB3" w14:textId="77777777" w:rsidR="00830D35" w:rsidRDefault="00830D35" w:rsidP="00830D35">
            <w:pPr>
              <w:rPr>
                <w:color w:val="000000"/>
                <w:sz w:val="16"/>
                <w:szCs w:val="16"/>
              </w:rPr>
            </w:pPr>
            <w:r>
              <w:rPr>
                <w:color w:val="000000"/>
                <w:sz w:val="16"/>
                <w:szCs w:val="16"/>
              </w:rPr>
              <w:t>Sodium Channel Epithelial 1 Subunit Alpha</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5E0AB501" w14:textId="77777777" w:rsidR="00830D35" w:rsidRDefault="00830D35" w:rsidP="00830D35">
            <w:pPr>
              <w:rPr>
                <w:color w:val="000000"/>
                <w:sz w:val="16"/>
                <w:szCs w:val="16"/>
              </w:rPr>
            </w:pPr>
            <w:r>
              <w:rPr>
                <w:color w:val="000000"/>
                <w:sz w:val="16"/>
                <w:szCs w:val="16"/>
              </w:rPr>
              <w:t>rs4149570</w:t>
            </w:r>
          </w:p>
        </w:tc>
        <w:tc>
          <w:tcPr>
            <w:tcW w:w="851" w:type="dxa"/>
            <w:tcBorders>
              <w:top w:val="single" w:sz="4" w:space="0" w:color="000000"/>
              <w:bottom w:val="single" w:sz="4" w:space="0" w:color="000000"/>
            </w:tcBorders>
            <w:tcMar>
              <w:top w:w="-113" w:type="dxa"/>
              <w:left w:w="-113" w:type="dxa"/>
              <w:bottom w:w="-113" w:type="dxa"/>
              <w:right w:w="-113" w:type="dxa"/>
            </w:tcMar>
          </w:tcPr>
          <w:p w14:paraId="5BCEC971" w14:textId="77777777" w:rsidR="00830D35" w:rsidRDefault="00830D35" w:rsidP="00830D35">
            <w:pPr>
              <w:rPr>
                <w:color w:val="000000"/>
                <w:sz w:val="16"/>
                <w:szCs w:val="16"/>
              </w:rPr>
            </w:pPr>
            <w:r>
              <w:rPr>
                <w:color w:val="000000"/>
                <w:sz w:val="16"/>
                <w:szCs w:val="16"/>
              </w:rPr>
              <w:t>A&gt;</w:t>
            </w:r>
            <w:proofErr w:type="gramStart"/>
            <w:r>
              <w:rPr>
                <w:color w:val="000000"/>
                <w:sz w:val="16"/>
                <w:szCs w:val="16"/>
              </w:rPr>
              <w:t>C,G</w:t>
            </w:r>
            <w:proofErr w:type="gramEnd"/>
            <w:r>
              <w:rPr>
                <w:color w:val="000000"/>
                <w:sz w:val="16"/>
                <w:szCs w:val="16"/>
              </w:rPr>
              <w:t>,T</w:t>
            </w:r>
          </w:p>
        </w:tc>
        <w:tc>
          <w:tcPr>
            <w:tcW w:w="1701" w:type="dxa"/>
            <w:tcBorders>
              <w:top w:val="single" w:sz="4" w:space="0" w:color="000000"/>
              <w:bottom w:val="single" w:sz="4" w:space="0" w:color="000000"/>
            </w:tcBorders>
            <w:tcMar>
              <w:top w:w="-113" w:type="dxa"/>
              <w:left w:w="-113" w:type="dxa"/>
              <w:bottom w:w="-113" w:type="dxa"/>
              <w:right w:w="-113" w:type="dxa"/>
            </w:tcMar>
          </w:tcPr>
          <w:p w14:paraId="2712EB57" w14:textId="77777777" w:rsidR="00830D35" w:rsidRDefault="00830D35" w:rsidP="00830D35">
            <w:pPr>
              <w:rPr>
                <w:color w:val="000000"/>
                <w:sz w:val="16"/>
                <w:szCs w:val="16"/>
              </w:rPr>
            </w:pPr>
            <w:r>
              <w:rPr>
                <w:sz w:val="16"/>
                <w:szCs w:val="16"/>
              </w:rPr>
              <w:t>2KB Upstream variant</w:t>
            </w:r>
          </w:p>
        </w:tc>
        <w:tc>
          <w:tcPr>
            <w:tcW w:w="708" w:type="dxa"/>
            <w:tcBorders>
              <w:top w:val="single" w:sz="4" w:space="0" w:color="000000"/>
              <w:bottom w:val="single" w:sz="4" w:space="0" w:color="000000"/>
            </w:tcBorders>
            <w:tcMar>
              <w:top w:w="-113" w:type="dxa"/>
              <w:left w:w="-113" w:type="dxa"/>
              <w:bottom w:w="-113" w:type="dxa"/>
              <w:right w:w="-113" w:type="dxa"/>
            </w:tcMar>
          </w:tcPr>
          <w:p w14:paraId="1BDB22AD" w14:textId="77777777" w:rsidR="00830D35" w:rsidRDefault="00830D35" w:rsidP="00830D35">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40CE17EC" w14:textId="77777777" w:rsidR="00830D35" w:rsidRDefault="00830D35" w:rsidP="00830D35">
            <w:pPr>
              <w:rPr>
                <w:color w:val="000000"/>
                <w:sz w:val="16"/>
                <w:szCs w:val="16"/>
              </w:rPr>
            </w:pPr>
            <w:r>
              <w:rPr>
                <w:sz w:val="16"/>
                <w:szCs w:val="16"/>
              </w:rPr>
              <w:t>Grau-Perez et al. 2018</w:t>
            </w:r>
          </w:p>
        </w:tc>
      </w:tr>
      <w:tr w:rsidR="00830D35" w14:paraId="17B087BD"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2EFC1DA" w14:textId="77777777" w:rsidR="00830D35" w:rsidRDefault="00830D35" w:rsidP="00830D35">
            <w:pPr>
              <w:rPr>
                <w:i/>
                <w:color w:val="000000"/>
                <w:sz w:val="16"/>
                <w:szCs w:val="16"/>
              </w:rPr>
            </w:pPr>
            <w:r>
              <w:rPr>
                <w:i/>
                <w:color w:val="000000"/>
                <w:sz w:val="16"/>
                <w:szCs w:val="16"/>
              </w:rPr>
              <w:t>SDHB</w:t>
            </w:r>
          </w:p>
          <w:p w14:paraId="52ECB750" w14:textId="77777777" w:rsidR="00830D35" w:rsidRDefault="00830D35" w:rsidP="00830D35">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E416036" w14:textId="77777777" w:rsidR="00830D35" w:rsidRDefault="00830D35" w:rsidP="00830D35">
            <w:pPr>
              <w:rPr>
                <w:color w:val="000000"/>
                <w:sz w:val="16"/>
                <w:szCs w:val="16"/>
              </w:rPr>
            </w:pPr>
            <w:r>
              <w:rPr>
                <w:color w:val="000000"/>
                <w:sz w:val="16"/>
                <w:szCs w:val="16"/>
              </w:rPr>
              <w:t>Iron-</w:t>
            </w:r>
            <w:proofErr w:type="spellStart"/>
            <w:r>
              <w:rPr>
                <w:color w:val="000000"/>
                <w:sz w:val="16"/>
                <w:szCs w:val="16"/>
              </w:rPr>
              <w:t>sulfur</w:t>
            </w:r>
            <w:proofErr w:type="spellEnd"/>
            <w:r>
              <w:rPr>
                <w:color w:val="000000"/>
                <w:sz w:val="16"/>
                <w:szCs w:val="16"/>
              </w:rPr>
              <w:t xml:space="preserve"> protein subunit of the succinate dehydrogenase (SDH) enzyme</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0D14E3E4" w14:textId="77777777" w:rsidR="00830D35" w:rsidRDefault="00830D35" w:rsidP="00830D35">
            <w:pPr>
              <w:rPr>
                <w:color w:val="000000"/>
                <w:sz w:val="16"/>
                <w:szCs w:val="16"/>
              </w:rPr>
            </w:pPr>
            <w:r>
              <w:rPr>
                <w:color w:val="000000"/>
                <w:sz w:val="16"/>
                <w:szCs w:val="16"/>
              </w:rPr>
              <w:t>rs11203280</w:t>
            </w:r>
          </w:p>
        </w:tc>
        <w:tc>
          <w:tcPr>
            <w:tcW w:w="851" w:type="dxa"/>
            <w:tcBorders>
              <w:top w:val="single" w:sz="4" w:space="0" w:color="000000"/>
              <w:bottom w:val="single" w:sz="4" w:space="0" w:color="D0CECE"/>
            </w:tcBorders>
            <w:tcMar>
              <w:top w:w="-113" w:type="dxa"/>
              <w:left w:w="-113" w:type="dxa"/>
              <w:bottom w:w="-113" w:type="dxa"/>
              <w:right w:w="-113" w:type="dxa"/>
            </w:tcMar>
          </w:tcPr>
          <w:p w14:paraId="7577675C" w14:textId="77777777" w:rsidR="00830D35" w:rsidRDefault="00830D35" w:rsidP="00830D35">
            <w:pPr>
              <w:rPr>
                <w:color w:val="000000"/>
                <w:sz w:val="16"/>
                <w:szCs w:val="16"/>
              </w:rPr>
            </w:pPr>
            <w:r>
              <w:rPr>
                <w:color w:val="000000"/>
                <w:sz w:val="16"/>
                <w:szCs w:val="16"/>
              </w:rPr>
              <w:t>G&gt;</w:t>
            </w:r>
            <w:proofErr w:type="gramStart"/>
            <w:r>
              <w:rPr>
                <w:color w:val="000000"/>
                <w:sz w:val="16"/>
                <w:szCs w:val="16"/>
              </w:rPr>
              <w:t>A,T</w:t>
            </w:r>
            <w:proofErr w:type="gramEnd"/>
          </w:p>
        </w:tc>
        <w:tc>
          <w:tcPr>
            <w:tcW w:w="1701" w:type="dxa"/>
            <w:tcBorders>
              <w:top w:val="single" w:sz="4" w:space="0" w:color="000000"/>
              <w:bottom w:val="single" w:sz="4" w:space="0" w:color="D0CECE"/>
            </w:tcBorders>
            <w:tcMar>
              <w:top w:w="-113" w:type="dxa"/>
              <w:left w:w="-113" w:type="dxa"/>
              <w:bottom w:w="-113" w:type="dxa"/>
              <w:right w:w="-113" w:type="dxa"/>
            </w:tcMar>
          </w:tcPr>
          <w:p w14:paraId="00C523D8" w14:textId="77777777" w:rsidR="00830D35" w:rsidRDefault="00830D35" w:rsidP="00830D35">
            <w:pPr>
              <w:rPr>
                <w:color w:val="000000"/>
                <w:sz w:val="16"/>
                <w:szCs w:val="16"/>
              </w:rPr>
            </w:pPr>
            <w:r>
              <w:rPr>
                <w:color w:val="000000"/>
                <w:sz w:val="16"/>
                <w:szCs w:val="16"/>
              </w:rPr>
              <w:t>None</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25FCCCD8" w14:textId="77777777" w:rsidR="00830D35" w:rsidRDefault="00830D35" w:rsidP="00830D35">
            <w:pPr>
              <w:rPr>
                <w:sz w:val="16"/>
                <w:szCs w:val="16"/>
              </w:rPr>
            </w:pPr>
            <w:r>
              <w:rPr>
                <w:color w:val="000000"/>
                <w:sz w:val="16"/>
                <w:szCs w:val="16"/>
              </w:rPr>
              <w:t>T2DM</w:t>
            </w:r>
          </w:p>
          <w:p w14:paraId="6E4B36DC" w14:textId="77777777" w:rsidR="00830D35" w:rsidRDefault="00830D35" w:rsidP="00830D35">
            <w:pPr>
              <w:rPr>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6848AB2" w14:textId="77777777" w:rsidR="00830D35" w:rsidRDefault="00830D35" w:rsidP="00830D35">
            <w:pPr>
              <w:rPr>
                <w:sz w:val="16"/>
                <w:szCs w:val="16"/>
              </w:rPr>
            </w:pPr>
            <w:r>
              <w:rPr>
                <w:sz w:val="16"/>
                <w:szCs w:val="16"/>
              </w:rPr>
              <w:t>Grau-Perez et al. 2018</w:t>
            </w:r>
          </w:p>
          <w:p w14:paraId="35C9BEFC" w14:textId="77777777" w:rsidR="00830D35" w:rsidRDefault="00830D35" w:rsidP="00830D35">
            <w:pPr>
              <w:rPr>
                <w:sz w:val="16"/>
                <w:szCs w:val="16"/>
              </w:rPr>
            </w:pPr>
          </w:p>
        </w:tc>
      </w:tr>
      <w:tr w:rsidR="00830D35" w14:paraId="0A80D24A"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A542E5B" w14:textId="77777777" w:rsidR="00830D35" w:rsidRDefault="00830D35" w:rsidP="00830D35">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A834AF3" w14:textId="77777777" w:rsidR="00830D35" w:rsidRDefault="00830D35" w:rsidP="00830D35">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59DF29B6" w14:textId="77777777" w:rsidR="00830D35" w:rsidRDefault="00830D35" w:rsidP="00830D35">
            <w:pPr>
              <w:rPr>
                <w:color w:val="000000"/>
                <w:sz w:val="16"/>
                <w:szCs w:val="16"/>
              </w:rPr>
            </w:pPr>
            <w:r>
              <w:rPr>
                <w:color w:val="000000"/>
                <w:sz w:val="16"/>
                <w:szCs w:val="16"/>
              </w:rPr>
              <w:t>rs9435739</w:t>
            </w:r>
          </w:p>
        </w:tc>
        <w:tc>
          <w:tcPr>
            <w:tcW w:w="851" w:type="dxa"/>
            <w:tcBorders>
              <w:top w:val="single" w:sz="4" w:space="0" w:color="D0CECE"/>
              <w:bottom w:val="single" w:sz="4" w:space="0" w:color="000000"/>
            </w:tcBorders>
            <w:tcMar>
              <w:top w:w="-113" w:type="dxa"/>
              <w:left w:w="-113" w:type="dxa"/>
              <w:bottom w:w="-113" w:type="dxa"/>
              <w:right w:w="-113" w:type="dxa"/>
            </w:tcMar>
          </w:tcPr>
          <w:p w14:paraId="6150185C" w14:textId="77777777" w:rsidR="00830D35" w:rsidRDefault="00830D35" w:rsidP="00830D35">
            <w:pPr>
              <w:rPr>
                <w:color w:val="000000"/>
                <w:sz w:val="16"/>
                <w:szCs w:val="16"/>
              </w:rPr>
            </w:pPr>
            <w:r>
              <w:rPr>
                <w:color w:val="000000"/>
                <w:sz w:val="16"/>
                <w:szCs w:val="16"/>
              </w:rPr>
              <w:t>G&gt;</w:t>
            </w:r>
            <w:proofErr w:type="gramStart"/>
            <w:r>
              <w:rPr>
                <w:color w:val="000000"/>
                <w:sz w:val="16"/>
                <w:szCs w:val="16"/>
              </w:rPr>
              <w:t>A,T</w:t>
            </w:r>
            <w:proofErr w:type="gramEnd"/>
          </w:p>
        </w:tc>
        <w:tc>
          <w:tcPr>
            <w:tcW w:w="1701" w:type="dxa"/>
            <w:tcBorders>
              <w:top w:val="single" w:sz="4" w:space="0" w:color="D0CECE"/>
              <w:bottom w:val="single" w:sz="4" w:space="0" w:color="000000"/>
            </w:tcBorders>
            <w:tcMar>
              <w:top w:w="-113" w:type="dxa"/>
              <w:left w:w="-113" w:type="dxa"/>
              <w:bottom w:w="-113" w:type="dxa"/>
              <w:right w:w="-113" w:type="dxa"/>
            </w:tcMar>
          </w:tcPr>
          <w:p w14:paraId="58C37B2E" w14:textId="77777777" w:rsidR="00830D35" w:rsidRDefault="00830D35" w:rsidP="00830D35">
            <w:pPr>
              <w:rPr>
                <w:color w:val="000000"/>
                <w:sz w:val="16"/>
                <w:szCs w:val="16"/>
              </w:rPr>
            </w:pPr>
            <w:r>
              <w:rPr>
                <w:color w:val="000000"/>
                <w:sz w:val="16"/>
                <w:szCs w:val="16"/>
              </w:rPr>
              <w:t>None</w:t>
            </w:r>
          </w:p>
        </w:tc>
        <w:tc>
          <w:tcPr>
            <w:tcW w:w="708" w:type="dxa"/>
            <w:vMerge/>
            <w:tcBorders>
              <w:top w:val="single" w:sz="4" w:space="0" w:color="000000"/>
              <w:bottom w:val="single" w:sz="4" w:space="0" w:color="D0CECE"/>
            </w:tcBorders>
            <w:tcMar>
              <w:top w:w="-113" w:type="dxa"/>
              <w:left w:w="-113" w:type="dxa"/>
              <w:bottom w:w="-113" w:type="dxa"/>
              <w:right w:w="-113" w:type="dxa"/>
            </w:tcMar>
          </w:tcPr>
          <w:p w14:paraId="5E5973EB"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28C0E0E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4D129E44"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0B102898" w14:textId="77777777" w:rsidR="00830D35" w:rsidRDefault="00830D35" w:rsidP="00830D35">
            <w:pPr>
              <w:rPr>
                <w:i/>
                <w:color w:val="000000"/>
                <w:sz w:val="16"/>
                <w:szCs w:val="16"/>
              </w:rPr>
            </w:pPr>
            <w:r>
              <w:rPr>
                <w:i/>
                <w:color w:val="000000"/>
                <w:sz w:val="16"/>
                <w:szCs w:val="16"/>
              </w:rPr>
              <w:t>SDHD</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05F1FC2E" w14:textId="77777777" w:rsidR="00830D35" w:rsidRDefault="00830D35" w:rsidP="00830D35">
            <w:pPr>
              <w:rPr>
                <w:color w:val="000000"/>
                <w:sz w:val="16"/>
                <w:szCs w:val="16"/>
              </w:rPr>
            </w:pPr>
            <w:r>
              <w:rPr>
                <w:color w:val="000000"/>
                <w:sz w:val="16"/>
                <w:szCs w:val="16"/>
              </w:rPr>
              <w:t>Succinate dehydrogenase [ubiquinone] cytochrome b small subunit</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2F642397" w14:textId="77777777" w:rsidR="00830D35" w:rsidRDefault="00830D35" w:rsidP="00830D35">
            <w:pPr>
              <w:rPr>
                <w:color w:val="000000"/>
                <w:sz w:val="16"/>
                <w:szCs w:val="16"/>
              </w:rPr>
            </w:pPr>
            <w:r>
              <w:rPr>
                <w:color w:val="000000"/>
                <w:sz w:val="16"/>
                <w:szCs w:val="16"/>
              </w:rPr>
              <w:t>rs10891319</w:t>
            </w:r>
          </w:p>
        </w:tc>
        <w:tc>
          <w:tcPr>
            <w:tcW w:w="851" w:type="dxa"/>
            <w:tcBorders>
              <w:top w:val="single" w:sz="4" w:space="0" w:color="000000"/>
              <w:bottom w:val="single" w:sz="4" w:space="0" w:color="000000"/>
            </w:tcBorders>
            <w:tcMar>
              <w:top w:w="-113" w:type="dxa"/>
              <w:left w:w="-113" w:type="dxa"/>
              <w:bottom w:w="-113" w:type="dxa"/>
              <w:right w:w="-113" w:type="dxa"/>
            </w:tcMar>
          </w:tcPr>
          <w:p w14:paraId="2FB61825" w14:textId="77777777" w:rsidR="00830D35" w:rsidRDefault="00830D35" w:rsidP="00830D35">
            <w:pPr>
              <w:rPr>
                <w:color w:val="000000"/>
                <w:sz w:val="16"/>
                <w:szCs w:val="16"/>
              </w:rPr>
            </w:pPr>
            <w:r>
              <w:rPr>
                <w:color w:val="000000"/>
                <w:sz w:val="16"/>
                <w:szCs w:val="16"/>
              </w:rPr>
              <w:t>A&gt;G</w:t>
            </w:r>
          </w:p>
        </w:tc>
        <w:tc>
          <w:tcPr>
            <w:tcW w:w="1701" w:type="dxa"/>
            <w:tcBorders>
              <w:top w:val="single" w:sz="4" w:space="0" w:color="000000"/>
              <w:bottom w:val="single" w:sz="4" w:space="0" w:color="000000"/>
            </w:tcBorders>
            <w:tcMar>
              <w:top w:w="-113" w:type="dxa"/>
              <w:left w:w="-113" w:type="dxa"/>
              <w:bottom w:w="-113" w:type="dxa"/>
              <w:right w:w="-113" w:type="dxa"/>
            </w:tcMar>
          </w:tcPr>
          <w:p w14:paraId="77C9176F" w14:textId="77777777" w:rsidR="00830D35" w:rsidRDefault="00830D35" w:rsidP="00830D35">
            <w:pPr>
              <w:rPr>
                <w:color w:val="000000"/>
                <w:sz w:val="16"/>
                <w:szCs w:val="16"/>
              </w:rPr>
            </w:pPr>
            <w:r>
              <w:rPr>
                <w:color w:val="000000"/>
                <w:sz w:val="16"/>
                <w:szCs w:val="16"/>
              </w:rPr>
              <w:t>None</w:t>
            </w:r>
          </w:p>
        </w:tc>
        <w:tc>
          <w:tcPr>
            <w:tcW w:w="708" w:type="dxa"/>
            <w:tcBorders>
              <w:top w:val="single" w:sz="4" w:space="0" w:color="000000"/>
              <w:bottom w:val="single" w:sz="4" w:space="0" w:color="000000"/>
            </w:tcBorders>
            <w:tcMar>
              <w:top w:w="-113" w:type="dxa"/>
              <w:left w:w="-113" w:type="dxa"/>
              <w:bottom w:w="-113" w:type="dxa"/>
              <w:right w:w="-113" w:type="dxa"/>
            </w:tcMar>
          </w:tcPr>
          <w:p w14:paraId="7894EEEA" w14:textId="77777777" w:rsidR="00830D35" w:rsidRDefault="00830D35" w:rsidP="00830D35">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049E6EF0" w14:textId="77777777" w:rsidR="00830D35" w:rsidRDefault="00830D35" w:rsidP="00830D35">
            <w:pPr>
              <w:rPr>
                <w:color w:val="000000"/>
                <w:sz w:val="16"/>
                <w:szCs w:val="16"/>
              </w:rPr>
            </w:pPr>
            <w:r>
              <w:rPr>
                <w:sz w:val="16"/>
                <w:szCs w:val="16"/>
              </w:rPr>
              <w:t>Grau-Perez et al. 2018</w:t>
            </w:r>
          </w:p>
        </w:tc>
      </w:tr>
      <w:tr w:rsidR="00830D35" w14:paraId="7852B40E"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5E4E6F91" w14:textId="77777777" w:rsidR="00830D35" w:rsidRDefault="00830D35" w:rsidP="00830D35">
            <w:pPr>
              <w:rPr>
                <w:i/>
                <w:color w:val="000000"/>
                <w:sz w:val="16"/>
                <w:szCs w:val="16"/>
              </w:rPr>
            </w:pPr>
            <w:r>
              <w:rPr>
                <w:i/>
                <w:color w:val="000000"/>
                <w:sz w:val="16"/>
                <w:szCs w:val="16"/>
              </w:rPr>
              <w:t>SH2B1</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021AF7DA" w14:textId="77777777" w:rsidR="00830D35" w:rsidRDefault="00830D35" w:rsidP="00830D35">
            <w:pPr>
              <w:rPr>
                <w:color w:val="000000"/>
                <w:sz w:val="16"/>
                <w:szCs w:val="16"/>
              </w:rPr>
            </w:pPr>
            <w:r>
              <w:rPr>
                <w:color w:val="000000"/>
                <w:sz w:val="16"/>
                <w:szCs w:val="16"/>
              </w:rPr>
              <w:t>SH2B Adaptor Protein 1</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5FA3286E" w14:textId="77777777" w:rsidR="00830D35" w:rsidRDefault="00830D35" w:rsidP="00830D35">
            <w:pPr>
              <w:rPr>
                <w:color w:val="000000"/>
                <w:sz w:val="16"/>
                <w:szCs w:val="16"/>
              </w:rPr>
            </w:pPr>
            <w:r>
              <w:rPr>
                <w:color w:val="000000"/>
                <w:sz w:val="16"/>
                <w:szCs w:val="16"/>
              </w:rPr>
              <w:t>rs4788102</w:t>
            </w:r>
          </w:p>
        </w:tc>
        <w:tc>
          <w:tcPr>
            <w:tcW w:w="851" w:type="dxa"/>
            <w:tcBorders>
              <w:top w:val="single" w:sz="4" w:space="0" w:color="000000"/>
              <w:bottom w:val="single" w:sz="4" w:space="0" w:color="000000"/>
            </w:tcBorders>
            <w:tcMar>
              <w:top w:w="-113" w:type="dxa"/>
              <w:left w:w="-113" w:type="dxa"/>
              <w:bottom w:w="-113" w:type="dxa"/>
              <w:right w:w="-113" w:type="dxa"/>
            </w:tcMar>
          </w:tcPr>
          <w:p w14:paraId="1152F3AF" w14:textId="77777777" w:rsidR="00830D35" w:rsidRDefault="00830D35" w:rsidP="00830D35">
            <w:pPr>
              <w:rPr>
                <w:color w:val="000000"/>
                <w:sz w:val="16"/>
                <w:szCs w:val="16"/>
              </w:rPr>
            </w:pPr>
            <w:r>
              <w:rPr>
                <w:color w:val="000000"/>
                <w:sz w:val="16"/>
                <w:szCs w:val="16"/>
              </w:rPr>
              <w:t>G&gt;A</w:t>
            </w:r>
          </w:p>
        </w:tc>
        <w:tc>
          <w:tcPr>
            <w:tcW w:w="1701" w:type="dxa"/>
            <w:tcBorders>
              <w:top w:val="single" w:sz="4" w:space="0" w:color="000000"/>
              <w:bottom w:val="single" w:sz="4" w:space="0" w:color="000000"/>
            </w:tcBorders>
            <w:tcMar>
              <w:top w:w="-113" w:type="dxa"/>
              <w:left w:w="-113" w:type="dxa"/>
              <w:bottom w:w="-113" w:type="dxa"/>
              <w:right w:w="-113" w:type="dxa"/>
            </w:tcMar>
          </w:tcPr>
          <w:p w14:paraId="365B4463" w14:textId="77777777" w:rsidR="00830D35" w:rsidRDefault="00830D35" w:rsidP="00830D35">
            <w:pPr>
              <w:rPr>
                <w:color w:val="000000"/>
                <w:sz w:val="16"/>
                <w:szCs w:val="16"/>
              </w:rPr>
            </w:pPr>
            <w:r>
              <w:rPr>
                <w:sz w:val="16"/>
                <w:szCs w:val="16"/>
              </w:rPr>
              <w:t>Intron variant</w:t>
            </w:r>
          </w:p>
        </w:tc>
        <w:tc>
          <w:tcPr>
            <w:tcW w:w="708" w:type="dxa"/>
            <w:tcBorders>
              <w:top w:val="single" w:sz="4" w:space="0" w:color="000000"/>
              <w:bottom w:val="single" w:sz="4" w:space="0" w:color="000000"/>
            </w:tcBorders>
            <w:tcMar>
              <w:top w:w="-113" w:type="dxa"/>
              <w:left w:w="-113" w:type="dxa"/>
              <w:bottom w:w="-113" w:type="dxa"/>
              <w:right w:w="-113" w:type="dxa"/>
            </w:tcMar>
          </w:tcPr>
          <w:p w14:paraId="665B4C33" w14:textId="77777777" w:rsidR="00830D35" w:rsidRDefault="00830D35" w:rsidP="00830D35">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5787303F" w14:textId="77777777" w:rsidR="00830D35" w:rsidRDefault="00830D35" w:rsidP="00830D35">
            <w:pPr>
              <w:rPr>
                <w:color w:val="000000"/>
                <w:sz w:val="16"/>
                <w:szCs w:val="16"/>
              </w:rPr>
            </w:pPr>
            <w:r>
              <w:rPr>
                <w:sz w:val="16"/>
                <w:szCs w:val="16"/>
              </w:rPr>
              <w:t>Grau-Perez et al. 2018</w:t>
            </w:r>
          </w:p>
        </w:tc>
      </w:tr>
      <w:tr w:rsidR="00830D35" w14:paraId="2E691CD8"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7D26EC1" w14:textId="77777777" w:rsidR="00830D35" w:rsidRDefault="00830D35" w:rsidP="00830D35">
            <w:pPr>
              <w:rPr>
                <w:i/>
                <w:color w:val="000000"/>
                <w:sz w:val="16"/>
                <w:szCs w:val="16"/>
              </w:rPr>
            </w:pPr>
            <w:r>
              <w:rPr>
                <w:i/>
                <w:color w:val="000000"/>
                <w:sz w:val="16"/>
                <w:szCs w:val="16"/>
              </w:rPr>
              <w:t>SLC30A8</w:t>
            </w:r>
          </w:p>
          <w:p w14:paraId="7EEFAAB7" w14:textId="77777777" w:rsidR="00830D35" w:rsidRDefault="00830D35" w:rsidP="00830D35">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B752F0F" w14:textId="77777777" w:rsidR="00830D35" w:rsidRDefault="00830D35" w:rsidP="00830D35">
            <w:pPr>
              <w:rPr>
                <w:color w:val="000000"/>
                <w:sz w:val="16"/>
                <w:szCs w:val="16"/>
              </w:rPr>
            </w:pPr>
            <w:r>
              <w:rPr>
                <w:color w:val="000000"/>
                <w:sz w:val="16"/>
                <w:szCs w:val="16"/>
              </w:rPr>
              <w:t>Solute Carrier Family 30 Member 8</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699B2099" w14:textId="77777777" w:rsidR="00830D35" w:rsidRDefault="00830D35" w:rsidP="00830D35">
            <w:pPr>
              <w:rPr>
                <w:color w:val="000000"/>
                <w:sz w:val="16"/>
                <w:szCs w:val="16"/>
              </w:rPr>
            </w:pPr>
            <w:r>
              <w:rPr>
                <w:color w:val="000000"/>
                <w:sz w:val="16"/>
                <w:szCs w:val="16"/>
              </w:rPr>
              <w:t>rs10282940</w:t>
            </w:r>
          </w:p>
        </w:tc>
        <w:tc>
          <w:tcPr>
            <w:tcW w:w="851" w:type="dxa"/>
            <w:tcBorders>
              <w:top w:val="single" w:sz="4" w:space="0" w:color="000000"/>
              <w:bottom w:val="single" w:sz="4" w:space="0" w:color="D0CECE"/>
            </w:tcBorders>
            <w:tcMar>
              <w:top w:w="-113" w:type="dxa"/>
              <w:left w:w="-113" w:type="dxa"/>
              <w:bottom w:w="-113" w:type="dxa"/>
              <w:right w:w="-113" w:type="dxa"/>
            </w:tcMar>
          </w:tcPr>
          <w:p w14:paraId="7F3E78BA" w14:textId="77777777" w:rsidR="00830D35" w:rsidRDefault="00830D35" w:rsidP="00830D35">
            <w:pPr>
              <w:rPr>
                <w:color w:val="000000"/>
                <w:sz w:val="16"/>
                <w:szCs w:val="16"/>
              </w:rPr>
            </w:pPr>
            <w:r>
              <w:rPr>
                <w:color w:val="000000"/>
                <w:sz w:val="16"/>
                <w:szCs w:val="16"/>
              </w:rPr>
              <w:t>G&gt;A</w:t>
            </w:r>
          </w:p>
        </w:tc>
        <w:tc>
          <w:tcPr>
            <w:tcW w:w="1701" w:type="dxa"/>
            <w:tcBorders>
              <w:top w:val="single" w:sz="4" w:space="0" w:color="000000"/>
              <w:bottom w:val="single" w:sz="4" w:space="0" w:color="D0CECE"/>
            </w:tcBorders>
            <w:tcMar>
              <w:top w:w="-113" w:type="dxa"/>
              <w:left w:w="-113" w:type="dxa"/>
              <w:bottom w:w="-113" w:type="dxa"/>
              <w:right w:w="-113" w:type="dxa"/>
            </w:tcMar>
          </w:tcPr>
          <w:p w14:paraId="1AAA6E09" w14:textId="77777777" w:rsidR="00830D35" w:rsidRDefault="00830D35" w:rsidP="00830D35">
            <w:pPr>
              <w:rPr>
                <w:color w:val="000000"/>
                <w:sz w:val="16"/>
                <w:szCs w:val="16"/>
              </w:rPr>
            </w:pPr>
            <w:r>
              <w:rPr>
                <w:sz w:val="16"/>
                <w:szCs w:val="16"/>
              </w:rPr>
              <w:t>3 Prime UTR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174C097E" w14:textId="77777777" w:rsidR="00830D35" w:rsidRDefault="00830D35" w:rsidP="00830D35">
            <w:pPr>
              <w:rPr>
                <w:sz w:val="16"/>
                <w:szCs w:val="16"/>
              </w:rPr>
            </w:pPr>
            <w:r>
              <w:rPr>
                <w:color w:val="000000"/>
                <w:sz w:val="16"/>
                <w:szCs w:val="16"/>
              </w:rPr>
              <w:t>T2DM</w:t>
            </w:r>
          </w:p>
          <w:p w14:paraId="5B14DF6B" w14:textId="77777777" w:rsidR="00830D35" w:rsidRDefault="00830D35" w:rsidP="00830D35">
            <w:pPr>
              <w:rPr>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4ACBF1FF" w14:textId="77777777" w:rsidR="00830D35" w:rsidRDefault="00830D35" w:rsidP="00830D35">
            <w:pPr>
              <w:rPr>
                <w:sz w:val="16"/>
                <w:szCs w:val="16"/>
              </w:rPr>
            </w:pPr>
            <w:r>
              <w:rPr>
                <w:sz w:val="16"/>
                <w:szCs w:val="16"/>
              </w:rPr>
              <w:t xml:space="preserve">Pan </w:t>
            </w:r>
            <w:r>
              <w:rPr>
                <w:i/>
                <w:sz w:val="16"/>
                <w:szCs w:val="16"/>
              </w:rPr>
              <w:t>et al.</w:t>
            </w:r>
            <w:r>
              <w:rPr>
                <w:sz w:val="16"/>
                <w:szCs w:val="16"/>
              </w:rPr>
              <w:t xml:space="preserve"> 2013</w:t>
            </w:r>
          </w:p>
          <w:p w14:paraId="0D0FB395" w14:textId="77777777" w:rsidR="00830D35" w:rsidRDefault="00830D35" w:rsidP="00830D35">
            <w:pPr>
              <w:rPr>
                <w:sz w:val="16"/>
                <w:szCs w:val="16"/>
              </w:rPr>
            </w:pPr>
          </w:p>
        </w:tc>
      </w:tr>
      <w:tr w:rsidR="00830D35" w14:paraId="3048295D"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1844969" w14:textId="77777777" w:rsidR="00830D35" w:rsidRDefault="00830D35" w:rsidP="00830D35">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B010ACD" w14:textId="77777777" w:rsidR="00830D35" w:rsidRDefault="00830D35" w:rsidP="00830D35">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12082328" w14:textId="77777777" w:rsidR="00830D35" w:rsidRDefault="00830D35" w:rsidP="00830D35">
            <w:pPr>
              <w:rPr>
                <w:color w:val="000000"/>
                <w:sz w:val="16"/>
                <w:szCs w:val="16"/>
              </w:rPr>
            </w:pPr>
            <w:r>
              <w:rPr>
                <w:color w:val="000000"/>
                <w:sz w:val="16"/>
                <w:szCs w:val="16"/>
              </w:rPr>
              <w:t>rs11558471</w:t>
            </w:r>
          </w:p>
        </w:tc>
        <w:tc>
          <w:tcPr>
            <w:tcW w:w="851" w:type="dxa"/>
            <w:tcBorders>
              <w:top w:val="single" w:sz="4" w:space="0" w:color="D0CECE"/>
              <w:bottom w:val="single" w:sz="4" w:space="0" w:color="D0CECE"/>
            </w:tcBorders>
            <w:tcMar>
              <w:top w:w="-113" w:type="dxa"/>
              <w:left w:w="-113" w:type="dxa"/>
              <w:bottom w:w="-113" w:type="dxa"/>
              <w:right w:w="-113" w:type="dxa"/>
            </w:tcMar>
          </w:tcPr>
          <w:p w14:paraId="5D397059" w14:textId="77777777" w:rsidR="00830D35" w:rsidRDefault="00830D35" w:rsidP="00830D35">
            <w:pPr>
              <w:rPr>
                <w:color w:val="000000"/>
                <w:sz w:val="16"/>
                <w:szCs w:val="16"/>
              </w:rPr>
            </w:pPr>
            <w:r>
              <w:rPr>
                <w:color w:val="000000"/>
                <w:sz w:val="16"/>
                <w:szCs w:val="16"/>
              </w:rPr>
              <w:t>A&gt;G</w:t>
            </w:r>
          </w:p>
        </w:tc>
        <w:tc>
          <w:tcPr>
            <w:tcW w:w="1701" w:type="dxa"/>
            <w:tcBorders>
              <w:top w:val="single" w:sz="4" w:space="0" w:color="D0CECE"/>
              <w:bottom w:val="single" w:sz="4" w:space="0" w:color="D0CECE"/>
            </w:tcBorders>
            <w:tcMar>
              <w:top w:w="-113" w:type="dxa"/>
              <w:left w:w="-113" w:type="dxa"/>
              <w:bottom w:w="-113" w:type="dxa"/>
              <w:right w:w="-113" w:type="dxa"/>
            </w:tcMar>
          </w:tcPr>
          <w:p w14:paraId="7F97F6B9" w14:textId="77777777" w:rsidR="00830D35" w:rsidRDefault="00830D35" w:rsidP="00830D35">
            <w:pPr>
              <w:rPr>
                <w:color w:val="000000"/>
                <w:sz w:val="16"/>
                <w:szCs w:val="16"/>
              </w:rPr>
            </w:pPr>
            <w:r>
              <w:rPr>
                <w:sz w:val="16"/>
                <w:szCs w:val="16"/>
              </w:rPr>
              <w:t>3 Prime UTR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03E102B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6A328C95"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579E1DF7"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B67AA94"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307C8C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CAE7267" w14:textId="77777777" w:rsidR="00830D35" w:rsidRDefault="00830D35" w:rsidP="00830D35">
            <w:pPr>
              <w:rPr>
                <w:color w:val="000000"/>
                <w:sz w:val="16"/>
                <w:szCs w:val="16"/>
              </w:rPr>
            </w:pPr>
            <w:r>
              <w:rPr>
                <w:color w:val="000000"/>
                <w:sz w:val="16"/>
                <w:szCs w:val="16"/>
              </w:rPr>
              <w:t>rs13266634</w:t>
            </w:r>
          </w:p>
        </w:tc>
        <w:tc>
          <w:tcPr>
            <w:tcW w:w="851" w:type="dxa"/>
            <w:tcBorders>
              <w:top w:val="single" w:sz="4" w:space="0" w:color="D0CECE"/>
              <w:bottom w:val="single" w:sz="4" w:space="0" w:color="D0CECE"/>
            </w:tcBorders>
            <w:tcMar>
              <w:top w:w="-113" w:type="dxa"/>
              <w:left w:w="-113" w:type="dxa"/>
              <w:bottom w:w="-113" w:type="dxa"/>
              <w:right w:w="-113" w:type="dxa"/>
            </w:tcMar>
          </w:tcPr>
          <w:p w14:paraId="5B67B9C6" w14:textId="77777777" w:rsidR="00830D35" w:rsidRDefault="00830D35" w:rsidP="00830D35">
            <w:pPr>
              <w:rPr>
                <w:color w:val="000000"/>
                <w:sz w:val="16"/>
                <w:szCs w:val="16"/>
              </w:rPr>
            </w:pPr>
            <w:r>
              <w:rPr>
                <w:color w:val="000000"/>
                <w:sz w:val="16"/>
                <w:szCs w:val="16"/>
              </w:rPr>
              <w:t>C&gt;</w:t>
            </w:r>
            <w:proofErr w:type="gramStart"/>
            <w:r>
              <w:rPr>
                <w:color w:val="000000"/>
                <w:sz w:val="16"/>
                <w:szCs w:val="16"/>
              </w:rPr>
              <w:t>A,T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354ED166" w14:textId="77777777" w:rsidR="00830D35" w:rsidRDefault="00830D35" w:rsidP="00830D35">
            <w:pPr>
              <w:rPr>
                <w:color w:val="000000"/>
                <w:sz w:val="16"/>
                <w:szCs w:val="16"/>
              </w:rPr>
            </w:pPr>
            <w:r>
              <w:rPr>
                <w:color w:val="000000"/>
                <w:sz w:val="16"/>
                <w:szCs w:val="16"/>
              </w:rPr>
              <w:t>Missense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2BC4022F"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19948D88" w14:textId="77777777" w:rsidR="00830D35" w:rsidRDefault="00830D35" w:rsidP="00830D35">
            <w:pPr>
              <w:rPr>
                <w:sz w:val="16"/>
                <w:szCs w:val="16"/>
              </w:rPr>
            </w:pPr>
            <w:r>
              <w:rPr>
                <w:sz w:val="16"/>
                <w:szCs w:val="16"/>
              </w:rPr>
              <w:t>Grau-Perez et al. 2018</w:t>
            </w:r>
          </w:p>
          <w:p w14:paraId="730666AE" w14:textId="77777777" w:rsidR="00830D35" w:rsidRDefault="00830D35" w:rsidP="00830D35">
            <w:pPr>
              <w:rPr>
                <w:sz w:val="16"/>
                <w:szCs w:val="16"/>
              </w:rPr>
            </w:pPr>
          </w:p>
        </w:tc>
      </w:tr>
      <w:tr w:rsidR="00830D35" w14:paraId="412E0434"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7F07734" w14:textId="77777777" w:rsidR="00830D35" w:rsidRDefault="00830D35" w:rsidP="00830D35">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F19E401" w14:textId="77777777" w:rsidR="00830D35" w:rsidRDefault="00830D35" w:rsidP="00830D35">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6F4CB33B" w14:textId="77777777" w:rsidR="00830D35" w:rsidRDefault="00830D35" w:rsidP="00830D35">
            <w:pPr>
              <w:rPr>
                <w:color w:val="000000"/>
                <w:sz w:val="16"/>
                <w:szCs w:val="16"/>
              </w:rPr>
            </w:pPr>
            <w:r>
              <w:rPr>
                <w:color w:val="000000"/>
                <w:sz w:val="16"/>
                <w:szCs w:val="16"/>
              </w:rPr>
              <w:t>rs2466292</w:t>
            </w:r>
          </w:p>
        </w:tc>
        <w:tc>
          <w:tcPr>
            <w:tcW w:w="851" w:type="dxa"/>
            <w:tcBorders>
              <w:top w:val="single" w:sz="4" w:space="0" w:color="D0CECE"/>
              <w:bottom w:val="single" w:sz="4" w:space="0" w:color="D0CECE"/>
            </w:tcBorders>
            <w:tcMar>
              <w:top w:w="-113" w:type="dxa"/>
              <w:left w:w="-113" w:type="dxa"/>
              <w:bottom w:w="-113" w:type="dxa"/>
              <w:right w:w="-113" w:type="dxa"/>
            </w:tcMar>
          </w:tcPr>
          <w:p w14:paraId="6C84D977" w14:textId="77777777" w:rsidR="00830D35" w:rsidRDefault="00830D35" w:rsidP="00830D35">
            <w:pPr>
              <w:rPr>
                <w:color w:val="000000"/>
                <w:sz w:val="16"/>
                <w:szCs w:val="16"/>
              </w:rPr>
            </w:pPr>
            <w:r>
              <w:rPr>
                <w:color w:val="000000"/>
                <w:sz w:val="16"/>
                <w:szCs w:val="16"/>
              </w:rPr>
              <w:t>C&gt;</w:t>
            </w:r>
            <w:proofErr w:type="gramStart"/>
            <w:r>
              <w:rPr>
                <w:color w:val="000000"/>
                <w:sz w:val="16"/>
                <w:szCs w:val="16"/>
              </w:rPr>
              <w:t>G,T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3F978DCF"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34282779"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37F2EAB"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47284434"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D640D9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26942E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B3764FD" w14:textId="77777777" w:rsidR="00830D35" w:rsidRDefault="00830D35" w:rsidP="00830D35">
            <w:pPr>
              <w:rPr>
                <w:color w:val="000000"/>
                <w:sz w:val="16"/>
                <w:szCs w:val="16"/>
              </w:rPr>
            </w:pPr>
            <w:r>
              <w:rPr>
                <w:color w:val="000000"/>
                <w:sz w:val="16"/>
                <w:szCs w:val="16"/>
              </w:rPr>
              <w:t>rs2466293</w:t>
            </w:r>
          </w:p>
        </w:tc>
        <w:tc>
          <w:tcPr>
            <w:tcW w:w="851" w:type="dxa"/>
            <w:tcBorders>
              <w:top w:val="single" w:sz="4" w:space="0" w:color="D0CECE"/>
              <w:bottom w:val="single" w:sz="4" w:space="0" w:color="D0CECE"/>
            </w:tcBorders>
            <w:tcMar>
              <w:top w:w="-113" w:type="dxa"/>
              <w:left w:w="-113" w:type="dxa"/>
              <w:bottom w:w="-113" w:type="dxa"/>
              <w:right w:w="-113" w:type="dxa"/>
            </w:tcMar>
          </w:tcPr>
          <w:p w14:paraId="572A210A" w14:textId="77777777" w:rsidR="00830D35" w:rsidRDefault="00830D35" w:rsidP="00830D35">
            <w:pPr>
              <w:rPr>
                <w:color w:val="000000"/>
                <w:sz w:val="16"/>
                <w:szCs w:val="16"/>
              </w:rPr>
            </w:pPr>
            <w:r>
              <w:rPr>
                <w:color w:val="000000"/>
                <w:sz w:val="16"/>
                <w:szCs w:val="16"/>
              </w:rPr>
              <w:t>A&gt;G</w:t>
            </w:r>
          </w:p>
        </w:tc>
        <w:tc>
          <w:tcPr>
            <w:tcW w:w="1701" w:type="dxa"/>
            <w:tcBorders>
              <w:top w:val="single" w:sz="4" w:space="0" w:color="D0CECE"/>
              <w:bottom w:val="single" w:sz="4" w:space="0" w:color="D0CECE"/>
            </w:tcBorders>
            <w:tcMar>
              <w:top w:w="-113" w:type="dxa"/>
              <w:left w:w="-113" w:type="dxa"/>
              <w:bottom w:w="-113" w:type="dxa"/>
              <w:right w:w="-113" w:type="dxa"/>
            </w:tcMar>
          </w:tcPr>
          <w:p w14:paraId="06426264" w14:textId="77777777" w:rsidR="00830D35" w:rsidRDefault="00830D35" w:rsidP="00830D35">
            <w:pPr>
              <w:rPr>
                <w:color w:val="000000"/>
                <w:sz w:val="16"/>
                <w:szCs w:val="16"/>
              </w:rPr>
            </w:pPr>
            <w:r>
              <w:rPr>
                <w:sz w:val="16"/>
                <w:szCs w:val="16"/>
              </w:rPr>
              <w:t>3 Prime UTR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3BC53D1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18C48B7F" w14:textId="77777777" w:rsidR="00830D35" w:rsidRDefault="00830D35" w:rsidP="00830D35">
            <w:pPr>
              <w:rPr>
                <w:color w:val="000000"/>
                <w:sz w:val="16"/>
                <w:szCs w:val="16"/>
              </w:rPr>
            </w:pPr>
            <w:r>
              <w:rPr>
                <w:sz w:val="16"/>
                <w:szCs w:val="16"/>
              </w:rPr>
              <w:t xml:space="preserve">Pan </w:t>
            </w:r>
            <w:r>
              <w:rPr>
                <w:i/>
                <w:sz w:val="16"/>
                <w:szCs w:val="16"/>
              </w:rPr>
              <w:t>et al.</w:t>
            </w:r>
            <w:r>
              <w:rPr>
                <w:sz w:val="16"/>
                <w:szCs w:val="16"/>
              </w:rPr>
              <w:t xml:space="preserve"> 2013</w:t>
            </w:r>
          </w:p>
        </w:tc>
      </w:tr>
      <w:tr w:rsidR="00830D35" w14:paraId="7A3A4243"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ECD5A2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7086D26"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795022B1" w14:textId="77777777" w:rsidR="00830D35" w:rsidRDefault="00830D35" w:rsidP="00830D35">
            <w:pPr>
              <w:rPr>
                <w:color w:val="000000"/>
                <w:sz w:val="16"/>
                <w:szCs w:val="16"/>
              </w:rPr>
            </w:pPr>
            <w:r>
              <w:rPr>
                <w:color w:val="000000"/>
                <w:sz w:val="16"/>
                <w:szCs w:val="16"/>
              </w:rPr>
              <w:t>rs6469675</w:t>
            </w:r>
          </w:p>
        </w:tc>
        <w:tc>
          <w:tcPr>
            <w:tcW w:w="851" w:type="dxa"/>
            <w:tcBorders>
              <w:top w:val="single" w:sz="4" w:space="0" w:color="D0CECE"/>
              <w:bottom w:val="single" w:sz="4" w:space="0" w:color="000000"/>
            </w:tcBorders>
            <w:tcMar>
              <w:top w:w="-113" w:type="dxa"/>
              <w:left w:w="-113" w:type="dxa"/>
              <w:bottom w:w="-113" w:type="dxa"/>
              <w:right w:w="-113" w:type="dxa"/>
            </w:tcMar>
          </w:tcPr>
          <w:p w14:paraId="124FE2FB" w14:textId="77777777" w:rsidR="00830D35" w:rsidRDefault="00830D35" w:rsidP="00830D35">
            <w:pPr>
              <w:rPr>
                <w:color w:val="000000"/>
                <w:sz w:val="16"/>
                <w:szCs w:val="16"/>
              </w:rPr>
            </w:pPr>
            <w:r>
              <w:rPr>
                <w:color w:val="000000"/>
                <w:sz w:val="16"/>
                <w:szCs w:val="16"/>
              </w:rPr>
              <w:t>A&gt;G</w:t>
            </w:r>
          </w:p>
        </w:tc>
        <w:tc>
          <w:tcPr>
            <w:tcW w:w="1701" w:type="dxa"/>
            <w:tcBorders>
              <w:top w:val="single" w:sz="4" w:space="0" w:color="D0CECE"/>
              <w:bottom w:val="single" w:sz="4" w:space="0" w:color="000000"/>
            </w:tcBorders>
            <w:tcMar>
              <w:top w:w="-113" w:type="dxa"/>
              <w:left w:w="-113" w:type="dxa"/>
              <w:bottom w:w="-113" w:type="dxa"/>
              <w:right w:w="-113" w:type="dxa"/>
            </w:tcMar>
          </w:tcPr>
          <w:p w14:paraId="1DC36245"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6B9DB58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tcBorders>
              <w:top w:val="single" w:sz="4" w:space="0" w:color="D0CECE"/>
              <w:bottom w:val="single" w:sz="4" w:space="0" w:color="000000"/>
              <w:right w:val="single" w:sz="4" w:space="0" w:color="000000" w:themeColor="text1"/>
            </w:tcBorders>
            <w:tcMar>
              <w:top w:w="-113" w:type="dxa"/>
              <w:left w:w="-113" w:type="dxa"/>
              <w:bottom w:w="-113" w:type="dxa"/>
              <w:right w:w="-113" w:type="dxa"/>
            </w:tcMar>
          </w:tcPr>
          <w:p w14:paraId="1C4ABCD0" w14:textId="77777777" w:rsidR="00830D35" w:rsidRDefault="00830D35" w:rsidP="00830D35">
            <w:pPr>
              <w:rPr>
                <w:color w:val="000000"/>
                <w:sz w:val="16"/>
                <w:szCs w:val="16"/>
              </w:rPr>
            </w:pPr>
            <w:r>
              <w:rPr>
                <w:sz w:val="16"/>
                <w:szCs w:val="16"/>
              </w:rPr>
              <w:t>Grau-Perez et al. 2018</w:t>
            </w:r>
          </w:p>
        </w:tc>
      </w:tr>
      <w:tr w:rsidR="00830D35" w14:paraId="0DE88B0B"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280D0837" w14:textId="77777777" w:rsidR="00830D35" w:rsidRDefault="00830D35" w:rsidP="00830D35">
            <w:pPr>
              <w:rPr>
                <w:i/>
                <w:color w:val="000000"/>
                <w:sz w:val="16"/>
                <w:szCs w:val="16"/>
              </w:rPr>
            </w:pPr>
            <w:r>
              <w:rPr>
                <w:i/>
                <w:color w:val="000000"/>
                <w:sz w:val="16"/>
                <w:szCs w:val="16"/>
              </w:rPr>
              <w:t>SOD1</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1700F3D5" w14:textId="77777777" w:rsidR="00830D35" w:rsidRDefault="00830D35" w:rsidP="00830D35">
            <w:pPr>
              <w:rPr>
                <w:color w:val="000000"/>
                <w:sz w:val="16"/>
                <w:szCs w:val="16"/>
              </w:rPr>
            </w:pPr>
            <w:r>
              <w:rPr>
                <w:color w:val="000000"/>
                <w:sz w:val="16"/>
                <w:szCs w:val="16"/>
              </w:rPr>
              <w:t>Superoxide dismutase 1</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1A9701A8" w14:textId="77777777" w:rsidR="00830D35" w:rsidRDefault="00830D35" w:rsidP="00830D35">
            <w:pPr>
              <w:rPr>
                <w:color w:val="000000"/>
                <w:sz w:val="16"/>
                <w:szCs w:val="16"/>
              </w:rPr>
            </w:pPr>
            <w:r>
              <w:rPr>
                <w:color w:val="000000"/>
                <w:sz w:val="16"/>
                <w:szCs w:val="16"/>
              </w:rPr>
              <w:t>rs202445</w:t>
            </w:r>
          </w:p>
        </w:tc>
        <w:tc>
          <w:tcPr>
            <w:tcW w:w="851" w:type="dxa"/>
            <w:tcBorders>
              <w:top w:val="single" w:sz="4" w:space="0" w:color="000000"/>
              <w:bottom w:val="single" w:sz="4" w:space="0" w:color="000000"/>
            </w:tcBorders>
            <w:tcMar>
              <w:top w:w="-113" w:type="dxa"/>
              <w:left w:w="-113" w:type="dxa"/>
              <w:bottom w:w="-113" w:type="dxa"/>
              <w:right w:w="-113" w:type="dxa"/>
            </w:tcMar>
          </w:tcPr>
          <w:p w14:paraId="2E274440" w14:textId="77777777" w:rsidR="00830D35" w:rsidRDefault="00830D35" w:rsidP="00830D35">
            <w:pPr>
              <w:rPr>
                <w:color w:val="000000"/>
                <w:sz w:val="16"/>
                <w:szCs w:val="16"/>
              </w:rPr>
            </w:pPr>
            <w:r>
              <w:rPr>
                <w:color w:val="000000"/>
                <w:sz w:val="16"/>
                <w:szCs w:val="16"/>
              </w:rPr>
              <w:t>C&gt;</w:t>
            </w:r>
            <w:proofErr w:type="gramStart"/>
            <w:r>
              <w:rPr>
                <w:color w:val="000000"/>
                <w:sz w:val="16"/>
                <w:szCs w:val="16"/>
              </w:rPr>
              <w:t>G,T</w:t>
            </w:r>
            <w:proofErr w:type="gramEnd"/>
          </w:p>
        </w:tc>
        <w:tc>
          <w:tcPr>
            <w:tcW w:w="1701" w:type="dxa"/>
            <w:tcBorders>
              <w:top w:val="single" w:sz="4" w:space="0" w:color="000000"/>
              <w:bottom w:val="single" w:sz="4" w:space="0" w:color="000000"/>
            </w:tcBorders>
            <w:tcMar>
              <w:top w:w="-113" w:type="dxa"/>
              <w:left w:w="-113" w:type="dxa"/>
              <w:bottom w:w="-113" w:type="dxa"/>
              <w:right w:w="-113" w:type="dxa"/>
            </w:tcMar>
          </w:tcPr>
          <w:p w14:paraId="33722A43" w14:textId="77777777" w:rsidR="00830D35" w:rsidRDefault="00830D35" w:rsidP="00830D35">
            <w:pPr>
              <w:rPr>
                <w:color w:val="000000"/>
                <w:sz w:val="16"/>
                <w:szCs w:val="16"/>
              </w:rPr>
            </w:pPr>
            <w:r>
              <w:rPr>
                <w:color w:val="000000"/>
                <w:sz w:val="16"/>
                <w:szCs w:val="16"/>
              </w:rPr>
              <w:t>None</w:t>
            </w:r>
          </w:p>
        </w:tc>
        <w:tc>
          <w:tcPr>
            <w:tcW w:w="708" w:type="dxa"/>
            <w:tcBorders>
              <w:top w:val="single" w:sz="4" w:space="0" w:color="000000"/>
              <w:bottom w:val="single" w:sz="4" w:space="0" w:color="000000"/>
            </w:tcBorders>
            <w:tcMar>
              <w:top w:w="-113" w:type="dxa"/>
              <w:left w:w="-113" w:type="dxa"/>
              <w:bottom w:w="-113" w:type="dxa"/>
              <w:right w:w="-113" w:type="dxa"/>
            </w:tcMar>
          </w:tcPr>
          <w:p w14:paraId="3DCC0C1B" w14:textId="77777777" w:rsidR="00830D35" w:rsidRDefault="00830D35" w:rsidP="00830D35">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57F93163" w14:textId="77777777" w:rsidR="00830D35" w:rsidRDefault="00830D35" w:rsidP="00830D35">
            <w:pPr>
              <w:rPr>
                <w:color w:val="000000"/>
                <w:sz w:val="16"/>
                <w:szCs w:val="16"/>
              </w:rPr>
            </w:pPr>
            <w:r>
              <w:rPr>
                <w:sz w:val="16"/>
                <w:szCs w:val="16"/>
              </w:rPr>
              <w:t>Grau-Perez et al. 2018</w:t>
            </w:r>
          </w:p>
        </w:tc>
      </w:tr>
      <w:tr w:rsidR="00830D35" w14:paraId="33E2147F"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D2AE3F0" w14:textId="77777777" w:rsidR="00830D35" w:rsidRDefault="00830D35" w:rsidP="00830D35">
            <w:pPr>
              <w:rPr>
                <w:i/>
                <w:color w:val="000000"/>
                <w:sz w:val="16"/>
                <w:szCs w:val="16"/>
              </w:rPr>
            </w:pPr>
            <w:r>
              <w:rPr>
                <w:i/>
                <w:color w:val="000000"/>
                <w:sz w:val="16"/>
                <w:szCs w:val="16"/>
              </w:rPr>
              <w:t>SOD2</w:t>
            </w:r>
          </w:p>
          <w:p w14:paraId="617737D7" w14:textId="77777777" w:rsidR="00830D35" w:rsidRDefault="00830D35" w:rsidP="00830D35">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5A62226" w14:textId="77777777" w:rsidR="00830D35" w:rsidRDefault="00830D35" w:rsidP="00830D35">
            <w:pPr>
              <w:rPr>
                <w:color w:val="000000"/>
                <w:sz w:val="16"/>
                <w:szCs w:val="16"/>
              </w:rPr>
            </w:pPr>
            <w:r>
              <w:rPr>
                <w:color w:val="000000"/>
                <w:sz w:val="16"/>
                <w:szCs w:val="16"/>
                <w:shd w:val="clear" w:color="auto" w:fill="FCFCFC"/>
              </w:rPr>
              <w:t>Manganese superoxide dismutase</w:t>
            </w:r>
          </w:p>
        </w:tc>
        <w:tc>
          <w:tcPr>
            <w:tcW w:w="992" w:type="dxa"/>
            <w:vMerge w:val="restart"/>
            <w:tcBorders>
              <w:top w:val="single" w:sz="4" w:space="0" w:color="000000"/>
              <w:left w:val="nil"/>
              <w:bottom w:val="single" w:sz="4" w:space="0" w:color="D0CECE"/>
            </w:tcBorders>
            <w:shd w:val="clear" w:color="auto" w:fill="auto"/>
            <w:tcMar>
              <w:top w:w="-113" w:type="dxa"/>
              <w:left w:w="-113" w:type="dxa"/>
              <w:bottom w:w="-113" w:type="dxa"/>
              <w:right w:w="-113" w:type="dxa"/>
            </w:tcMar>
          </w:tcPr>
          <w:p w14:paraId="4178ECFD" w14:textId="77777777" w:rsidR="00830D35" w:rsidRDefault="00830D35" w:rsidP="00830D35">
            <w:pPr>
              <w:rPr>
                <w:sz w:val="16"/>
                <w:szCs w:val="16"/>
              </w:rPr>
            </w:pPr>
            <w:r>
              <w:rPr>
                <w:color w:val="000000"/>
                <w:sz w:val="16"/>
                <w:szCs w:val="16"/>
              </w:rPr>
              <w:t>rs10370</w:t>
            </w:r>
          </w:p>
          <w:p w14:paraId="57286FF0" w14:textId="77777777" w:rsidR="00830D35" w:rsidRDefault="00830D35" w:rsidP="00830D35">
            <w:pPr>
              <w:rPr>
                <w:sz w:val="16"/>
                <w:szCs w:val="16"/>
              </w:rPr>
            </w:pPr>
          </w:p>
        </w:tc>
        <w:tc>
          <w:tcPr>
            <w:tcW w:w="851" w:type="dxa"/>
            <w:vMerge w:val="restart"/>
            <w:tcBorders>
              <w:top w:val="single" w:sz="4" w:space="0" w:color="000000"/>
              <w:bottom w:val="single" w:sz="4" w:space="0" w:color="D0CECE"/>
            </w:tcBorders>
            <w:tcMar>
              <w:top w:w="-113" w:type="dxa"/>
              <w:left w:w="-113" w:type="dxa"/>
              <w:bottom w:w="-113" w:type="dxa"/>
              <w:right w:w="-113" w:type="dxa"/>
            </w:tcMar>
          </w:tcPr>
          <w:p w14:paraId="455B35B6" w14:textId="77777777" w:rsidR="00830D35" w:rsidRDefault="00830D35" w:rsidP="00830D35">
            <w:pPr>
              <w:rPr>
                <w:color w:val="000000"/>
                <w:sz w:val="16"/>
                <w:szCs w:val="16"/>
              </w:rPr>
            </w:pPr>
            <w:r>
              <w:rPr>
                <w:color w:val="000000"/>
                <w:sz w:val="16"/>
                <w:szCs w:val="16"/>
              </w:rPr>
              <w:t>T&gt;G</w:t>
            </w:r>
          </w:p>
        </w:tc>
        <w:tc>
          <w:tcPr>
            <w:tcW w:w="1701" w:type="dxa"/>
            <w:vMerge w:val="restart"/>
            <w:tcBorders>
              <w:top w:val="single" w:sz="4" w:space="0" w:color="000000"/>
              <w:bottom w:val="single" w:sz="4" w:space="0" w:color="D0CECE"/>
            </w:tcBorders>
            <w:tcMar>
              <w:top w:w="-113" w:type="dxa"/>
              <w:left w:w="-113" w:type="dxa"/>
              <w:bottom w:w="-113" w:type="dxa"/>
              <w:right w:w="-113" w:type="dxa"/>
            </w:tcMar>
          </w:tcPr>
          <w:p w14:paraId="572853B1" w14:textId="77777777" w:rsidR="00830D35" w:rsidRDefault="00830D35" w:rsidP="00830D35">
            <w:pPr>
              <w:rPr>
                <w:color w:val="000000"/>
                <w:sz w:val="16"/>
                <w:szCs w:val="16"/>
              </w:rPr>
            </w:pPr>
            <w:r>
              <w:rPr>
                <w:sz w:val="16"/>
                <w:szCs w:val="16"/>
              </w:rPr>
              <w:t>Intron variant</w:t>
            </w:r>
          </w:p>
        </w:tc>
        <w:tc>
          <w:tcPr>
            <w:tcW w:w="708" w:type="dxa"/>
            <w:tcBorders>
              <w:top w:val="single" w:sz="4" w:space="0" w:color="000000"/>
              <w:bottom w:val="single" w:sz="4" w:space="0" w:color="D0CECE"/>
            </w:tcBorders>
            <w:tcMar>
              <w:top w:w="-113" w:type="dxa"/>
              <w:left w:w="-113" w:type="dxa"/>
              <w:bottom w:w="-113" w:type="dxa"/>
              <w:right w:w="-113" w:type="dxa"/>
            </w:tcMar>
          </w:tcPr>
          <w:p w14:paraId="411F9F91" w14:textId="77777777" w:rsidR="00830D35" w:rsidRDefault="00830D35" w:rsidP="00830D35">
            <w:pPr>
              <w:rPr>
                <w:color w:val="000000"/>
                <w:sz w:val="16"/>
                <w:szCs w:val="16"/>
              </w:rPr>
            </w:pPr>
            <w:r>
              <w:rPr>
                <w:color w:val="000000"/>
                <w:sz w:val="16"/>
                <w:szCs w:val="16"/>
              </w:rPr>
              <w:t>BP</w:t>
            </w:r>
          </w:p>
        </w:tc>
        <w:tc>
          <w:tcPr>
            <w:tcW w:w="1838" w:type="dxa"/>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75395796" w14:textId="77777777" w:rsidR="00830D35" w:rsidRDefault="00830D35" w:rsidP="00830D35">
            <w:pPr>
              <w:rPr>
                <w:color w:val="000000"/>
                <w:sz w:val="16"/>
                <w:szCs w:val="16"/>
              </w:rPr>
            </w:pPr>
            <w:r>
              <w:rPr>
                <w:sz w:val="16"/>
                <w:szCs w:val="16"/>
              </w:rPr>
              <w:t xml:space="preserve">Farzan </w:t>
            </w:r>
            <w:r>
              <w:rPr>
                <w:i/>
                <w:sz w:val="16"/>
                <w:szCs w:val="16"/>
              </w:rPr>
              <w:t>et al.</w:t>
            </w:r>
            <w:r>
              <w:rPr>
                <w:sz w:val="16"/>
                <w:szCs w:val="16"/>
              </w:rPr>
              <w:t xml:space="preserve"> 2016</w:t>
            </w:r>
          </w:p>
        </w:tc>
      </w:tr>
      <w:tr w:rsidR="00830D35" w:rsidRPr="0030321B" w14:paraId="7195158B" w14:textId="77777777" w:rsidTr="00923C73">
        <w:trPr>
          <w:trHeight w:val="317"/>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339217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1C64140"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000000"/>
              <w:left w:val="nil"/>
              <w:bottom w:val="single" w:sz="4" w:space="0" w:color="D0CECE"/>
            </w:tcBorders>
            <w:shd w:val="clear" w:color="auto" w:fill="auto"/>
            <w:tcMar>
              <w:top w:w="-113" w:type="dxa"/>
              <w:left w:w="-113" w:type="dxa"/>
              <w:bottom w:w="-113" w:type="dxa"/>
              <w:right w:w="-113" w:type="dxa"/>
            </w:tcMar>
          </w:tcPr>
          <w:p w14:paraId="6DC21EB9"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000000"/>
              <w:bottom w:val="single" w:sz="4" w:space="0" w:color="D0CECE"/>
            </w:tcBorders>
            <w:tcMar>
              <w:top w:w="-113" w:type="dxa"/>
              <w:left w:w="-113" w:type="dxa"/>
              <w:bottom w:w="-113" w:type="dxa"/>
              <w:right w:w="-113" w:type="dxa"/>
            </w:tcMar>
          </w:tcPr>
          <w:p w14:paraId="4B21945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000000"/>
              <w:bottom w:val="single" w:sz="4" w:space="0" w:color="D0CECE"/>
            </w:tcBorders>
            <w:tcMar>
              <w:top w:w="-113" w:type="dxa"/>
              <w:left w:w="-113" w:type="dxa"/>
              <w:bottom w:w="-113" w:type="dxa"/>
              <w:right w:w="-113" w:type="dxa"/>
            </w:tcMar>
          </w:tcPr>
          <w:p w14:paraId="6243E40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708" w:type="dxa"/>
            <w:vMerge w:val="restart"/>
            <w:tcBorders>
              <w:top w:val="single" w:sz="4" w:space="0" w:color="D0CECE"/>
              <w:bottom w:val="single" w:sz="4" w:space="0" w:color="D0CECE"/>
            </w:tcBorders>
            <w:tcMar>
              <w:top w:w="-113" w:type="dxa"/>
              <w:left w:w="-113" w:type="dxa"/>
              <w:bottom w:w="-113" w:type="dxa"/>
              <w:right w:w="-113" w:type="dxa"/>
            </w:tcMar>
          </w:tcPr>
          <w:p w14:paraId="618FE35E" w14:textId="77777777" w:rsidR="00830D35" w:rsidRDefault="00830D35" w:rsidP="00830D35">
            <w:pPr>
              <w:rPr>
                <w:sz w:val="16"/>
                <w:szCs w:val="16"/>
              </w:rPr>
            </w:pPr>
            <w:r>
              <w:rPr>
                <w:color w:val="000000"/>
                <w:sz w:val="16"/>
                <w:szCs w:val="16"/>
              </w:rPr>
              <w:t>CVD</w:t>
            </w:r>
          </w:p>
          <w:p w14:paraId="68126C88" w14:textId="77777777" w:rsidR="00830D35" w:rsidRDefault="00830D35" w:rsidP="00830D35">
            <w:pPr>
              <w:rPr>
                <w:sz w:val="16"/>
                <w:szCs w:val="16"/>
              </w:rPr>
            </w:pPr>
            <w:r>
              <w:rPr>
                <w:sz w:val="16"/>
                <w:szCs w:val="16"/>
              </w:rPr>
              <w:t>CIMT</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25DA8004" w14:textId="77777777" w:rsidR="00830D35" w:rsidRPr="00641BD3" w:rsidRDefault="00830D35" w:rsidP="00830D35">
            <w:pPr>
              <w:rPr>
                <w:sz w:val="16"/>
                <w:szCs w:val="16"/>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4A6DCE6D" w14:textId="77777777" w:rsidR="00830D35" w:rsidRPr="00641BD3" w:rsidRDefault="00830D35" w:rsidP="00830D35">
            <w:pPr>
              <w:rPr>
                <w:sz w:val="16"/>
                <w:szCs w:val="16"/>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tc>
      </w:tr>
      <w:tr w:rsidR="00830D35" w14:paraId="46C9B175"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F686F8D" w14:textId="77777777" w:rsidR="00830D35" w:rsidRPr="00641BD3" w:rsidRDefault="00830D35" w:rsidP="00830D35">
            <w:pPr>
              <w:widowControl w:val="0"/>
              <w:pBdr>
                <w:top w:val="nil"/>
                <w:left w:val="nil"/>
                <w:bottom w:val="nil"/>
                <w:right w:val="nil"/>
                <w:between w:val="nil"/>
              </w:pBdr>
              <w:spacing w:line="276" w:lineRule="auto"/>
              <w:rPr>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48C7060" w14:textId="77777777" w:rsidR="00830D35" w:rsidRPr="00641BD3" w:rsidRDefault="00830D35" w:rsidP="00830D35">
            <w:pPr>
              <w:widowControl w:val="0"/>
              <w:pBdr>
                <w:top w:val="nil"/>
                <w:left w:val="nil"/>
                <w:bottom w:val="nil"/>
                <w:right w:val="nil"/>
                <w:between w:val="nil"/>
              </w:pBdr>
              <w:spacing w:line="276" w:lineRule="auto"/>
              <w:rPr>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7AC01253" w14:textId="77777777" w:rsidR="00830D35" w:rsidRDefault="00830D35" w:rsidP="00830D35">
            <w:pPr>
              <w:rPr>
                <w:color w:val="000000"/>
                <w:sz w:val="16"/>
                <w:szCs w:val="16"/>
              </w:rPr>
            </w:pPr>
            <w:r>
              <w:rPr>
                <w:color w:val="000000"/>
                <w:sz w:val="16"/>
                <w:szCs w:val="16"/>
              </w:rPr>
              <w:t>rs12195992</w:t>
            </w:r>
          </w:p>
        </w:tc>
        <w:tc>
          <w:tcPr>
            <w:tcW w:w="851" w:type="dxa"/>
            <w:tcBorders>
              <w:top w:val="single" w:sz="4" w:space="0" w:color="D0CECE"/>
              <w:bottom w:val="single" w:sz="4" w:space="0" w:color="D0CECE"/>
            </w:tcBorders>
            <w:tcMar>
              <w:top w:w="-113" w:type="dxa"/>
              <w:left w:w="-113" w:type="dxa"/>
              <w:bottom w:w="-113" w:type="dxa"/>
              <w:right w:w="-113" w:type="dxa"/>
            </w:tcMar>
          </w:tcPr>
          <w:p w14:paraId="358BF93B" w14:textId="77777777" w:rsidR="00830D35" w:rsidRDefault="00830D35" w:rsidP="00830D35">
            <w:pPr>
              <w:rPr>
                <w:color w:val="000000"/>
                <w:sz w:val="16"/>
                <w:szCs w:val="16"/>
              </w:rPr>
            </w:pPr>
            <w:r>
              <w:rPr>
                <w:color w:val="000000"/>
                <w:sz w:val="16"/>
                <w:szCs w:val="16"/>
              </w:rPr>
              <w:t>C&gt;G</w:t>
            </w:r>
          </w:p>
        </w:tc>
        <w:tc>
          <w:tcPr>
            <w:tcW w:w="1701" w:type="dxa"/>
            <w:tcBorders>
              <w:top w:val="single" w:sz="4" w:space="0" w:color="D0CECE"/>
              <w:bottom w:val="single" w:sz="4" w:space="0" w:color="D0CECE"/>
            </w:tcBorders>
            <w:tcMar>
              <w:top w:w="-113" w:type="dxa"/>
              <w:left w:w="-113" w:type="dxa"/>
              <w:bottom w:w="-113" w:type="dxa"/>
              <w:right w:w="-113" w:type="dxa"/>
            </w:tcMar>
          </w:tcPr>
          <w:p w14:paraId="55E528AB"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535618F6"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29088456"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41D0F9C3"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2A9A3A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0F828D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4B42AA06" w14:textId="77777777" w:rsidR="00830D35" w:rsidRDefault="00830D35" w:rsidP="00830D35">
            <w:pPr>
              <w:rPr>
                <w:sz w:val="16"/>
                <w:szCs w:val="16"/>
              </w:rPr>
            </w:pPr>
            <w:r>
              <w:rPr>
                <w:color w:val="000000"/>
                <w:sz w:val="16"/>
                <w:szCs w:val="16"/>
              </w:rPr>
              <w:t>rs12526686</w:t>
            </w:r>
          </w:p>
          <w:p w14:paraId="578188B0" w14:textId="77777777" w:rsidR="00830D35" w:rsidRDefault="00830D35" w:rsidP="00830D35">
            <w:pPr>
              <w:rPr>
                <w:sz w:val="16"/>
                <w:szCs w:val="16"/>
              </w:rPr>
            </w:pPr>
          </w:p>
        </w:tc>
        <w:tc>
          <w:tcPr>
            <w:tcW w:w="851" w:type="dxa"/>
            <w:vMerge w:val="restart"/>
            <w:tcBorders>
              <w:top w:val="single" w:sz="4" w:space="0" w:color="D0CECE"/>
              <w:bottom w:val="single" w:sz="4" w:space="0" w:color="D0CECE"/>
            </w:tcBorders>
            <w:tcMar>
              <w:top w:w="-113" w:type="dxa"/>
              <w:left w:w="-113" w:type="dxa"/>
              <w:bottom w:w="-113" w:type="dxa"/>
              <w:right w:w="-113" w:type="dxa"/>
            </w:tcMar>
          </w:tcPr>
          <w:p w14:paraId="1F65AB72" w14:textId="77777777" w:rsidR="00830D35" w:rsidRDefault="00830D35" w:rsidP="00830D35">
            <w:pPr>
              <w:rPr>
                <w:color w:val="000000"/>
                <w:sz w:val="16"/>
                <w:szCs w:val="16"/>
              </w:rPr>
            </w:pPr>
            <w:r>
              <w:rPr>
                <w:color w:val="000000"/>
                <w:sz w:val="16"/>
                <w:szCs w:val="16"/>
              </w:rPr>
              <w:t>C&gt;</w:t>
            </w:r>
            <w:proofErr w:type="gramStart"/>
            <w:r>
              <w:rPr>
                <w:color w:val="000000"/>
                <w:sz w:val="16"/>
                <w:szCs w:val="16"/>
              </w:rPr>
              <w:t>A,T</w:t>
            </w:r>
            <w:proofErr w:type="gramEnd"/>
          </w:p>
        </w:tc>
        <w:tc>
          <w:tcPr>
            <w:tcW w:w="1701" w:type="dxa"/>
            <w:vMerge w:val="restart"/>
            <w:tcBorders>
              <w:top w:val="single" w:sz="4" w:space="0" w:color="D0CECE"/>
              <w:bottom w:val="single" w:sz="4" w:space="0" w:color="D0CECE"/>
            </w:tcBorders>
            <w:tcMar>
              <w:top w:w="-113" w:type="dxa"/>
              <w:left w:w="-113" w:type="dxa"/>
              <w:bottom w:w="-113" w:type="dxa"/>
              <w:right w:w="-113" w:type="dxa"/>
            </w:tcMar>
          </w:tcPr>
          <w:p w14:paraId="1A6EF049" w14:textId="77777777" w:rsidR="00830D35" w:rsidRDefault="00830D35" w:rsidP="00830D35">
            <w:pPr>
              <w:rPr>
                <w:color w:val="000000"/>
                <w:sz w:val="16"/>
                <w:szCs w:val="16"/>
              </w:rPr>
            </w:pPr>
            <w:r>
              <w:rPr>
                <w:sz w:val="16"/>
                <w:szCs w:val="16"/>
              </w:rPr>
              <w:t>Intron variant</w:t>
            </w:r>
          </w:p>
        </w:tc>
        <w:tc>
          <w:tcPr>
            <w:tcW w:w="708" w:type="dxa"/>
            <w:tcBorders>
              <w:top w:val="single" w:sz="4" w:space="0" w:color="D0CECE"/>
              <w:bottom w:val="single" w:sz="4" w:space="0" w:color="D0CECE"/>
            </w:tcBorders>
            <w:tcMar>
              <w:top w:w="-113" w:type="dxa"/>
              <w:left w:w="-113" w:type="dxa"/>
              <w:bottom w:w="-113" w:type="dxa"/>
              <w:right w:w="-113" w:type="dxa"/>
            </w:tcMar>
          </w:tcPr>
          <w:p w14:paraId="2D04D904" w14:textId="77777777" w:rsidR="00830D35" w:rsidRDefault="00830D35" w:rsidP="00830D35">
            <w:pPr>
              <w:rPr>
                <w:color w:val="000000"/>
                <w:sz w:val="16"/>
                <w:szCs w:val="16"/>
              </w:rPr>
            </w:pPr>
            <w:r>
              <w:rPr>
                <w:color w:val="000000"/>
                <w:sz w:val="16"/>
                <w:szCs w:val="16"/>
              </w:rPr>
              <w:t>BP</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2E0646A5" w14:textId="77777777" w:rsidR="00830D35" w:rsidRDefault="00830D35" w:rsidP="00830D35">
            <w:pPr>
              <w:rPr>
                <w:color w:val="000000"/>
                <w:sz w:val="16"/>
                <w:szCs w:val="16"/>
              </w:rPr>
            </w:pPr>
            <w:r>
              <w:rPr>
                <w:sz w:val="16"/>
                <w:szCs w:val="16"/>
              </w:rPr>
              <w:t xml:space="preserve">Farzan </w:t>
            </w:r>
            <w:r>
              <w:rPr>
                <w:i/>
                <w:sz w:val="16"/>
                <w:szCs w:val="16"/>
              </w:rPr>
              <w:t>et al.</w:t>
            </w:r>
            <w:r>
              <w:rPr>
                <w:sz w:val="16"/>
                <w:szCs w:val="16"/>
              </w:rPr>
              <w:t xml:space="preserve"> 2016</w:t>
            </w:r>
          </w:p>
        </w:tc>
      </w:tr>
      <w:tr w:rsidR="00830D35" w:rsidRPr="0030321B" w14:paraId="5D395D3B" w14:textId="77777777" w:rsidTr="00923C73">
        <w:trPr>
          <w:trHeight w:val="317"/>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90A952B"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609589A"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5F98FECF"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tcMar>
              <w:top w:w="-113" w:type="dxa"/>
              <w:left w:w="-113" w:type="dxa"/>
              <w:bottom w:w="-113" w:type="dxa"/>
              <w:right w:w="-113" w:type="dxa"/>
            </w:tcMar>
          </w:tcPr>
          <w:p w14:paraId="0B743693"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tcMar>
              <w:top w:w="-113" w:type="dxa"/>
              <w:left w:w="-113" w:type="dxa"/>
              <w:bottom w:w="-113" w:type="dxa"/>
              <w:right w:w="-113" w:type="dxa"/>
            </w:tcMar>
          </w:tcPr>
          <w:p w14:paraId="045E640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708" w:type="dxa"/>
            <w:vMerge w:val="restart"/>
            <w:tcBorders>
              <w:top w:val="single" w:sz="4" w:space="0" w:color="D0CECE"/>
              <w:bottom w:val="single" w:sz="4" w:space="0" w:color="D0CECE"/>
            </w:tcBorders>
            <w:tcMar>
              <w:top w:w="-113" w:type="dxa"/>
              <w:left w:w="-113" w:type="dxa"/>
              <w:bottom w:w="-113" w:type="dxa"/>
              <w:right w:w="-113" w:type="dxa"/>
            </w:tcMar>
          </w:tcPr>
          <w:p w14:paraId="3430CE24" w14:textId="77777777" w:rsidR="00830D35" w:rsidRDefault="00830D35" w:rsidP="00830D35">
            <w:pPr>
              <w:rPr>
                <w:sz w:val="16"/>
                <w:szCs w:val="16"/>
              </w:rPr>
            </w:pPr>
            <w:r>
              <w:rPr>
                <w:color w:val="000000"/>
                <w:sz w:val="16"/>
                <w:szCs w:val="16"/>
              </w:rPr>
              <w:t>CVD</w:t>
            </w:r>
          </w:p>
          <w:p w14:paraId="4F61143E" w14:textId="77777777" w:rsidR="00830D35" w:rsidRDefault="00830D35" w:rsidP="00830D35">
            <w:pPr>
              <w:rPr>
                <w:sz w:val="16"/>
                <w:szCs w:val="16"/>
              </w:rPr>
            </w:pPr>
            <w:r>
              <w:rPr>
                <w:sz w:val="16"/>
                <w:szCs w:val="16"/>
              </w:rPr>
              <w:t>CIMT</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5A526E35" w14:textId="77777777" w:rsidR="00830D35" w:rsidRPr="00641BD3" w:rsidRDefault="00830D35" w:rsidP="00830D35">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275ABF5F" w14:textId="77777777" w:rsidR="00830D35" w:rsidRPr="00641BD3" w:rsidRDefault="00830D35" w:rsidP="00830D35">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p w14:paraId="5F6C6A5D" w14:textId="77777777" w:rsidR="00830D35" w:rsidRPr="00641BD3" w:rsidRDefault="00830D35" w:rsidP="00830D35">
            <w:pPr>
              <w:rPr>
                <w:sz w:val="16"/>
                <w:szCs w:val="16"/>
                <w:lang w:val="es-ES"/>
              </w:rPr>
            </w:pPr>
          </w:p>
        </w:tc>
      </w:tr>
      <w:tr w:rsidR="00830D35" w14:paraId="6EC94689"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CBA8C67" w14:textId="77777777" w:rsidR="00830D35" w:rsidRPr="00641BD3" w:rsidRDefault="00830D35" w:rsidP="00830D35">
            <w:pPr>
              <w:widowControl w:val="0"/>
              <w:pBdr>
                <w:top w:val="nil"/>
                <w:left w:val="nil"/>
                <w:bottom w:val="nil"/>
                <w:right w:val="nil"/>
                <w:between w:val="nil"/>
              </w:pBdr>
              <w:spacing w:line="276" w:lineRule="auto"/>
              <w:rPr>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BA941CF" w14:textId="77777777" w:rsidR="00830D35" w:rsidRPr="00641BD3" w:rsidRDefault="00830D35" w:rsidP="00830D35">
            <w:pPr>
              <w:widowControl w:val="0"/>
              <w:pBdr>
                <w:top w:val="nil"/>
                <w:left w:val="nil"/>
                <w:bottom w:val="nil"/>
                <w:right w:val="nil"/>
                <w:between w:val="nil"/>
              </w:pBdr>
              <w:spacing w:line="276" w:lineRule="auto"/>
              <w:rPr>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74E5560" w14:textId="77777777" w:rsidR="00830D35" w:rsidRDefault="00830D35" w:rsidP="00830D35">
            <w:pPr>
              <w:rPr>
                <w:color w:val="000000"/>
                <w:sz w:val="16"/>
                <w:szCs w:val="16"/>
              </w:rPr>
            </w:pPr>
            <w:r>
              <w:rPr>
                <w:color w:val="000000"/>
                <w:sz w:val="16"/>
                <w:szCs w:val="16"/>
              </w:rPr>
              <w:t>rs1800665</w:t>
            </w:r>
          </w:p>
        </w:tc>
        <w:tc>
          <w:tcPr>
            <w:tcW w:w="851" w:type="dxa"/>
            <w:tcBorders>
              <w:top w:val="single" w:sz="4" w:space="0" w:color="D0CECE"/>
              <w:bottom w:val="single" w:sz="4" w:space="0" w:color="D0CECE"/>
            </w:tcBorders>
            <w:tcMar>
              <w:top w:w="-113" w:type="dxa"/>
              <w:left w:w="-113" w:type="dxa"/>
              <w:bottom w:w="-113" w:type="dxa"/>
              <w:right w:w="-113" w:type="dxa"/>
            </w:tcMar>
          </w:tcPr>
          <w:p w14:paraId="232E200A" w14:textId="77777777" w:rsidR="00830D35" w:rsidRDefault="00830D35" w:rsidP="00830D35">
            <w:pPr>
              <w:rPr>
                <w:color w:val="000000"/>
                <w:sz w:val="16"/>
                <w:szCs w:val="16"/>
              </w:rPr>
            </w:pPr>
            <w:r>
              <w:rPr>
                <w:color w:val="000000"/>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3B8FE325"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1A09CF2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55D7E7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5881E472"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AA3F586"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F0EE3FB"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94CE6E8" w14:textId="77777777" w:rsidR="00830D35" w:rsidRDefault="00830D35" w:rsidP="00830D35">
            <w:pPr>
              <w:rPr>
                <w:color w:val="000000"/>
                <w:sz w:val="16"/>
                <w:szCs w:val="16"/>
              </w:rPr>
            </w:pPr>
            <w:r>
              <w:rPr>
                <w:color w:val="000000"/>
                <w:sz w:val="16"/>
                <w:szCs w:val="16"/>
              </w:rPr>
              <w:t>rs1800666</w:t>
            </w:r>
          </w:p>
        </w:tc>
        <w:tc>
          <w:tcPr>
            <w:tcW w:w="851" w:type="dxa"/>
            <w:tcBorders>
              <w:top w:val="single" w:sz="4" w:space="0" w:color="D0CECE"/>
              <w:bottom w:val="single" w:sz="4" w:space="0" w:color="D0CECE"/>
            </w:tcBorders>
            <w:tcMar>
              <w:top w:w="-113" w:type="dxa"/>
              <w:left w:w="-113" w:type="dxa"/>
              <w:bottom w:w="-113" w:type="dxa"/>
              <w:right w:w="-113" w:type="dxa"/>
            </w:tcMar>
          </w:tcPr>
          <w:p w14:paraId="56431A23" w14:textId="77777777" w:rsidR="00830D35" w:rsidRDefault="00830D35" w:rsidP="00830D35">
            <w:pPr>
              <w:rPr>
                <w:color w:val="000000"/>
                <w:sz w:val="16"/>
                <w:szCs w:val="16"/>
              </w:rPr>
            </w:pPr>
            <w:r>
              <w:rPr>
                <w:color w:val="000000"/>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674E91F8"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4C42CE74"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39F71F8B"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2DE29628"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A25D829"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8E26233"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FDE3F67" w14:textId="77777777" w:rsidR="00830D35" w:rsidRDefault="00830D35" w:rsidP="00830D35">
            <w:pPr>
              <w:rPr>
                <w:color w:val="000000"/>
                <w:sz w:val="16"/>
                <w:szCs w:val="16"/>
              </w:rPr>
            </w:pPr>
            <w:r>
              <w:rPr>
                <w:color w:val="000000"/>
                <w:sz w:val="16"/>
                <w:szCs w:val="16"/>
              </w:rPr>
              <w:t>rs2758331</w:t>
            </w:r>
          </w:p>
        </w:tc>
        <w:tc>
          <w:tcPr>
            <w:tcW w:w="851" w:type="dxa"/>
            <w:tcBorders>
              <w:top w:val="single" w:sz="4" w:space="0" w:color="D0CECE"/>
              <w:bottom w:val="single" w:sz="4" w:space="0" w:color="D0CECE"/>
            </w:tcBorders>
            <w:tcMar>
              <w:top w:w="-113" w:type="dxa"/>
              <w:left w:w="-113" w:type="dxa"/>
              <w:bottom w:w="-113" w:type="dxa"/>
              <w:right w:w="-113" w:type="dxa"/>
            </w:tcMar>
          </w:tcPr>
          <w:p w14:paraId="1C333C72" w14:textId="77777777" w:rsidR="00830D35" w:rsidRDefault="00830D35" w:rsidP="00830D35">
            <w:pPr>
              <w:rPr>
                <w:color w:val="000000"/>
                <w:sz w:val="16"/>
                <w:szCs w:val="16"/>
              </w:rPr>
            </w:pPr>
            <w:r>
              <w:rPr>
                <w:color w:val="000000"/>
                <w:sz w:val="16"/>
                <w:szCs w:val="16"/>
              </w:rPr>
              <w:t>C&gt;A</w:t>
            </w:r>
          </w:p>
        </w:tc>
        <w:tc>
          <w:tcPr>
            <w:tcW w:w="1701" w:type="dxa"/>
            <w:tcBorders>
              <w:top w:val="single" w:sz="4" w:space="0" w:color="D0CECE"/>
              <w:bottom w:val="single" w:sz="4" w:space="0" w:color="D0CECE"/>
            </w:tcBorders>
            <w:tcMar>
              <w:top w:w="-113" w:type="dxa"/>
              <w:left w:w="-113" w:type="dxa"/>
              <w:bottom w:w="-113" w:type="dxa"/>
              <w:right w:w="-113" w:type="dxa"/>
            </w:tcMar>
          </w:tcPr>
          <w:p w14:paraId="74A295B6"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1C565F14"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388A54C3"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4942E6A3"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8A743C9"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3E06C4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3A5EB95" w14:textId="77777777" w:rsidR="00830D35" w:rsidRDefault="00830D35" w:rsidP="00830D35">
            <w:pPr>
              <w:rPr>
                <w:color w:val="000000"/>
                <w:sz w:val="16"/>
                <w:szCs w:val="16"/>
              </w:rPr>
            </w:pPr>
            <w:r>
              <w:rPr>
                <w:color w:val="000000"/>
                <w:sz w:val="16"/>
                <w:szCs w:val="16"/>
              </w:rPr>
              <w:t>rs2758332</w:t>
            </w:r>
          </w:p>
        </w:tc>
        <w:tc>
          <w:tcPr>
            <w:tcW w:w="851" w:type="dxa"/>
            <w:tcBorders>
              <w:top w:val="single" w:sz="4" w:space="0" w:color="D0CECE"/>
              <w:bottom w:val="single" w:sz="4" w:space="0" w:color="D0CECE"/>
            </w:tcBorders>
            <w:tcMar>
              <w:top w:w="-113" w:type="dxa"/>
              <w:left w:w="-113" w:type="dxa"/>
              <w:bottom w:w="-113" w:type="dxa"/>
              <w:right w:w="-113" w:type="dxa"/>
            </w:tcMar>
          </w:tcPr>
          <w:p w14:paraId="0F4B713F" w14:textId="77777777" w:rsidR="00830D35" w:rsidRDefault="00830D35" w:rsidP="00830D35">
            <w:pPr>
              <w:rPr>
                <w:color w:val="000000"/>
                <w:sz w:val="16"/>
                <w:szCs w:val="16"/>
              </w:rPr>
            </w:pPr>
            <w:r>
              <w:rPr>
                <w:color w:val="000000"/>
                <w:sz w:val="16"/>
                <w:szCs w:val="16"/>
              </w:rPr>
              <w:t>C&gt;</w:t>
            </w:r>
            <w:proofErr w:type="gramStart"/>
            <w:r>
              <w:rPr>
                <w:color w:val="000000"/>
                <w:sz w:val="16"/>
                <w:szCs w:val="16"/>
              </w:rPr>
              <w:t>A,T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5C44479D"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427C480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34E4D16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3FA1A405"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696E33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597935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22FB5834" w14:textId="77777777" w:rsidR="00830D35" w:rsidRDefault="00830D35" w:rsidP="00830D35">
            <w:pPr>
              <w:rPr>
                <w:color w:val="000000"/>
                <w:sz w:val="16"/>
                <w:szCs w:val="16"/>
              </w:rPr>
            </w:pPr>
            <w:r>
              <w:rPr>
                <w:color w:val="000000"/>
                <w:sz w:val="16"/>
                <w:szCs w:val="16"/>
              </w:rPr>
              <w:t>rs2758334</w:t>
            </w:r>
          </w:p>
        </w:tc>
        <w:tc>
          <w:tcPr>
            <w:tcW w:w="851" w:type="dxa"/>
            <w:tcBorders>
              <w:top w:val="single" w:sz="4" w:space="0" w:color="D0CECE"/>
              <w:bottom w:val="single" w:sz="4" w:space="0" w:color="D0CECE"/>
            </w:tcBorders>
            <w:tcMar>
              <w:top w:w="-113" w:type="dxa"/>
              <w:left w:w="-113" w:type="dxa"/>
              <w:bottom w:w="-113" w:type="dxa"/>
              <w:right w:w="-113" w:type="dxa"/>
            </w:tcMar>
          </w:tcPr>
          <w:p w14:paraId="1F738B33" w14:textId="77777777" w:rsidR="00830D35" w:rsidRDefault="00830D35" w:rsidP="00830D35">
            <w:pPr>
              <w:rPr>
                <w:color w:val="000000"/>
                <w:sz w:val="16"/>
                <w:szCs w:val="16"/>
              </w:rPr>
            </w:pPr>
            <w:r>
              <w:rPr>
                <w:color w:val="000000"/>
                <w:sz w:val="16"/>
                <w:szCs w:val="16"/>
              </w:rPr>
              <w:t>T&gt;C</w:t>
            </w:r>
          </w:p>
        </w:tc>
        <w:tc>
          <w:tcPr>
            <w:tcW w:w="1701" w:type="dxa"/>
            <w:tcBorders>
              <w:top w:val="single" w:sz="4" w:space="0" w:color="D0CECE"/>
              <w:bottom w:val="single" w:sz="4" w:space="0" w:color="D0CECE"/>
            </w:tcBorders>
            <w:tcMar>
              <w:top w:w="-113" w:type="dxa"/>
              <w:left w:w="-113" w:type="dxa"/>
              <w:bottom w:w="-113" w:type="dxa"/>
              <w:right w:w="-113" w:type="dxa"/>
            </w:tcMar>
          </w:tcPr>
          <w:p w14:paraId="2EAFE1DE"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2C78E049"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344113C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4C9B3880"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71E3A05"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DA4A25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FF5ADBD" w14:textId="77777777" w:rsidR="00830D35" w:rsidRDefault="00830D35" w:rsidP="00830D35">
            <w:pPr>
              <w:rPr>
                <w:color w:val="000000"/>
                <w:sz w:val="16"/>
                <w:szCs w:val="16"/>
              </w:rPr>
            </w:pPr>
            <w:r>
              <w:rPr>
                <w:color w:val="000000"/>
                <w:sz w:val="16"/>
                <w:szCs w:val="16"/>
              </w:rPr>
              <w:t>rs2758340</w:t>
            </w:r>
          </w:p>
        </w:tc>
        <w:tc>
          <w:tcPr>
            <w:tcW w:w="851" w:type="dxa"/>
            <w:tcBorders>
              <w:top w:val="single" w:sz="4" w:space="0" w:color="D0CECE"/>
              <w:bottom w:val="single" w:sz="4" w:space="0" w:color="D0CECE"/>
            </w:tcBorders>
            <w:tcMar>
              <w:top w:w="-113" w:type="dxa"/>
              <w:left w:w="-113" w:type="dxa"/>
              <w:bottom w:w="-113" w:type="dxa"/>
              <w:right w:w="-113" w:type="dxa"/>
            </w:tcMar>
          </w:tcPr>
          <w:p w14:paraId="1F171157" w14:textId="77777777" w:rsidR="00830D35" w:rsidRDefault="00830D35" w:rsidP="00830D35">
            <w:pPr>
              <w:rPr>
                <w:color w:val="000000"/>
                <w:sz w:val="16"/>
                <w:szCs w:val="16"/>
              </w:rPr>
            </w:pPr>
            <w:r>
              <w:rPr>
                <w:color w:val="000000"/>
                <w:sz w:val="16"/>
                <w:szCs w:val="16"/>
              </w:rPr>
              <w:t>C&gt;</w:t>
            </w:r>
            <w:proofErr w:type="gramStart"/>
            <w:r>
              <w:rPr>
                <w:color w:val="000000"/>
                <w:sz w:val="16"/>
                <w:szCs w:val="16"/>
              </w:rPr>
              <w:t>A,T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5300FCBD"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67ECB919"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7F85D72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4086EC4F"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9D357CB"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BDC0A05"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37944A7" w14:textId="77777777" w:rsidR="00830D35" w:rsidRDefault="00830D35" w:rsidP="00830D35">
            <w:pPr>
              <w:rPr>
                <w:color w:val="000000"/>
                <w:sz w:val="16"/>
                <w:szCs w:val="16"/>
              </w:rPr>
            </w:pPr>
            <w:r>
              <w:rPr>
                <w:color w:val="000000"/>
                <w:sz w:val="16"/>
                <w:szCs w:val="16"/>
              </w:rPr>
              <w:t>rs2758345</w:t>
            </w:r>
          </w:p>
        </w:tc>
        <w:tc>
          <w:tcPr>
            <w:tcW w:w="851" w:type="dxa"/>
            <w:tcBorders>
              <w:top w:val="single" w:sz="4" w:space="0" w:color="D0CECE"/>
              <w:bottom w:val="single" w:sz="4" w:space="0" w:color="D0CECE"/>
            </w:tcBorders>
            <w:tcMar>
              <w:top w:w="-113" w:type="dxa"/>
              <w:left w:w="-113" w:type="dxa"/>
              <w:bottom w:w="-113" w:type="dxa"/>
              <w:right w:w="-113" w:type="dxa"/>
            </w:tcMar>
          </w:tcPr>
          <w:p w14:paraId="5E4B5E2F" w14:textId="77777777" w:rsidR="00830D35" w:rsidRDefault="00830D35" w:rsidP="00830D35">
            <w:pPr>
              <w:rPr>
                <w:color w:val="000000"/>
                <w:sz w:val="16"/>
                <w:szCs w:val="16"/>
              </w:rPr>
            </w:pPr>
            <w:r>
              <w:rPr>
                <w:color w:val="000000"/>
                <w:sz w:val="16"/>
                <w:szCs w:val="16"/>
              </w:rPr>
              <w:t>C&gt;G</w:t>
            </w:r>
          </w:p>
        </w:tc>
        <w:tc>
          <w:tcPr>
            <w:tcW w:w="1701" w:type="dxa"/>
            <w:tcBorders>
              <w:top w:val="single" w:sz="4" w:space="0" w:color="D0CECE"/>
              <w:bottom w:val="single" w:sz="4" w:space="0" w:color="D0CECE"/>
            </w:tcBorders>
            <w:tcMar>
              <w:top w:w="-113" w:type="dxa"/>
              <w:left w:w="-113" w:type="dxa"/>
              <w:bottom w:w="-113" w:type="dxa"/>
              <w:right w:w="-113" w:type="dxa"/>
            </w:tcMar>
          </w:tcPr>
          <w:p w14:paraId="0C690EAA"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35643E3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61B38F2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02655E68"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3246E3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7A3F8F5"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6892C0D1" w14:textId="77777777" w:rsidR="00830D35" w:rsidRDefault="00830D35" w:rsidP="00830D35">
            <w:pPr>
              <w:rPr>
                <w:color w:val="000000"/>
                <w:sz w:val="16"/>
                <w:szCs w:val="16"/>
              </w:rPr>
            </w:pPr>
            <w:r>
              <w:rPr>
                <w:color w:val="000000"/>
                <w:sz w:val="16"/>
                <w:szCs w:val="16"/>
              </w:rPr>
              <w:t>rs2842960</w:t>
            </w:r>
          </w:p>
        </w:tc>
        <w:tc>
          <w:tcPr>
            <w:tcW w:w="851" w:type="dxa"/>
            <w:tcBorders>
              <w:top w:val="single" w:sz="4" w:space="0" w:color="D0CECE"/>
              <w:bottom w:val="single" w:sz="4" w:space="0" w:color="D0CECE"/>
            </w:tcBorders>
            <w:tcMar>
              <w:top w:w="-113" w:type="dxa"/>
              <w:left w:w="-113" w:type="dxa"/>
              <w:bottom w:w="-113" w:type="dxa"/>
              <w:right w:w="-113" w:type="dxa"/>
            </w:tcMar>
          </w:tcPr>
          <w:p w14:paraId="60FC0ED4" w14:textId="77777777" w:rsidR="00830D35" w:rsidRDefault="00830D35" w:rsidP="00830D35">
            <w:pPr>
              <w:rPr>
                <w:color w:val="000000"/>
                <w:sz w:val="16"/>
                <w:szCs w:val="16"/>
              </w:rPr>
            </w:pPr>
            <w:r>
              <w:rPr>
                <w:color w:val="000000"/>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40D1D35A"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4CA5F29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15589553"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11A77E93" w14:textId="77777777" w:rsidTr="00923C73">
        <w:trPr>
          <w:trHeight w:val="61"/>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5E379AD"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2BF96A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B043780" w14:textId="77777777" w:rsidR="00830D35" w:rsidRDefault="00830D35" w:rsidP="00830D35">
            <w:pPr>
              <w:rPr>
                <w:color w:val="000000"/>
                <w:sz w:val="16"/>
                <w:szCs w:val="16"/>
              </w:rPr>
            </w:pPr>
            <w:r>
              <w:rPr>
                <w:color w:val="000000"/>
                <w:sz w:val="16"/>
                <w:szCs w:val="16"/>
              </w:rPr>
              <w:t>rs2855116</w:t>
            </w:r>
          </w:p>
        </w:tc>
        <w:tc>
          <w:tcPr>
            <w:tcW w:w="851" w:type="dxa"/>
            <w:tcBorders>
              <w:top w:val="single" w:sz="4" w:space="0" w:color="D0CECE"/>
              <w:bottom w:val="single" w:sz="4" w:space="0" w:color="D0CECE"/>
            </w:tcBorders>
            <w:tcMar>
              <w:top w:w="-113" w:type="dxa"/>
              <w:left w:w="-113" w:type="dxa"/>
              <w:bottom w:w="-113" w:type="dxa"/>
              <w:right w:w="-113" w:type="dxa"/>
            </w:tcMar>
          </w:tcPr>
          <w:p w14:paraId="3BD1CE62" w14:textId="77777777" w:rsidR="00830D35" w:rsidRDefault="00830D35" w:rsidP="00830D35">
            <w:pPr>
              <w:rPr>
                <w:color w:val="000000"/>
                <w:sz w:val="16"/>
                <w:szCs w:val="16"/>
              </w:rPr>
            </w:pPr>
            <w:r>
              <w:rPr>
                <w:color w:val="000000"/>
                <w:sz w:val="16"/>
                <w:szCs w:val="16"/>
              </w:rPr>
              <w:t>A&gt;C</w:t>
            </w:r>
          </w:p>
        </w:tc>
        <w:tc>
          <w:tcPr>
            <w:tcW w:w="1701" w:type="dxa"/>
            <w:tcBorders>
              <w:top w:val="single" w:sz="4" w:space="0" w:color="D0CECE"/>
              <w:bottom w:val="single" w:sz="4" w:space="0" w:color="D0CECE"/>
            </w:tcBorders>
            <w:tcMar>
              <w:top w:w="-113" w:type="dxa"/>
              <w:left w:w="-113" w:type="dxa"/>
              <w:bottom w:w="-113" w:type="dxa"/>
              <w:right w:w="-113" w:type="dxa"/>
            </w:tcMar>
          </w:tcPr>
          <w:p w14:paraId="7AE74EAE" w14:textId="77777777" w:rsidR="00830D35" w:rsidRDefault="00830D35" w:rsidP="00830D35">
            <w:pPr>
              <w:rPr>
                <w:color w:val="000000"/>
                <w:sz w:val="16"/>
                <w:szCs w:val="16"/>
              </w:rPr>
            </w:pPr>
            <w:r>
              <w:rPr>
                <w:sz w:val="16"/>
                <w:szCs w:val="16"/>
              </w:rPr>
              <w:t>Intron variant</w:t>
            </w:r>
          </w:p>
        </w:tc>
        <w:tc>
          <w:tcPr>
            <w:tcW w:w="708" w:type="dxa"/>
            <w:tcBorders>
              <w:top w:val="single" w:sz="4" w:space="0" w:color="D0CECE"/>
              <w:bottom w:val="single" w:sz="4" w:space="0" w:color="D0CECE"/>
            </w:tcBorders>
            <w:tcMar>
              <w:top w:w="-113" w:type="dxa"/>
              <w:left w:w="-113" w:type="dxa"/>
              <w:bottom w:w="-113" w:type="dxa"/>
              <w:right w:w="-113" w:type="dxa"/>
            </w:tcMar>
          </w:tcPr>
          <w:p w14:paraId="16C274A8" w14:textId="77777777" w:rsidR="00830D35" w:rsidRDefault="00830D35" w:rsidP="00830D35">
            <w:pPr>
              <w:rPr>
                <w:color w:val="000000"/>
                <w:sz w:val="16"/>
                <w:szCs w:val="16"/>
              </w:rPr>
            </w:pPr>
            <w:r>
              <w:rPr>
                <w:color w:val="000000"/>
                <w:sz w:val="16"/>
                <w:szCs w:val="16"/>
              </w:rPr>
              <w:t>T2DM</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3D0205DB" w14:textId="77777777" w:rsidR="00830D35" w:rsidRDefault="00830D35" w:rsidP="00830D35">
            <w:pPr>
              <w:rPr>
                <w:color w:val="000000"/>
                <w:sz w:val="16"/>
                <w:szCs w:val="16"/>
              </w:rPr>
            </w:pPr>
            <w:r>
              <w:rPr>
                <w:sz w:val="16"/>
                <w:szCs w:val="16"/>
              </w:rPr>
              <w:t>Grau-Perez et al. 2018</w:t>
            </w:r>
          </w:p>
        </w:tc>
      </w:tr>
      <w:tr w:rsidR="00830D35" w:rsidRPr="0030321B" w14:paraId="536C0F38" w14:textId="77777777" w:rsidTr="00923C73">
        <w:trPr>
          <w:trHeight w:val="61"/>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1AF82F9"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54085CA"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7596F79" w14:textId="77777777" w:rsidR="00830D35" w:rsidRDefault="00830D35" w:rsidP="00830D35">
            <w:pPr>
              <w:rPr>
                <w:color w:val="000000"/>
                <w:sz w:val="16"/>
                <w:szCs w:val="16"/>
              </w:rPr>
            </w:pPr>
            <w:r>
              <w:rPr>
                <w:color w:val="000000"/>
                <w:sz w:val="16"/>
                <w:szCs w:val="16"/>
              </w:rPr>
              <w:t>rs3798215</w:t>
            </w:r>
          </w:p>
        </w:tc>
        <w:tc>
          <w:tcPr>
            <w:tcW w:w="851" w:type="dxa"/>
            <w:tcBorders>
              <w:top w:val="single" w:sz="4" w:space="0" w:color="D0CECE"/>
              <w:bottom w:val="single" w:sz="4" w:space="0" w:color="D0CECE"/>
            </w:tcBorders>
            <w:tcMar>
              <w:top w:w="-113" w:type="dxa"/>
              <w:left w:w="-113" w:type="dxa"/>
              <w:bottom w:w="-113" w:type="dxa"/>
              <w:right w:w="-113" w:type="dxa"/>
            </w:tcMar>
          </w:tcPr>
          <w:p w14:paraId="7D164DAB" w14:textId="77777777" w:rsidR="00830D35" w:rsidRDefault="00830D35" w:rsidP="00830D35">
            <w:pPr>
              <w:rPr>
                <w:color w:val="000000"/>
                <w:sz w:val="16"/>
                <w:szCs w:val="16"/>
              </w:rPr>
            </w:pPr>
            <w:r>
              <w:rPr>
                <w:color w:val="000000"/>
                <w:sz w:val="16"/>
                <w:szCs w:val="16"/>
              </w:rPr>
              <w:t>T&gt;</w:t>
            </w:r>
            <w:proofErr w:type="gramStart"/>
            <w:r>
              <w:rPr>
                <w:color w:val="000000"/>
                <w:sz w:val="16"/>
                <w:szCs w:val="16"/>
              </w:rPr>
              <w:t>C,G</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5BAE9BB8" w14:textId="77777777" w:rsidR="00830D35" w:rsidRDefault="00830D35" w:rsidP="00830D35">
            <w:pPr>
              <w:rPr>
                <w:color w:val="000000"/>
                <w:sz w:val="16"/>
                <w:szCs w:val="16"/>
              </w:rPr>
            </w:pPr>
            <w:r>
              <w:rPr>
                <w:sz w:val="16"/>
                <w:szCs w:val="16"/>
              </w:rPr>
              <w:t>Intron variant</w:t>
            </w:r>
          </w:p>
        </w:tc>
        <w:tc>
          <w:tcPr>
            <w:tcW w:w="708" w:type="dxa"/>
            <w:tcBorders>
              <w:top w:val="single" w:sz="4" w:space="0" w:color="D0CECE"/>
              <w:bottom w:val="single" w:sz="4" w:space="0" w:color="D0CECE"/>
            </w:tcBorders>
            <w:tcMar>
              <w:top w:w="-113" w:type="dxa"/>
              <w:left w:w="-113" w:type="dxa"/>
              <w:bottom w:w="-113" w:type="dxa"/>
              <w:right w:w="-113" w:type="dxa"/>
            </w:tcMar>
          </w:tcPr>
          <w:p w14:paraId="5498D2C2" w14:textId="77777777" w:rsidR="00830D35" w:rsidRDefault="00830D35" w:rsidP="00830D35">
            <w:pPr>
              <w:rPr>
                <w:color w:val="000000"/>
                <w:sz w:val="16"/>
                <w:szCs w:val="16"/>
              </w:rPr>
            </w:pPr>
            <w:r>
              <w:rPr>
                <w:color w:val="000000"/>
                <w:sz w:val="16"/>
                <w:szCs w:val="16"/>
              </w:rPr>
              <w:t>CVD</w:t>
            </w:r>
          </w:p>
          <w:p w14:paraId="05DA526B" w14:textId="77777777" w:rsidR="00830D35" w:rsidRDefault="00830D35" w:rsidP="00830D35">
            <w:pPr>
              <w:rPr>
                <w:sz w:val="16"/>
                <w:szCs w:val="16"/>
              </w:rPr>
            </w:pPr>
            <w:r>
              <w:rPr>
                <w:sz w:val="16"/>
                <w:szCs w:val="16"/>
              </w:rPr>
              <w:t>CIMT</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2398829A" w14:textId="77777777" w:rsidR="00830D35" w:rsidRPr="00641BD3" w:rsidRDefault="00830D35" w:rsidP="00830D35">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2CD71C79" w14:textId="77777777" w:rsidR="00830D35" w:rsidRPr="00641BD3" w:rsidRDefault="00830D35" w:rsidP="00830D35">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tc>
      </w:tr>
      <w:tr w:rsidR="00830D35" w14:paraId="62E6AD91"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390B933" w14:textId="77777777" w:rsidR="00830D35" w:rsidRPr="00641BD3" w:rsidRDefault="00830D35" w:rsidP="00830D35">
            <w:pPr>
              <w:widowControl w:val="0"/>
              <w:pBdr>
                <w:top w:val="nil"/>
                <w:left w:val="nil"/>
                <w:bottom w:val="nil"/>
                <w:right w:val="nil"/>
                <w:between w:val="nil"/>
              </w:pBdr>
              <w:spacing w:line="276" w:lineRule="auto"/>
              <w:rPr>
                <w:color w:val="000000"/>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21DBBE9" w14:textId="77777777" w:rsidR="00830D35" w:rsidRPr="00641BD3" w:rsidRDefault="00830D35" w:rsidP="00830D35">
            <w:pPr>
              <w:widowControl w:val="0"/>
              <w:pBdr>
                <w:top w:val="nil"/>
                <w:left w:val="nil"/>
                <w:bottom w:val="nil"/>
                <w:right w:val="nil"/>
                <w:between w:val="nil"/>
              </w:pBdr>
              <w:spacing w:line="276" w:lineRule="auto"/>
              <w:rPr>
                <w:color w:val="000000"/>
                <w:sz w:val="16"/>
                <w:szCs w:val="16"/>
                <w:lang w:val="es-ES"/>
              </w:rPr>
            </w:pPr>
          </w:p>
        </w:tc>
        <w:tc>
          <w:tcPr>
            <w:tcW w:w="992" w:type="dxa"/>
            <w:vMerge w:val="restart"/>
            <w:tcBorders>
              <w:top w:val="single" w:sz="4" w:space="0" w:color="D0CECE"/>
              <w:left w:val="nil"/>
              <w:bottom w:val="single" w:sz="4" w:space="0" w:color="D0CECE"/>
            </w:tcBorders>
            <w:tcMar>
              <w:top w:w="-113" w:type="dxa"/>
              <w:left w:w="-113" w:type="dxa"/>
              <w:bottom w:w="-113" w:type="dxa"/>
              <w:right w:w="-113" w:type="dxa"/>
            </w:tcMar>
          </w:tcPr>
          <w:p w14:paraId="19BEA028" w14:textId="77777777" w:rsidR="00830D35" w:rsidRDefault="00830D35" w:rsidP="00830D35">
            <w:pPr>
              <w:rPr>
                <w:sz w:val="16"/>
                <w:szCs w:val="16"/>
              </w:rPr>
            </w:pPr>
            <w:r>
              <w:rPr>
                <w:color w:val="000000"/>
                <w:sz w:val="16"/>
                <w:szCs w:val="16"/>
              </w:rPr>
              <w:t xml:space="preserve">rs4880 </w:t>
            </w:r>
          </w:p>
          <w:p w14:paraId="4112CF16" w14:textId="77777777" w:rsidR="00830D35" w:rsidRDefault="00830D35" w:rsidP="00830D35">
            <w:pPr>
              <w:rPr>
                <w:sz w:val="16"/>
                <w:szCs w:val="16"/>
              </w:rPr>
            </w:pPr>
          </w:p>
        </w:tc>
        <w:tc>
          <w:tcPr>
            <w:tcW w:w="851" w:type="dxa"/>
            <w:vMerge w:val="restart"/>
            <w:tcBorders>
              <w:top w:val="single" w:sz="4" w:space="0" w:color="D0CECE"/>
              <w:bottom w:val="single" w:sz="4" w:space="0" w:color="D0CECE"/>
            </w:tcBorders>
            <w:tcMar>
              <w:top w:w="-113" w:type="dxa"/>
              <w:left w:w="-113" w:type="dxa"/>
              <w:bottom w:w="-113" w:type="dxa"/>
              <w:right w:w="-113" w:type="dxa"/>
            </w:tcMar>
          </w:tcPr>
          <w:p w14:paraId="099F4D72" w14:textId="77777777" w:rsidR="00830D35" w:rsidRDefault="00830D35" w:rsidP="00830D35">
            <w:pPr>
              <w:rPr>
                <w:sz w:val="16"/>
                <w:szCs w:val="16"/>
              </w:rPr>
            </w:pPr>
            <w:r>
              <w:rPr>
                <w:sz w:val="16"/>
                <w:szCs w:val="16"/>
              </w:rPr>
              <w:t>A&gt;G</w:t>
            </w:r>
          </w:p>
          <w:p w14:paraId="3F6AC8B5" w14:textId="77777777" w:rsidR="00830D35" w:rsidRDefault="00830D35" w:rsidP="00830D35">
            <w:pPr>
              <w:rPr>
                <w:sz w:val="16"/>
                <w:szCs w:val="16"/>
              </w:rPr>
            </w:pPr>
          </w:p>
        </w:tc>
        <w:tc>
          <w:tcPr>
            <w:tcW w:w="1701" w:type="dxa"/>
            <w:vMerge w:val="restart"/>
            <w:tcBorders>
              <w:top w:val="single" w:sz="4" w:space="0" w:color="D0CECE"/>
              <w:bottom w:val="single" w:sz="4" w:space="0" w:color="D0CECE"/>
            </w:tcBorders>
            <w:tcMar>
              <w:top w:w="-113" w:type="dxa"/>
              <w:left w:w="-113" w:type="dxa"/>
              <w:bottom w:w="-113" w:type="dxa"/>
              <w:right w:w="-113" w:type="dxa"/>
            </w:tcMar>
          </w:tcPr>
          <w:p w14:paraId="7EA2ADBA" w14:textId="77777777" w:rsidR="00830D35" w:rsidRDefault="00830D35" w:rsidP="00830D35">
            <w:pPr>
              <w:rPr>
                <w:sz w:val="16"/>
                <w:szCs w:val="16"/>
              </w:rPr>
            </w:pPr>
            <w:r>
              <w:rPr>
                <w:color w:val="000000"/>
                <w:sz w:val="16"/>
                <w:szCs w:val="16"/>
              </w:rPr>
              <w:t>Missense variant</w:t>
            </w:r>
          </w:p>
        </w:tc>
        <w:tc>
          <w:tcPr>
            <w:tcW w:w="708" w:type="dxa"/>
            <w:vMerge w:val="restart"/>
            <w:tcBorders>
              <w:top w:val="single" w:sz="4" w:space="0" w:color="D0CECE"/>
              <w:bottom w:val="single" w:sz="4" w:space="0" w:color="D0CECE"/>
            </w:tcBorders>
            <w:tcMar>
              <w:top w:w="-113" w:type="dxa"/>
              <w:left w:w="-113" w:type="dxa"/>
              <w:bottom w:w="-113" w:type="dxa"/>
              <w:right w:w="-113" w:type="dxa"/>
            </w:tcMar>
          </w:tcPr>
          <w:p w14:paraId="41EFC0F1" w14:textId="77777777" w:rsidR="00830D35" w:rsidRDefault="00830D35" w:rsidP="00830D35">
            <w:pPr>
              <w:rPr>
                <w:sz w:val="16"/>
                <w:szCs w:val="16"/>
              </w:rPr>
            </w:pPr>
            <w:r>
              <w:rPr>
                <w:color w:val="000000"/>
                <w:sz w:val="16"/>
                <w:szCs w:val="16"/>
              </w:rPr>
              <w:t>HTN</w:t>
            </w:r>
          </w:p>
          <w:p w14:paraId="25C9A782" w14:textId="77777777" w:rsidR="00830D35" w:rsidRDefault="00830D35" w:rsidP="00830D35">
            <w:pPr>
              <w:rPr>
                <w:sz w:val="16"/>
                <w:szCs w:val="16"/>
              </w:rPr>
            </w:pP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442BE46B" w14:textId="77777777" w:rsidR="00830D35" w:rsidRDefault="00830D35" w:rsidP="00830D35">
            <w:pPr>
              <w:rPr>
                <w:color w:val="000000"/>
                <w:sz w:val="16"/>
                <w:szCs w:val="16"/>
              </w:rPr>
            </w:pPr>
            <w:r>
              <w:rPr>
                <w:color w:val="000000"/>
                <w:sz w:val="16"/>
                <w:szCs w:val="16"/>
              </w:rPr>
              <w:t xml:space="preserve">Chen </w:t>
            </w:r>
            <w:r>
              <w:rPr>
                <w:i/>
                <w:color w:val="000000"/>
                <w:sz w:val="16"/>
                <w:szCs w:val="16"/>
              </w:rPr>
              <w:t>et al.</w:t>
            </w:r>
            <w:r>
              <w:rPr>
                <w:color w:val="000000"/>
                <w:sz w:val="16"/>
                <w:szCs w:val="16"/>
              </w:rPr>
              <w:t xml:space="preserve"> 2011</w:t>
            </w:r>
          </w:p>
        </w:tc>
      </w:tr>
      <w:tr w:rsidR="00830D35" w14:paraId="3E4DB98D"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69D859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419E91D"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tcMar>
              <w:top w:w="-113" w:type="dxa"/>
              <w:left w:w="-113" w:type="dxa"/>
              <w:bottom w:w="-113" w:type="dxa"/>
              <w:right w:w="-113" w:type="dxa"/>
            </w:tcMar>
          </w:tcPr>
          <w:p w14:paraId="1110C46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tcMar>
              <w:top w:w="-113" w:type="dxa"/>
              <w:left w:w="-113" w:type="dxa"/>
              <w:bottom w:w="-113" w:type="dxa"/>
              <w:right w:w="-113" w:type="dxa"/>
            </w:tcMar>
          </w:tcPr>
          <w:p w14:paraId="4B4C1044"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tcMar>
              <w:top w:w="-113" w:type="dxa"/>
              <w:left w:w="-113" w:type="dxa"/>
              <w:bottom w:w="-113" w:type="dxa"/>
              <w:right w:w="-113" w:type="dxa"/>
            </w:tcMar>
          </w:tcPr>
          <w:p w14:paraId="4018E0E9"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708" w:type="dxa"/>
            <w:vMerge/>
            <w:tcBorders>
              <w:top w:val="single" w:sz="4" w:space="0" w:color="D0CECE"/>
              <w:bottom w:val="single" w:sz="4" w:space="0" w:color="D0CECE"/>
            </w:tcBorders>
            <w:tcMar>
              <w:top w:w="-113" w:type="dxa"/>
              <w:left w:w="-113" w:type="dxa"/>
              <w:bottom w:w="-113" w:type="dxa"/>
              <w:right w:w="-113" w:type="dxa"/>
            </w:tcMar>
          </w:tcPr>
          <w:p w14:paraId="15792D2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64C6EBB7" w14:textId="77777777" w:rsidR="00830D35" w:rsidRDefault="00830D35" w:rsidP="00830D35">
            <w:pPr>
              <w:rPr>
                <w:color w:val="000000"/>
                <w:sz w:val="16"/>
                <w:szCs w:val="16"/>
              </w:rPr>
            </w:pPr>
            <w:r>
              <w:rPr>
                <w:sz w:val="16"/>
                <w:szCs w:val="16"/>
              </w:rPr>
              <w:t xml:space="preserve">Hsueh </w:t>
            </w:r>
            <w:r>
              <w:rPr>
                <w:i/>
                <w:sz w:val="16"/>
                <w:szCs w:val="16"/>
              </w:rPr>
              <w:t>et al.</w:t>
            </w:r>
            <w:r>
              <w:rPr>
                <w:sz w:val="16"/>
                <w:szCs w:val="16"/>
              </w:rPr>
              <w:t xml:space="preserve"> 2005</w:t>
            </w:r>
          </w:p>
        </w:tc>
      </w:tr>
      <w:tr w:rsidR="00830D35" w14:paraId="39D94A69"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6D4298B"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44A92B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tcMar>
              <w:top w:w="-113" w:type="dxa"/>
              <w:left w:w="-113" w:type="dxa"/>
              <w:bottom w:w="-113" w:type="dxa"/>
              <w:right w:w="-113" w:type="dxa"/>
            </w:tcMar>
          </w:tcPr>
          <w:p w14:paraId="4BEC1CF3"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tcMar>
              <w:top w:w="-113" w:type="dxa"/>
              <w:left w:w="-113" w:type="dxa"/>
              <w:bottom w:w="-113" w:type="dxa"/>
              <w:right w:w="-113" w:type="dxa"/>
            </w:tcMar>
          </w:tcPr>
          <w:p w14:paraId="3C1F6A46"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tcMar>
              <w:top w:w="-113" w:type="dxa"/>
              <w:left w:w="-113" w:type="dxa"/>
              <w:bottom w:w="-113" w:type="dxa"/>
              <w:right w:w="-113" w:type="dxa"/>
            </w:tcMar>
          </w:tcPr>
          <w:p w14:paraId="1C3CCAA9"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708" w:type="dxa"/>
            <w:tcBorders>
              <w:top w:val="single" w:sz="4" w:space="0" w:color="D0CECE"/>
              <w:bottom w:val="single" w:sz="4" w:space="0" w:color="D0CECE"/>
            </w:tcBorders>
            <w:tcMar>
              <w:top w:w="-113" w:type="dxa"/>
              <w:left w:w="-113" w:type="dxa"/>
              <w:bottom w:w="-113" w:type="dxa"/>
              <w:right w:w="-113" w:type="dxa"/>
            </w:tcMar>
          </w:tcPr>
          <w:p w14:paraId="633776F4" w14:textId="77777777" w:rsidR="00830D35" w:rsidRDefault="00830D35" w:rsidP="00830D35">
            <w:pPr>
              <w:rPr>
                <w:color w:val="000000"/>
                <w:sz w:val="16"/>
                <w:szCs w:val="16"/>
              </w:rPr>
            </w:pPr>
            <w:r>
              <w:rPr>
                <w:color w:val="000000"/>
                <w:sz w:val="16"/>
                <w:szCs w:val="16"/>
              </w:rPr>
              <w:t>T2DM</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61DB6C5E" w14:textId="77777777" w:rsidR="00830D35" w:rsidRDefault="00830D35" w:rsidP="00830D35">
            <w:pPr>
              <w:rPr>
                <w:color w:val="000000"/>
                <w:sz w:val="16"/>
                <w:szCs w:val="16"/>
              </w:rPr>
            </w:pPr>
            <w:r>
              <w:rPr>
                <w:sz w:val="16"/>
                <w:szCs w:val="16"/>
              </w:rPr>
              <w:t>Grau-Perez et al. 2018</w:t>
            </w:r>
          </w:p>
        </w:tc>
      </w:tr>
      <w:tr w:rsidR="00830D35" w:rsidRPr="0030321B" w14:paraId="562B9FDD"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0086613"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D40CF2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7A56F1DD" w14:textId="77777777" w:rsidR="00830D35" w:rsidRDefault="00830D35" w:rsidP="00830D35">
            <w:pPr>
              <w:rPr>
                <w:color w:val="000000"/>
                <w:sz w:val="16"/>
                <w:szCs w:val="16"/>
              </w:rPr>
            </w:pPr>
            <w:r>
              <w:rPr>
                <w:color w:val="000000"/>
                <w:sz w:val="16"/>
                <w:szCs w:val="16"/>
              </w:rPr>
              <w:t>rs5746088</w:t>
            </w:r>
          </w:p>
        </w:tc>
        <w:tc>
          <w:tcPr>
            <w:tcW w:w="851" w:type="dxa"/>
            <w:tcBorders>
              <w:top w:val="single" w:sz="4" w:space="0" w:color="D0CECE"/>
              <w:bottom w:val="single" w:sz="4" w:space="0" w:color="D0CECE"/>
            </w:tcBorders>
            <w:tcMar>
              <w:top w:w="-113" w:type="dxa"/>
              <w:left w:w="-113" w:type="dxa"/>
              <w:bottom w:w="-113" w:type="dxa"/>
              <w:right w:w="-113" w:type="dxa"/>
            </w:tcMar>
          </w:tcPr>
          <w:p w14:paraId="7489930F" w14:textId="77777777" w:rsidR="00830D35" w:rsidRDefault="00830D35" w:rsidP="00830D35">
            <w:pPr>
              <w:rPr>
                <w:color w:val="000000"/>
                <w:sz w:val="16"/>
                <w:szCs w:val="16"/>
              </w:rPr>
            </w:pPr>
            <w:r>
              <w:rPr>
                <w:color w:val="000000"/>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5CDB9651" w14:textId="77777777" w:rsidR="00830D35" w:rsidRDefault="00830D35" w:rsidP="00830D35">
            <w:pPr>
              <w:rPr>
                <w:color w:val="000000"/>
                <w:sz w:val="16"/>
                <w:szCs w:val="16"/>
              </w:rPr>
            </w:pPr>
            <w:r>
              <w:rPr>
                <w:sz w:val="16"/>
                <w:szCs w:val="16"/>
              </w:rPr>
              <w:t>Intron variant</w:t>
            </w:r>
          </w:p>
        </w:tc>
        <w:tc>
          <w:tcPr>
            <w:tcW w:w="708" w:type="dxa"/>
            <w:vMerge w:val="restart"/>
            <w:tcBorders>
              <w:top w:val="single" w:sz="4" w:space="0" w:color="D0CECE"/>
              <w:bottom w:val="single" w:sz="4" w:space="0" w:color="D0CECE"/>
            </w:tcBorders>
            <w:tcMar>
              <w:top w:w="-113" w:type="dxa"/>
              <w:left w:w="-113" w:type="dxa"/>
              <w:bottom w:w="-113" w:type="dxa"/>
              <w:right w:w="-113" w:type="dxa"/>
            </w:tcMar>
          </w:tcPr>
          <w:p w14:paraId="6F22829B" w14:textId="77777777" w:rsidR="00830D35" w:rsidRDefault="00830D35" w:rsidP="00830D35">
            <w:pPr>
              <w:rPr>
                <w:sz w:val="16"/>
                <w:szCs w:val="16"/>
              </w:rPr>
            </w:pPr>
            <w:r>
              <w:rPr>
                <w:color w:val="000000"/>
                <w:sz w:val="16"/>
                <w:szCs w:val="16"/>
              </w:rPr>
              <w:t>CVD</w:t>
            </w:r>
          </w:p>
          <w:p w14:paraId="19F964B4" w14:textId="77777777" w:rsidR="00830D35" w:rsidRDefault="00830D35" w:rsidP="00830D35">
            <w:pPr>
              <w:rPr>
                <w:sz w:val="16"/>
                <w:szCs w:val="16"/>
              </w:rPr>
            </w:pPr>
            <w:r>
              <w:rPr>
                <w:sz w:val="16"/>
                <w:szCs w:val="16"/>
              </w:rPr>
              <w:t>CIMT</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F99128D" w14:textId="77777777" w:rsidR="00830D35" w:rsidRPr="00641BD3" w:rsidRDefault="00830D35" w:rsidP="00830D35">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7E6977CC" w14:textId="77777777" w:rsidR="00830D35" w:rsidRPr="00641BD3" w:rsidRDefault="00830D35" w:rsidP="00830D35">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p w14:paraId="2F25BF60" w14:textId="77777777" w:rsidR="00830D35" w:rsidRPr="00641BD3" w:rsidRDefault="00830D35" w:rsidP="00830D35">
            <w:pPr>
              <w:rPr>
                <w:sz w:val="16"/>
                <w:szCs w:val="16"/>
                <w:lang w:val="es-ES"/>
              </w:rPr>
            </w:pPr>
          </w:p>
        </w:tc>
      </w:tr>
      <w:tr w:rsidR="00830D35" w14:paraId="4E956A1C"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2A0C0E4" w14:textId="77777777" w:rsidR="00830D35" w:rsidRPr="00641BD3" w:rsidRDefault="00830D35" w:rsidP="00830D35">
            <w:pPr>
              <w:widowControl w:val="0"/>
              <w:pBdr>
                <w:top w:val="nil"/>
                <w:left w:val="nil"/>
                <w:bottom w:val="nil"/>
                <w:right w:val="nil"/>
                <w:between w:val="nil"/>
              </w:pBdr>
              <w:spacing w:line="276" w:lineRule="auto"/>
              <w:rPr>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C14E257" w14:textId="77777777" w:rsidR="00830D35" w:rsidRPr="00641BD3" w:rsidRDefault="00830D35" w:rsidP="00830D35">
            <w:pPr>
              <w:widowControl w:val="0"/>
              <w:pBdr>
                <w:top w:val="nil"/>
                <w:left w:val="nil"/>
                <w:bottom w:val="nil"/>
                <w:right w:val="nil"/>
                <w:between w:val="nil"/>
              </w:pBdr>
              <w:spacing w:line="276" w:lineRule="auto"/>
              <w:rPr>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583BF294" w14:textId="77777777" w:rsidR="00830D35" w:rsidRDefault="00830D35" w:rsidP="00830D35">
            <w:pPr>
              <w:rPr>
                <w:color w:val="000000"/>
                <w:sz w:val="16"/>
                <w:szCs w:val="16"/>
              </w:rPr>
            </w:pPr>
            <w:r>
              <w:rPr>
                <w:color w:val="000000"/>
                <w:sz w:val="16"/>
                <w:szCs w:val="16"/>
              </w:rPr>
              <w:t>rs5746099</w:t>
            </w:r>
          </w:p>
        </w:tc>
        <w:tc>
          <w:tcPr>
            <w:tcW w:w="851" w:type="dxa"/>
            <w:tcBorders>
              <w:top w:val="single" w:sz="4" w:space="0" w:color="D0CECE"/>
              <w:bottom w:val="single" w:sz="4" w:space="0" w:color="D0CECE"/>
            </w:tcBorders>
            <w:tcMar>
              <w:top w:w="-113" w:type="dxa"/>
              <w:left w:w="-113" w:type="dxa"/>
              <w:bottom w:w="-113" w:type="dxa"/>
              <w:right w:w="-113" w:type="dxa"/>
            </w:tcMar>
          </w:tcPr>
          <w:p w14:paraId="0ED602D7" w14:textId="77777777" w:rsidR="00830D35" w:rsidRDefault="00830D35" w:rsidP="00830D35">
            <w:pPr>
              <w:rPr>
                <w:color w:val="000000"/>
                <w:sz w:val="16"/>
                <w:szCs w:val="16"/>
              </w:rPr>
            </w:pPr>
            <w:r>
              <w:rPr>
                <w:color w:val="000000"/>
                <w:sz w:val="16"/>
                <w:szCs w:val="16"/>
              </w:rPr>
              <w:t>T&gt;</w:t>
            </w:r>
            <w:proofErr w:type="gramStart"/>
            <w:r>
              <w:rPr>
                <w:color w:val="000000"/>
                <w:sz w:val="16"/>
                <w:szCs w:val="16"/>
              </w:rPr>
              <w:t>C,G</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4337BB3C" w14:textId="77777777" w:rsidR="00830D35" w:rsidRDefault="00830D35" w:rsidP="00830D35">
            <w:pPr>
              <w:rPr>
                <w:color w:val="000000"/>
                <w:sz w:val="16"/>
                <w:szCs w:val="16"/>
              </w:rPr>
            </w:pPr>
            <w:r>
              <w:rPr>
                <w:color w:val="000000"/>
                <w:sz w:val="16"/>
                <w:szCs w:val="16"/>
              </w:rPr>
              <w:t>Missense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4C16D16D"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226D1A44"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33318D94"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51491FB"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13133E9"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27A13070" w14:textId="77777777" w:rsidR="00830D35" w:rsidRDefault="00830D35" w:rsidP="00830D35">
            <w:pPr>
              <w:rPr>
                <w:color w:val="000000"/>
                <w:sz w:val="16"/>
                <w:szCs w:val="16"/>
              </w:rPr>
            </w:pPr>
            <w:r>
              <w:rPr>
                <w:color w:val="000000"/>
                <w:sz w:val="16"/>
                <w:szCs w:val="16"/>
              </w:rPr>
              <w:t>rs5746104</w:t>
            </w:r>
          </w:p>
        </w:tc>
        <w:tc>
          <w:tcPr>
            <w:tcW w:w="851" w:type="dxa"/>
            <w:tcBorders>
              <w:top w:val="single" w:sz="4" w:space="0" w:color="D0CECE"/>
              <w:bottom w:val="single" w:sz="4" w:space="0" w:color="D0CECE"/>
            </w:tcBorders>
            <w:tcMar>
              <w:top w:w="-113" w:type="dxa"/>
              <w:left w:w="-113" w:type="dxa"/>
              <w:bottom w:w="-113" w:type="dxa"/>
              <w:right w:w="-113" w:type="dxa"/>
            </w:tcMar>
          </w:tcPr>
          <w:p w14:paraId="6DCBF467" w14:textId="77777777" w:rsidR="00830D35" w:rsidRDefault="00830D35" w:rsidP="00830D35">
            <w:pPr>
              <w:rPr>
                <w:color w:val="000000"/>
                <w:sz w:val="16"/>
                <w:szCs w:val="16"/>
              </w:rPr>
            </w:pPr>
            <w:r>
              <w:rPr>
                <w:color w:val="000000"/>
                <w:sz w:val="16"/>
                <w:szCs w:val="16"/>
              </w:rPr>
              <w:t>G&gt;</w:t>
            </w:r>
            <w:proofErr w:type="gramStart"/>
            <w:r>
              <w:rPr>
                <w:color w:val="000000"/>
                <w:sz w:val="16"/>
                <w:szCs w:val="16"/>
              </w:rPr>
              <w:t>C,T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446C0AB4"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7FE37BD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55121EB9"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7AE3F993"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F112F99"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15BC95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5947D064" w14:textId="77777777" w:rsidR="00830D35" w:rsidRDefault="00830D35" w:rsidP="00830D35">
            <w:pPr>
              <w:rPr>
                <w:color w:val="000000"/>
                <w:sz w:val="16"/>
                <w:szCs w:val="16"/>
              </w:rPr>
            </w:pPr>
            <w:r>
              <w:rPr>
                <w:color w:val="000000"/>
                <w:sz w:val="16"/>
                <w:szCs w:val="16"/>
              </w:rPr>
              <w:t>rs5746105</w:t>
            </w:r>
          </w:p>
        </w:tc>
        <w:tc>
          <w:tcPr>
            <w:tcW w:w="851" w:type="dxa"/>
            <w:tcBorders>
              <w:top w:val="single" w:sz="4" w:space="0" w:color="D0CECE"/>
              <w:bottom w:val="single" w:sz="4" w:space="0" w:color="D0CECE"/>
            </w:tcBorders>
            <w:tcMar>
              <w:top w:w="-113" w:type="dxa"/>
              <w:left w:w="-113" w:type="dxa"/>
              <w:bottom w:w="-113" w:type="dxa"/>
              <w:right w:w="-113" w:type="dxa"/>
            </w:tcMar>
          </w:tcPr>
          <w:p w14:paraId="3312789A" w14:textId="77777777" w:rsidR="00830D35" w:rsidRDefault="00830D35" w:rsidP="00830D35">
            <w:pPr>
              <w:rPr>
                <w:color w:val="000000"/>
                <w:sz w:val="16"/>
                <w:szCs w:val="16"/>
              </w:rPr>
            </w:pPr>
            <w:r>
              <w:rPr>
                <w:color w:val="000000"/>
                <w:sz w:val="16"/>
                <w:szCs w:val="16"/>
              </w:rPr>
              <w:t>A&gt;</w:t>
            </w:r>
            <w:proofErr w:type="gramStart"/>
            <w:r>
              <w:rPr>
                <w:color w:val="000000"/>
                <w:sz w:val="16"/>
                <w:szCs w:val="16"/>
              </w:rPr>
              <w:t>G,T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66A9717A"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0D7344B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1A20E453"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1FC1AF6D"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6EA69CD"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9E9987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5189FF04" w14:textId="77777777" w:rsidR="00830D35" w:rsidRDefault="00830D35" w:rsidP="00830D35">
            <w:pPr>
              <w:rPr>
                <w:color w:val="000000"/>
                <w:sz w:val="16"/>
                <w:szCs w:val="16"/>
              </w:rPr>
            </w:pPr>
            <w:r>
              <w:rPr>
                <w:color w:val="000000"/>
                <w:sz w:val="16"/>
                <w:szCs w:val="16"/>
              </w:rPr>
              <w:t>rs5746108</w:t>
            </w:r>
          </w:p>
        </w:tc>
        <w:tc>
          <w:tcPr>
            <w:tcW w:w="851" w:type="dxa"/>
            <w:tcBorders>
              <w:top w:val="single" w:sz="4" w:space="0" w:color="D0CECE"/>
              <w:bottom w:val="single" w:sz="4" w:space="0" w:color="D0CECE"/>
            </w:tcBorders>
            <w:tcMar>
              <w:top w:w="-113" w:type="dxa"/>
              <w:left w:w="-113" w:type="dxa"/>
              <w:bottom w:w="-113" w:type="dxa"/>
              <w:right w:w="-113" w:type="dxa"/>
            </w:tcMar>
          </w:tcPr>
          <w:p w14:paraId="36091FBC" w14:textId="77777777" w:rsidR="00830D35" w:rsidRDefault="00830D35" w:rsidP="00830D35">
            <w:pPr>
              <w:rPr>
                <w:color w:val="000000"/>
                <w:sz w:val="16"/>
                <w:szCs w:val="16"/>
              </w:rPr>
            </w:pPr>
            <w:r>
              <w:rPr>
                <w:color w:val="000000"/>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17133CA0"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58098AF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125BC9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38133B76"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4739AA6"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200C48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2807F0E" w14:textId="77777777" w:rsidR="00830D35" w:rsidRDefault="00830D35" w:rsidP="00830D35">
            <w:pPr>
              <w:rPr>
                <w:color w:val="000000"/>
                <w:sz w:val="16"/>
                <w:szCs w:val="16"/>
              </w:rPr>
            </w:pPr>
            <w:r>
              <w:rPr>
                <w:color w:val="000000"/>
                <w:sz w:val="16"/>
                <w:szCs w:val="16"/>
              </w:rPr>
              <w:t>rs5746109</w:t>
            </w:r>
          </w:p>
        </w:tc>
        <w:tc>
          <w:tcPr>
            <w:tcW w:w="851" w:type="dxa"/>
            <w:tcBorders>
              <w:top w:val="single" w:sz="4" w:space="0" w:color="D0CECE"/>
              <w:bottom w:val="single" w:sz="4" w:space="0" w:color="D0CECE"/>
            </w:tcBorders>
            <w:tcMar>
              <w:top w:w="-113" w:type="dxa"/>
              <w:left w:w="-113" w:type="dxa"/>
              <w:bottom w:w="-113" w:type="dxa"/>
              <w:right w:w="-113" w:type="dxa"/>
            </w:tcMar>
          </w:tcPr>
          <w:p w14:paraId="06971A46" w14:textId="77777777" w:rsidR="00830D35" w:rsidRDefault="00830D35" w:rsidP="00830D35">
            <w:pPr>
              <w:rPr>
                <w:color w:val="000000"/>
                <w:sz w:val="16"/>
                <w:szCs w:val="16"/>
              </w:rPr>
            </w:pPr>
            <w:r>
              <w:rPr>
                <w:color w:val="000000"/>
                <w:sz w:val="16"/>
                <w:szCs w:val="16"/>
              </w:rPr>
              <w:t>T&gt;C</w:t>
            </w:r>
          </w:p>
        </w:tc>
        <w:tc>
          <w:tcPr>
            <w:tcW w:w="1701" w:type="dxa"/>
            <w:tcBorders>
              <w:top w:val="single" w:sz="4" w:space="0" w:color="D0CECE"/>
              <w:bottom w:val="single" w:sz="4" w:space="0" w:color="D0CECE"/>
            </w:tcBorders>
            <w:tcMar>
              <w:top w:w="-113" w:type="dxa"/>
              <w:left w:w="-113" w:type="dxa"/>
              <w:bottom w:w="-113" w:type="dxa"/>
              <w:right w:w="-113" w:type="dxa"/>
            </w:tcMar>
          </w:tcPr>
          <w:p w14:paraId="6DD7AF44"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066BBA9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6DE2FD10"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1A888CB6"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4DCDFE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885958D"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77C721C1" w14:textId="77777777" w:rsidR="00830D35" w:rsidRDefault="00830D35" w:rsidP="00830D35">
            <w:pPr>
              <w:rPr>
                <w:color w:val="000000"/>
                <w:sz w:val="16"/>
                <w:szCs w:val="16"/>
              </w:rPr>
            </w:pPr>
            <w:r>
              <w:rPr>
                <w:color w:val="000000"/>
                <w:sz w:val="16"/>
                <w:szCs w:val="16"/>
              </w:rPr>
              <w:t>rs5746110</w:t>
            </w:r>
          </w:p>
        </w:tc>
        <w:tc>
          <w:tcPr>
            <w:tcW w:w="851" w:type="dxa"/>
            <w:tcBorders>
              <w:top w:val="single" w:sz="4" w:space="0" w:color="D0CECE"/>
              <w:bottom w:val="single" w:sz="4" w:space="0" w:color="D0CECE"/>
            </w:tcBorders>
            <w:tcMar>
              <w:top w:w="-113" w:type="dxa"/>
              <w:left w:w="-113" w:type="dxa"/>
              <w:bottom w:w="-113" w:type="dxa"/>
              <w:right w:w="-113" w:type="dxa"/>
            </w:tcMar>
          </w:tcPr>
          <w:p w14:paraId="2D66D9A8" w14:textId="77777777" w:rsidR="00830D35" w:rsidRDefault="00830D35" w:rsidP="00830D35">
            <w:pPr>
              <w:rPr>
                <w:color w:val="000000"/>
                <w:sz w:val="16"/>
                <w:szCs w:val="16"/>
              </w:rPr>
            </w:pPr>
            <w:r>
              <w:rPr>
                <w:color w:val="000000"/>
                <w:sz w:val="16"/>
                <w:szCs w:val="16"/>
              </w:rPr>
              <w:t>T&gt;C</w:t>
            </w:r>
          </w:p>
        </w:tc>
        <w:tc>
          <w:tcPr>
            <w:tcW w:w="1701" w:type="dxa"/>
            <w:tcBorders>
              <w:top w:val="single" w:sz="4" w:space="0" w:color="D0CECE"/>
              <w:bottom w:val="single" w:sz="4" w:space="0" w:color="D0CECE"/>
            </w:tcBorders>
            <w:tcMar>
              <w:top w:w="-113" w:type="dxa"/>
              <w:left w:w="-113" w:type="dxa"/>
              <w:bottom w:w="-113" w:type="dxa"/>
              <w:right w:w="-113" w:type="dxa"/>
            </w:tcMar>
          </w:tcPr>
          <w:p w14:paraId="5DB8D520"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16D51753"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7EC97CF"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518FF865"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38AD18D"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F95C0DF"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2F152320" w14:textId="77777777" w:rsidR="00830D35" w:rsidRDefault="00830D35" w:rsidP="00830D35">
            <w:pPr>
              <w:rPr>
                <w:color w:val="000000"/>
                <w:sz w:val="16"/>
                <w:szCs w:val="16"/>
              </w:rPr>
            </w:pPr>
            <w:r>
              <w:rPr>
                <w:color w:val="000000"/>
                <w:sz w:val="16"/>
                <w:szCs w:val="16"/>
              </w:rPr>
              <w:t>rs5746111</w:t>
            </w:r>
          </w:p>
        </w:tc>
        <w:tc>
          <w:tcPr>
            <w:tcW w:w="851" w:type="dxa"/>
            <w:tcBorders>
              <w:top w:val="single" w:sz="4" w:space="0" w:color="D0CECE"/>
              <w:bottom w:val="single" w:sz="4" w:space="0" w:color="D0CECE"/>
            </w:tcBorders>
            <w:tcMar>
              <w:top w:w="-113" w:type="dxa"/>
              <w:left w:w="-113" w:type="dxa"/>
              <w:bottom w:w="-113" w:type="dxa"/>
              <w:right w:w="-113" w:type="dxa"/>
            </w:tcMar>
          </w:tcPr>
          <w:p w14:paraId="58F13CB1" w14:textId="77777777" w:rsidR="00830D35" w:rsidRDefault="00830D35" w:rsidP="00830D35">
            <w:pPr>
              <w:rPr>
                <w:color w:val="000000"/>
                <w:sz w:val="16"/>
                <w:szCs w:val="16"/>
              </w:rPr>
            </w:pPr>
            <w:r>
              <w:rPr>
                <w:color w:val="000000"/>
                <w:sz w:val="16"/>
                <w:szCs w:val="16"/>
              </w:rPr>
              <w:t>C&gt;G</w:t>
            </w:r>
          </w:p>
        </w:tc>
        <w:tc>
          <w:tcPr>
            <w:tcW w:w="1701" w:type="dxa"/>
            <w:tcBorders>
              <w:top w:val="single" w:sz="4" w:space="0" w:color="D0CECE"/>
              <w:bottom w:val="single" w:sz="4" w:space="0" w:color="D0CECE"/>
            </w:tcBorders>
            <w:tcMar>
              <w:top w:w="-113" w:type="dxa"/>
              <w:left w:w="-113" w:type="dxa"/>
              <w:bottom w:w="-113" w:type="dxa"/>
              <w:right w:w="-113" w:type="dxa"/>
            </w:tcMar>
          </w:tcPr>
          <w:p w14:paraId="39B249BD"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07C39FA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76D12BF3"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11575D2C"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B3922EB"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9FD5E3F"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8157EAB" w14:textId="77777777" w:rsidR="00830D35" w:rsidRDefault="00830D35" w:rsidP="00830D35">
            <w:pPr>
              <w:rPr>
                <w:color w:val="000000"/>
                <w:sz w:val="16"/>
                <w:szCs w:val="16"/>
              </w:rPr>
            </w:pPr>
            <w:r>
              <w:rPr>
                <w:color w:val="000000"/>
                <w:sz w:val="16"/>
                <w:szCs w:val="16"/>
              </w:rPr>
              <w:t>rs5746114</w:t>
            </w:r>
          </w:p>
        </w:tc>
        <w:tc>
          <w:tcPr>
            <w:tcW w:w="851" w:type="dxa"/>
            <w:tcBorders>
              <w:top w:val="single" w:sz="4" w:space="0" w:color="D0CECE"/>
              <w:bottom w:val="single" w:sz="4" w:space="0" w:color="D0CECE"/>
            </w:tcBorders>
            <w:tcMar>
              <w:top w:w="-113" w:type="dxa"/>
              <w:left w:w="-113" w:type="dxa"/>
              <w:bottom w:w="-113" w:type="dxa"/>
              <w:right w:w="-113" w:type="dxa"/>
            </w:tcMar>
          </w:tcPr>
          <w:p w14:paraId="3BA90943" w14:textId="77777777" w:rsidR="00830D35" w:rsidRDefault="00830D35" w:rsidP="00830D35">
            <w:pPr>
              <w:rPr>
                <w:color w:val="000000"/>
                <w:sz w:val="16"/>
                <w:szCs w:val="16"/>
              </w:rPr>
            </w:pPr>
            <w:r>
              <w:rPr>
                <w:color w:val="000000"/>
                <w:sz w:val="16"/>
                <w:szCs w:val="16"/>
              </w:rPr>
              <w:t>T&gt;C</w:t>
            </w:r>
          </w:p>
        </w:tc>
        <w:tc>
          <w:tcPr>
            <w:tcW w:w="1701" w:type="dxa"/>
            <w:tcBorders>
              <w:top w:val="single" w:sz="4" w:space="0" w:color="D0CECE"/>
              <w:bottom w:val="single" w:sz="4" w:space="0" w:color="D0CECE"/>
            </w:tcBorders>
            <w:tcMar>
              <w:top w:w="-113" w:type="dxa"/>
              <w:left w:w="-113" w:type="dxa"/>
              <w:bottom w:w="-113" w:type="dxa"/>
              <w:right w:w="-113" w:type="dxa"/>
            </w:tcMar>
          </w:tcPr>
          <w:p w14:paraId="5ED53072"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33B06ED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1298F763"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1E4E6CBD"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F9E0A0B"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CF43684"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4FDC3CB8" w14:textId="77777777" w:rsidR="00830D35" w:rsidRDefault="00830D35" w:rsidP="00830D35">
            <w:pPr>
              <w:rPr>
                <w:sz w:val="16"/>
                <w:szCs w:val="16"/>
              </w:rPr>
            </w:pPr>
            <w:r>
              <w:rPr>
                <w:color w:val="000000"/>
                <w:sz w:val="16"/>
                <w:szCs w:val="16"/>
              </w:rPr>
              <w:t>rs5746123</w:t>
            </w:r>
          </w:p>
          <w:p w14:paraId="4F1245B8" w14:textId="77777777" w:rsidR="00830D35" w:rsidRDefault="00830D35" w:rsidP="00830D35">
            <w:pPr>
              <w:rPr>
                <w:sz w:val="16"/>
                <w:szCs w:val="16"/>
              </w:rPr>
            </w:pPr>
          </w:p>
        </w:tc>
        <w:tc>
          <w:tcPr>
            <w:tcW w:w="85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0B098CBF" w14:textId="77777777" w:rsidR="00830D35" w:rsidRDefault="00830D35" w:rsidP="00830D35">
            <w:pPr>
              <w:rPr>
                <w:color w:val="000000"/>
                <w:sz w:val="16"/>
                <w:szCs w:val="16"/>
              </w:rPr>
            </w:pPr>
            <w:r>
              <w:rPr>
                <w:color w:val="000000"/>
                <w:sz w:val="16"/>
                <w:szCs w:val="16"/>
              </w:rPr>
              <w:t>C&gt;T</w:t>
            </w:r>
          </w:p>
        </w:tc>
        <w:tc>
          <w:tcPr>
            <w:tcW w:w="170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08693A41" w14:textId="77777777" w:rsidR="00830D35" w:rsidRDefault="00830D35" w:rsidP="00830D35">
            <w:pPr>
              <w:rPr>
                <w:color w:val="000000"/>
                <w:sz w:val="16"/>
                <w:szCs w:val="16"/>
              </w:rPr>
            </w:pPr>
            <w:r>
              <w:rPr>
                <w:sz w:val="16"/>
                <w:szCs w:val="16"/>
              </w:rPr>
              <w:t>Intron variant</w:t>
            </w:r>
          </w:p>
        </w:tc>
        <w:tc>
          <w:tcPr>
            <w:tcW w:w="708" w:type="dxa"/>
            <w:tcBorders>
              <w:top w:val="single" w:sz="4" w:space="0" w:color="D0CECE"/>
              <w:bottom w:val="single" w:sz="4" w:space="0" w:color="D0CECE"/>
            </w:tcBorders>
            <w:shd w:val="clear" w:color="auto" w:fill="auto"/>
            <w:tcMar>
              <w:top w:w="-113" w:type="dxa"/>
              <w:left w:w="-113" w:type="dxa"/>
              <w:bottom w:w="-113" w:type="dxa"/>
              <w:right w:w="-113" w:type="dxa"/>
            </w:tcMar>
          </w:tcPr>
          <w:p w14:paraId="47EC924D" w14:textId="77777777" w:rsidR="00830D35" w:rsidRDefault="00830D35" w:rsidP="00830D35">
            <w:pPr>
              <w:rPr>
                <w:color w:val="000000"/>
                <w:sz w:val="16"/>
                <w:szCs w:val="16"/>
              </w:rPr>
            </w:pPr>
            <w:r>
              <w:rPr>
                <w:color w:val="000000"/>
                <w:sz w:val="16"/>
                <w:szCs w:val="16"/>
              </w:rPr>
              <w:t>DBP</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59B560C6" w14:textId="77777777" w:rsidR="00830D35" w:rsidRDefault="00830D35" w:rsidP="00830D35">
            <w:pPr>
              <w:rPr>
                <w:color w:val="000000"/>
                <w:sz w:val="16"/>
                <w:szCs w:val="16"/>
              </w:rPr>
            </w:pPr>
            <w:r>
              <w:rPr>
                <w:sz w:val="16"/>
                <w:szCs w:val="16"/>
              </w:rPr>
              <w:t xml:space="preserve">Farzan </w:t>
            </w:r>
            <w:r>
              <w:rPr>
                <w:i/>
                <w:sz w:val="16"/>
                <w:szCs w:val="16"/>
              </w:rPr>
              <w:t>et al.</w:t>
            </w:r>
            <w:r>
              <w:rPr>
                <w:sz w:val="16"/>
                <w:szCs w:val="16"/>
              </w:rPr>
              <w:t xml:space="preserve"> 2016</w:t>
            </w:r>
          </w:p>
        </w:tc>
      </w:tr>
      <w:tr w:rsidR="00830D35" w:rsidRPr="0030321B" w14:paraId="4978A254" w14:textId="77777777" w:rsidTr="00923C73">
        <w:trPr>
          <w:trHeight w:val="317"/>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1AE5C36"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val="restart"/>
            <w:tcBorders>
              <w:top w:val="single" w:sz="4" w:space="0" w:color="D0CECE"/>
              <w:left w:val="nil"/>
              <w:bottom w:val="single" w:sz="4" w:space="0" w:color="D0CECE"/>
              <w:right w:val="nil"/>
            </w:tcBorders>
            <w:shd w:val="clear" w:color="auto" w:fill="auto"/>
            <w:tcMar>
              <w:top w:w="-113" w:type="dxa"/>
              <w:left w:w="-113" w:type="dxa"/>
              <w:bottom w:w="-113" w:type="dxa"/>
              <w:right w:w="-113" w:type="dxa"/>
            </w:tcMar>
          </w:tcPr>
          <w:p w14:paraId="59145D61" w14:textId="77777777" w:rsidR="00830D35" w:rsidRDefault="00830D35" w:rsidP="00830D35">
            <w:pPr>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7D4F434D"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64D5E4D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7CB926A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708" w:type="dxa"/>
            <w:vMerge w:val="restart"/>
            <w:tcBorders>
              <w:top w:val="single" w:sz="4" w:space="0" w:color="D0CECE"/>
              <w:bottom w:val="single" w:sz="4" w:space="0" w:color="D0CECE"/>
            </w:tcBorders>
            <w:tcMar>
              <w:top w:w="-113" w:type="dxa"/>
              <w:left w:w="-113" w:type="dxa"/>
              <w:bottom w:w="-113" w:type="dxa"/>
              <w:right w:w="-113" w:type="dxa"/>
            </w:tcMar>
          </w:tcPr>
          <w:p w14:paraId="660DD6D9" w14:textId="77777777" w:rsidR="00830D35" w:rsidRDefault="00830D35" w:rsidP="00830D35">
            <w:pPr>
              <w:rPr>
                <w:sz w:val="16"/>
                <w:szCs w:val="16"/>
              </w:rPr>
            </w:pPr>
            <w:r>
              <w:rPr>
                <w:color w:val="000000"/>
                <w:sz w:val="16"/>
                <w:szCs w:val="16"/>
              </w:rPr>
              <w:t>CVD</w:t>
            </w:r>
          </w:p>
          <w:p w14:paraId="3BF8236A" w14:textId="77777777" w:rsidR="00830D35" w:rsidRDefault="00830D35" w:rsidP="00830D35">
            <w:pPr>
              <w:rPr>
                <w:sz w:val="16"/>
                <w:szCs w:val="16"/>
              </w:rPr>
            </w:pPr>
            <w:r>
              <w:rPr>
                <w:sz w:val="16"/>
                <w:szCs w:val="16"/>
              </w:rPr>
              <w:t>CIMT</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39737885" w14:textId="77777777" w:rsidR="00830D35" w:rsidRPr="00641BD3" w:rsidRDefault="00830D35" w:rsidP="00830D35">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1DE34615" w14:textId="77777777" w:rsidR="00830D35" w:rsidRPr="00641BD3" w:rsidRDefault="00830D35" w:rsidP="00830D35">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p w14:paraId="33045D36" w14:textId="77777777" w:rsidR="00830D35" w:rsidRPr="00641BD3" w:rsidRDefault="00830D35" w:rsidP="00830D35">
            <w:pPr>
              <w:rPr>
                <w:sz w:val="16"/>
                <w:szCs w:val="16"/>
                <w:lang w:val="es-ES"/>
              </w:rPr>
            </w:pPr>
          </w:p>
        </w:tc>
      </w:tr>
      <w:tr w:rsidR="00830D35" w14:paraId="592194FA"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3F855D2" w14:textId="77777777" w:rsidR="00830D35" w:rsidRPr="00641BD3" w:rsidRDefault="00830D35" w:rsidP="00830D35">
            <w:pPr>
              <w:widowControl w:val="0"/>
              <w:pBdr>
                <w:top w:val="nil"/>
                <w:left w:val="nil"/>
                <w:bottom w:val="nil"/>
                <w:right w:val="nil"/>
                <w:between w:val="nil"/>
              </w:pBdr>
              <w:spacing w:line="276" w:lineRule="auto"/>
              <w:rPr>
                <w:sz w:val="16"/>
                <w:szCs w:val="16"/>
                <w:lang w:val="es-ES"/>
              </w:rPr>
            </w:pPr>
          </w:p>
        </w:tc>
        <w:tc>
          <w:tcPr>
            <w:tcW w:w="3402" w:type="dxa"/>
            <w:vMerge/>
            <w:tcBorders>
              <w:top w:val="single" w:sz="4" w:space="0" w:color="D0CECE"/>
              <w:left w:val="nil"/>
              <w:bottom w:val="single" w:sz="4" w:space="0" w:color="D0CECE"/>
              <w:right w:val="nil"/>
            </w:tcBorders>
            <w:shd w:val="clear" w:color="auto" w:fill="auto"/>
            <w:tcMar>
              <w:top w:w="-113" w:type="dxa"/>
              <w:left w:w="-113" w:type="dxa"/>
              <w:bottom w:w="-113" w:type="dxa"/>
              <w:right w:w="-113" w:type="dxa"/>
            </w:tcMar>
          </w:tcPr>
          <w:p w14:paraId="590122F1" w14:textId="77777777" w:rsidR="00830D35" w:rsidRPr="00641BD3" w:rsidRDefault="00830D35" w:rsidP="00830D35">
            <w:pPr>
              <w:widowControl w:val="0"/>
              <w:pBdr>
                <w:top w:val="nil"/>
                <w:left w:val="nil"/>
                <w:bottom w:val="nil"/>
                <w:right w:val="nil"/>
                <w:between w:val="nil"/>
              </w:pBdr>
              <w:spacing w:line="276" w:lineRule="auto"/>
              <w:rPr>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1BA66699" w14:textId="77777777" w:rsidR="00830D35" w:rsidRDefault="00830D35" w:rsidP="00830D35">
            <w:pPr>
              <w:rPr>
                <w:color w:val="000000"/>
                <w:sz w:val="16"/>
                <w:szCs w:val="16"/>
              </w:rPr>
            </w:pPr>
            <w:r>
              <w:rPr>
                <w:color w:val="000000"/>
                <w:sz w:val="16"/>
                <w:szCs w:val="16"/>
              </w:rPr>
              <w:t>rs5746136</w:t>
            </w:r>
          </w:p>
        </w:tc>
        <w:tc>
          <w:tcPr>
            <w:tcW w:w="851" w:type="dxa"/>
            <w:tcBorders>
              <w:top w:val="single" w:sz="4" w:space="0" w:color="D0CECE"/>
              <w:bottom w:val="single" w:sz="4" w:space="0" w:color="D0CECE"/>
            </w:tcBorders>
            <w:tcMar>
              <w:top w:w="-113" w:type="dxa"/>
              <w:left w:w="-113" w:type="dxa"/>
              <w:bottom w:w="-113" w:type="dxa"/>
              <w:right w:w="-113" w:type="dxa"/>
            </w:tcMar>
          </w:tcPr>
          <w:p w14:paraId="59BAB666" w14:textId="77777777" w:rsidR="00830D35" w:rsidRDefault="00830D35" w:rsidP="00830D35">
            <w:pPr>
              <w:rPr>
                <w:color w:val="000000"/>
                <w:sz w:val="16"/>
                <w:szCs w:val="16"/>
              </w:rPr>
            </w:pPr>
            <w:r>
              <w:rPr>
                <w:color w:val="000000"/>
                <w:sz w:val="16"/>
                <w:szCs w:val="16"/>
              </w:rPr>
              <w:t>C&gt;</w:t>
            </w:r>
            <w:proofErr w:type="gramStart"/>
            <w:r>
              <w:rPr>
                <w:color w:val="000000"/>
                <w:sz w:val="16"/>
                <w:szCs w:val="16"/>
              </w:rPr>
              <w:t>A,T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6AF45772"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3ACB9BF0"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302A12D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03248C6D"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85D109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D0CECE"/>
              <w:left w:val="nil"/>
              <w:bottom w:val="single" w:sz="4" w:space="0" w:color="D0CECE"/>
              <w:right w:val="nil"/>
            </w:tcBorders>
            <w:shd w:val="clear" w:color="auto" w:fill="auto"/>
            <w:tcMar>
              <w:top w:w="-113" w:type="dxa"/>
              <w:left w:w="-113" w:type="dxa"/>
              <w:bottom w:w="-113" w:type="dxa"/>
              <w:right w:w="-113" w:type="dxa"/>
            </w:tcMar>
          </w:tcPr>
          <w:p w14:paraId="2553300D"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3673479" w14:textId="77777777" w:rsidR="00830D35" w:rsidRDefault="00830D35" w:rsidP="00830D35">
            <w:pPr>
              <w:rPr>
                <w:color w:val="000000"/>
                <w:sz w:val="16"/>
                <w:szCs w:val="16"/>
              </w:rPr>
            </w:pPr>
            <w:r>
              <w:rPr>
                <w:color w:val="000000"/>
                <w:sz w:val="16"/>
                <w:szCs w:val="16"/>
              </w:rPr>
              <w:t>rs5746141</w:t>
            </w:r>
          </w:p>
        </w:tc>
        <w:tc>
          <w:tcPr>
            <w:tcW w:w="851" w:type="dxa"/>
            <w:tcBorders>
              <w:top w:val="single" w:sz="4" w:space="0" w:color="D0CECE"/>
              <w:bottom w:val="single" w:sz="4" w:space="0" w:color="D0CECE"/>
            </w:tcBorders>
            <w:tcMar>
              <w:top w:w="-113" w:type="dxa"/>
              <w:left w:w="-113" w:type="dxa"/>
              <w:bottom w:w="-113" w:type="dxa"/>
              <w:right w:w="-113" w:type="dxa"/>
            </w:tcMar>
          </w:tcPr>
          <w:p w14:paraId="2954BFF4" w14:textId="77777777" w:rsidR="00830D35" w:rsidRDefault="00830D35" w:rsidP="00830D35">
            <w:pPr>
              <w:rPr>
                <w:color w:val="000000"/>
                <w:sz w:val="16"/>
                <w:szCs w:val="16"/>
              </w:rPr>
            </w:pPr>
            <w:r>
              <w:rPr>
                <w:color w:val="000000"/>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3354BDBF"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55001483"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7F1FD46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6F8BFEC7"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C2BE1A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D0CECE"/>
              <w:left w:val="nil"/>
              <w:bottom w:val="single" w:sz="4" w:space="0" w:color="D0CECE"/>
              <w:right w:val="nil"/>
            </w:tcBorders>
            <w:shd w:val="clear" w:color="auto" w:fill="auto"/>
            <w:tcMar>
              <w:top w:w="-113" w:type="dxa"/>
              <w:left w:w="-113" w:type="dxa"/>
              <w:bottom w:w="-113" w:type="dxa"/>
              <w:right w:w="-113" w:type="dxa"/>
            </w:tcMar>
          </w:tcPr>
          <w:p w14:paraId="2A7BA18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63F07FD3" w14:textId="77777777" w:rsidR="00830D35" w:rsidRDefault="00830D35" w:rsidP="00830D35">
            <w:pPr>
              <w:rPr>
                <w:color w:val="000000"/>
                <w:sz w:val="16"/>
                <w:szCs w:val="16"/>
              </w:rPr>
            </w:pPr>
            <w:r>
              <w:rPr>
                <w:color w:val="000000"/>
                <w:sz w:val="16"/>
                <w:szCs w:val="16"/>
              </w:rPr>
              <w:t>rs6912979</w:t>
            </w:r>
          </w:p>
        </w:tc>
        <w:tc>
          <w:tcPr>
            <w:tcW w:w="851" w:type="dxa"/>
            <w:tcBorders>
              <w:top w:val="single" w:sz="4" w:space="0" w:color="D0CECE"/>
              <w:bottom w:val="single" w:sz="4" w:space="0" w:color="D0CECE"/>
            </w:tcBorders>
            <w:tcMar>
              <w:top w:w="-113" w:type="dxa"/>
              <w:left w:w="-113" w:type="dxa"/>
              <w:bottom w:w="-113" w:type="dxa"/>
              <w:right w:w="-113" w:type="dxa"/>
            </w:tcMar>
          </w:tcPr>
          <w:p w14:paraId="1C649BF2" w14:textId="77777777" w:rsidR="00830D35" w:rsidRDefault="00830D35" w:rsidP="00830D35">
            <w:pPr>
              <w:rPr>
                <w:color w:val="000000"/>
                <w:sz w:val="16"/>
                <w:szCs w:val="16"/>
              </w:rPr>
            </w:pPr>
            <w:r>
              <w:rPr>
                <w:color w:val="000000"/>
                <w:sz w:val="16"/>
                <w:szCs w:val="16"/>
              </w:rPr>
              <w:t>T&gt;C</w:t>
            </w:r>
          </w:p>
        </w:tc>
        <w:tc>
          <w:tcPr>
            <w:tcW w:w="1701" w:type="dxa"/>
            <w:tcBorders>
              <w:top w:val="single" w:sz="4" w:space="0" w:color="D0CECE"/>
              <w:bottom w:val="single" w:sz="4" w:space="0" w:color="D0CECE"/>
            </w:tcBorders>
            <w:tcMar>
              <w:top w:w="-113" w:type="dxa"/>
              <w:left w:w="-113" w:type="dxa"/>
              <w:bottom w:w="-113" w:type="dxa"/>
              <w:right w:w="-113" w:type="dxa"/>
            </w:tcMar>
          </w:tcPr>
          <w:p w14:paraId="5ABF41AB"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76472425"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2242964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49F748B0"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8BA021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D0CECE"/>
              <w:left w:val="nil"/>
              <w:bottom w:val="single" w:sz="4" w:space="0" w:color="D0CECE"/>
              <w:right w:val="nil"/>
            </w:tcBorders>
            <w:shd w:val="clear" w:color="auto" w:fill="auto"/>
            <w:tcMar>
              <w:top w:w="-113" w:type="dxa"/>
              <w:left w:w="-113" w:type="dxa"/>
              <w:bottom w:w="-113" w:type="dxa"/>
              <w:right w:w="-113" w:type="dxa"/>
            </w:tcMar>
          </w:tcPr>
          <w:p w14:paraId="42EF187A"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698ADE47" w14:textId="77777777" w:rsidR="00830D35" w:rsidRDefault="00830D35" w:rsidP="00830D35">
            <w:pPr>
              <w:rPr>
                <w:color w:val="000000"/>
                <w:sz w:val="16"/>
                <w:szCs w:val="16"/>
              </w:rPr>
            </w:pPr>
            <w:r>
              <w:rPr>
                <w:color w:val="000000"/>
                <w:sz w:val="16"/>
                <w:szCs w:val="16"/>
              </w:rPr>
              <w:t>rs8031</w:t>
            </w:r>
          </w:p>
        </w:tc>
        <w:tc>
          <w:tcPr>
            <w:tcW w:w="851" w:type="dxa"/>
            <w:tcBorders>
              <w:top w:val="single" w:sz="4" w:space="0" w:color="D0CECE"/>
              <w:bottom w:val="single" w:sz="4" w:space="0" w:color="D0CECE"/>
            </w:tcBorders>
            <w:tcMar>
              <w:top w:w="-113" w:type="dxa"/>
              <w:left w:w="-113" w:type="dxa"/>
              <w:bottom w:w="-113" w:type="dxa"/>
              <w:right w:w="-113" w:type="dxa"/>
            </w:tcMar>
          </w:tcPr>
          <w:p w14:paraId="0F7E4175" w14:textId="77777777" w:rsidR="00830D35" w:rsidRDefault="00830D35" w:rsidP="00830D35">
            <w:pPr>
              <w:rPr>
                <w:color w:val="000000"/>
                <w:sz w:val="16"/>
                <w:szCs w:val="16"/>
              </w:rPr>
            </w:pPr>
            <w:r>
              <w:rPr>
                <w:color w:val="000000"/>
                <w:sz w:val="16"/>
                <w:szCs w:val="16"/>
              </w:rPr>
              <w:t>A&gt;T</w:t>
            </w:r>
          </w:p>
        </w:tc>
        <w:tc>
          <w:tcPr>
            <w:tcW w:w="1701" w:type="dxa"/>
            <w:tcBorders>
              <w:top w:val="single" w:sz="4" w:space="0" w:color="D0CECE"/>
              <w:bottom w:val="single" w:sz="4" w:space="0" w:color="D0CECE"/>
            </w:tcBorders>
            <w:tcMar>
              <w:top w:w="-113" w:type="dxa"/>
              <w:left w:w="-113" w:type="dxa"/>
              <w:bottom w:w="-113" w:type="dxa"/>
              <w:right w:w="-113" w:type="dxa"/>
            </w:tcMar>
          </w:tcPr>
          <w:p w14:paraId="79A1DC0C"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5183C18D"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46A52E8A"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5D48331C"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EAC58A3"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D0CECE"/>
              <w:left w:val="nil"/>
              <w:bottom w:val="single" w:sz="4" w:space="0" w:color="D0CECE"/>
              <w:right w:val="nil"/>
            </w:tcBorders>
            <w:shd w:val="clear" w:color="auto" w:fill="auto"/>
            <w:tcMar>
              <w:top w:w="-113" w:type="dxa"/>
              <w:left w:w="-113" w:type="dxa"/>
              <w:bottom w:w="-113" w:type="dxa"/>
              <w:right w:w="-113" w:type="dxa"/>
            </w:tcMar>
          </w:tcPr>
          <w:p w14:paraId="24D130BF"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0847C676" w14:textId="77777777" w:rsidR="00830D35" w:rsidRDefault="00830D35" w:rsidP="00830D35">
            <w:pPr>
              <w:rPr>
                <w:color w:val="000000"/>
                <w:sz w:val="16"/>
                <w:szCs w:val="16"/>
              </w:rPr>
            </w:pPr>
            <w:r>
              <w:rPr>
                <w:color w:val="000000"/>
                <w:sz w:val="16"/>
                <w:szCs w:val="16"/>
              </w:rPr>
              <w:t>rs9457709</w:t>
            </w:r>
          </w:p>
        </w:tc>
        <w:tc>
          <w:tcPr>
            <w:tcW w:w="851" w:type="dxa"/>
            <w:tcBorders>
              <w:top w:val="single" w:sz="4" w:space="0" w:color="D0CECE"/>
              <w:bottom w:val="single" w:sz="4" w:space="0" w:color="000000"/>
            </w:tcBorders>
            <w:tcMar>
              <w:top w:w="-113" w:type="dxa"/>
              <w:left w:w="-113" w:type="dxa"/>
              <w:bottom w:w="-113" w:type="dxa"/>
              <w:right w:w="-113" w:type="dxa"/>
            </w:tcMar>
          </w:tcPr>
          <w:p w14:paraId="449563C0" w14:textId="77777777" w:rsidR="00830D35" w:rsidRDefault="00830D35" w:rsidP="00830D35">
            <w:pPr>
              <w:rPr>
                <w:color w:val="000000"/>
                <w:sz w:val="16"/>
                <w:szCs w:val="16"/>
              </w:rPr>
            </w:pPr>
            <w:r>
              <w:rPr>
                <w:color w:val="000000"/>
                <w:sz w:val="16"/>
                <w:szCs w:val="16"/>
              </w:rPr>
              <w:t>G&gt;A</w:t>
            </w:r>
          </w:p>
        </w:tc>
        <w:tc>
          <w:tcPr>
            <w:tcW w:w="1701" w:type="dxa"/>
            <w:tcBorders>
              <w:top w:val="single" w:sz="4" w:space="0" w:color="D0CECE"/>
              <w:bottom w:val="single" w:sz="4" w:space="0" w:color="000000"/>
            </w:tcBorders>
            <w:tcMar>
              <w:top w:w="-113" w:type="dxa"/>
              <w:left w:w="-113" w:type="dxa"/>
              <w:bottom w:w="-113" w:type="dxa"/>
              <w:right w:w="-113" w:type="dxa"/>
            </w:tcMar>
          </w:tcPr>
          <w:p w14:paraId="32209025"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2646BBA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299B1D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5233216F"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5DDA73F" w14:textId="77777777" w:rsidR="00830D35" w:rsidRDefault="00830D35" w:rsidP="00830D35">
            <w:pPr>
              <w:rPr>
                <w:i/>
                <w:color w:val="000000"/>
                <w:sz w:val="16"/>
                <w:szCs w:val="16"/>
              </w:rPr>
            </w:pPr>
            <w:r>
              <w:rPr>
                <w:i/>
                <w:color w:val="000000"/>
                <w:sz w:val="16"/>
                <w:szCs w:val="16"/>
              </w:rPr>
              <w:t>SOD3</w:t>
            </w: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365DFDA" w14:textId="77777777" w:rsidR="00830D35" w:rsidRDefault="00830D35" w:rsidP="00830D35">
            <w:pPr>
              <w:rPr>
                <w:color w:val="000000"/>
                <w:sz w:val="16"/>
                <w:szCs w:val="16"/>
              </w:rPr>
            </w:pPr>
            <w:r>
              <w:rPr>
                <w:color w:val="000000"/>
                <w:sz w:val="16"/>
                <w:szCs w:val="16"/>
              </w:rPr>
              <w:t>Superoxide Dismutase 3</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46495801" w14:textId="77777777" w:rsidR="00830D35" w:rsidRDefault="00830D35" w:rsidP="00830D35">
            <w:pPr>
              <w:rPr>
                <w:color w:val="000000"/>
                <w:sz w:val="16"/>
                <w:szCs w:val="16"/>
              </w:rPr>
            </w:pPr>
            <w:r>
              <w:rPr>
                <w:color w:val="000000"/>
                <w:sz w:val="16"/>
                <w:szCs w:val="16"/>
              </w:rPr>
              <w:t>rs2284659</w:t>
            </w:r>
          </w:p>
        </w:tc>
        <w:tc>
          <w:tcPr>
            <w:tcW w:w="851" w:type="dxa"/>
            <w:tcBorders>
              <w:top w:val="single" w:sz="4" w:space="0" w:color="000000"/>
              <w:bottom w:val="single" w:sz="4" w:space="0" w:color="D0CECE"/>
            </w:tcBorders>
            <w:tcMar>
              <w:top w:w="-113" w:type="dxa"/>
              <w:left w:w="-113" w:type="dxa"/>
              <w:bottom w:w="-113" w:type="dxa"/>
              <w:right w:w="-113" w:type="dxa"/>
            </w:tcMar>
          </w:tcPr>
          <w:p w14:paraId="06C205D8" w14:textId="77777777" w:rsidR="00830D35" w:rsidRDefault="00830D35" w:rsidP="00830D35">
            <w:pPr>
              <w:rPr>
                <w:color w:val="000000"/>
                <w:sz w:val="16"/>
                <w:szCs w:val="16"/>
              </w:rPr>
            </w:pPr>
            <w:r>
              <w:rPr>
                <w:color w:val="000000"/>
                <w:sz w:val="16"/>
                <w:szCs w:val="16"/>
              </w:rPr>
              <w:t>T&gt;G</w:t>
            </w:r>
          </w:p>
        </w:tc>
        <w:tc>
          <w:tcPr>
            <w:tcW w:w="1701" w:type="dxa"/>
            <w:tcBorders>
              <w:top w:val="single" w:sz="4" w:space="0" w:color="000000"/>
              <w:bottom w:val="single" w:sz="4" w:space="0" w:color="D0CECE"/>
            </w:tcBorders>
            <w:tcMar>
              <w:top w:w="-113" w:type="dxa"/>
              <w:left w:w="-113" w:type="dxa"/>
              <w:bottom w:w="-113" w:type="dxa"/>
              <w:right w:w="-113" w:type="dxa"/>
            </w:tcMar>
          </w:tcPr>
          <w:p w14:paraId="5C66DD06" w14:textId="77777777" w:rsidR="00830D35" w:rsidRDefault="00830D35" w:rsidP="00830D35">
            <w:pPr>
              <w:rPr>
                <w:color w:val="000000"/>
                <w:sz w:val="16"/>
                <w:szCs w:val="16"/>
              </w:rPr>
            </w:pPr>
            <w:r>
              <w:rPr>
                <w:color w:val="000000"/>
                <w:sz w:val="16"/>
                <w:szCs w:val="16"/>
              </w:rPr>
              <w:t>None</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713A19CD" w14:textId="77777777" w:rsidR="00830D35" w:rsidRDefault="00830D35" w:rsidP="00830D35">
            <w:pPr>
              <w:rPr>
                <w:sz w:val="16"/>
                <w:szCs w:val="16"/>
              </w:rPr>
            </w:pPr>
            <w:r>
              <w:rPr>
                <w:color w:val="000000"/>
                <w:sz w:val="16"/>
                <w:szCs w:val="16"/>
              </w:rPr>
              <w:t>T2DM</w:t>
            </w:r>
          </w:p>
          <w:p w14:paraId="5CFCB985" w14:textId="77777777" w:rsidR="00830D35" w:rsidRDefault="00830D35" w:rsidP="00830D35">
            <w:pPr>
              <w:rPr>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6665FA4E" w14:textId="77777777" w:rsidR="00830D35" w:rsidRDefault="00830D35" w:rsidP="00830D35">
            <w:pPr>
              <w:rPr>
                <w:sz w:val="16"/>
                <w:szCs w:val="16"/>
              </w:rPr>
            </w:pPr>
            <w:r>
              <w:rPr>
                <w:sz w:val="16"/>
                <w:szCs w:val="16"/>
              </w:rPr>
              <w:t>Grau-Perez et al. 2018</w:t>
            </w:r>
          </w:p>
          <w:p w14:paraId="71407E1D" w14:textId="77777777" w:rsidR="00830D35" w:rsidRDefault="00830D35" w:rsidP="00830D35">
            <w:pPr>
              <w:rPr>
                <w:sz w:val="16"/>
                <w:szCs w:val="16"/>
              </w:rPr>
            </w:pPr>
          </w:p>
        </w:tc>
      </w:tr>
      <w:tr w:rsidR="00830D35" w14:paraId="0CF58EF0"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E9685C1" w14:textId="77777777" w:rsidR="00830D35" w:rsidRDefault="00830D35" w:rsidP="00830D35">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F95FC34" w14:textId="77777777" w:rsidR="00830D35" w:rsidRDefault="00830D35" w:rsidP="00830D35">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77F92E7B" w14:textId="77777777" w:rsidR="00830D35" w:rsidRDefault="00830D35" w:rsidP="00830D35">
            <w:pPr>
              <w:rPr>
                <w:color w:val="000000"/>
                <w:sz w:val="16"/>
                <w:szCs w:val="16"/>
              </w:rPr>
            </w:pPr>
            <w:r>
              <w:rPr>
                <w:color w:val="000000"/>
                <w:sz w:val="16"/>
                <w:szCs w:val="16"/>
              </w:rPr>
              <w:t>rs2536512</w:t>
            </w:r>
          </w:p>
        </w:tc>
        <w:tc>
          <w:tcPr>
            <w:tcW w:w="851" w:type="dxa"/>
            <w:tcBorders>
              <w:top w:val="single" w:sz="4" w:space="0" w:color="D0CECE"/>
              <w:bottom w:val="single" w:sz="4" w:space="0" w:color="000000"/>
            </w:tcBorders>
            <w:tcMar>
              <w:top w:w="-113" w:type="dxa"/>
              <w:left w:w="-113" w:type="dxa"/>
              <w:bottom w:w="-113" w:type="dxa"/>
              <w:right w:w="-113" w:type="dxa"/>
            </w:tcMar>
          </w:tcPr>
          <w:p w14:paraId="2D790B7D" w14:textId="77777777" w:rsidR="00830D35" w:rsidRDefault="00830D35" w:rsidP="00830D35">
            <w:pPr>
              <w:rPr>
                <w:color w:val="000000"/>
                <w:sz w:val="16"/>
                <w:szCs w:val="16"/>
              </w:rPr>
            </w:pPr>
            <w:r>
              <w:rPr>
                <w:color w:val="000000"/>
                <w:sz w:val="16"/>
                <w:szCs w:val="16"/>
              </w:rPr>
              <w:t>G&gt;</w:t>
            </w:r>
            <w:proofErr w:type="gramStart"/>
            <w:r>
              <w:rPr>
                <w:color w:val="000000"/>
                <w:sz w:val="16"/>
                <w:szCs w:val="16"/>
              </w:rPr>
              <w:t>A,T</w:t>
            </w:r>
            <w:proofErr w:type="gramEnd"/>
          </w:p>
        </w:tc>
        <w:tc>
          <w:tcPr>
            <w:tcW w:w="1701" w:type="dxa"/>
            <w:tcBorders>
              <w:top w:val="single" w:sz="4" w:space="0" w:color="D0CECE"/>
              <w:bottom w:val="single" w:sz="4" w:space="0" w:color="000000"/>
            </w:tcBorders>
            <w:tcMar>
              <w:top w:w="-113" w:type="dxa"/>
              <w:left w:w="-113" w:type="dxa"/>
              <w:bottom w:w="-113" w:type="dxa"/>
              <w:right w:w="-113" w:type="dxa"/>
            </w:tcMar>
          </w:tcPr>
          <w:p w14:paraId="17BA75FB" w14:textId="77777777" w:rsidR="00830D35" w:rsidRDefault="00830D35" w:rsidP="00830D35">
            <w:pPr>
              <w:rPr>
                <w:color w:val="000000"/>
                <w:sz w:val="16"/>
                <w:szCs w:val="16"/>
              </w:rPr>
            </w:pPr>
            <w:r>
              <w:rPr>
                <w:color w:val="000000"/>
                <w:sz w:val="16"/>
                <w:szCs w:val="16"/>
              </w:rPr>
              <w:t>Missense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674CE12B"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0B67174D"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7FCE1DAD"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37935E0" w14:textId="77777777" w:rsidR="00830D35" w:rsidRDefault="00830D35" w:rsidP="00830D35">
            <w:pPr>
              <w:rPr>
                <w:i/>
                <w:color w:val="000000"/>
                <w:sz w:val="16"/>
                <w:szCs w:val="16"/>
              </w:rPr>
            </w:pPr>
            <w:r>
              <w:rPr>
                <w:i/>
                <w:color w:val="000000"/>
                <w:sz w:val="16"/>
                <w:szCs w:val="16"/>
              </w:rPr>
              <w:t>TCF2</w:t>
            </w:r>
          </w:p>
          <w:p w14:paraId="1C149E0E" w14:textId="77777777" w:rsidR="00830D35" w:rsidRDefault="00830D35" w:rsidP="00830D35">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E004418" w14:textId="77777777" w:rsidR="00830D35" w:rsidRDefault="00830D35" w:rsidP="00830D35">
            <w:pPr>
              <w:rPr>
                <w:color w:val="000000"/>
                <w:sz w:val="16"/>
                <w:szCs w:val="16"/>
              </w:rPr>
            </w:pPr>
            <w:r>
              <w:rPr>
                <w:color w:val="000000"/>
                <w:sz w:val="16"/>
                <w:szCs w:val="16"/>
              </w:rPr>
              <w:t>Transcription factor 2</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4B4131B9" w14:textId="77777777" w:rsidR="00830D35" w:rsidRDefault="00830D35" w:rsidP="00830D35">
            <w:pPr>
              <w:rPr>
                <w:color w:val="000000"/>
                <w:sz w:val="16"/>
                <w:szCs w:val="16"/>
              </w:rPr>
            </w:pPr>
            <w:r>
              <w:rPr>
                <w:color w:val="000000"/>
                <w:sz w:val="16"/>
                <w:szCs w:val="16"/>
              </w:rPr>
              <w:t>rs1058166</w:t>
            </w:r>
          </w:p>
        </w:tc>
        <w:tc>
          <w:tcPr>
            <w:tcW w:w="851" w:type="dxa"/>
            <w:tcBorders>
              <w:top w:val="single" w:sz="4" w:space="0" w:color="000000"/>
              <w:bottom w:val="single" w:sz="4" w:space="0" w:color="D0CECE"/>
            </w:tcBorders>
            <w:tcMar>
              <w:top w:w="-113" w:type="dxa"/>
              <w:left w:w="-113" w:type="dxa"/>
              <w:bottom w:w="-113" w:type="dxa"/>
              <w:right w:w="-113" w:type="dxa"/>
            </w:tcMar>
          </w:tcPr>
          <w:p w14:paraId="1F1D5A5B" w14:textId="77777777" w:rsidR="00830D35" w:rsidRDefault="00830D35" w:rsidP="00830D35">
            <w:pPr>
              <w:rPr>
                <w:color w:val="000000"/>
                <w:sz w:val="16"/>
                <w:szCs w:val="16"/>
              </w:rPr>
            </w:pPr>
            <w:r>
              <w:rPr>
                <w:color w:val="000000"/>
                <w:sz w:val="16"/>
                <w:szCs w:val="16"/>
              </w:rPr>
              <w:t>T&gt;C</w:t>
            </w:r>
          </w:p>
        </w:tc>
        <w:tc>
          <w:tcPr>
            <w:tcW w:w="1701" w:type="dxa"/>
            <w:tcBorders>
              <w:top w:val="single" w:sz="4" w:space="0" w:color="000000"/>
              <w:bottom w:val="single" w:sz="4" w:space="0" w:color="D0CECE"/>
            </w:tcBorders>
            <w:tcMar>
              <w:top w:w="-113" w:type="dxa"/>
              <w:left w:w="-113" w:type="dxa"/>
              <w:bottom w:w="-113" w:type="dxa"/>
              <w:right w:w="-113" w:type="dxa"/>
            </w:tcMar>
          </w:tcPr>
          <w:p w14:paraId="442007DC" w14:textId="77777777" w:rsidR="00830D35" w:rsidRDefault="00830D35" w:rsidP="00830D35">
            <w:pPr>
              <w:rPr>
                <w:color w:val="000000"/>
                <w:sz w:val="16"/>
                <w:szCs w:val="16"/>
              </w:rPr>
            </w:pPr>
            <w:r>
              <w:rPr>
                <w:sz w:val="16"/>
                <w:szCs w:val="16"/>
              </w:rPr>
              <w:t>3 Prime UTR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1BDA629C" w14:textId="77777777" w:rsidR="00830D35" w:rsidRDefault="00830D35" w:rsidP="00830D35">
            <w:pPr>
              <w:rPr>
                <w:sz w:val="16"/>
                <w:szCs w:val="16"/>
              </w:rPr>
            </w:pPr>
            <w:r>
              <w:rPr>
                <w:color w:val="000000"/>
                <w:sz w:val="16"/>
                <w:szCs w:val="16"/>
              </w:rPr>
              <w:t>T2DM</w:t>
            </w:r>
          </w:p>
          <w:p w14:paraId="2405AC6D" w14:textId="77777777" w:rsidR="00830D35" w:rsidRDefault="00830D35" w:rsidP="00830D35">
            <w:pPr>
              <w:rPr>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08B49C74" w14:textId="77777777" w:rsidR="00830D35" w:rsidRDefault="00830D35" w:rsidP="00830D35">
            <w:pPr>
              <w:rPr>
                <w:sz w:val="16"/>
                <w:szCs w:val="16"/>
              </w:rPr>
            </w:pPr>
            <w:r>
              <w:rPr>
                <w:sz w:val="16"/>
                <w:szCs w:val="16"/>
              </w:rPr>
              <w:t xml:space="preserve">Pan </w:t>
            </w:r>
            <w:r>
              <w:rPr>
                <w:i/>
                <w:sz w:val="16"/>
                <w:szCs w:val="16"/>
              </w:rPr>
              <w:t>et al.</w:t>
            </w:r>
            <w:r>
              <w:rPr>
                <w:sz w:val="16"/>
                <w:szCs w:val="16"/>
              </w:rPr>
              <w:t xml:space="preserve"> 2013</w:t>
            </w:r>
          </w:p>
          <w:p w14:paraId="13E2D33A" w14:textId="77777777" w:rsidR="00830D35" w:rsidRDefault="00830D35" w:rsidP="00830D35">
            <w:pPr>
              <w:rPr>
                <w:sz w:val="16"/>
                <w:szCs w:val="16"/>
              </w:rPr>
            </w:pPr>
          </w:p>
        </w:tc>
      </w:tr>
      <w:tr w:rsidR="00830D35" w14:paraId="7E3715B4"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1556C3D" w14:textId="77777777" w:rsidR="00830D35" w:rsidRDefault="00830D35" w:rsidP="00830D35">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5261356" w14:textId="77777777" w:rsidR="00830D35" w:rsidRDefault="00830D35" w:rsidP="00830D35">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0C0A668" w14:textId="77777777" w:rsidR="00830D35" w:rsidRDefault="00830D35" w:rsidP="00830D35">
            <w:pPr>
              <w:rPr>
                <w:color w:val="000000"/>
                <w:sz w:val="16"/>
                <w:szCs w:val="16"/>
              </w:rPr>
            </w:pPr>
            <w:r>
              <w:rPr>
                <w:color w:val="000000"/>
                <w:sz w:val="16"/>
                <w:szCs w:val="16"/>
              </w:rPr>
              <w:t>rs10962</w:t>
            </w:r>
          </w:p>
        </w:tc>
        <w:tc>
          <w:tcPr>
            <w:tcW w:w="851" w:type="dxa"/>
            <w:tcBorders>
              <w:top w:val="single" w:sz="4" w:space="0" w:color="D0CECE"/>
              <w:bottom w:val="single" w:sz="4" w:space="0" w:color="D0CECE"/>
            </w:tcBorders>
            <w:tcMar>
              <w:top w:w="-113" w:type="dxa"/>
              <w:left w:w="-113" w:type="dxa"/>
              <w:bottom w:w="-113" w:type="dxa"/>
              <w:right w:w="-113" w:type="dxa"/>
            </w:tcMar>
          </w:tcPr>
          <w:p w14:paraId="79BCA74A" w14:textId="77777777" w:rsidR="00830D35" w:rsidRDefault="00830D35" w:rsidP="00830D35">
            <w:pPr>
              <w:rPr>
                <w:color w:val="000000"/>
                <w:sz w:val="16"/>
                <w:szCs w:val="16"/>
              </w:rPr>
            </w:pPr>
            <w:r>
              <w:rPr>
                <w:color w:val="000000"/>
                <w:sz w:val="16"/>
                <w:szCs w:val="16"/>
              </w:rPr>
              <w:t>G&gt;</w:t>
            </w:r>
            <w:proofErr w:type="gramStart"/>
            <w:r>
              <w:rPr>
                <w:color w:val="000000"/>
                <w:sz w:val="16"/>
                <w:szCs w:val="16"/>
              </w:rPr>
              <w:t>A,C</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556AB4F9" w14:textId="77777777" w:rsidR="00830D35" w:rsidRDefault="00830D35" w:rsidP="00830D35">
            <w:pPr>
              <w:rPr>
                <w:color w:val="000000"/>
                <w:sz w:val="16"/>
                <w:szCs w:val="16"/>
              </w:rPr>
            </w:pPr>
            <w:r>
              <w:rPr>
                <w:sz w:val="16"/>
                <w:szCs w:val="16"/>
              </w:rPr>
              <w:t>3 Prime UTR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79AD99D5"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13F3775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68E856F4"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248A250"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7879D9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08B4C0F6" w14:textId="77777777" w:rsidR="00830D35" w:rsidRDefault="00830D35" w:rsidP="00830D35">
            <w:pPr>
              <w:rPr>
                <w:color w:val="000000"/>
                <w:sz w:val="16"/>
                <w:szCs w:val="16"/>
              </w:rPr>
            </w:pPr>
            <w:r>
              <w:rPr>
                <w:color w:val="000000"/>
                <w:sz w:val="16"/>
                <w:szCs w:val="16"/>
              </w:rPr>
              <w:t>rs2688</w:t>
            </w:r>
          </w:p>
        </w:tc>
        <w:tc>
          <w:tcPr>
            <w:tcW w:w="851" w:type="dxa"/>
            <w:tcBorders>
              <w:top w:val="single" w:sz="4" w:space="0" w:color="D0CECE"/>
              <w:bottom w:val="single" w:sz="4" w:space="0" w:color="000000"/>
            </w:tcBorders>
            <w:tcMar>
              <w:top w:w="-113" w:type="dxa"/>
              <w:left w:w="-113" w:type="dxa"/>
              <w:bottom w:w="-113" w:type="dxa"/>
              <w:right w:w="-113" w:type="dxa"/>
            </w:tcMar>
          </w:tcPr>
          <w:p w14:paraId="195B4575" w14:textId="77777777" w:rsidR="00830D35" w:rsidRDefault="00830D35" w:rsidP="00830D35">
            <w:pPr>
              <w:rPr>
                <w:color w:val="000000"/>
                <w:sz w:val="16"/>
                <w:szCs w:val="16"/>
              </w:rPr>
            </w:pPr>
            <w:r>
              <w:rPr>
                <w:color w:val="000000"/>
                <w:sz w:val="16"/>
                <w:szCs w:val="16"/>
              </w:rPr>
              <w:t>T&gt;</w:t>
            </w:r>
            <w:proofErr w:type="gramStart"/>
            <w:r>
              <w:rPr>
                <w:color w:val="000000"/>
                <w:sz w:val="16"/>
                <w:szCs w:val="16"/>
              </w:rPr>
              <w:t>C,G</w:t>
            </w:r>
            <w:proofErr w:type="gramEnd"/>
          </w:p>
        </w:tc>
        <w:tc>
          <w:tcPr>
            <w:tcW w:w="1701" w:type="dxa"/>
            <w:tcBorders>
              <w:top w:val="single" w:sz="4" w:space="0" w:color="D0CECE"/>
              <w:bottom w:val="single" w:sz="4" w:space="0" w:color="000000"/>
            </w:tcBorders>
            <w:tcMar>
              <w:top w:w="-113" w:type="dxa"/>
              <w:left w:w="-113" w:type="dxa"/>
              <w:bottom w:w="-113" w:type="dxa"/>
              <w:right w:w="-113" w:type="dxa"/>
            </w:tcMar>
          </w:tcPr>
          <w:p w14:paraId="5D8453CC" w14:textId="77777777" w:rsidR="00830D35" w:rsidRDefault="00830D35" w:rsidP="00830D35">
            <w:pPr>
              <w:rPr>
                <w:color w:val="000000"/>
                <w:sz w:val="16"/>
                <w:szCs w:val="16"/>
              </w:rPr>
            </w:pPr>
            <w:r>
              <w:rPr>
                <w:sz w:val="16"/>
                <w:szCs w:val="16"/>
              </w:rPr>
              <w:t>3 Prime UTR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388F9F16"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78D6F0FF"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4D7B372B"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45CB345" w14:textId="77777777" w:rsidR="00830D35" w:rsidRDefault="00830D35" w:rsidP="00830D35">
            <w:pPr>
              <w:rPr>
                <w:i/>
                <w:color w:val="000000"/>
                <w:sz w:val="16"/>
                <w:szCs w:val="16"/>
              </w:rPr>
            </w:pPr>
            <w:r>
              <w:rPr>
                <w:i/>
                <w:color w:val="000000"/>
                <w:sz w:val="16"/>
                <w:szCs w:val="16"/>
              </w:rPr>
              <w:t>TCF7L2</w:t>
            </w:r>
          </w:p>
          <w:p w14:paraId="635635BB" w14:textId="77777777" w:rsidR="00830D35" w:rsidRDefault="00830D35" w:rsidP="00830D35">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D5834B3" w14:textId="77777777" w:rsidR="00830D35" w:rsidRDefault="00830D35" w:rsidP="00830D35">
            <w:pPr>
              <w:rPr>
                <w:color w:val="000000"/>
                <w:sz w:val="16"/>
                <w:szCs w:val="16"/>
              </w:rPr>
            </w:pPr>
            <w:r>
              <w:rPr>
                <w:color w:val="000000"/>
                <w:sz w:val="16"/>
                <w:szCs w:val="16"/>
              </w:rPr>
              <w:t>Transcription factor 7-like 2</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3BEABB34" w14:textId="77777777" w:rsidR="00830D35" w:rsidRDefault="00830D35" w:rsidP="00830D35">
            <w:pPr>
              <w:rPr>
                <w:color w:val="000000"/>
                <w:sz w:val="16"/>
                <w:szCs w:val="16"/>
              </w:rPr>
            </w:pPr>
            <w:r>
              <w:rPr>
                <w:color w:val="000000"/>
                <w:sz w:val="16"/>
                <w:szCs w:val="16"/>
              </w:rPr>
              <w:t>rs12255372</w:t>
            </w:r>
          </w:p>
        </w:tc>
        <w:tc>
          <w:tcPr>
            <w:tcW w:w="851" w:type="dxa"/>
            <w:tcBorders>
              <w:top w:val="single" w:sz="4" w:space="0" w:color="000000"/>
              <w:bottom w:val="single" w:sz="4" w:space="0" w:color="D0CECE"/>
            </w:tcBorders>
            <w:tcMar>
              <w:top w:w="-113" w:type="dxa"/>
              <w:left w:w="-113" w:type="dxa"/>
              <w:bottom w:w="-113" w:type="dxa"/>
              <w:right w:w="-113" w:type="dxa"/>
            </w:tcMar>
          </w:tcPr>
          <w:p w14:paraId="371C7D41" w14:textId="77777777" w:rsidR="00830D35" w:rsidRDefault="00830D35" w:rsidP="00830D35">
            <w:pPr>
              <w:rPr>
                <w:color w:val="000000"/>
                <w:sz w:val="16"/>
                <w:szCs w:val="16"/>
              </w:rPr>
            </w:pPr>
            <w:r>
              <w:rPr>
                <w:color w:val="000000"/>
                <w:sz w:val="16"/>
                <w:szCs w:val="16"/>
              </w:rPr>
              <w:t>G&gt;</w:t>
            </w:r>
            <w:proofErr w:type="gramStart"/>
            <w:r>
              <w:rPr>
                <w:color w:val="000000"/>
                <w:sz w:val="16"/>
                <w:szCs w:val="16"/>
              </w:rPr>
              <w:t>A,T</w:t>
            </w:r>
            <w:proofErr w:type="gramEnd"/>
          </w:p>
        </w:tc>
        <w:tc>
          <w:tcPr>
            <w:tcW w:w="1701" w:type="dxa"/>
            <w:tcBorders>
              <w:top w:val="single" w:sz="4" w:space="0" w:color="000000"/>
              <w:bottom w:val="single" w:sz="4" w:space="0" w:color="D0CECE"/>
            </w:tcBorders>
            <w:tcMar>
              <w:top w:w="-113" w:type="dxa"/>
              <w:left w:w="-113" w:type="dxa"/>
              <w:bottom w:w="-113" w:type="dxa"/>
              <w:right w:w="-113" w:type="dxa"/>
            </w:tcMar>
          </w:tcPr>
          <w:p w14:paraId="5AFDE567" w14:textId="77777777" w:rsidR="00830D35" w:rsidRDefault="00830D35" w:rsidP="00830D35">
            <w:pPr>
              <w:rPr>
                <w:color w:val="000000"/>
                <w:sz w:val="16"/>
                <w:szCs w:val="16"/>
              </w:rPr>
            </w:pPr>
            <w:r>
              <w:rPr>
                <w:sz w:val="16"/>
                <w:szCs w:val="16"/>
              </w:rPr>
              <w:t>Intron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5956827F" w14:textId="77777777" w:rsidR="00830D35" w:rsidRDefault="00830D35" w:rsidP="00830D35">
            <w:pPr>
              <w:rPr>
                <w:sz w:val="16"/>
                <w:szCs w:val="16"/>
              </w:rPr>
            </w:pPr>
            <w:r>
              <w:rPr>
                <w:color w:val="000000"/>
                <w:sz w:val="16"/>
                <w:szCs w:val="16"/>
              </w:rPr>
              <w:t>T2DM</w:t>
            </w:r>
          </w:p>
          <w:p w14:paraId="66D9396C" w14:textId="77777777" w:rsidR="00830D35" w:rsidRDefault="00830D35" w:rsidP="00830D35">
            <w:pPr>
              <w:rPr>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367CC4AB" w14:textId="77777777" w:rsidR="00830D35" w:rsidRDefault="00830D35" w:rsidP="00830D35">
            <w:pPr>
              <w:rPr>
                <w:sz w:val="16"/>
                <w:szCs w:val="16"/>
              </w:rPr>
            </w:pPr>
            <w:r>
              <w:rPr>
                <w:sz w:val="16"/>
                <w:szCs w:val="16"/>
              </w:rPr>
              <w:t>Grau-Perez et al. 2018</w:t>
            </w:r>
          </w:p>
          <w:p w14:paraId="6B91A531" w14:textId="77777777" w:rsidR="00830D35" w:rsidRDefault="00830D35" w:rsidP="00830D35">
            <w:pPr>
              <w:rPr>
                <w:sz w:val="16"/>
                <w:szCs w:val="16"/>
              </w:rPr>
            </w:pPr>
          </w:p>
        </w:tc>
      </w:tr>
      <w:tr w:rsidR="00830D35" w14:paraId="53378F2B"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B005BE5" w14:textId="77777777" w:rsidR="00830D35" w:rsidRDefault="00830D35" w:rsidP="00830D35">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7D2098E" w14:textId="77777777" w:rsidR="00830D35" w:rsidRDefault="00830D35" w:rsidP="00830D35">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3FC54A41" w14:textId="77777777" w:rsidR="00830D35" w:rsidRDefault="00830D35" w:rsidP="00830D35">
            <w:pPr>
              <w:rPr>
                <w:color w:val="000000"/>
                <w:sz w:val="16"/>
                <w:szCs w:val="16"/>
              </w:rPr>
            </w:pPr>
            <w:r>
              <w:rPr>
                <w:color w:val="000000"/>
                <w:sz w:val="16"/>
                <w:szCs w:val="16"/>
              </w:rPr>
              <w:t>rs7901695</w:t>
            </w:r>
          </w:p>
        </w:tc>
        <w:tc>
          <w:tcPr>
            <w:tcW w:w="851" w:type="dxa"/>
            <w:tcBorders>
              <w:top w:val="single" w:sz="4" w:space="0" w:color="D0CECE"/>
              <w:bottom w:val="single" w:sz="4" w:space="0" w:color="000000"/>
            </w:tcBorders>
            <w:tcMar>
              <w:top w:w="-113" w:type="dxa"/>
              <w:left w:w="-113" w:type="dxa"/>
              <w:bottom w:w="-113" w:type="dxa"/>
              <w:right w:w="-113" w:type="dxa"/>
            </w:tcMar>
          </w:tcPr>
          <w:p w14:paraId="0EBE65E6" w14:textId="77777777" w:rsidR="00830D35" w:rsidRDefault="00830D35" w:rsidP="00830D35">
            <w:pPr>
              <w:rPr>
                <w:color w:val="000000"/>
                <w:sz w:val="16"/>
                <w:szCs w:val="16"/>
              </w:rPr>
            </w:pPr>
            <w:r>
              <w:rPr>
                <w:color w:val="000000"/>
                <w:sz w:val="16"/>
                <w:szCs w:val="16"/>
              </w:rPr>
              <w:t>T&gt;C</w:t>
            </w:r>
          </w:p>
        </w:tc>
        <w:tc>
          <w:tcPr>
            <w:tcW w:w="1701" w:type="dxa"/>
            <w:tcBorders>
              <w:top w:val="single" w:sz="4" w:space="0" w:color="D0CECE"/>
              <w:bottom w:val="single" w:sz="4" w:space="0" w:color="000000"/>
            </w:tcBorders>
            <w:tcMar>
              <w:top w:w="-113" w:type="dxa"/>
              <w:left w:w="-113" w:type="dxa"/>
              <w:bottom w:w="-113" w:type="dxa"/>
              <w:right w:w="-113" w:type="dxa"/>
            </w:tcMar>
          </w:tcPr>
          <w:p w14:paraId="3957EA91"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7CCE977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1C9675F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018CF642"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57C3EB0" w14:textId="77777777" w:rsidR="00830D35" w:rsidRDefault="00830D35" w:rsidP="00830D35">
            <w:pPr>
              <w:rPr>
                <w:i/>
                <w:color w:val="000000"/>
                <w:sz w:val="16"/>
                <w:szCs w:val="16"/>
              </w:rPr>
            </w:pPr>
            <w:r>
              <w:rPr>
                <w:i/>
                <w:color w:val="000000"/>
                <w:sz w:val="16"/>
                <w:szCs w:val="16"/>
              </w:rPr>
              <w:t>THADA</w:t>
            </w:r>
          </w:p>
          <w:p w14:paraId="5A7DA626" w14:textId="77777777" w:rsidR="00830D35" w:rsidRDefault="00830D35" w:rsidP="00830D35">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15BF332" w14:textId="77777777" w:rsidR="00830D35" w:rsidRDefault="00830D35" w:rsidP="00830D35">
            <w:pPr>
              <w:rPr>
                <w:color w:val="000000"/>
                <w:sz w:val="16"/>
                <w:szCs w:val="16"/>
              </w:rPr>
            </w:pPr>
            <w:r>
              <w:rPr>
                <w:color w:val="000000"/>
                <w:sz w:val="16"/>
                <w:szCs w:val="16"/>
              </w:rPr>
              <w:t>Thyroid adenoma-associated protein</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5F8D9483" w14:textId="77777777" w:rsidR="00830D35" w:rsidRDefault="00830D35" w:rsidP="00830D35">
            <w:pPr>
              <w:rPr>
                <w:color w:val="000000"/>
                <w:sz w:val="16"/>
                <w:szCs w:val="16"/>
              </w:rPr>
            </w:pPr>
            <w:r>
              <w:rPr>
                <w:color w:val="000000"/>
                <w:sz w:val="16"/>
                <w:szCs w:val="16"/>
              </w:rPr>
              <w:t>rs1549723</w:t>
            </w:r>
          </w:p>
        </w:tc>
        <w:tc>
          <w:tcPr>
            <w:tcW w:w="851" w:type="dxa"/>
            <w:tcBorders>
              <w:top w:val="single" w:sz="4" w:space="0" w:color="000000"/>
              <w:bottom w:val="single" w:sz="4" w:space="0" w:color="D0CECE"/>
            </w:tcBorders>
            <w:tcMar>
              <w:top w:w="-113" w:type="dxa"/>
              <w:left w:w="-113" w:type="dxa"/>
              <w:bottom w:w="-113" w:type="dxa"/>
              <w:right w:w="-113" w:type="dxa"/>
            </w:tcMar>
          </w:tcPr>
          <w:p w14:paraId="55874D24" w14:textId="77777777" w:rsidR="00830D35" w:rsidRDefault="00830D35" w:rsidP="00830D35">
            <w:pPr>
              <w:rPr>
                <w:color w:val="000000"/>
                <w:sz w:val="16"/>
                <w:szCs w:val="16"/>
              </w:rPr>
            </w:pPr>
            <w:r>
              <w:rPr>
                <w:color w:val="000000"/>
                <w:sz w:val="16"/>
                <w:szCs w:val="16"/>
              </w:rPr>
              <w:t>C&gt;</w:t>
            </w:r>
            <w:proofErr w:type="gramStart"/>
            <w:r>
              <w:rPr>
                <w:color w:val="000000"/>
                <w:sz w:val="16"/>
                <w:szCs w:val="16"/>
              </w:rPr>
              <w:t>A,T</w:t>
            </w:r>
            <w:proofErr w:type="gramEnd"/>
          </w:p>
        </w:tc>
        <w:tc>
          <w:tcPr>
            <w:tcW w:w="1701" w:type="dxa"/>
            <w:tcBorders>
              <w:top w:val="single" w:sz="4" w:space="0" w:color="000000"/>
              <w:bottom w:val="single" w:sz="4" w:space="0" w:color="D0CECE"/>
            </w:tcBorders>
            <w:tcMar>
              <w:top w:w="-113" w:type="dxa"/>
              <w:left w:w="-113" w:type="dxa"/>
              <w:bottom w:w="-113" w:type="dxa"/>
              <w:right w:w="-113" w:type="dxa"/>
            </w:tcMar>
          </w:tcPr>
          <w:p w14:paraId="42A738F7" w14:textId="77777777" w:rsidR="00830D35" w:rsidRDefault="00830D35" w:rsidP="00830D35">
            <w:pPr>
              <w:rPr>
                <w:color w:val="000000"/>
                <w:sz w:val="16"/>
                <w:szCs w:val="16"/>
              </w:rPr>
            </w:pPr>
            <w:r>
              <w:rPr>
                <w:sz w:val="16"/>
                <w:szCs w:val="16"/>
              </w:rPr>
              <w:t>Intron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2441423C" w14:textId="77777777" w:rsidR="00830D35" w:rsidRDefault="00830D35" w:rsidP="00830D35">
            <w:pPr>
              <w:rPr>
                <w:sz w:val="16"/>
                <w:szCs w:val="16"/>
              </w:rPr>
            </w:pPr>
            <w:r>
              <w:rPr>
                <w:color w:val="000000"/>
                <w:sz w:val="16"/>
                <w:szCs w:val="16"/>
              </w:rPr>
              <w:t>T2DM</w:t>
            </w:r>
          </w:p>
          <w:p w14:paraId="7696BDDA" w14:textId="77777777" w:rsidR="00830D35" w:rsidRDefault="00830D35" w:rsidP="00830D35">
            <w:pPr>
              <w:rPr>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0FFE4E08" w14:textId="77777777" w:rsidR="00830D35" w:rsidRDefault="00830D35" w:rsidP="00830D35">
            <w:pPr>
              <w:rPr>
                <w:sz w:val="16"/>
                <w:szCs w:val="16"/>
              </w:rPr>
            </w:pPr>
            <w:r>
              <w:rPr>
                <w:sz w:val="16"/>
                <w:szCs w:val="16"/>
              </w:rPr>
              <w:t xml:space="preserve">Pan </w:t>
            </w:r>
            <w:r>
              <w:rPr>
                <w:i/>
                <w:sz w:val="16"/>
                <w:szCs w:val="16"/>
              </w:rPr>
              <w:t>et al.</w:t>
            </w:r>
            <w:r>
              <w:rPr>
                <w:sz w:val="16"/>
                <w:szCs w:val="16"/>
              </w:rPr>
              <w:t xml:space="preserve"> 2013</w:t>
            </w:r>
          </w:p>
          <w:p w14:paraId="2A0449B9" w14:textId="77777777" w:rsidR="00830D35" w:rsidRDefault="00830D35" w:rsidP="00830D35">
            <w:pPr>
              <w:rPr>
                <w:sz w:val="16"/>
                <w:szCs w:val="16"/>
              </w:rPr>
            </w:pPr>
          </w:p>
        </w:tc>
      </w:tr>
      <w:tr w:rsidR="00830D35" w14:paraId="41E6BB3A"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7CFF05C" w14:textId="77777777" w:rsidR="00830D35" w:rsidRDefault="00830D35" w:rsidP="00830D35">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F44BD9C" w14:textId="77777777" w:rsidR="00830D35" w:rsidRDefault="00830D35" w:rsidP="00830D35">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2B2AD3E4" w14:textId="77777777" w:rsidR="00830D35" w:rsidRDefault="00830D35" w:rsidP="00830D35">
            <w:pPr>
              <w:rPr>
                <w:color w:val="000000"/>
                <w:sz w:val="16"/>
                <w:szCs w:val="16"/>
              </w:rPr>
            </w:pPr>
            <w:r>
              <w:rPr>
                <w:color w:val="000000"/>
                <w:sz w:val="16"/>
                <w:szCs w:val="16"/>
              </w:rPr>
              <w:t>rs17031056</w:t>
            </w:r>
          </w:p>
        </w:tc>
        <w:tc>
          <w:tcPr>
            <w:tcW w:w="851" w:type="dxa"/>
            <w:tcBorders>
              <w:top w:val="single" w:sz="4" w:space="0" w:color="D0CECE"/>
              <w:bottom w:val="single" w:sz="4" w:space="0" w:color="000000"/>
            </w:tcBorders>
            <w:tcMar>
              <w:top w:w="-113" w:type="dxa"/>
              <w:left w:w="-113" w:type="dxa"/>
              <w:bottom w:w="-113" w:type="dxa"/>
              <w:right w:w="-113" w:type="dxa"/>
            </w:tcMar>
          </w:tcPr>
          <w:p w14:paraId="250F953A" w14:textId="77777777" w:rsidR="00830D35" w:rsidRDefault="00830D35" w:rsidP="00830D35">
            <w:pPr>
              <w:rPr>
                <w:color w:val="000000"/>
                <w:sz w:val="16"/>
                <w:szCs w:val="16"/>
              </w:rPr>
            </w:pPr>
            <w:r>
              <w:rPr>
                <w:color w:val="000000"/>
                <w:sz w:val="16"/>
                <w:szCs w:val="16"/>
              </w:rPr>
              <w:t>C&gt;T</w:t>
            </w:r>
          </w:p>
        </w:tc>
        <w:tc>
          <w:tcPr>
            <w:tcW w:w="1701" w:type="dxa"/>
            <w:tcBorders>
              <w:top w:val="single" w:sz="4" w:space="0" w:color="D0CECE"/>
              <w:bottom w:val="single" w:sz="4" w:space="0" w:color="000000"/>
            </w:tcBorders>
            <w:tcMar>
              <w:top w:w="-113" w:type="dxa"/>
              <w:left w:w="-113" w:type="dxa"/>
              <w:bottom w:w="-113" w:type="dxa"/>
              <w:right w:w="-113" w:type="dxa"/>
            </w:tcMar>
          </w:tcPr>
          <w:p w14:paraId="61DCA786" w14:textId="77777777" w:rsidR="00830D35" w:rsidRDefault="00830D35" w:rsidP="00830D35">
            <w:pPr>
              <w:rPr>
                <w:color w:val="000000"/>
                <w:sz w:val="16"/>
                <w:szCs w:val="16"/>
              </w:rPr>
            </w:pPr>
            <w:r>
              <w:rPr>
                <w:color w:val="000000"/>
                <w:sz w:val="16"/>
                <w:szCs w:val="16"/>
              </w:rPr>
              <w:t>Missense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6913B2E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33C25940"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rsidRPr="0030321B" w14:paraId="346BD9B6"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BA964C7" w14:textId="77777777" w:rsidR="00830D35" w:rsidRDefault="00830D35" w:rsidP="00830D35">
            <w:pPr>
              <w:rPr>
                <w:i/>
                <w:color w:val="000000"/>
                <w:sz w:val="16"/>
                <w:szCs w:val="16"/>
              </w:rPr>
            </w:pPr>
            <w:r>
              <w:rPr>
                <w:i/>
                <w:color w:val="000000"/>
                <w:sz w:val="16"/>
                <w:szCs w:val="16"/>
              </w:rPr>
              <w:t>TNF</w:t>
            </w:r>
          </w:p>
          <w:p w14:paraId="3C8C15C9" w14:textId="77777777" w:rsidR="00830D35" w:rsidRDefault="00830D35" w:rsidP="00830D35">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52CA4A5" w14:textId="77777777" w:rsidR="00830D35" w:rsidRDefault="00830D35" w:rsidP="00830D35">
            <w:pPr>
              <w:rPr>
                <w:color w:val="000000"/>
                <w:sz w:val="16"/>
                <w:szCs w:val="16"/>
              </w:rPr>
            </w:pPr>
            <w:proofErr w:type="spellStart"/>
            <w:r>
              <w:rPr>
                <w:color w:val="000000"/>
                <w:sz w:val="16"/>
                <w:szCs w:val="16"/>
              </w:rPr>
              <w:t>Tumor</w:t>
            </w:r>
            <w:proofErr w:type="spellEnd"/>
            <w:r>
              <w:rPr>
                <w:color w:val="000000"/>
                <w:sz w:val="16"/>
                <w:szCs w:val="16"/>
              </w:rPr>
              <w:t xml:space="preserve"> necrosis factor</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7CB54BF8" w14:textId="77777777" w:rsidR="00830D35" w:rsidRDefault="00830D35" w:rsidP="00830D35">
            <w:pPr>
              <w:rPr>
                <w:color w:val="000000"/>
                <w:sz w:val="16"/>
                <w:szCs w:val="16"/>
              </w:rPr>
            </w:pPr>
            <w:r>
              <w:rPr>
                <w:color w:val="000000"/>
                <w:sz w:val="16"/>
                <w:szCs w:val="16"/>
              </w:rPr>
              <w:t>rs17207127</w:t>
            </w:r>
          </w:p>
        </w:tc>
        <w:tc>
          <w:tcPr>
            <w:tcW w:w="851" w:type="dxa"/>
            <w:tcBorders>
              <w:top w:val="single" w:sz="4" w:space="0" w:color="000000"/>
              <w:bottom w:val="single" w:sz="4" w:space="0" w:color="D0CECE"/>
            </w:tcBorders>
            <w:tcMar>
              <w:top w:w="-113" w:type="dxa"/>
              <w:left w:w="-113" w:type="dxa"/>
              <w:bottom w:w="-113" w:type="dxa"/>
              <w:right w:w="-113" w:type="dxa"/>
            </w:tcMar>
          </w:tcPr>
          <w:p w14:paraId="523056DD" w14:textId="77777777" w:rsidR="00830D35" w:rsidRDefault="00830D35" w:rsidP="00830D35">
            <w:pPr>
              <w:rPr>
                <w:color w:val="000000"/>
                <w:sz w:val="16"/>
                <w:szCs w:val="16"/>
              </w:rPr>
            </w:pPr>
            <w:r>
              <w:rPr>
                <w:color w:val="000000"/>
                <w:sz w:val="16"/>
                <w:szCs w:val="16"/>
              </w:rPr>
              <w:t>C&gt;T</w:t>
            </w:r>
          </w:p>
        </w:tc>
        <w:tc>
          <w:tcPr>
            <w:tcW w:w="1701" w:type="dxa"/>
            <w:tcBorders>
              <w:top w:val="single" w:sz="4" w:space="0" w:color="000000"/>
              <w:bottom w:val="single" w:sz="4" w:space="0" w:color="D0CECE"/>
            </w:tcBorders>
            <w:tcMar>
              <w:top w:w="-113" w:type="dxa"/>
              <w:left w:w="-113" w:type="dxa"/>
              <w:bottom w:w="-113" w:type="dxa"/>
              <w:right w:w="-113" w:type="dxa"/>
            </w:tcMar>
          </w:tcPr>
          <w:p w14:paraId="23813A2C" w14:textId="77777777" w:rsidR="00830D35" w:rsidRDefault="00830D35" w:rsidP="00830D35">
            <w:pPr>
              <w:rPr>
                <w:color w:val="000000"/>
                <w:sz w:val="16"/>
                <w:szCs w:val="16"/>
              </w:rPr>
            </w:pPr>
            <w:r>
              <w:rPr>
                <w:sz w:val="16"/>
                <w:szCs w:val="16"/>
              </w:rPr>
              <w:t>2KB Upstream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2FA17451" w14:textId="77777777" w:rsidR="00830D35" w:rsidRDefault="00830D35" w:rsidP="00830D35">
            <w:pPr>
              <w:rPr>
                <w:sz w:val="16"/>
                <w:szCs w:val="16"/>
              </w:rPr>
            </w:pPr>
            <w:r>
              <w:rPr>
                <w:color w:val="000000"/>
                <w:sz w:val="16"/>
                <w:szCs w:val="16"/>
              </w:rPr>
              <w:t>CVD</w:t>
            </w:r>
          </w:p>
          <w:p w14:paraId="5FF80218" w14:textId="77777777" w:rsidR="00830D35" w:rsidRDefault="00830D35" w:rsidP="00830D35">
            <w:pPr>
              <w:rPr>
                <w:sz w:val="16"/>
                <w:szCs w:val="16"/>
              </w:rPr>
            </w:pPr>
            <w:r>
              <w:rPr>
                <w:sz w:val="16"/>
                <w:szCs w:val="16"/>
              </w:rPr>
              <w:t>CIMT</w:t>
            </w: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4875352D" w14:textId="77777777" w:rsidR="00830D35" w:rsidRPr="00641BD3" w:rsidRDefault="00830D35" w:rsidP="00830D35">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5385CCBF" w14:textId="77777777" w:rsidR="00830D35" w:rsidRPr="00641BD3" w:rsidRDefault="00830D35" w:rsidP="00830D35">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p w14:paraId="4F0CAD94" w14:textId="77777777" w:rsidR="00830D35" w:rsidRPr="00641BD3" w:rsidRDefault="00830D35" w:rsidP="00830D35">
            <w:pPr>
              <w:rPr>
                <w:sz w:val="16"/>
                <w:szCs w:val="16"/>
                <w:lang w:val="es-ES"/>
              </w:rPr>
            </w:pPr>
          </w:p>
        </w:tc>
      </w:tr>
      <w:tr w:rsidR="00830D35" w14:paraId="04E63882"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88BF7E1" w14:textId="77777777" w:rsidR="00830D35" w:rsidRPr="00641BD3" w:rsidRDefault="00830D35" w:rsidP="00830D35">
            <w:pPr>
              <w:widowControl w:val="0"/>
              <w:pBdr>
                <w:top w:val="nil"/>
                <w:left w:val="nil"/>
                <w:bottom w:val="nil"/>
                <w:right w:val="nil"/>
                <w:between w:val="nil"/>
              </w:pBdr>
              <w:spacing w:line="276" w:lineRule="auto"/>
              <w:rPr>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CB147A2" w14:textId="77777777" w:rsidR="00830D35" w:rsidRPr="00641BD3" w:rsidRDefault="00830D35" w:rsidP="00830D35">
            <w:pPr>
              <w:widowControl w:val="0"/>
              <w:pBdr>
                <w:top w:val="nil"/>
                <w:left w:val="nil"/>
                <w:bottom w:val="nil"/>
                <w:right w:val="nil"/>
                <w:between w:val="nil"/>
              </w:pBdr>
              <w:spacing w:line="276" w:lineRule="auto"/>
              <w:rPr>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5815E3F9" w14:textId="77777777" w:rsidR="00830D35" w:rsidRDefault="00830D35" w:rsidP="00830D35">
            <w:pPr>
              <w:rPr>
                <w:color w:val="000000"/>
                <w:sz w:val="16"/>
                <w:szCs w:val="16"/>
              </w:rPr>
            </w:pPr>
            <w:r>
              <w:rPr>
                <w:color w:val="000000"/>
                <w:sz w:val="16"/>
                <w:szCs w:val="16"/>
              </w:rPr>
              <w:t>rs17207134</w:t>
            </w:r>
          </w:p>
        </w:tc>
        <w:tc>
          <w:tcPr>
            <w:tcW w:w="851" w:type="dxa"/>
            <w:tcBorders>
              <w:top w:val="single" w:sz="4" w:space="0" w:color="D0CECE"/>
              <w:bottom w:val="single" w:sz="4" w:space="0" w:color="D0CECE"/>
            </w:tcBorders>
            <w:tcMar>
              <w:top w:w="-113" w:type="dxa"/>
              <w:left w:w="-113" w:type="dxa"/>
              <w:bottom w:w="-113" w:type="dxa"/>
              <w:right w:w="-113" w:type="dxa"/>
            </w:tcMar>
          </w:tcPr>
          <w:p w14:paraId="5AD7A44B" w14:textId="77777777" w:rsidR="00830D35" w:rsidRDefault="00830D35" w:rsidP="00830D35">
            <w:pPr>
              <w:rPr>
                <w:color w:val="000000"/>
                <w:sz w:val="16"/>
                <w:szCs w:val="16"/>
              </w:rPr>
            </w:pPr>
            <w:r>
              <w:rPr>
                <w:color w:val="000000"/>
                <w:sz w:val="16"/>
                <w:szCs w:val="16"/>
              </w:rPr>
              <w:t>T&gt;C</w:t>
            </w:r>
          </w:p>
        </w:tc>
        <w:tc>
          <w:tcPr>
            <w:tcW w:w="1701" w:type="dxa"/>
            <w:tcBorders>
              <w:top w:val="single" w:sz="4" w:space="0" w:color="D0CECE"/>
              <w:bottom w:val="single" w:sz="4" w:space="0" w:color="D0CECE"/>
            </w:tcBorders>
            <w:tcMar>
              <w:top w:w="-113" w:type="dxa"/>
              <w:left w:w="-113" w:type="dxa"/>
              <w:bottom w:w="-113" w:type="dxa"/>
              <w:right w:w="-113" w:type="dxa"/>
            </w:tcMar>
          </w:tcPr>
          <w:p w14:paraId="1DC6AD1C" w14:textId="77777777" w:rsidR="00830D35" w:rsidRDefault="00830D35" w:rsidP="00830D35">
            <w:pPr>
              <w:rPr>
                <w:color w:val="000000"/>
                <w:sz w:val="16"/>
                <w:szCs w:val="16"/>
              </w:rPr>
            </w:pPr>
            <w:r>
              <w:rPr>
                <w:sz w:val="16"/>
                <w:szCs w:val="16"/>
              </w:rPr>
              <w:t>2KB Upstream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69EBD92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17F74A33"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25E002F8"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F128CA0"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5A98ED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64D9E190" w14:textId="77777777" w:rsidR="00830D35" w:rsidRDefault="00830D35" w:rsidP="00830D35">
            <w:pPr>
              <w:rPr>
                <w:color w:val="000000"/>
                <w:sz w:val="16"/>
                <w:szCs w:val="16"/>
              </w:rPr>
            </w:pPr>
            <w:r>
              <w:rPr>
                <w:color w:val="000000"/>
                <w:sz w:val="16"/>
                <w:szCs w:val="16"/>
              </w:rPr>
              <w:t>rs1799964</w:t>
            </w:r>
          </w:p>
        </w:tc>
        <w:tc>
          <w:tcPr>
            <w:tcW w:w="851" w:type="dxa"/>
            <w:tcBorders>
              <w:top w:val="single" w:sz="4" w:space="0" w:color="D0CECE"/>
              <w:bottom w:val="single" w:sz="4" w:space="0" w:color="D0CECE"/>
            </w:tcBorders>
            <w:tcMar>
              <w:top w:w="-113" w:type="dxa"/>
              <w:left w:w="-113" w:type="dxa"/>
              <w:bottom w:w="-113" w:type="dxa"/>
              <w:right w:w="-113" w:type="dxa"/>
            </w:tcMar>
          </w:tcPr>
          <w:p w14:paraId="15AF3D23" w14:textId="77777777" w:rsidR="00830D35" w:rsidRDefault="00830D35" w:rsidP="00830D35">
            <w:pPr>
              <w:rPr>
                <w:color w:val="000000"/>
                <w:sz w:val="16"/>
                <w:szCs w:val="16"/>
              </w:rPr>
            </w:pPr>
            <w:r>
              <w:rPr>
                <w:color w:val="000000"/>
                <w:sz w:val="16"/>
                <w:szCs w:val="16"/>
              </w:rPr>
              <w:t>T&gt;A</w:t>
            </w:r>
          </w:p>
        </w:tc>
        <w:tc>
          <w:tcPr>
            <w:tcW w:w="1701" w:type="dxa"/>
            <w:tcBorders>
              <w:top w:val="single" w:sz="4" w:space="0" w:color="D0CECE"/>
              <w:bottom w:val="single" w:sz="4" w:space="0" w:color="D0CECE"/>
            </w:tcBorders>
            <w:tcMar>
              <w:top w:w="-113" w:type="dxa"/>
              <w:left w:w="-113" w:type="dxa"/>
              <w:bottom w:w="-113" w:type="dxa"/>
              <w:right w:w="-113" w:type="dxa"/>
            </w:tcMar>
          </w:tcPr>
          <w:p w14:paraId="7EC929CC" w14:textId="77777777" w:rsidR="00830D35" w:rsidRDefault="00830D35" w:rsidP="00830D35">
            <w:pPr>
              <w:rPr>
                <w:color w:val="000000"/>
                <w:sz w:val="16"/>
                <w:szCs w:val="16"/>
              </w:rPr>
            </w:pPr>
            <w:r>
              <w:rPr>
                <w:sz w:val="16"/>
                <w:szCs w:val="16"/>
              </w:rPr>
              <w:t>2KB Upstream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06557F4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18FFBC1A"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71150006"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DDEAF8D"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3016455"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6772B584" w14:textId="77777777" w:rsidR="00830D35" w:rsidRDefault="00830D35" w:rsidP="00830D35">
            <w:pPr>
              <w:rPr>
                <w:color w:val="000000"/>
                <w:sz w:val="16"/>
                <w:szCs w:val="16"/>
              </w:rPr>
            </w:pPr>
            <w:r>
              <w:rPr>
                <w:color w:val="000000"/>
                <w:sz w:val="16"/>
                <w:szCs w:val="16"/>
              </w:rPr>
              <w:t>rs1800610</w:t>
            </w:r>
          </w:p>
        </w:tc>
        <w:tc>
          <w:tcPr>
            <w:tcW w:w="851" w:type="dxa"/>
            <w:tcBorders>
              <w:top w:val="single" w:sz="4" w:space="0" w:color="D0CECE"/>
              <w:bottom w:val="single" w:sz="4" w:space="0" w:color="D0CECE"/>
            </w:tcBorders>
            <w:tcMar>
              <w:top w:w="-113" w:type="dxa"/>
              <w:left w:w="-113" w:type="dxa"/>
              <w:bottom w:w="-113" w:type="dxa"/>
              <w:right w:w="-113" w:type="dxa"/>
            </w:tcMar>
          </w:tcPr>
          <w:p w14:paraId="36AA8257" w14:textId="77777777" w:rsidR="00830D35" w:rsidRDefault="00830D35" w:rsidP="00830D35">
            <w:pPr>
              <w:rPr>
                <w:color w:val="000000"/>
                <w:sz w:val="16"/>
                <w:szCs w:val="16"/>
              </w:rPr>
            </w:pPr>
            <w:r>
              <w:rPr>
                <w:color w:val="000000"/>
                <w:sz w:val="16"/>
                <w:szCs w:val="16"/>
              </w:rPr>
              <w:t>G&gt;A</w:t>
            </w:r>
          </w:p>
        </w:tc>
        <w:tc>
          <w:tcPr>
            <w:tcW w:w="1701" w:type="dxa"/>
            <w:tcBorders>
              <w:top w:val="single" w:sz="4" w:space="0" w:color="D0CECE"/>
              <w:bottom w:val="single" w:sz="4" w:space="0" w:color="D0CECE"/>
            </w:tcBorders>
            <w:tcMar>
              <w:top w:w="-113" w:type="dxa"/>
              <w:left w:w="-113" w:type="dxa"/>
              <w:bottom w:w="-113" w:type="dxa"/>
              <w:right w:w="-113" w:type="dxa"/>
            </w:tcMar>
          </w:tcPr>
          <w:p w14:paraId="465717FA"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163F998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20F1A35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5DC03EFF"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DAECCD5"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5F4DB60"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5D90BD1A" w14:textId="77777777" w:rsidR="00830D35" w:rsidRDefault="00830D35" w:rsidP="00830D35">
            <w:pPr>
              <w:rPr>
                <w:sz w:val="16"/>
                <w:szCs w:val="16"/>
              </w:rPr>
            </w:pPr>
            <w:r>
              <w:rPr>
                <w:color w:val="000000"/>
                <w:sz w:val="16"/>
                <w:szCs w:val="16"/>
              </w:rPr>
              <w:t>rs1800630</w:t>
            </w:r>
          </w:p>
          <w:p w14:paraId="14B37660" w14:textId="77777777" w:rsidR="00830D35" w:rsidRDefault="00830D35" w:rsidP="00830D35">
            <w:pPr>
              <w:rPr>
                <w:sz w:val="16"/>
                <w:szCs w:val="16"/>
              </w:rPr>
            </w:pPr>
          </w:p>
        </w:tc>
        <w:tc>
          <w:tcPr>
            <w:tcW w:w="851" w:type="dxa"/>
            <w:vMerge w:val="restart"/>
            <w:tcBorders>
              <w:top w:val="single" w:sz="4" w:space="0" w:color="D0CECE"/>
              <w:bottom w:val="single" w:sz="4" w:space="0" w:color="D0CECE"/>
            </w:tcBorders>
            <w:tcMar>
              <w:top w:w="-113" w:type="dxa"/>
              <w:left w:w="-113" w:type="dxa"/>
              <w:bottom w:w="-113" w:type="dxa"/>
              <w:right w:w="-113" w:type="dxa"/>
            </w:tcMar>
          </w:tcPr>
          <w:p w14:paraId="43D0F1E1" w14:textId="77777777" w:rsidR="00830D35" w:rsidRDefault="00830D35" w:rsidP="00830D35">
            <w:pPr>
              <w:rPr>
                <w:color w:val="000000"/>
                <w:sz w:val="16"/>
                <w:szCs w:val="16"/>
              </w:rPr>
            </w:pPr>
            <w:r>
              <w:rPr>
                <w:color w:val="000000"/>
                <w:sz w:val="16"/>
                <w:szCs w:val="16"/>
              </w:rPr>
              <w:t>C&gt;</w:t>
            </w:r>
            <w:proofErr w:type="gramStart"/>
            <w:r>
              <w:rPr>
                <w:color w:val="000000"/>
                <w:sz w:val="16"/>
                <w:szCs w:val="16"/>
              </w:rPr>
              <w:t>A,G</w:t>
            </w:r>
            <w:proofErr w:type="gramEnd"/>
          </w:p>
        </w:tc>
        <w:tc>
          <w:tcPr>
            <w:tcW w:w="1701" w:type="dxa"/>
            <w:vMerge w:val="restart"/>
            <w:tcBorders>
              <w:top w:val="single" w:sz="4" w:space="0" w:color="D0CECE"/>
              <w:bottom w:val="single" w:sz="4" w:space="0" w:color="D0CECE"/>
            </w:tcBorders>
            <w:tcMar>
              <w:top w:w="-113" w:type="dxa"/>
              <w:left w:w="-113" w:type="dxa"/>
              <w:bottom w:w="-113" w:type="dxa"/>
              <w:right w:w="-113" w:type="dxa"/>
            </w:tcMar>
          </w:tcPr>
          <w:p w14:paraId="41DC16A3" w14:textId="77777777" w:rsidR="00830D35" w:rsidRDefault="00830D35" w:rsidP="00830D35">
            <w:pPr>
              <w:rPr>
                <w:color w:val="000000"/>
                <w:sz w:val="16"/>
                <w:szCs w:val="16"/>
              </w:rPr>
            </w:pPr>
            <w:r>
              <w:rPr>
                <w:sz w:val="16"/>
                <w:szCs w:val="16"/>
              </w:rPr>
              <w:t>2KB Upstream variant</w:t>
            </w:r>
          </w:p>
        </w:tc>
        <w:tc>
          <w:tcPr>
            <w:tcW w:w="708" w:type="dxa"/>
            <w:tcBorders>
              <w:top w:val="single" w:sz="4" w:space="0" w:color="D0CECE"/>
              <w:bottom w:val="single" w:sz="4" w:space="0" w:color="D0CECE"/>
            </w:tcBorders>
            <w:tcMar>
              <w:top w:w="-113" w:type="dxa"/>
              <w:left w:w="-113" w:type="dxa"/>
              <w:bottom w:w="-113" w:type="dxa"/>
              <w:right w:w="-113" w:type="dxa"/>
            </w:tcMar>
          </w:tcPr>
          <w:p w14:paraId="335D3326" w14:textId="77777777" w:rsidR="00830D35" w:rsidRDefault="00830D35" w:rsidP="00830D35">
            <w:pPr>
              <w:rPr>
                <w:color w:val="000000"/>
                <w:sz w:val="16"/>
                <w:szCs w:val="16"/>
              </w:rPr>
            </w:pPr>
            <w:r>
              <w:rPr>
                <w:color w:val="000000"/>
                <w:sz w:val="16"/>
                <w:szCs w:val="16"/>
              </w:rPr>
              <w:t>BP</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197FFAAB" w14:textId="77777777" w:rsidR="00830D35" w:rsidRDefault="00830D35" w:rsidP="00830D35">
            <w:pPr>
              <w:rPr>
                <w:color w:val="000000"/>
                <w:sz w:val="16"/>
                <w:szCs w:val="16"/>
              </w:rPr>
            </w:pPr>
            <w:r>
              <w:rPr>
                <w:sz w:val="16"/>
                <w:szCs w:val="16"/>
              </w:rPr>
              <w:t xml:space="preserve">Farzan </w:t>
            </w:r>
            <w:r>
              <w:rPr>
                <w:i/>
                <w:sz w:val="16"/>
                <w:szCs w:val="16"/>
              </w:rPr>
              <w:t>et al.</w:t>
            </w:r>
            <w:r>
              <w:rPr>
                <w:sz w:val="16"/>
                <w:szCs w:val="16"/>
              </w:rPr>
              <w:t xml:space="preserve"> 2016</w:t>
            </w:r>
          </w:p>
        </w:tc>
      </w:tr>
      <w:tr w:rsidR="00830D35" w:rsidRPr="0030321B" w14:paraId="607A7C04" w14:textId="77777777" w:rsidTr="00923C73">
        <w:trPr>
          <w:trHeight w:val="317"/>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33DA46A"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ED93FF0"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4F76B453"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tcMar>
              <w:top w:w="-113" w:type="dxa"/>
              <w:left w:w="-113" w:type="dxa"/>
              <w:bottom w:w="-113" w:type="dxa"/>
              <w:right w:w="-113" w:type="dxa"/>
            </w:tcMar>
          </w:tcPr>
          <w:p w14:paraId="17F0C1B3"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tcMar>
              <w:top w:w="-113" w:type="dxa"/>
              <w:left w:w="-113" w:type="dxa"/>
              <w:bottom w:w="-113" w:type="dxa"/>
              <w:right w:w="-113" w:type="dxa"/>
            </w:tcMar>
          </w:tcPr>
          <w:p w14:paraId="0A43B8F0"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708" w:type="dxa"/>
            <w:vMerge w:val="restart"/>
            <w:tcBorders>
              <w:top w:val="single" w:sz="4" w:space="0" w:color="D0CECE"/>
              <w:bottom w:val="single" w:sz="4" w:space="0" w:color="D0CECE"/>
            </w:tcBorders>
            <w:tcMar>
              <w:top w:w="-113" w:type="dxa"/>
              <w:left w:w="-113" w:type="dxa"/>
              <w:bottom w:w="-113" w:type="dxa"/>
              <w:right w:w="-113" w:type="dxa"/>
            </w:tcMar>
          </w:tcPr>
          <w:p w14:paraId="631A788C" w14:textId="77777777" w:rsidR="00830D35" w:rsidRDefault="00830D35" w:rsidP="00830D35">
            <w:pPr>
              <w:rPr>
                <w:sz w:val="16"/>
                <w:szCs w:val="16"/>
              </w:rPr>
            </w:pPr>
            <w:r>
              <w:rPr>
                <w:color w:val="000000"/>
                <w:sz w:val="16"/>
                <w:szCs w:val="16"/>
              </w:rPr>
              <w:t>CVD</w:t>
            </w:r>
          </w:p>
          <w:p w14:paraId="098F76E4" w14:textId="77777777" w:rsidR="00830D35" w:rsidRDefault="00830D35" w:rsidP="00830D35">
            <w:pPr>
              <w:rPr>
                <w:sz w:val="16"/>
                <w:szCs w:val="16"/>
              </w:rPr>
            </w:pPr>
            <w:r>
              <w:rPr>
                <w:sz w:val="16"/>
                <w:szCs w:val="16"/>
              </w:rPr>
              <w:t>CIMT</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5FD0CF1C" w14:textId="77777777" w:rsidR="00830D35" w:rsidRPr="00641BD3" w:rsidRDefault="00830D35" w:rsidP="00830D35">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68A64D8B" w14:textId="77777777" w:rsidR="00830D35" w:rsidRPr="00641BD3" w:rsidRDefault="00830D35" w:rsidP="00830D35">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p w14:paraId="4EF9CEAC" w14:textId="77777777" w:rsidR="00830D35" w:rsidRPr="00641BD3" w:rsidRDefault="00830D35" w:rsidP="00830D35">
            <w:pPr>
              <w:rPr>
                <w:sz w:val="16"/>
                <w:szCs w:val="16"/>
                <w:lang w:val="es-ES"/>
              </w:rPr>
            </w:pPr>
          </w:p>
        </w:tc>
      </w:tr>
      <w:tr w:rsidR="00830D35" w14:paraId="5A546F42"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5F495FF" w14:textId="77777777" w:rsidR="00830D35" w:rsidRPr="00641BD3" w:rsidRDefault="00830D35" w:rsidP="00830D35">
            <w:pPr>
              <w:widowControl w:val="0"/>
              <w:pBdr>
                <w:top w:val="nil"/>
                <w:left w:val="nil"/>
                <w:bottom w:val="nil"/>
                <w:right w:val="nil"/>
                <w:between w:val="nil"/>
              </w:pBdr>
              <w:spacing w:line="276" w:lineRule="auto"/>
              <w:rPr>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32B2ABC" w14:textId="77777777" w:rsidR="00830D35" w:rsidRPr="00641BD3" w:rsidRDefault="00830D35" w:rsidP="00830D35">
            <w:pPr>
              <w:widowControl w:val="0"/>
              <w:pBdr>
                <w:top w:val="nil"/>
                <w:left w:val="nil"/>
                <w:bottom w:val="nil"/>
                <w:right w:val="nil"/>
                <w:between w:val="nil"/>
              </w:pBdr>
              <w:spacing w:line="276" w:lineRule="auto"/>
              <w:rPr>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A1332A2" w14:textId="77777777" w:rsidR="00830D35" w:rsidRDefault="00830D35" w:rsidP="00830D35">
            <w:pPr>
              <w:rPr>
                <w:color w:val="000000"/>
                <w:sz w:val="16"/>
                <w:szCs w:val="16"/>
              </w:rPr>
            </w:pPr>
            <w:r>
              <w:rPr>
                <w:color w:val="000000"/>
                <w:sz w:val="16"/>
                <w:szCs w:val="16"/>
              </w:rPr>
              <w:t>rs2228088</w:t>
            </w:r>
          </w:p>
        </w:tc>
        <w:tc>
          <w:tcPr>
            <w:tcW w:w="851" w:type="dxa"/>
            <w:tcBorders>
              <w:top w:val="single" w:sz="4" w:space="0" w:color="D0CECE"/>
              <w:bottom w:val="single" w:sz="4" w:space="0" w:color="D0CECE"/>
            </w:tcBorders>
            <w:tcMar>
              <w:top w:w="-113" w:type="dxa"/>
              <w:left w:w="-113" w:type="dxa"/>
              <w:bottom w:w="-113" w:type="dxa"/>
              <w:right w:w="-113" w:type="dxa"/>
            </w:tcMar>
          </w:tcPr>
          <w:p w14:paraId="5D8A3D80" w14:textId="77777777" w:rsidR="00830D35" w:rsidRDefault="00830D35" w:rsidP="00830D35">
            <w:pPr>
              <w:rPr>
                <w:color w:val="000000"/>
                <w:sz w:val="16"/>
                <w:szCs w:val="16"/>
              </w:rPr>
            </w:pPr>
            <w:r>
              <w:rPr>
                <w:color w:val="000000"/>
                <w:sz w:val="16"/>
                <w:szCs w:val="16"/>
              </w:rPr>
              <w:t>G&gt;</w:t>
            </w:r>
            <w:proofErr w:type="gramStart"/>
            <w:r>
              <w:rPr>
                <w:color w:val="000000"/>
                <w:sz w:val="16"/>
                <w:szCs w:val="16"/>
              </w:rPr>
              <w:t>A,C</w:t>
            </w:r>
            <w:proofErr w:type="gramEnd"/>
            <w:r>
              <w:rPr>
                <w:color w:val="000000"/>
                <w:sz w:val="16"/>
                <w:szCs w:val="16"/>
              </w:rPr>
              <w:t>,T</w:t>
            </w:r>
          </w:p>
        </w:tc>
        <w:tc>
          <w:tcPr>
            <w:tcW w:w="1701" w:type="dxa"/>
            <w:tcBorders>
              <w:top w:val="single" w:sz="4" w:space="0" w:color="D0CECE"/>
              <w:bottom w:val="single" w:sz="4" w:space="0" w:color="D0CECE"/>
            </w:tcBorders>
            <w:tcMar>
              <w:top w:w="-113" w:type="dxa"/>
              <w:left w:w="-113" w:type="dxa"/>
              <w:bottom w:w="-113" w:type="dxa"/>
              <w:right w:w="-113" w:type="dxa"/>
            </w:tcMar>
          </w:tcPr>
          <w:p w14:paraId="1B6650BD" w14:textId="77777777" w:rsidR="00830D35" w:rsidRDefault="00830D35" w:rsidP="00830D35">
            <w:pPr>
              <w:rPr>
                <w:color w:val="000000"/>
                <w:sz w:val="16"/>
                <w:szCs w:val="16"/>
              </w:rPr>
            </w:pPr>
            <w:r>
              <w:rPr>
                <w:color w:val="000000"/>
                <w:sz w:val="16"/>
                <w:szCs w:val="16"/>
              </w:rPr>
              <w:t>Synonymous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3F34121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4BA6D55F"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675D14D7"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43D1755"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6B5085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A0E0A89" w14:textId="77777777" w:rsidR="00830D35" w:rsidRDefault="00830D35" w:rsidP="00830D35">
            <w:pPr>
              <w:rPr>
                <w:color w:val="000000"/>
                <w:sz w:val="16"/>
                <w:szCs w:val="16"/>
              </w:rPr>
            </w:pPr>
            <w:r>
              <w:rPr>
                <w:color w:val="000000"/>
                <w:sz w:val="16"/>
                <w:szCs w:val="16"/>
              </w:rPr>
              <w:t>rs3093544</w:t>
            </w:r>
          </w:p>
        </w:tc>
        <w:tc>
          <w:tcPr>
            <w:tcW w:w="851" w:type="dxa"/>
            <w:tcBorders>
              <w:top w:val="single" w:sz="4" w:space="0" w:color="D0CECE"/>
              <w:bottom w:val="single" w:sz="4" w:space="0" w:color="D0CECE"/>
            </w:tcBorders>
            <w:tcMar>
              <w:top w:w="-113" w:type="dxa"/>
              <w:left w:w="-113" w:type="dxa"/>
              <w:bottom w:w="-113" w:type="dxa"/>
              <w:right w:w="-113" w:type="dxa"/>
            </w:tcMar>
          </w:tcPr>
          <w:p w14:paraId="17B6F932" w14:textId="77777777" w:rsidR="00830D35" w:rsidRDefault="00830D35" w:rsidP="00830D35">
            <w:pPr>
              <w:rPr>
                <w:color w:val="000000"/>
                <w:sz w:val="16"/>
                <w:szCs w:val="16"/>
              </w:rPr>
            </w:pPr>
            <w:r>
              <w:rPr>
                <w:color w:val="000000"/>
                <w:sz w:val="16"/>
                <w:szCs w:val="16"/>
              </w:rPr>
              <w:t>A&gt;G</w:t>
            </w:r>
          </w:p>
        </w:tc>
        <w:tc>
          <w:tcPr>
            <w:tcW w:w="1701" w:type="dxa"/>
            <w:tcBorders>
              <w:top w:val="single" w:sz="4" w:space="0" w:color="D0CECE"/>
              <w:bottom w:val="single" w:sz="4" w:space="0" w:color="D0CECE"/>
            </w:tcBorders>
            <w:tcMar>
              <w:top w:w="-113" w:type="dxa"/>
              <w:left w:w="-113" w:type="dxa"/>
              <w:bottom w:w="-113" w:type="dxa"/>
              <w:right w:w="-113" w:type="dxa"/>
            </w:tcMar>
          </w:tcPr>
          <w:p w14:paraId="6182BB51" w14:textId="77777777" w:rsidR="00830D35" w:rsidRDefault="00830D35" w:rsidP="00830D35">
            <w:pPr>
              <w:rPr>
                <w:color w:val="000000"/>
                <w:sz w:val="16"/>
                <w:szCs w:val="16"/>
              </w:rPr>
            </w:pPr>
            <w:r>
              <w:rPr>
                <w:sz w:val="16"/>
                <w:szCs w:val="16"/>
              </w:rPr>
              <w:t>2KB Upstream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6F590F8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46B6A176"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5B9D80B1"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8F5684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9AF36E6"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51DA092B" w14:textId="77777777" w:rsidR="00830D35" w:rsidRDefault="00830D35" w:rsidP="00830D35">
            <w:pPr>
              <w:rPr>
                <w:color w:val="000000"/>
                <w:sz w:val="16"/>
                <w:szCs w:val="16"/>
              </w:rPr>
            </w:pPr>
            <w:r>
              <w:rPr>
                <w:color w:val="000000"/>
                <w:sz w:val="16"/>
                <w:szCs w:val="16"/>
              </w:rPr>
              <w:t>rs3093547</w:t>
            </w:r>
          </w:p>
        </w:tc>
        <w:tc>
          <w:tcPr>
            <w:tcW w:w="851" w:type="dxa"/>
            <w:tcBorders>
              <w:top w:val="single" w:sz="4" w:space="0" w:color="D0CECE"/>
              <w:bottom w:val="single" w:sz="4" w:space="0" w:color="D0CECE"/>
            </w:tcBorders>
            <w:tcMar>
              <w:top w:w="-113" w:type="dxa"/>
              <w:left w:w="-113" w:type="dxa"/>
              <w:bottom w:w="-113" w:type="dxa"/>
              <w:right w:w="-113" w:type="dxa"/>
            </w:tcMar>
          </w:tcPr>
          <w:p w14:paraId="349E9AF3" w14:textId="77777777" w:rsidR="00830D35" w:rsidRDefault="00830D35" w:rsidP="00830D35">
            <w:pPr>
              <w:rPr>
                <w:color w:val="000000"/>
                <w:sz w:val="16"/>
                <w:szCs w:val="16"/>
              </w:rPr>
            </w:pPr>
            <w:r>
              <w:rPr>
                <w:color w:val="000000"/>
                <w:sz w:val="16"/>
                <w:szCs w:val="16"/>
              </w:rPr>
              <w:t>T&gt;A</w:t>
            </w:r>
          </w:p>
        </w:tc>
        <w:tc>
          <w:tcPr>
            <w:tcW w:w="1701" w:type="dxa"/>
            <w:tcBorders>
              <w:top w:val="single" w:sz="4" w:space="0" w:color="D0CECE"/>
              <w:bottom w:val="single" w:sz="4" w:space="0" w:color="D0CECE"/>
            </w:tcBorders>
            <w:tcMar>
              <w:top w:w="-113" w:type="dxa"/>
              <w:left w:w="-113" w:type="dxa"/>
              <w:bottom w:w="-113" w:type="dxa"/>
              <w:right w:w="-113" w:type="dxa"/>
            </w:tcMar>
          </w:tcPr>
          <w:p w14:paraId="43AB3E6F" w14:textId="77777777" w:rsidR="00830D35" w:rsidRDefault="00830D35" w:rsidP="00830D35">
            <w:pPr>
              <w:rPr>
                <w:color w:val="000000"/>
                <w:sz w:val="16"/>
                <w:szCs w:val="16"/>
              </w:rPr>
            </w:pPr>
            <w:r>
              <w:rPr>
                <w:sz w:val="16"/>
                <w:szCs w:val="16"/>
              </w:rPr>
              <w:t>2KB Upstream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1B87003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25201A4B"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21CCE1C7"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45EF126"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9561966"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7190252" w14:textId="77777777" w:rsidR="00830D35" w:rsidRDefault="00830D35" w:rsidP="00830D35">
            <w:pPr>
              <w:rPr>
                <w:color w:val="000000"/>
                <w:sz w:val="16"/>
                <w:szCs w:val="16"/>
              </w:rPr>
            </w:pPr>
            <w:r>
              <w:rPr>
                <w:color w:val="000000"/>
                <w:sz w:val="16"/>
                <w:szCs w:val="16"/>
              </w:rPr>
              <w:t>rs3093661</w:t>
            </w:r>
          </w:p>
        </w:tc>
        <w:tc>
          <w:tcPr>
            <w:tcW w:w="851" w:type="dxa"/>
            <w:tcBorders>
              <w:top w:val="single" w:sz="4" w:space="0" w:color="D0CECE"/>
              <w:bottom w:val="single" w:sz="4" w:space="0" w:color="D0CECE"/>
            </w:tcBorders>
            <w:tcMar>
              <w:top w:w="-113" w:type="dxa"/>
              <w:left w:w="-113" w:type="dxa"/>
              <w:bottom w:w="-113" w:type="dxa"/>
              <w:right w:w="-113" w:type="dxa"/>
            </w:tcMar>
          </w:tcPr>
          <w:p w14:paraId="257ADA55" w14:textId="77777777" w:rsidR="00830D35" w:rsidRDefault="00830D35" w:rsidP="00830D35">
            <w:pPr>
              <w:rPr>
                <w:color w:val="000000"/>
                <w:sz w:val="16"/>
                <w:szCs w:val="16"/>
              </w:rPr>
            </w:pPr>
            <w:r>
              <w:rPr>
                <w:color w:val="000000"/>
                <w:sz w:val="16"/>
                <w:szCs w:val="16"/>
              </w:rPr>
              <w:t>G&gt;</w:t>
            </w:r>
            <w:proofErr w:type="gramStart"/>
            <w:r>
              <w:rPr>
                <w:color w:val="000000"/>
                <w:sz w:val="16"/>
                <w:szCs w:val="16"/>
              </w:rPr>
              <w:t>A,C</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7516C0D9"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04F13A19"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354E8EE6"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23AC077A"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BFE4910"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545C65F"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10D8295E" w14:textId="77777777" w:rsidR="00830D35" w:rsidRDefault="00830D35" w:rsidP="00830D35">
            <w:pPr>
              <w:rPr>
                <w:color w:val="000000"/>
                <w:sz w:val="16"/>
                <w:szCs w:val="16"/>
              </w:rPr>
            </w:pPr>
            <w:r>
              <w:rPr>
                <w:color w:val="000000"/>
                <w:sz w:val="16"/>
                <w:szCs w:val="16"/>
              </w:rPr>
              <w:t>rs3093662</w:t>
            </w:r>
          </w:p>
        </w:tc>
        <w:tc>
          <w:tcPr>
            <w:tcW w:w="851" w:type="dxa"/>
            <w:tcBorders>
              <w:top w:val="single" w:sz="4" w:space="0" w:color="D0CECE"/>
              <w:bottom w:val="single" w:sz="4" w:space="0" w:color="D0CECE"/>
            </w:tcBorders>
            <w:tcMar>
              <w:top w:w="-113" w:type="dxa"/>
              <w:left w:w="-113" w:type="dxa"/>
              <w:bottom w:w="-113" w:type="dxa"/>
              <w:right w:w="-113" w:type="dxa"/>
            </w:tcMar>
          </w:tcPr>
          <w:p w14:paraId="4FB7C28E" w14:textId="77777777" w:rsidR="00830D35" w:rsidRDefault="00830D35" w:rsidP="00830D35">
            <w:pPr>
              <w:rPr>
                <w:color w:val="000000"/>
                <w:sz w:val="16"/>
                <w:szCs w:val="16"/>
              </w:rPr>
            </w:pPr>
            <w:r>
              <w:rPr>
                <w:color w:val="000000"/>
                <w:sz w:val="16"/>
                <w:szCs w:val="16"/>
              </w:rPr>
              <w:t>A&gt;G</w:t>
            </w:r>
          </w:p>
        </w:tc>
        <w:tc>
          <w:tcPr>
            <w:tcW w:w="1701" w:type="dxa"/>
            <w:tcBorders>
              <w:top w:val="single" w:sz="4" w:space="0" w:color="D0CECE"/>
              <w:bottom w:val="single" w:sz="4" w:space="0" w:color="D0CECE"/>
            </w:tcBorders>
            <w:tcMar>
              <w:top w:w="-113" w:type="dxa"/>
              <w:left w:w="-113" w:type="dxa"/>
              <w:bottom w:w="-113" w:type="dxa"/>
              <w:right w:w="-113" w:type="dxa"/>
            </w:tcMar>
          </w:tcPr>
          <w:p w14:paraId="57AF9F65"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0782CF6B"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405BFAA9"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4AB35A15"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9A7A43F"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F54BEF5"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12E8E15" w14:textId="77777777" w:rsidR="00830D35" w:rsidRDefault="00830D35" w:rsidP="00830D35">
            <w:pPr>
              <w:rPr>
                <w:color w:val="000000"/>
                <w:sz w:val="16"/>
                <w:szCs w:val="16"/>
              </w:rPr>
            </w:pPr>
            <w:r>
              <w:rPr>
                <w:color w:val="000000"/>
                <w:sz w:val="16"/>
                <w:szCs w:val="16"/>
              </w:rPr>
              <w:t>rs3093664</w:t>
            </w:r>
          </w:p>
        </w:tc>
        <w:tc>
          <w:tcPr>
            <w:tcW w:w="851" w:type="dxa"/>
            <w:tcBorders>
              <w:top w:val="single" w:sz="4" w:space="0" w:color="D0CECE"/>
              <w:bottom w:val="single" w:sz="4" w:space="0" w:color="D0CECE"/>
            </w:tcBorders>
            <w:tcMar>
              <w:top w:w="-113" w:type="dxa"/>
              <w:left w:w="-113" w:type="dxa"/>
              <w:bottom w:w="-113" w:type="dxa"/>
              <w:right w:w="-113" w:type="dxa"/>
            </w:tcMar>
          </w:tcPr>
          <w:p w14:paraId="720D5D45" w14:textId="77777777" w:rsidR="00830D35" w:rsidRDefault="00830D35" w:rsidP="00830D35">
            <w:pPr>
              <w:rPr>
                <w:color w:val="000000"/>
                <w:sz w:val="16"/>
                <w:szCs w:val="16"/>
              </w:rPr>
            </w:pPr>
            <w:r>
              <w:rPr>
                <w:color w:val="000000"/>
                <w:sz w:val="16"/>
                <w:szCs w:val="16"/>
              </w:rPr>
              <w:t>A&gt;G</w:t>
            </w:r>
          </w:p>
        </w:tc>
        <w:tc>
          <w:tcPr>
            <w:tcW w:w="1701" w:type="dxa"/>
            <w:tcBorders>
              <w:top w:val="single" w:sz="4" w:space="0" w:color="D0CECE"/>
              <w:bottom w:val="single" w:sz="4" w:space="0" w:color="D0CECE"/>
            </w:tcBorders>
            <w:tcMar>
              <w:top w:w="-113" w:type="dxa"/>
              <w:left w:w="-113" w:type="dxa"/>
              <w:bottom w:w="-113" w:type="dxa"/>
              <w:right w:w="-113" w:type="dxa"/>
            </w:tcMar>
          </w:tcPr>
          <w:p w14:paraId="05C00F44"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341651A3"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57469AF4"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42524C74"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D93B07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5E6BBF3"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7FC51B83" w14:textId="77777777" w:rsidR="00830D35" w:rsidRDefault="00830D35" w:rsidP="00830D35">
            <w:pPr>
              <w:rPr>
                <w:color w:val="000000"/>
                <w:sz w:val="16"/>
                <w:szCs w:val="16"/>
              </w:rPr>
            </w:pPr>
            <w:r>
              <w:rPr>
                <w:color w:val="000000"/>
                <w:sz w:val="16"/>
                <w:szCs w:val="16"/>
              </w:rPr>
              <w:t>rs3093665</w:t>
            </w:r>
          </w:p>
        </w:tc>
        <w:tc>
          <w:tcPr>
            <w:tcW w:w="851" w:type="dxa"/>
            <w:tcBorders>
              <w:top w:val="single" w:sz="4" w:space="0" w:color="D0CECE"/>
              <w:bottom w:val="single" w:sz="4" w:space="0" w:color="D0CECE"/>
            </w:tcBorders>
            <w:tcMar>
              <w:top w:w="-113" w:type="dxa"/>
              <w:left w:w="-113" w:type="dxa"/>
              <w:bottom w:w="-113" w:type="dxa"/>
              <w:right w:w="-113" w:type="dxa"/>
            </w:tcMar>
          </w:tcPr>
          <w:p w14:paraId="47BD604F" w14:textId="77777777" w:rsidR="00830D35" w:rsidRDefault="00830D35" w:rsidP="00830D35">
            <w:pPr>
              <w:rPr>
                <w:color w:val="000000"/>
                <w:sz w:val="16"/>
                <w:szCs w:val="16"/>
              </w:rPr>
            </w:pPr>
            <w:r>
              <w:rPr>
                <w:color w:val="000000"/>
                <w:sz w:val="16"/>
                <w:szCs w:val="16"/>
              </w:rPr>
              <w:t>A&gt;C</w:t>
            </w:r>
          </w:p>
        </w:tc>
        <w:tc>
          <w:tcPr>
            <w:tcW w:w="1701" w:type="dxa"/>
            <w:tcBorders>
              <w:top w:val="single" w:sz="4" w:space="0" w:color="D0CECE"/>
              <w:bottom w:val="single" w:sz="4" w:space="0" w:color="D0CECE"/>
            </w:tcBorders>
            <w:tcMar>
              <w:top w:w="-113" w:type="dxa"/>
              <w:left w:w="-113" w:type="dxa"/>
              <w:bottom w:w="-113" w:type="dxa"/>
              <w:right w:w="-113" w:type="dxa"/>
            </w:tcMar>
          </w:tcPr>
          <w:p w14:paraId="472489F2" w14:textId="77777777" w:rsidR="00830D35" w:rsidRDefault="00830D35" w:rsidP="00830D35">
            <w:pPr>
              <w:rPr>
                <w:color w:val="000000"/>
                <w:sz w:val="16"/>
                <w:szCs w:val="16"/>
              </w:rPr>
            </w:pPr>
            <w:r>
              <w:rPr>
                <w:sz w:val="16"/>
                <w:szCs w:val="16"/>
              </w:rPr>
              <w:t>3 Prime UTR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5FCCDB2F"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510184D9"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73EDCA1B"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A4BCCE3"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9001CF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14653822" w14:textId="77777777" w:rsidR="00830D35" w:rsidRDefault="00830D35" w:rsidP="00830D35">
            <w:pPr>
              <w:rPr>
                <w:sz w:val="16"/>
                <w:szCs w:val="16"/>
              </w:rPr>
            </w:pPr>
            <w:r>
              <w:rPr>
                <w:color w:val="000000"/>
                <w:sz w:val="16"/>
                <w:szCs w:val="16"/>
              </w:rPr>
              <w:t>rs3179060</w:t>
            </w:r>
          </w:p>
          <w:p w14:paraId="0A272D92" w14:textId="77777777" w:rsidR="00830D35" w:rsidRDefault="00830D35" w:rsidP="00830D35">
            <w:pPr>
              <w:rPr>
                <w:sz w:val="16"/>
                <w:szCs w:val="16"/>
              </w:rPr>
            </w:pPr>
          </w:p>
        </w:tc>
        <w:tc>
          <w:tcPr>
            <w:tcW w:w="851" w:type="dxa"/>
            <w:vMerge w:val="restart"/>
            <w:tcBorders>
              <w:top w:val="single" w:sz="4" w:space="0" w:color="D0CECE"/>
              <w:bottom w:val="single" w:sz="4" w:space="0" w:color="D0CECE"/>
            </w:tcBorders>
            <w:tcMar>
              <w:top w:w="-113" w:type="dxa"/>
              <w:left w:w="-113" w:type="dxa"/>
              <w:bottom w:w="-113" w:type="dxa"/>
              <w:right w:w="-113" w:type="dxa"/>
            </w:tcMar>
          </w:tcPr>
          <w:p w14:paraId="1C0BFCE1" w14:textId="77777777" w:rsidR="00830D35" w:rsidRDefault="00830D35" w:rsidP="00830D35">
            <w:pPr>
              <w:rPr>
                <w:color w:val="000000"/>
                <w:sz w:val="16"/>
                <w:szCs w:val="16"/>
              </w:rPr>
            </w:pPr>
            <w:r>
              <w:rPr>
                <w:color w:val="000000"/>
                <w:sz w:val="16"/>
                <w:szCs w:val="16"/>
              </w:rPr>
              <w:t>C&gt;</w:t>
            </w:r>
            <w:proofErr w:type="gramStart"/>
            <w:r>
              <w:rPr>
                <w:color w:val="000000"/>
                <w:sz w:val="16"/>
                <w:szCs w:val="16"/>
              </w:rPr>
              <w:t>A,T</w:t>
            </w:r>
            <w:proofErr w:type="gramEnd"/>
          </w:p>
        </w:tc>
        <w:tc>
          <w:tcPr>
            <w:tcW w:w="1701" w:type="dxa"/>
            <w:vMerge w:val="restart"/>
            <w:tcBorders>
              <w:top w:val="single" w:sz="4" w:space="0" w:color="D0CECE"/>
              <w:bottom w:val="single" w:sz="4" w:space="0" w:color="D0CECE"/>
            </w:tcBorders>
            <w:tcMar>
              <w:top w:w="-113" w:type="dxa"/>
              <w:left w:w="-113" w:type="dxa"/>
              <w:bottom w:w="-113" w:type="dxa"/>
              <w:right w:w="-113" w:type="dxa"/>
            </w:tcMar>
          </w:tcPr>
          <w:p w14:paraId="12F0F81E" w14:textId="77777777" w:rsidR="00830D35" w:rsidRDefault="00830D35" w:rsidP="00830D35">
            <w:pPr>
              <w:rPr>
                <w:color w:val="000000"/>
                <w:sz w:val="16"/>
                <w:szCs w:val="16"/>
              </w:rPr>
            </w:pPr>
            <w:r>
              <w:rPr>
                <w:color w:val="000000"/>
                <w:sz w:val="16"/>
                <w:szCs w:val="16"/>
              </w:rPr>
              <w:t>Missense variant</w:t>
            </w:r>
          </w:p>
        </w:tc>
        <w:tc>
          <w:tcPr>
            <w:tcW w:w="708" w:type="dxa"/>
            <w:tcBorders>
              <w:top w:val="single" w:sz="4" w:space="0" w:color="D0CECE"/>
              <w:bottom w:val="single" w:sz="4" w:space="0" w:color="D0CECE"/>
            </w:tcBorders>
            <w:tcMar>
              <w:top w:w="-113" w:type="dxa"/>
              <w:left w:w="-113" w:type="dxa"/>
              <w:bottom w:w="-113" w:type="dxa"/>
              <w:right w:w="-113" w:type="dxa"/>
            </w:tcMar>
          </w:tcPr>
          <w:p w14:paraId="416B491A" w14:textId="77777777" w:rsidR="00830D35" w:rsidRDefault="00830D35" w:rsidP="00830D35">
            <w:pPr>
              <w:rPr>
                <w:color w:val="000000"/>
                <w:sz w:val="16"/>
                <w:szCs w:val="16"/>
              </w:rPr>
            </w:pPr>
            <w:r>
              <w:rPr>
                <w:color w:val="000000"/>
                <w:sz w:val="16"/>
                <w:szCs w:val="16"/>
              </w:rPr>
              <w:t>BP</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4BE038BF" w14:textId="77777777" w:rsidR="00830D35" w:rsidRDefault="00830D35" w:rsidP="00830D35">
            <w:pPr>
              <w:rPr>
                <w:color w:val="000000"/>
                <w:sz w:val="16"/>
                <w:szCs w:val="16"/>
              </w:rPr>
            </w:pPr>
            <w:r>
              <w:rPr>
                <w:sz w:val="16"/>
                <w:szCs w:val="16"/>
              </w:rPr>
              <w:t xml:space="preserve">Farzan </w:t>
            </w:r>
            <w:r>
              <w:rPr>
                <w:i/>
                <w:sz w:val="16"/>
                <w:szCs w:val="16"/>
              </w:rPr>
              <w:t>et al.</w:t>
            </w:r>
            <w:r>
              <w:rPr>
                <w:sz w:val="16"/>
                <w:szCs w:val="16"/>
              </w:rPr>
              <w:t xml:space="preserve"> 2016</w:t>
            </w:r>
          </w:p>
        </w:tc>
      </w:tr>
      <w:tr w:rsidR="00830D35" w:rsidRPr="0030321B" w14:paraId="5519C1EF"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46F5C0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F2A59E0"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56C6BE5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tcMar>
              <w:top w:w="-113" w:type="dxa"/>
              <w:left w:w="-113" w:type="dxa"/>
              <w:bottom w:w="-113" w:type="dxa"/>
              <w:right w:w="-113" w:type="dxa"/>
            </w:tcMar>
          </w:tcPr>
          <w:p w14:paraId="2180F2E3"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tcMar>
              <w:top w:w="-113" w:type="dxa"/>
              <w:left w:w="-113" w:type="dxa"/>
              <w:bottom w:w="-113" w:type="dxa"/>
              <w:right w:w="-113" w:type="dxa"/>
            </w:tcMar>
          </w:tcPr>
          <w:p w14:paraId="6AF2BBCA"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708" w:type="dxa"/>
            <w:tcBorders>
              <w:top w:val="single" w:sz="4" w:space="0" w:color="D0CECE"/>
              <w:bottom w:val="single" w:sz="4" w:space="0" w:color="D0CECE"/>
            </w:tcBorders>
            <w:tcMar>
              <w:top w:w="-113" w:type="dxa"/>
              <w:left w:w="-113" w:type="dxa"/>
              <w:bottom w:w="-113" w:type="dxa"/>
              <w:right w:w="-113" w:type="dxa"/>
            </w:tcMar>
          </w:tcPr>
          <w:p w14:paraId="7D1B1F9A" w14:textId="77777777" w:rsidR="00830D35" w:rsidRDefault="00830D35" w:rsidP="00830D35">
            <w:pPr>
              <w:rPr>
                <w:color w:val="000000"/>
                <w:sz w:val="16"/>
                <w:szCs w:val="16"/>
              </w:rPr>
            </w:pPr>
            <w:r>
              <w:rPr>
                <w:color w:val="000000"/>
                <w:sz w:val="16"/>
                <w:szCs w:val="16"/>
              </w:rPr>
              <w:t>CVD</w:t>
            </w:r>
          </w:p>
          <w:p w14:paraId="14985474" w14:textId="77777777" w:rsidR="00830D35" w:rsidRDefault="00830D35" w:rsidP="00830D35">
            <w:pPr>
              <w:rPr>
                <w:sz w:val="16"/>
                <w:szCs w:val="16"/>
              </w:rPr>
            </w:pPr>
            <w:r>
              <w:rPr>
                <w:sz w:val="16"/>
                <w:szCs w:val="16"/>
              </w:rPr>
              <w:t>CIMT</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32ECA335" w14:textId="77777777" w:rsidR="00830D35" w:rsidRPr="00641BD3" w:rsidRDefault="00830D35" w:rsidP="00830D35">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3B3E0384" w14:textId="77777777" w:rsidR="00830D35" w:rsidRPr="00641BD3" w:rsidRDefault="00830D35" w:rsidP="00830D35">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tc>
      </w:tr>
      <w:tr w:rsidR="00830D35" w14:paraId="5ABF612A"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831C5A4" w14:textId="77777777" w:rsidR="00830D35" w:rsidRPr="00641BD3" w:rsidRDefault="00830D35" w:rsidP="00830D35">
            <w:pPr>
              <w:widowControl w:val="0"/>
              <w:pBdr>
                <w:top w:val="nil"/>
                <w:left w:val="nil"/>
                <w:bottom w:val="nil"/>
                <w:right w:val="nil"/>
                <w:between w:val="nil"/>
              </w:pBdr>
              <w:spacing w:line="276" w:lineRule="auto"/>
              <w:rPr>
                <w:color w:val="000000"/>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877F9ED" w14:textId="77777777" w:rsidR="00830D35" w:rsidRPr="00641BD3" w:rsidRDefault="00830D35" w:rsidP="00830D35">
            <w:pPr>
              <w:widowControl w:val="0"/>
              <w:pBdr>
                <w:top w:val="nil"/>
                <w:left w:val="nil"/>
                <w:bottom w:val="nil"/>
                <w:right w:val="nil"/>
                <w:between w:val="nil"/>
              </w:pBdr>
              <w:spacing w:line="276" w:lineRule="auto"/>
              <w:rPr>
                <w:color w:val="000000"/>
                <w:sz w:val="16"/>
                <w:szCs w:val="16"/>
                <w:lang w:val="es-ES"/>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7DBBA84D" w14:textId="77777777" w:rsidR="00830D35" w:rsidRDefault="00830D35" w:rsidP="00830D35">
            <w:pPr>
              <w:rPr>
                <w:sz w:val="16"/>
                <w:szCs w:val="16"/>
              </w:rPr>
            </w:pPr>
            <w:r>
              <w:rPr>
                <w:color w:val="000000"/>
                <w:sz w:val="16"/>
                <w:szCs w:val="16"/>
              </w:rPr>
              <w:t>rs4248159</w:t>
            </w:r>
          </w:p>
          <w:p w14:paraId="23347C73" w14:textId="77777777" w:rsidR="00830D35" w:rsidRDefault="00830D35" w:rsidP="00830D35">
            <w:pPr>
              <w:rPr>
                <w:sz w:val="16"/>
                <w:szCs w:val="16"/>
              </w:rPr>
            </w:pPr>
          </w:p>
        </w:tc>
        <w:tc>
          <w:tcPr>
            <w:tcW w:w="85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2F96FF9A" w14:textId="77777777" w:rsidR="00830D35" w:rsidRDefault="00830D35" w:rsidP="00830D35">
            <w:pPr>
              <w:rPr>
                <w:color w:val="000000"/>
                <w:sz w:val="16"/>
                <w:szCs w:val="16"/>
              </w:rPr>
            </w:pPr>
            <w:r>
              <w:rPr>
                <w:color w:val="000000"/>
                <w:sz w:val="16"/>
                <w:szCs w:val="16"/>
              </w:rPr>
              <w:t>C&gt;A</w:t>
            </w:r>
          </w:p>
        </w:tc>
        <w:tc>
          <w:tcPr>
            <w:tcW w:w="1701" w:type="dxa"/>
            <w:vMerge w:val="restart"/>
            <w:tcBorders>
              <w:top w:val="single" w:sz="4" w:space="0" w:color="D0CECE"/>
              <w:bottom w:val="single" w:sz="4" w:space="0" w:color="D0CECE"/>
            </w:tcBorders>
            <w:shd w:val="clear" w:color="auto" w:fill="auto"/>
            <w:tcMar>
              <w:top w:w="-113" w:type="dxa"/>
              <w:left w:w="-113" w:type="dxa"/>
              <w:bottom w:w="-113" w:type="dxa"/>
              <w:right w:w="-113" w:type="dxa"/>
            </w:tcMar>
          </w:tcPr>
          <w:p w14:paraId="4ED876C9" w14:textId="77777777" w:rsidR="00830D35" w:rsidRDefault="00830D35" w:rsidP="00830D35">
            <w:pPr>
              <w:rPr>
                <w:color w:val="000000"/>
                <w:sz w:val="16"/>
                <w:szCs w:val="16"/>
              </w:rPr>
            </w:pPr>
            <w:r>
              <w:rPr>
                <w:sz w:val="16"/>
                <w:szCs w:val="16"/>
              </w:rPr>
              <w:t>2KB Upstream variant</w:t>
            </w:r>
          </w:p>
        </w:tc>
        <w:tc>
          <w:tcPr>
            <w:tcW w:w="708" w:type="dxa"/>
            <w:tcBorders>
              <w:top w:val="single" w:sz="4" w:space="0" w:color="D0CECE"/>
              <w:bottom w:val="single" w:sz="4" w:space="0" w:color="D0CECE"/>
            </w:tcBorders>
            <w:shd w:val="clear" w:color="auto" w:fill="auto"/>
            <w:tcMar>
              <w:top w:w="-113" w:type="dxa"/>
              <w:left w:w="-113" w:type="dxa"/>
              <w:bottom w:w="-113" w:type="dxa"/>
              <w:right w:w="-113" w:type="dxa"/>
            </w:tcMar>
          </w:tcPr>
          <w:p w14:paraId="6151CD91" w14:textId="77777777" w:rsidR="00830D35" w:rsidRDefault="00830D35" w:rsidP="00830D35">
            <w:pPr>
              <w:rPr>
                <w:color w:val="000000"/>
                <w:sz w:val="16"/>
                <w:szCs w:val="16"/>
              </w:rPr>
            </w:pPr>
            <w:r>
              <w:rPr>
                <w:color w:val="000000"/>
                <w:sz w:val="16"/>
                <w:szCs w:val="16"/>
              </w:rPr>
              <w:t>SBP</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1A4817A2" w14:textId="77777777" w:rsidR="00830D35" w:rsidRDefault="00830D35" w:rsidP="00830D35">
            <w:pPr>
              <w:rPr>
                <w:color w:val="000000"/>
                <w:sz w:val="16"/>
                <w:szCs w:val="16"/>
              </w:rPr>
            </w:pPr>
            <w:r>
              <w:rPr>
                <w:sz w:val="16"/>
                <w:szCs w:val="16"/>
              </w:rPr>
              <w:t xml:space="preserve">Farzan </w:t>
            </w:r>
            <w:r>
              <w:rPr>
                <w:i/>
                <w:sz w:val="16"/>
                <w:szCs w:val="16"/>
              </w:rPr>
              <w:t>et al.</w:t>
            </w:r>
            <w:r>
              <w:rPr>
                <w:sz w:val="16"/>
                <w:szCs w:val="16"/>
              </w:rPr>
              <w:t xml:space="preserve"> 2016</w:t>
            </w:r>
          </w:p>
        </w:tc>
      </w:tr>
      <w:tr w:rsidR="00830D35" w:rsidRPr="0030321B" w14:paraId="590CFD53" w14:textId="77777777" w:rsidTr="00923C73">
        <w:trPr>
          <w:trHeight w:val="317"/>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AFF74C0"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52EEA8D"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63E9065A"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7DA5907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shd w:val="clear" w:color="auto" w:fill="auto"/>
            <w:tcMar>
              <w:top w:w="-113" w:type="dxa"/>
              <w:left w:w="-113" w:type="dxa"/>
              <w:bottom w:w="-113" w:type="dxa"/>
              <w:right w:w="-113" w:type="dxa"/>
            </w:tcMar>
          </w:tcPr>
          <w:p w14:paraId="53A358E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708" w:type="dxa"/>
            <w:vMerge w:val="restart"/>
            <w:tcBorders>
              <w:top w:val="single" w:sz="4" w:space="0" w:color="D0CECE"/>
              <w:bottom w:val="single" w:sz="4" w:space="0" w:color="D0CECE"/>
            </w:tcBorders>
            <w:tcMar>
              <w:top w:w="-113" w:type="dxa"/>
              <w:left w:w="-113" w:type="dxa"/>
              <w:bottom w:w="-113" w:type="dxa"/>
              <w:right w:w="-113" w:type="dxa"/>
            </w:tcMar>
          </w:tcPr>
          <w:p w14:paraId="3C958622" w14:textId="77777777" w:rsidR="00830D35" w:rsidRDefault="00830D35" w:rsidP="00830D35">
            <w:pPr>
              <w:rPr>
                <w:sz w:val="16"/>
                <w:szCs w:val="16"/>
              </w:rPr>
            </w:pPr>
            <w:r>
              <w:rPr>
                <w:color w:val="000000"/>
                <w:sz w:val="16"/>
                <w:szCs w:val="16"/>
              </w:rPr>
              <w:t>CVD</w:t>
            </w:r>
          </w:p>
          <w:p w14:paraId="4F478A63" w14:textId="77777777" w:rsidR="00830D35" w:rsidRDefault="00830D35" w:rsidP="00830D35">
            <w:pPr>
              <w:rPr>
                <w:sz w:val="16"/>
                <w:szCs w:val="16"/>
              </w:rPr>
            </w:pPr>
            <w:r>
              <w:rPr>
                <w:sz w:val="16"/>
                <w:szCs w:val="16"/>
              </w:rPr>
              <w:t>CIMT</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694CF1C" w14:textId="77777777" w:rsidR="00830D35" w:rsidRPr="00641BD3" w:rsidRDefault="00830D35" w:rsidP="00830D35">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15DA222B" w14:textId="77777777" w:rsidR="00830D35" w:rsidRPr="00641BD3" w:rsidRDefault="00830D35" w:rsidP="00830D35">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p w14:paraId="6C5D798D" w14:textId="77777777" w:rsidR="00830D35" w:rsidRPr="00641BD3" w:rsidRDefault="00830D35" w:rsidP="00830D35">
            <w:pPr>
              <w:rPr>
                <w:sz w:val="16"/>
                <w:szCs w:val="16"/>
                <w:lang w:val="es-ES"/>
              </w:rPr>
            </w:pPr>
          </w:p>
        </w:tc>
      </w:tr>
      <w:tr w:rsidR="00830D35" w14:paraId="1E26F813"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25F3098" w14:textId="77777777" w:rsidR="00830D35" w:rsidRPr="00641BD3" w:rsidRDefault="00830D35" w:rsidP="00830D35">
            <w:pPr>
              <w:widowControl w:val="0"/>
              <w:pBdr>
                <w:top w:val="nil"/>
                <w:left w:val="nil"/>
                <w:bottom w:val="nil"/>
                <w:right w:val="nil"/>
                <w:between w:val="nil"/>
              </w:pBdr>
              <w:spacing w:line="276" w:lineRule="auto"/>
              <w:rPr>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8D81015" w14:textId="77777777" w:rsidR="00830D35" w:rsidRPr="00641BD3" w:rsidRDefault="00830D35" w:rsidP="00830D35">
            <w:pPr>
              <w:widowControl w:val="0"/>
              <w:pBdr>
                <w:top w:val="nil"/>
                <w:left w:val="nil"/>
                <w:bottom w:val="nil"/>
                <w:right w:val="nil"/>
                <w:between w:val="nil"/>
              </w:pBdr>
              <w:spacing w:line="276" w:lineRule="auto"/>
              <w:rPr>
                <w:sz w:val="16"/>
                <w:szCs w:val="16"/>
                <w:lang w:val="es-ES"/>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13EDDFCE" w14:textId="77777777" w:rsidR="00830D35" w:rsidRDefault="00830D35" w:rsidP="00830D35">
            <w:pPr>
              <w:rPr>
                <w:color w:val="000000"/>
                <w:sz w:val="16"/>
                <w:szCs w:val="16"/>
              </w:rPr>
            </w:pPr>
            <w:r>
              <w:rPr>
                <w:color w:val="000000"/>
                <w:sz w:val="16"/>
                <w:szCs w:val="16"/>
              </w:rPr>
              <w:t>rs4645843</w:t>
            </w:r>
          </w:p>
        </w:tc>
        <w:tc>
          <w:tcPr>
            <w:tcW w:w="851" w:type="dxa"/>
            <w:tcBorders>
              <w:top w:val="single" w:sz="4" w:space="0" w:color="D0CECE"/>
              <w:bottom w:val="single" w:sz="4" w:space="0" w:color="000000"/>
            </w:tcBorders>
            <w:tcMar>
              <w:top w:w="-113" w:type="dxa"/>
              <w:left w:w="-113" w:type="dxa"/>
              <w:bottom w:w="-113" w:type="dxa"/>
              <w:right w:w="-113" w:type="dxa"/>
            </w:tcMar>
          </w:tcPr>
          <w:p w14:paraId="27AFA426" w14:textId="77777777" w:rsidR="00830D35" w:rsidRDefault="00830D35" w:rsidP="00830D35">
            <w:pPr>
              <w:rPr>
                <w:color w:val="000000"/>
                <w:sz w:val="16"/>
                <w:szCs w:val="16"/>
              </w:rPr>
            </w:pPr>
            <w:r>
              <w:rPr>
                <w:color w:val="000000"/>
                <w:sz w:val="16"/>
                <w:szCs w:val="16"/>
              </w:rPr>
              <w:t>C&gt;</w:t>
            </w:r>
            <w:proofErr w:type="gramStart"/>
            <w:r>
              <w:rPr>
                <w:color w:val="000000"/>
                <w:sz w:val="16"/>
                <w:szCs w:val="16"/>
              </w:rPr>
              <w:t>G,T</w:t>
            </w:r>
            <w:proofErr w:type="gramEnd"/>
          </w:p>
        </w:tc>
        <w:tc>
          <w:tcPr>
            <w:tcW w:w="1701" w:type="dxa"/>
            <w:tcBorders>
              <w:top w:val="single" w:sz="4" w:space="0" w:color="D0CECE"/>
              <w:bottom w:val="single" w:sz="4" w:space="0" w:color="000000"/>
            </w:tcBorders>
            <w:tcMar>
              <w:top w:w="-113" w:type="dxa"/>
              <w:left w:w="-113" w:type="dxa"/>
              <w:bottom w:w="-113" w:type="dxa"/>
              <w:right w:w="-113" w:type="dxa"/>
            </w:tcMar>
          </w:tcPr>
          <w:p w14:paraId="18391621" w14:textId="77777777" w:rsidR="00830D35" w:rsidRDefault="00830D35" w:rsidP="00830D35">
            <w:pPr>
              <w:rPr>
                <w:color w:val="000000"/>
                <w:sz w:val="16"/>
                <w:szCs w:val="16"/>
              </w:rPr>
            </w:pPr>
            <w:r>
              <w:rPr>
                <w:color w:val="000000"/>
                <w:sz w:val="16"/>
                <w:szCs w:val="16"/>
              </w:rPr>
              <w:t>Missense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6112BF09"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2737AE50"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57EA3DE7"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5807AF8B" w14:textId="77777777" w:rsidR="00830D35" w:rsidRDefault="00830D35" w:rsidP="00830D35">
            <w:pPr>
              <w:rPr>
                <w:i/>
                <w:color w:val="000000"/>
                <w:sz w:val="16"/>
                <w:szCs w:val="16"/>
              </w:rPr>
            </w:pPr>
            <w:r>
              <w:rPr>
                <w:i/>
                <w:color w:val="000000"/>
                <w:sz w:val="16"/>
                <w:szCs w:val="16"/>
              </w:rPr>
              <w:t>TNFA</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39E63BA4" w14:textId="77777777" w:rsidR="00830D35" w:rsidRDefault="00830D35" w:rsidP="00830D35">
            <w:pPr>
              <w:rPr>
                <w:color w:val="000000"/>
                <w:sz w:val="16"/>
                <w:szCs w:val="16"/>
              </w:rPr>
            </w:pPr>
            <w:proofErr w:type="spellStart"/>
            <w:r>
              <w:rPr>
                <w:color w:val="000000"/>
                <w:sz w:val="16"/>
                <w:szCs w:val="16"/>
              </w:rPr>
              <w:t>Tumor</w:t>
            </w:r>
            <w:proofErr w:type="spellEnd"/>
            <w:r>
              <w:rPr>
                <w:color w:val="000000"/>
                <w:sz w:val="16"/>
                <w:szCs w:val="16"/>
              </w:rPr>
              <w:t xml:space="preserve"> necrosis factor</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508ADBBE" w14:textId="77777777" w:rsidR="00830D35" w:rsidRDefault="00830D35" w:rsidP="00830D35">
            <w:pPr>
              <w:rPr>
                <w:color w:val="000000"/>
                <w:sz w:val="16"/>
                <w:szCs w:val="16"/>
              </w:rPr>
            </w:pPr>
            <w:r>
              <w:rPr>
                <w:color w:val="000000"/>
                <w:sz w:val="16"/>
                <w:szCs w:val="16"/>
              </w:rPr>
              <w:t>rs1799964</w:t>
            </w:r>
          </w:p>
        </w:tc>
        <w:tc>
          <w:tcPr>
            <w:tcW w:w="851" w:type="dxa"/>
            <w:tcBorders>
              <w:top w:val="single" w:sz="4" w:space="0" w:color="000000"/>
              <w:bottom w:val="single" w:sz="4" w:space="0" w:color="000000"/>
            </w:tcBorders>
            <w:tcMar>
              <w:top w:w="-113" w:type="dxa"/>
              <w:left w:w="-113" w:type="dxa"/>
              <w:bottom w:w="-113" w:type="dxa"/>
              <w:right w:w="-113" w:type="dxa"/>
            </w:tcMar>
          </w:tcPr>
          <w:p w14:paraId="7A1CE7B4" w14:textId="77777777" w:rsidR="00830D35" w:rsidRDefault="00830D35" w:rsidP="00830D35">
            <w:pPr>
              <w:rPr>
                <w:color w:val="000000"/>
                <w:sz w:val="16"/>
                <w:szCs w:val="16"/>
              </w:rPr>
            </w:pPr>
            <w:r>
              <w:rPr>
                <w:sz w:val="16"/>
                <w:szCs w:val="16"/>
              </w:rPr>
              <w:t>T&gt;C</w:t>
            </w:r>
          </w:p>
        </w:tc>
        <w:tc>
          <w:tcPr>
            <w:tcW w:w="1701" w:type="dxa"/>
            <w:tcBorders>
              <w:top w:val="single" w:sz="4" w:space="0" w:color="000000"/>
              <w:bottom w:val="single" w:sz="4" w:space="0" w:color="000000"/>
            </w:tcBorders>
            <w:tcMar>
              <w:top w:w="-113" w:type="dxa"/>
              <w:left w:w="-113" w:type="dxa"/>
              <w:bottom w:w="-113" w:type="dxa"/>
              <w:right w:w="-113" w:type="dxa"/>
            </w:tcMar>
          </w:tcPr>
          <w:p w14:paraId="41F1E2DF" w14:textId="77777777" w:rsidR="00830D35" w:rsidRDefault="00830D35" w:rsidP="00830D35">
            <w:pPr>
              <w:rPr>
                <w:color w:val="000000"/>
                <w:sz w:val="16"/>
                <w:szCs w:val="16"/>
              </w:rPr>
            </w:pPr>
            <w:r>
              <w:rPr>
                <w:sz w:val="16"/>
                <w:szCs w:val="16"/>
              </w:rPr>
              <w:t>2KB Upstream variant</w:t>
            </w:r>
          </w:p>
        </w:tc>
        <w:tc>
          <w:tcPr>
            <w:tcW w:w="708" w:type="dxa"/>
            <w:tcBorders>
              <w:top w:val="single" w:sz="4" w:space="0" w:color="000000"/>
              <w:bottom w:val="single" w:sz="4" w:space="0" w:color="000000"/>
            </w:tcBorders>
            <w:tcMar>
              <w:top w:w="-113" w:type="dxa"/>
              <w:left w:w="-113" w:type="dxa"/>
              <w:bottom w:w="-113" w:type="dxa"/>
              <w:right w:w="-113" w:type="dxa"/>
            </w:tcMar>
          </w:tcPr>
          <w:p w14:paraId="77994FDD" w14:textId="77777777" w:rsidR="00830D35" w:rsidRDefault="00830D35" w:rsidP="00830D35">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4F99BCBB" w14:textId="77777777" w:rsidR="00830D35" w:rsidRDefault="00830D35" w:rsidP="00830D35">
            <w:pPr>
              <w:rPr>
                <w:color w:val="000000"/>
                <w:sz w:val="16"/>
                <w:szCs w:val="16"/>
              </w:rPr>
            </w:pPr>
            <w:r>
              <w:rPr>
                <w:sz w:val="16"/>
                <w:szCs w:val="16"/>
              </w:rPr>
              <w:t>Grau-Perez et al. 2018</w:t>
            </w:r>
          </w:p>
        </w:tc>
      </w:tr>
      <w:tr w:rsidR="00830D35" w14:paraId="11BC9771"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055BD4E" w14:textId="77777777" w:rsidR="00830D35" w:rsidRDefault="00830D35" w:rsidP="00830D35">
            <w:pPr>
              <w:rPr>
                <w:i/>
                <w:color w:val="000000"/>
                <w:sz w:val="16"/>
                <w:szCs w:val="16"/>
              </w:rPr>
            </w:pPr>
            <w:r>
              <w:rPr>
                <w:i/>
                <w:color w:val="000000"/>
                <w:sz w:val="16"/>
                <w:szCs w:val="16"/>
              </w:rPr>
              <w:t>TNFRSF1A</w:t>
            </w:r>
          </w:p>
          <w:p w14:paraId="044C32E1" w14:textId="77777777" w:rsidR="00830D35" w:rsidRDefault="00830D35" w:rsidP="00830D35">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A489789" w14:textId="77777777" w:rsidR="00830D35" w:rsidRDefault="00830D35" w:rsidP="00830D35">
            <w:pPr>
              <w:rPr>
                <w:color w:val="000000"/>
                <w:sz w:val="16"/>
                <w:szCs w:val="16"/>
              </w:rPr>
            </w:pPr>
            <w:proofErr w:type="spellStart"/>
            <w:r>
              <w:rPr>
                <w:color w:val="000000"/>
                <w:sz w:val="16"/>
                <w:szCs w:val="16"/>
              </w:rPr>
              <w:t>Tumor</w:t>
            </w:r>
            <w:proofErr w:type="spellEnd"/>
            <w:r>
              <w:rPr>
                <w:color w:val="000000"/>
                <w:sz w:val="16"/>
                <w:szCs w:val="16"/>
              </w:rPr>
              <w:t xml:space="preserve"> necrosis factor receptor 1</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4DEA4CA5" w14:textId="77777777" w:rsidR="00830D35" w:rsidRDefault="00830D35" w:rsidP="00830D35">
            <w:pPr>
              <w:rPr>
                <w:color w:val="000000"/>
                <w:sz w:val="16"/>
                <w:szCs w:val="16"/>
              </w:rPr>
            </w:pPr>
            <w:r>
              <w:rPr>
                <w:color w:val="000000"/>
                <w:sz w:val="16"/>
                <w:szCs w:val="16"/>
              </w:rPr>
              <w:t>rs1800693</w:t>
            </w:r>
          </w:p>
        </w:tc>
        <w:tc>
          <w:tcPr>
            <w:tcW w:w="851" w:type="dxa"/>
            <w:tcBorders>
              <w:top w:val="single" w:sz="4" w:space="0" w:color="000000"/>
              <w:bottom w:val="single" w:sz="4" w:space="0" w:color="D0CECE"/>
            </w:tcBorders>
            <w:tcMar>
              <w:top w:w="-113" w:type="dxa"/>
              <w:left w:w="-113" w:type="dxa"/>
              <w:bottom w:w="-113" w:type="dxa"/>
              <w:right w:w="-113" w:type="dxa"/>
            </w:tcMar>
          </w:tcPr>
          <w:p w14:paraId="308B22BF" w14:textId="77777777" w:rsidR="00830D35" w:rsidRDefault="00830D35" w:rsidP="00830D35">
            <w:pPr>
              <w:rPr>
                <w:sz w:val="16"/>
                <w:szCs w:val="16"/>
              </w:rPr>
            </w:pPr>
            <w:r>
              <w:rPr>
                <w:sz w:val="16"/>
                <w:szCs w:val="16"/>
              </w:rPr>
              <w:t>A&gt;G</w:t>
            </w:r>
          </w:p>
        </w:tc>
        <w:tc>
          <w:tcPr>
            <w:tcW w:w="1701" w:type="dxa"/>
            <w:tcBorders>
              <w:top w:val="single" w:sz="4" w:space="0" w:color="000000"/>
              <w:bottom w:val="single" w:sz="4" w:space="0" w:color="D0CECE"/>
            </w:tcBorders>
            <w:tcMar>
              <w:top w:w="-113" w:type="dxa"/>
              <w:left w:w="-113" w:type="dxa"/>
              <w:bottom w:w="-113" w:type="dxa"/>
              <w:right w:w="-113" w:type="dxa"/>
            </w:tcMar>
          </w:tcPr>
          <w:p w14:paraId="64C0B3D4" w14:textId="77777777" w:rsidR="00830D35" w:rsidRDefault="00830D35" w:rsidP="00830D35">
            <w:pPr>
              <w:rPr>
                <w:sz w:val="16"/>
                <w:szCs w:val="16"/>
              </w:rPr>
            </w:pPr>
            <w:r>
              <w:rPr>
                <w:sz w:val="16"/>
                <w:szCs w:val="16"/>
              </w:rPr>
              <w:t>Intron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4FBFBFEE" w14:textId="77777777" w:rsidR="00830D35" w:rsidRDefault="00830D35" w:rsidP="00830D35">
            <w:pPr>
              <w:rPr>
                <w:sz w:val="16"/>
                <w:szCs w:val="16"/>
              </w:rPr>
            </w:pPr>
            <w:r>
              <w:rPr>
                <w:sz w:val="16"/>
                <w:szCs w:val="16"/>
              </w:rPr>
              <w:t>T2DM</w:t>
            </w: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0A32E73B" w14:textId="77777777" w:rsidR="00830D35" w:rsidRDefault="00830D35" w:rsidP="00830D35">
            <w:pPr>
              <w:rPr>
                <w:sz w:val="16"/>
                <w:szCs w:val="16"/>
              </w:rPr>
            </w:pPr>
            <w:r>
              <w:rPr>
                <w:sz w:val="16"/>
                <w:szCs w:val="16"/>
              </w:rPr>
              <w:t>Grau-Perez et al. 2018</w:t>
            </w:r>
          </w:p>
          <w:p w14:paraId="5DDD66C6" w14:textId="77777777" w:rsidR="00830D35" w:rsidRDefault="00830D35" w:rsidP="00830D35">
            <w:pPr>
              <w:rPr>
                <w:sz w:val="16"/>
                <w:szCs w:val="16"/>
              </w:rPr>
            </w:pPr>
          </w:p>
        </w:tc>
      </w:tr>
      <w:tr w:rsidR="00830D35" w14:paraId="1696E77D"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B0A97E8" w14:textId="77777777" w:rsidR="00830D35" w:rsidRDefault="00830D35" w:rsidP="00830D35">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0724832" w14:textId="77777777" w:rsidR="00830D35" w:rsidRDefault="00830D35" w:rsidP="00830D35">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2B486063" w14:textId="77777777" w:rsidR="00830D35" w:rsidRDefault="00830D35" w:rsidP="00830D35">
            <w:pPr>
              <w:rPr>
                <w:color w:val="000000"/>
                <w:sz w:val="16"/>
                <w:szCs w:val="16"/>
              </w:rPr>
            </w:pPr>
            <w:r>
              <w:rPr>
                <w:color w:val="000000"/>
                <w:sz w:val="16"/>
                <w:szCs w:val="16"/>
              </w:rPr>
              <w:t>rs767455</w:t>
            </w:r>
          </w:p>
        </w:tc>
        <w:tc>
          <w:tcPr>
            <w:tcW w:w="851" w:type="dxa"/>
            <w:tcBorders>
              <w:top w:val="single" w:sz="4" w:space="0" w:color="D0CECE"/>
              <w:bottom w:val="single" w:sz="4" w:space="0" w:color="000000"/>
            </w:tcBorders>
            <w:tcMar>
              <w:top w:w="-113" w:type="dxa"/>
              <w:left w:w="-113" w:type="dxa"/>
              <w:bottom w:w="-113" w:type="dxa"/>
              <w:right w:w="-113" w:type="dxa"/>
            </w:tcMar>
          </w:tcPr>
          <w:p w14:paraId="12A66E9D" w14:textId="77777777" w:rsidR="00830D35" w:rsidRDefault="00830D35" w:rsidP="00830D35">
            <w:pPr>
              <w:rPr>
                <w:sz w:val="16"/>
                <w:szCs w:val="16"/>
              </w:rPr>
            </w:pPr>
            <w:r>
              <w:rPr>
                <w:sz w:val="16"/>
                <w:szCs w:val="16"/>
              </w:rPr>
              <w:t>T&gt;C</w:t>
            </w:r>
          </w:p>
        </w:tc>
        <w:tc>
          <w:tcPr>
            <w:tcW w:w="1701" w:type="dxa"/>
            <w:tcBorders>
              <w:top w:val="single" w:sz="4" w:space="0" w:color="D0CECE"/>
              <w:bottom w:val="single" w:sz="4" w:space="0" w:color="000000"/>
            </w:tcBorders>
            <w:tcMar>
              <w:top w:w="-113" w:type="dxa"/>
              <w:left w:w="-113" w:type="dxa"/>
              <w:bottom w:w="-113" w:type="dxa"/>
              <w:right w:w="-113" w:type="dxa"/>
            </w:tcMar>
          </w:tcPr>
          <w:p w14:paraId="15EE3CCD" w14:textId="77777777" w:rsidR="00830D35" w:rsidRDefault="00830D35" w:rsidP="00830D35">
            <w:pPr>
              <w:rPr>
                <w:sz w:val="16"/>
                <w:szCs w:val="16"/>
              </w:rPr>
            </w:pPr>
            <w:r>
              <w:rPr>
                <w:sz w:val="16"/>
                <w:szCs w:val="16"/>
              </w:rPr>
              <w:t>Synonymous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6F9F4E0D" w14:textId="77777777" w:rsidR="00830D35" w:rsidRDefault="00830D35" w:rsidP="00830D35">
            <w:pPr>
              <w:widowControl w:val="0"/>
              <w:pBdr>
                <w:top w:val="nil"/>
                <w:left w:val="nil"/>
                <w:bottom w:val="nil"/>
                <w:right w:val="nil"/>
                <w:between w:val="nil"/>
              </w:pBdr>
              <w:spacing w:line="276" w:lineRule="auto"/>
              <w:rPr>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4D8230CC" w14:textId="77777777" w:rsidR="00830D35" w:rsidRDefault="00830D35" w:rsidP="00830D35">
            <w:pPr>
              <w:widowControl w:val="0"/>
              <w:pBdr>
                <w:top w:val="nil"/>
                <w:left w:val="nil"/>
                <w:bottom w:val="nil"/>
                <w:right w:val="nil"/>
                <w:between w:val="nil"/>
              </w:pBdr>
              <w:spacing w:line="276" w:lineRule="auto"/>
              <w:rPr>
                <w:sz w:val="16"/>
                <w:szCs w:val="16"/>
              </w:rPr>
            </w:pPr>
          </w:p>
        </w:tc>
      </w:tr>
      <w:tr w:rsidR="00830D35" w14:paraId="1C3F78A9"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63B7709" w14:textId="77777777" w:rsidR="00830D35" w:rsidRDefault="00830D35" w:rsidP="00830D35">
            <w:pPr>
              <w:rPr>
                <w:i/>
                <w:color w:val="000000"/>
                <w:sz w:val="16"/>
                <w:szCs w:val="16"/>
              </w:rPr>
            </w:pPr>
            <w:r>
              <w:rPr>
                <w:i/>
                <w:color w:val="000000"/>
                <w:sz w:val="16"/>
                <w:szCs w:val="16"/>
              </w:rPr>
              <w:t>TNFRSF1B</w:t>
            </w:r>
          </w:p>
          <w:p w14:paraId="225258D5" w14:textId="77777777" w:rsidR="00830D35" w:rsidRDefault="00830D35" w:rsidP="00830D35">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C269E92" w14:textId="77777777" w:rsidR="00830D35" w:rsidRDefault="00830D35" w:rsidP="00830D35">
            <w:pPr>
              <w:rPr>
                <w:color w:val="000000"/>
                <w:sz w:val="16"/>
                <w:szCs w:val="16"/>
              </w:rPr>
            </w:pPr>
            <w:r>
              <w:rPr>
                <w:color w:val="000000"/>
                <w:sz w:val="16"/>
                <w:szCs w:val="16"/>
              </w:rPr>
              <w:t>TNF Receptor Superfamily Member 1B</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009E33EA" w14:textId="77777777" w:rsidR="00830D35" w:rsidRDefault="00830D35" w:rsidP="00830D35">
            <w:pPr>
              <w:rPr>
                <w:color w:val="000000"/>
                <w:sz w:val="16"/>
                <w:szCs w:val="16"/>
              </w:rPr>
            </w:pPr>
            <w:r>
              <w:rPr>
                <w:color w:val="000000"/>
                <w:sz w:val="16"/>
                <w:szCs w:val="16"/>
              </w:rPr>
              <w:t>rs1061628</w:t>
            </w:r>
          </w:p>
        </w:tc>
        <w:tc>
          <w:tcPr>
            <w:tcW w:w="851" w:type="dxa"/>
            <w:tcBorders>
              <w:top w:val="single" w:sz="4" w:space="0" w:color="000000"/>
              <w:bottom w:val="single" w:sz="4" w:space="0" w:color="D0CECE"/>
            </w:tcBorders>
            <w:tcMar>
              <w:top w:w="-113" w:type="dxa"/>
              <w:left w:w="-113" w:type="dxa"/>
              <w:bottom w:w="-113" w:type="dxa"/>
              <w:right w:w="-113" w:type="dxa"/>
            </w:tcMar>
          </w:tcPr>
          <w:p w14:paraId="503A4890" w14:textId="77777777" w:rsidR="00830D35" w:rsidRDefault="00830D35" w:rsidP="00830D35">
            <w:pPr>
              <w:rPr>
                <w:sz w:val="16"/>
                <w:szCs w:val="16"/>
              </w:rPr>
            </w:pPr>
            <w:r>
              <w:rPr>
                <w:sz w:val="16"/>
                <w:szCs w:val="16"/>
              </w:rPr>
              <w:t>C&gt;T</w:t>
            </w:r>
          </w:p>
        </w:tc>
        <w:tc>
          <w:tcPr>
            <w:tcW w:w="1701" w:type="dxa"/>
            <w:tcBorders>
              <w:top w:val="single" w:sz="4" w:space="0" w:color="000000"/>
              <w:bottom w:val="single" w:sz="4" w:space="0" w:color="D0CECE"/>
            </w:tcBorders>
            <w:tcMar>
              <w:top w:w="-113" w:type="dxa"/>
              <w:left w:w="-113" w:type="dxa"/>
              <w:bottom w:w="-113" w:type="dxa"/>
              <w:right w:w="-113" w:type="dxa"/>
            </w:tcMar>
          </w:tcPr>
          <w:p w14:paraId="66FE8AC3" w14:textId="77777777" w:rsidR="00830D35" w:rsidRDefault="00830D35" w:rsidP="00830D35">
            <w:pPr>
              <w:rPr>
                <w:sz w:val="16"/>
                <w:szCs w:val="16"/>
              </w:rPr>
            </w:pPr>
            <w:r>
              <w:rPr>
                <w:sz w:val="16"/>
                <w:szCs w:val="16"/>
              </w:rPr>
              <w:t>3 Prime UTR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4E1E46F6" w14:textId="77777777" w:rsidR="00830D35" w:rsidRDefault="00830D35" w:rsidP="00830D35">
            <w:pPr>
              <w:rPr>
                <w:sz w:val="16"/>
                <w:szCs w:val="16"/>
              </w:rPr>
            </w:pPr>
            <w:r>
              <w:rPr>
                <w:color w:val="000000"/>
                <w:sz w:val="16"/>
                <w:szCs w:val="16"/>
              </w:rPr>
              <w:t>T2DM</w:t>
            </w:r>
          </w:p>
          <w:p w14:paraId="7A952953" w14:textId="77777777" w:rsidR="00830D35" w:rsidRDefault="00830D35" w:rsidP="00830D35">
            <w:pPr>
              <w:rPr>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475F4CD0" w14:textId="77777777" w:rsidR="00830D35" w:rsidRDefault="00830D35" w:rsidP="00830D35">
            <w:pPr>
              <w:rPr>
                <w:sz w:val="16"/>
                <w:szCs w:val="16"/>
              </w:rPr>
            </w:pPr>
            <w:r>
              <w:rPr>
                <w:sz w:val="16"/>
                <w:szCs w:val="16"/>
              </w:rPr>
              <w:t>Grau-Perez et al. 2018</w:t>
            </w:r>
          </w:p>
          <w:p w14:paraId="2E12A48D" w14:textId="77777777" w:rsidR="00830D35" w:rsidRDefault="00830D35" w:rsidP="00830D35">
            <w:pPr>
              <w:rPr>
                <w:sz w:val="16"/>
                <w:szCs w:val="16"/>
              </w:rPr>
            </w:pPr>
          </w:p>
        </w:tc>
      </w:tr>
      <w:tr w:rsidR="00830D35" w14:paraId="791221B2"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A04B127" w14:textId="77777777" w:rsidR="00830D35" w:rsidRDefault="00830D35" w:rsidP="00830D35">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10D0321" w14:textId="77777777" w:rsidR="00830D35" w:rsidRDefault="00830D35" w:rsidP="00830D35">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5B3DDA49" w14:textId="77777777" w:rsidR="00830D35" w:rsidRDefault="00830D35" w:rsidP="00830D35">
            <w:pPr>
              <w:rPr>
                <w:color w:val="000000"/>
                <w:sz w:val="16"/>
                <w:szCs w:val="16"/>
              </w:rPr>
            </w:pPr>
            <w:r>
              <w:rPr>
                <w:color w:val="000000"/>
                <w:sz w:val="16"/>
                <w:szCs w:val="16"/>
              </w:rPr>
              <w:t>rs3397</w:t>
            </w:r>
          </w:p>
        </w:tc>
        <w:tc>
          <w:tcPr>
            <w:tcW w:w="851" w:type="dxa"/>
            <w:tcBorders>
              <w:top w:val="single" w:sz="4" w:space="0" w:color="D0CECE"/>
              <w:bottom w:val="single" w:sz="4" w:space="0" w:color="000000"/>
            </w:tcBorders>
            <w:tcMar>
              <w:top w:w="-113" w:type="dxa"/>
              <w:left w:w="-113" w:type="dxa"/>
              <w:bottom w:w="-113" w:type="dxa"/>
              <w:right w:w="-113" w:type="dxa"/>
            </w:tcMar>
          </w:tcPr>
          <w:p w14:paraId="6EEBFF6E" w14:textId="77777777" w:rsidR="00830D35" w:rsidRDefault="00830D35" w:rsidP="00830D35">
            <w:pPr>
              <w:rPr>
                <w:sz w:val="16"/>
                <w:szCs w:val="16"/>
              </w:rPr>
            </w:pPr>
            <w:r>
              <w:rPr>
                <w:sz w:val="16"/>
                <w:szCs w:val="16"/>
              </w:rPr>
              <w:t>T&gt;C</w:t>
            </w:r>
          </w:p>
        </w:tc>
        <w:tc>
          <w:tcPr>
            <w:tcW w:w="1701" w:type="dxa"/>
            <w:tcBorders>
              <w:top w:val="single" w:sz="4" w:space="0" w:color="D0CECE"/>
              <w:bottom w:val="single" w:sz="4" w:space="0" w:color="000000"/>
            </w:tcBorders>
            <w:tcMar>
              <w:top w:w="-113" w:type="dxa"/>
              <w:left w:w="-113" w:type="dxa"/>
              <w:bottom w:w="-113" w:type="dxa"/>
              <w:right w:w="-113" w:type="dxa"/>
            </w:tcMar>
          </w:tcPr>
          <w:p w14:paraId="6EB301CA" w14:textId="77777777" w:rsidR="00830D35" w:rsidRDefault="00830D35" w:rsidP="00830D35">
            <w:pPr>
              <w:rPr>
                <w:sz w:val="16"/>
                <w:szCs w:val="16"/>
              </w:rPr>
            </w:pPr>
            <w:r>
              <w:rPr>
                <w:sz w:val="16"/>
                <w:szCs w:val="16"/>
              </w:rPr>
              <w:t>3 Prime UTR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645892B3" w14:textId="77777777" w:rsidR="00830D35" w:rsidRDefault="00830D35" w:rsidP="00830D35">
            <w:pPr>
              <w:widowControl w:val="0"/>
              <w:pBdr>
                <w:top w:val="nil"/>
                <w:left w:val="nil"/>
                <w:bottom w:val="nil"/>
                <w:right w:val="nil"/>
                <w:between w:val="nil"/>
              </w:pBdr>
              <w:spacing w:line="276" w:lineRule="auto"/>
              <w:rPr>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3500C1A8" w14:textId="77777777" w:rsidR="00830D35" w:rsidRDefault="00830D35" w:rsidP="00830D35">
            <w:pPr>
              <w:widowControl w:val="0"/>
              <w:pBdr>
                <w:top w:val="nil"/>
                <w:left w:val="nil"/>
                <w:bottom w:val="nil"/>
                <w:right w:val="nil"/>
                <w:between w:val="nil"/>
              </w:pBdr>
              <w:spacing w:line="276" w:lineRule="auto"/>
              <w:rPr>
                <w:sz w:val="16"/>
                <w:szCs w:val="16"/>
              </w:rPr>
            </w:pPr>
          </w:p>
        </w:tc>
      </w:tr>
      <w:tr w:rsidR="00830D35" w14:paraId="12CD33B1"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47A3976F" w14:textId="77777777" w:rsidR="00830D35" w:rsidRDefault="00830D35" w:rsidP="00830D35">
            <w:pPr>
              <w:rPr>
                <w:i/>
                <w:color w:val="000000"/>
                <w:sz w:val="16"/>
                <w:szCs w:val="16"/>
              </w:rPr>
            </w:pPr>
            <w:r>
              <w:rPr>
                <w:i/>
                <w:color w:val="000000"/>
                <w:sz w:val="16"/>
                <w:szCs w:val="16"/>
              </w:rPr>
              <w:t>TSPAN8</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69F55B35" w14:textId="77777777" w:rsidR="00830D35" w:rsidRDefault="00830D35" w:rsidP="00830D35">
            <w:pPr>
              <w:rPr>
                <w:color w:val="000000"/>
                <w:sz w:val="16"/>
                <w:szCs w:val="16"/>
              </w:rPr>
            </w:pPr>
            <w:proofErr w:type="spellStart"/>
            <w:r>
              <w:rPr>
                <w:color w:val="000000"/>
                <w:sz w:val="16"/>
                <w:szCs w:val="16"/>
              </w:rPr>
              <w:t>Tetraspanin</w:t>
            </w:r>
            <w:proofErr w:type="spellEnd"/>
            <w:r>
              <w:rPr>
                <w:color w:val="000000"/>
                <w:sz w:val="16"/>
                <w:szCs w:val="16"/>
              </w:rPr>
              <w:t xml:space="preserve"> 8</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04B8F0F3" w14:textId="77777777" w:rsidR="00830D35" w:rsidRDefault="00830D35" w:rsidP="00830D35">
            <w:pPr>
              <w:rPr>
                <w:color w:val="000000"/>
                <w:sz w:val="16"/>
                <w:szCs w:val="16"/>
              </w:rPr>
            </w:pPr>
            <w:r>
              <w:rPr>
                <w:color w:val="000000"/>
                <w:sz w:val="16"/>
                <w:szCs w:val="16"/>
              </w:rPr>
              <w:t>rs1051334</w:t>
            </w:r>
          </w:p>
        </w:tc>
        <w:tc>
          <w:tcPr>
            <w:tcW w:w="851" w:type="dxa"/>
            <w:tcBorders>
              <w:top w:val="single" w:sz="4" w:space="0" w:color="000000"/>
              <w:bottom w:val="single" w:sz="4" w:space="0" w:color="000000"/>
            </w:tcBorders>
            <w:tcMar>
              <w:top w:w="-113" w:type="dxa"/>
              <w:left w:w="-113" w:type="dxa"/>
              <w:bottom w:w="-113" w:type="dxa"/>
              <w:right w:w="-113" w:type="dxa"/>
            </w:tcMar>
          </w:tcPr>
          <w:p w14:paraId="460054F2" w14:textId="77777777" w:rsidR="00830D35" w:rsidRDefault="00830D35" w:rsidP="00830D35">
            <w:pPr>
              <w:rPr>
                <w:color w:val="000000"/>
                <w:sz w:val="16"/>
                <w:szCs w:val="16"/>
              </w:rPr>
            </w:pPr>
            <w:r>
              <w:rPr>
                <w:color w:val="000000"/>
                <w:sz w:val="16"/>
                <w:szCs w:val="16"/>
              </w:rPr>
              <w:t>A&gt;C</w:t>
            </w:r>
          </w:p>
        </w:tc>
        <w:tc>
          <w:tcPr>
            <w:tcW w:w="1701" w:type="dxa"/>
            <w:tcBorders>
              <w:top w:val="single" w:sz="4" w:space="0" w:color="000000"/>
              <w:bottom w:val="single" w:sz="4" w:space="0" w:color="000000"/>
            </w:tcBorders>
            <w:tcMar>
              <w:top w:w="-113" w:type="dxa"/>
              <w:left w:w="-113" w:type="dxa"/>
              <w:bottom w:w="-113" w:type="dxa"/>
              <w:right w:w="-113" w:type="dxa"/>
            </w:tcMar>
          </w:tcPr>
          <w:p w14:paraId="15C7AA5F" w14:textId="77777777" w:rsidR="00830D35" w:rsidRDefault="00830D35" w:rsidP="00830D35">
            <w:pPr>
              <w:rPr>
                <w:color w:val="000000"/>
                <w:sz w:val="16"/>
                <w:szCs w:val="16"/>
              </w:rPr>
            </w:pPr>
            <w:r>
              <w:rPr>
                <w:color w:val="000000"/>
                <w:sz w:val="16"/>
                <w:szCs w:val="16"/>
              </w:rPr>
              <w:t xml:space="preserve">Missense variant </w:t>
            </w:r>
          </w:p>
        </w:tc>
        <w:tc>
          <w:tcPr>
            <w:tcW w:w="708" w:type="dxa"/>
            <w:tcBorders>
              <w:top w:val="single" w:sz="4" w:space="0" w:color="000000"/>
              <w:bottom w:val="single" w:sz="4" w:space="0" w:color="000000"/>
            </w:tcBorders>
            <w:tcMar>
              <w:top w:w="-113" w:type="dxa"/>
              <w:left w:w="-113" w:type="dxa"/>
              <w:bottom w:w="-113" w:type="dxa"/>
              <w:right w:w="-113" w:type="dxa"/>
            </w:tcMar>
          </w:tcPr>
          <w:p w14:paraId="27DFCBEA" w14:textId="77777777" w:rsidR="00830D35" w:rsidRDefault="00830D35" w:rsidP="00830D35">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4F9E9BD6" w14:textId="77777777" w:rsidR="00830D35" w:rsidRDefault="00830D35" w:rsidP="00830D35">
            <w:pPr>
              <w:rPr>
                <w:color w:val="000000"/>
                <w:sz w:val="16"/>
                <w:szCs w:val="16"/>
              </w:rPr>
            </w:pPr>
            <w:r>
              <w:rPr>
                <w:sz w:val="16"/>
                <w:szCs w:val="16"/>
              </w:rPr>
              <w:t xml:space="preserve">Pan </w:t>
            </w:r>
            <w:r>
              <w:rPr>
                <w:i/>
                <w:sz w:val="16"/>
                <w:szCs w:val="16"/>
              </w:rPr>
              <w:t>et al.</w:t>
            </w:r>
            <w:r>
              <w:rPr>
                <w:sz w:val="16"/>
                <w:szCs w:val="16"/>
              </w:rPr>
              <w:t xml:space="preserve"> 2013</w:t>
            </w:r>
          </w:p>
        </w:tc>
      </w:tr>
      <w:tr w:rsidR="00830D35" w14:paraId="58CDD0C5"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544C3B2" w14:textId="77777777" w:rsidR="00830D35" w:rsidRDefault="00830D35" w:rsidP="00830D35">
            <w:pPr>
              <w:rPr>
                <w:i/>
                <w:color w:val="000000"/>
                <w:sz w:val="16"/>
                <w:szCs w:val="16"/>
              </w:rPr>
            </w:pPr>
            <w:r>
              <w:rPr>
                <w:i/>
                <w:color w:val="000000"/>
                <w:sz w:val="16"/>
                <w:szCs w:val="16"/>
              </w:rPr>
              <w:t>TXN</w:t>
            </w:r>
          </w:p>
          <w:p w14:paraId="1A147EEC" w14:textId="77777777" w:rsidR="00830D35" w:rsidRDefault="00830D35" w:rsidP="00830D35">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F55F5DC" w14:textId="77777777" w:rsidR="00830D35" w:rsidRDefault="00830D35" w:rsidP="00830D35">
            <w:pPr>
              <w:rPr>
                <w:color w:val="000000"/>
                <w:sz w:val="16"/>
                <w:szCs w:val="16"/>
              </w:rPr>
            </w:pPr>
            <w:r>
              <w:rPr>
                <w:color w:val="000000"/>
                <w:sz w:val="16"/>
                <w:szCs w:val="16"/>
              </w:rPr>
              <w:t>Thioredoxin</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3FC5AF65" w14:textId="77777777" w:rsidR="00830D35" w:rsidRDefault="00830D35" w:rsidP="00830D35">
            <w:pPr>
              <w:rPr>
                <w:color w:val="000000"/>
                <w:sz w:val="16"/>
                <w:szCs w:val="16"/>
              </w:rPr>
            </w:pPr>
            <w:r>
              <w:rPr>
                <w:color w:val="000000"/>
                <w:sz w:val="16"/>
                <w:szCs w:val="16"/>
              </w:rPr>
              <w:t>rs1410051</w:t>
            </w:r>
          </w:p>
        </w:tc>
        <w:tc>
          <w:tcPr>
            <w:tcW w:w="851" w:type="dxa"/>
            <w:tcBorders>
              <w:top w:val="single" w:sz="4" w:space="0" w:color="000000"/>
              <w:bottom w:val="single" w:sz="4" w:space="0" w:color="D0CECE"/>
            </w:tcBorders>
            <w:tcMar>
              <w:top w:w="-113" w:type="dxa"/>
              <w:left w:w="-113" w:type="dxa"/>
              <w:bottom w:w="-113" w:type="dxa"/>
              <w:right w:w="-113" w:type="dxa"/>
            </w:tcMar>
          </w:tcPr>
          <w:p w14:paraId="1DE6918E" w14:textId="77777777" w:rsidR="00830D35" w:rsidRDefault="00830D35" w:rsidP="00830D35">
            <w:pPr>
              <w:rPr>
                <w:sz w:val="16"/>
                <w:szCs w:val="16"/>
              </w:rPr>
            </w:pPr>
            <w:r>
              <w:rPr>
                <w:sz w:val="16"/>
                <w:szCs w:val="16"/>
              </w:rPr>
              <w:t>C&gt;T</w:t>
            </w:r>
          </w:p>
        </w:tc>
        <w:tc>
          <w:tcPr>
            <w:tcW w:w="1701" w:type="dxa"/>
            <w:tcBorders>
              <w:top w:val="single" w:sz="4" w:space="0" w:color="000000"/>
              <w:bottom w:val="single" w:sz="4" w:space="0" w:color="D0CECE"/>
            </w:tcBorders>
            <w:tcMar>
              <w:top w:w="-113" w:type="dxa"/>
              <w:left w:w="-113" w:type="dxa"/>
              <w:bottom w:w="-113" w:type="dxa"/>
              <w:right w:w="-113" w:type="dxa"/>
            </w:tcMar>
          </w:tcPr>
          <w:p w14:paraId="316AC296" w14:textId="77777777" w:rsidR="00830D35" w:rsidRDefault="00830D35" w:rsidP="00830D35">
            <w:pPr>
              <w:rPr>
                <w:sz w:val="16"/>
                <w:szCs w:val="16"/>
              </w:rPr>
            </w:pPr>
            <w:r>
              <w:rPr>
                <w:sz w:val="16"/>
                <w:szCs w:val="16"/>
              </w:rPr>
              <w:t>Intron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67B7D1B3" w14:textId="77777777" w:rsidR="00830D35" w:rsidRDefault="00830D35" w:rsidP="00830D35">
            <w:pPr>
              <w:rPr>
                <w:sz w:val="16"/>
                <w:szCs w:val="16"/>
              </w:rPr>
            </w:pPr>
            <w:r>
              <w:rPr>
                <w:color w:val="000000"/>
                <w:sz w:val="16"/>
                <w:szCs w:val="16"/>
              </w:rPr>
              <w:t>T2DM</w:t>
            </w:r>
          </w:p>
          <w:p w14:paraId="11F4BEBC" w14:textId="77777777" w:rsidR="00830D35" w:rsidRDefault="00830D35" w:rsidP="00830D35">
            <w:pPr>
              <w:rPr>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7545EBB0" w14:textId="77777777" w:rsidR="00830D35" w:rsidRDefault="00830D35" w:rsidP="00830D35">
            <w:pPr>
              <w:rPr>
                <w:sz w:val="16"/>
                <w:szCs w:val="16"/>
              </w:rPr>
            </w:pPr>
            <w:r>
              <w:rPr>
                <w:sz w:val="16"/>
                <w:szCs w:val="16"/>
              </w:rPr>
              <w:t>Grau-Perez et al. 2018</w:t>
            </w:r>
          </w:p>
          <w:p w14:paraId="166FC463" w14:textId="77777777" w:rsidR="00830D35" w:rsidRDefault="00830D35" w:rsidP="00830D35">
            <w:pPr>
              <w:rPr>
                <w:sz w:val="16"/>
                <w:szCs w:val="16"/>
              </w:rPr>
            </w:pPr>
          </w:p>
        </w:tc>
      </w:tr>
      <w:tr w:rsidR="00830D35" w14:paraId="40951B3D"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ACF085B" w14:textId="77777777" w:rsidR="00830D35" w:rsidRDefault="00830D35" w:rsidP="00830D35">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3806F64" w14:textId="77777777" w:rsidR="00830D35" w:rsidRDefault="00830D35" w:rsidP="00830D35">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113E0B33" w14:textId="77777777" w:rsidR="00830D35" w:rsidRDefault="00830D35" w:rsidP="00830D35">
            <w:pPr>
              <w:rPr>
                <w:color w:val="000000"/>
                <w:sz w:val="16"/>
                <w:szCs w:val="16"/>
              </w:rPr>
            </w:pPr>
            <w:r>
              <w:rPr>
                <w:color w:val="000000"/>
                <w:sz w:val="16"/>
                <w:szCs w:val="16"/>
              </w:rPr>
              <w:t>rs2301241</w:t>
            </w:r>
          </w:p>
        </w:tc>
        <w:tc>
          <w:tcPr>
            <w:tcW w:w="851" w:type="dxa"/>
            <w:tcBorders>
              <w:top w:val="single" w:sz="4" w:space="0" w:color="D0CECE"/>
              <w:bottom w:val="single" w:sz="4" w:space="0" w:color="D0CECE"/>
            </w:tcBorders>
            <w:tcMar>
              <w:top w:w="-113" w:type="dxa"/>
              <w:left w:w="-113" w:type="dxa"/>
              <w:bottom w:w="-113" w:type="dxa"/>
              <w:right w:w="-113" w:type="dxa"/>
            </w:tcMar>
          </w:tcPr>
          <w:p w14:paraId="14405C07" w14:textId="77777777" w:rsidR="00830D35" w:rsidRDefault="00830D35" w:rsidP="00830D35">
            <w:pPr>
              <w:rPr>
                <w:sz w:val="16"/>
                <w:szCs w:val="16"/>
              </w:rPr>
            </w:pPr>
            <w:r>
              <w:rPr>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04172A60" w14:textId="77777777" w:rsidR="00830D35" w:rsidRDefault="00830D35" w:rsidP="00830D35">
            <w:pPr>
              <w:rPr>
                <w:sz w:val="16"/>
                <w:szCs w:val="16"/>
              </w:rPr>
            </w:pPr>
            <w:r>
              <w:rPr>
                <w:sz w:val="16"/>
                <w:szCs w:val="16"/>
              </w:rPr>
              <w:t>5 Prime UTR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07C15056" w14:textId="77777777" w:rsidR="00830D35" w:rsidRDefault="00830D35" w:rsidP="00830D35">
            <w:pPr>
              <w:widowControl w:val="0"/>
              <w:pBdr>
                <w:top w:val="nil"/>
                <w:left w:val="nil"/>
                <w:bottom w:val="nil"/>
                <w:right w:val="nil"/>
                <w:between w:val="nil"/>
              </w:pBdr>
              <w:spacing w:line="276" w:lineRule="auto"/>
              <w:rPr>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1E33B435" w14:textId="77777777" w:rsidR="00830D35" w:rsidRDefault="00830D35" w:rsidP="00830D35">
            <w:pPr>
              <w:widowControl w:val="0"/>
              <w:pBdr>
                <w:top w:val="nil"/>
                <w:left w:val="nil"/>
                <w:bottom w:val="nil"/>
                <w:right w:val="nil"/>
                <w:between w:val="nil"/>
              </w:pBdr>
              <w:spacing w:line="276" w:lineRule="auto"/>
              <w:rPr>
                <w:sz w:val="16"/>
                <w:szCs w:val="16"/>
              </w:rPr>
            </w:pPr>
          </w:p>
        </w:tc>
      </w:tr>
      <w:tr w:rsidR="00830D35" w14:paraId="7AC7C217"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342BFAA" w14:textId="77777777" w:rsidR="00830D35" w:rsidRDefault="00830D35" w:rsidP="00830D35">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2BFA1B2" w14:textId="77777777" w:rsidR="00830D35" w:rsidRDefault="00830D35" w:rsidP="00830D35">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2CAAE156" w14:textId="77777777" w:rsidR="00830D35" w:rsidRDefault="00830D35" w:rsidP="00830D35">
            <w:pPr>
              <w:rPr>
                <w:color w:val="000000"/>
                <w:sz w:val="16"/>
                <w:szCs w:val="16"/>
              </w:rPr>
            </w:pPr>
            <w:r>
              <w:rPr>
                <w:color w:val="000000"/>
                <w:sz w:val="16"/>
                <w:szCs w:val="16"/>
              </w:rPr>
              <w:t>rs2776</w:t>
            </w:r>
          </w:p>
        </w:tc>
        <w:tc>
          <w:tcPr>
            <w:tcW w:w="851" w:type="dxa"/>
            <w:tcBorders>
              <w:top w:val="single" w:sz="4" w:space="0" w:color="D0CECE"/>
              <w:bottom w:val="single" w:sz="4" w:space="0" w:color="D0CECE"/>
            </w:tcBorders>
            <w:tcMar>
              <w:top w:w="-113" w:type="dxa"/>
              <w:left w:w="-113" w:type="dxa"/>
              <w:bottom w:w="-113" w:type="dxa"/>
              <w:right w:w="-113" w:type="dxa"/>
            </w:tcMar>
          </w:tcPr>
          <w:p w14:paraId="32937882" w14:textId="77777777" w:rsidR="00830D35" w:rsidRDefault="00830D35" w:rsidP="00830D35">
            <w:pPr>
              <w:rPr>
                <w:sz w:val="16"/>
                <w:szCs w:val="16"/>
              </w:rPr>
            </w:pPr>
            <w:r>
              <w:rPr>
                <w:sz w:val="16"/>
                <w:szCs w:val="16"/>
              </w:rPr>
              <w:t>A&gt;G</w:t>
            </w:r>
          </w:p>
        </w:tc>
        <w:tc>
          <w:tcPr>
            <w:tcW w:w="1701" w:type="dxa"/>
            <w:tcBorders>
              <w:top w:val="single" w:sz="4" w:space="0" w:color="D0CECE"/>
              <w:bottom w:val="single" w:sz="4" w:space="0" w:color="D0CECE"/>
            </w:tcBorders>
            <w:tcMar>
              <w:top w:w="-113" w:type="dxa"/>
              <w:left w:w="-113" w:type="dxa"/>
              <w:bottom w:w="-113" w:type="dxa"/>
              <w:right w:w="-113" w:type="dxa"/>
            </w:tcMar>
          </w:tcPr>
          <w:p w14:paraId="5E82EC04" w14:textId="77777777" w:rsidR="00830D35" w:rsidRDefault="00830D35" w:rsidP="00830D35">
            <w:pPr>
              <w:rPr>
                <w:sz w:val="16"/>
                <w:szCs w:val="16"/>
              </w:rPr>
            </w:pPr>
            <w:r>
              <w:rPr>
                <w:sz w:val="16"/>
                <w:szCs w:val="16"/>
              </w:rPr>
              <w:t>3 Prime UTR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5FA538A8" w14:textId="77777777" w:rsidR="00830D35" w:rsidRDefault="00830D35" w:rsidP="00830D35">
            <w:pPr>
              <w:widowControl w:val="0"/>
              <w:pBdr>
                <w:top w:val="nil"/>
                <w:left w:val="nil"/>
                <w:bottom w:val="nil"/>
                <w:right w:val="nil"/>
                <w:between w:val="nil"/>
              </w:pBdr>
              <w:spacing w:line="276" w:lineRule="auto"/>
              <w:rPr>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607B71C0" w14:textId="77777777" w:rsidR="00830D35" w:rsidRDefault="00830D35" w:rsidP="00830D35">
            <w:pPr>
              <w:widowControl w:val="0"/>
              <w:pBdr>
                <w:top w:val="nil"/>
                <w:left w:val="nil"/>
                <w:bottom w:val="nil"/>
                <w:right w:val="nil"/>
                <w:between w:val="nil"/>
              </w:pBdr>
              <w:spacing w:line="276" w:lineRule="auto"/>
              <w:rPr>
                <w:sz w:val="16"/>
                <w:szCs w:val="16"/>
              </w:rPr>
            </w:pPr>
          </w:p>
        </w:tc>
      </w:tr>
      <w:tr w:rsidR="00830D35" w14:paraId="33F9F764"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C6DE969" w14:textId="77777777" w:rsidR="00830D35" w:rsidRDefault="00830D35" w:rsidP="00830D35">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FA04120" w14:textId="77777777" w:rsidR="00830D35" w:rsidRDefault="00830D35" w:rsidP="00830D35">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1EF5C9D" w14:textId="77777777" w:rsidR="00830D35" w:rsidRDefault="00830D35" w:rsidP="00830D35">
            <w:pPr>
              <w:rPr>
                <w:color w:val="000000"/>
                <w:sz w:val="16"/>
                <w:szCs w:val="16"/>
              </w:rPr>
            </w:pPr>
            <w:r>
              <w:rPr>
                <w:color w:val="000000"/>
                <w:sz w:val="16"/>
                <w:szCs w:val="16"/>
              </w:rPr>
              <w:t>rs4135168</w:t>
            </w:r>
          </w:p>
        </w:tc>
        <w:tc>
          <w:tcPr>
            <w:tcW w:w="851" w:type="dxa"/>
            <w:tcBorders>
              <w:top w:val="single" w:sz="4" w:space="0" w:color="D0CECE"/>
              <w:bottom w:val="single" w:sz="4" w:space="0" w:color="D0CECE"/>
            </w:tcBorders>
            <w:tcMar>
              <w:top w:w="-113" w:type="dxa"/>
              <w:left w:w="-113" w:type="dxa"/>
              <w:bottom w:w="-113" w:type="dxa"/>
              <w:right w:w="-113" w:type="dxa"/>
            </w:tcMar>
          </w:tcPr>
          <w:p w14:paraId="16C0D3C5" w14:textId="77777777" w:rsidR="00830D35" w:rsidRDefault="00830D35" w:rsidP="00830D35">
            <w:pPr>
              <w:rPr>
                <w:sz w:val="16"/>
                <w:szCs w:val="16"/>
              </w:rPr>
            </w:pPr>
            <w:r>
              <w:rPr>
                <w:sz w:val="16"/>
                <w:szCs w:val="16"/>
              </w:rPr>
              <w:t>A&gt;G</w:t>
            </w:r>
          </w:p>
        </w:tc>
        <w:tc>
          <w:tcPr>
            <w:tcW w:w="1701" w:type="dxa"/>
            <w:tcBorders>
              <w:top w:val="single" w:sz="4" w:space="0" w:color="D0CECE"/>
              <w:bottom w:val="single" w:sz="4" w:space="0" w:color="D0CECE"/>
            </w:tcBorders>
            <w:tcMar>
              <w:top w:w="-113" w:type="dxa"/>
              <w:left w:w="-113" w:type="dxa"/>
              <w:bottom w:w="-113" w:type="dxa"/>
              <w:right w:w="-113" w:type="dxa"/>
            </w:tcMar>
          </w:tcPr>
          <w:p w14:paraId="7E88F325" w14:textId="77777777" w:rsidR="00830D35" w:rsidRDefault="00830D35" w:rsidP="00830D35">
            <w:pPr>
              <w:rPr>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66E4D6B0" w14:textId="77777777" w:rsidR="00830D35" w:rsidRDefault="00830D35" w:rsidP="00830D35">
            <w:pPr>
              <w:widowControl w:val="0"/>
              <w:pBdr>
                <w:top w:val="nil"/>
                <w:left w:val="nil"/>
                <w:bottom w:val="nil"/>
                <w:right w:val="nil"/>
                <w:between w:val="nil"/>
              </w:pBdr>
              <w:spacing w:line="276" w:lineRule="auto"/>
              <w:rPr>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740D0EB4" w14:textId="77777777" w:rsidR="00830D35" w:rsidRDefault="00830D35" w:rsidP="00830D35">
            <w:pPr>
              <w:widowControl w:val="0"/>
              <w:pBdr>
                <w:top w:val="nil"/>
                <w:left w:val="nil"/>
                <w:bottom w:val="nil"/>
                <w:right w:val="nil"/>
                <w:between w:val="nil"/>
              </w:pBdr>
              <w:spacing w:line="276" w:lineRule="auto"/>
              <w:rPr>
                <w:sz w:val="16"/>
                <w:szCs w:val="16"/>
              </w:rPr>
            </w:pPr>
          </w:p>
        </w:tc>
      </w:tr>
      <w:tr w:rsidR="00830D35" w14:paraId="3218E252"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79495AA" w14:textId="77777777" w:rsidR="00830D35" w:rsidRDefault="00830D35" w:rsidP="00830D35">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A3E6889" w14:textId="77777777" w:rsidR="00830D35" w:rsidRDefault="00830D35" w:rsidP="00830D35">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73D1814" w14:textId="77777777" w:rsidR="00830D35" w:rsidRDefault="00830D35" w:rsidP="00830D35">
            <w:pPr>
              <w:rPr>
                <w:color w:val="000000"/>
                <w:sz w:val="16"/>
                <w:szCs w:val="16"/>
              </w:rPr>
            </w:pPr>
            <w:r>
              <w:rPr>
                <w:color w:val="000000"/>
                <w:sz w:val="16"/>
                <w:szCs w:val="16"/>
              </w:rPr>
              <w:t>rs4135225</w:t>
            </w:r>
          </w:p>
        </w:tc>
        <w:tc>
          <w:tcPr>
            <w:tcW w:w="851" w:type="dxa"/>
            <w:tcBorders>
              <w:top w:val="single" w:sz="4" w:space="0" w:color="D0CECE"/>
              <w:bottom w:val="single" w:sz="4" w:space="0" w:color="D0CECE"/>
            </w:tcBorders>
            <w:tcMar>
              <w:top w:w="-113" w:type="dxa"/>
              <w:left w:w="-113" w:type="dxa"/>
              <w:bottom w:w="-113" w:type="dxa"/>
              <w:right w:w="-113" w:type="dxa"/>
            </w:tcMar>
          </w:tcPr>
          <w:p w14:paraId="4DD1759B" w14:textId="77777777" w:rsidR="00830D35" w:rsidRDefault="00830D35" w:rsidP="00830D35">
            <w:pPr>
              <w:rPr>
                <w:sz w:val="16"/>
                <w:szCs w:val="16"/>
              </w:rPr>
            </w:pPr>
            <w:r>
              <w:rPr>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779999F1" w14:textId="77777777" w:rsidR="00830D35" w:rsidRDefault="00830D35" w:rsidP="00830D35">
            <w:pPr>
              <w:rPr>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5AB39C33" w14:textId="77777777" w:rsidR="00830D35" w:rsidRDefault="00830D35" w:rsidP="00830D35">
            <w:pPr>
              <w:widowControl w:val="0"/>
              <w:pBdr>
                <w:top w:val="nil"/>
                <w:left w:val="nil"/>
                <w:bottom w:val="nil"/>
                <w:right w:val="nil"/>
                <w:between w:val="nil"/>
              </w:pBdr>
              <w:spacing w:line="276" w:lineRule="auto"/>
              <w:rPr>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377C2EB7" w14:textId="77777777" w:rsidR="00830D35" w:rsidRDefault="00830D35" w:rsidP="00830D35">
            <w:pPr>
              <w:widowControl w:val="0"/>
              <w:pBdr>
                <w:top w:val="nil"/>
                <w:left w:val="nil"/>
                <w:bottom w:val="nil"/>
                <w:right w:val="nil"/>
                <w:between w:val="nil"/>
              </w:pBdr>
              <w:spacing w:line="276" w:lineRule="auto"/>
              <w:rPr>
                <w:sz w:val="16"/>
                <w:szCs w:val="16"/>
              </w:rPr>
            </w:pPr>
          </w:p>
        </w:tc>
      </w:tr>
      <w:tr w:rsidR="00830D35" w14:paraId="2BDDFF85"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FAF3455" w14:textId="77777777" w:rsidR="00830D35" w:rsidRDefault="00830D35" w:rsidP="00830D35">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F77AB31" w14:textId="77777777" w:rsidR="00830D35" w:rsidRDefault="00830D35" w:rsidP="00830D35">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2CEF82D8" w14:textId="77777777" w:rsidR="00830D35" w:rsidRDefault="00830D35" w:rsidP="00830D35">
            <w:pPr>
              <w:rPr>
                <w:color w:val="000000"/>
                <w:sz w:val="16"/>
                <w:szCs w:val="16"/>
              </w:rPr>
            </w:pPr>
            <w:r>
              <w:rPr>
                <w:color w:val="000000"/>
                <w:sz w:val="16"/>
                <w:szCs w:val="16"/>
              </w:rPr>
              <w:t>rs749384</w:t>
            </w:r>
          </w:p>
        </w:tc>
        <w:tc>
          <w:tcPr>
            <w:tcW w:w="851" w:type="dxa"/>
            <w:tcBorders>
              <w:top w:val="single" w:sz="4" w:space="0" w:color="D0CECE"/>
              <w:bottom w:val="single" w:sz="4" w:space="0" w:color="000000"/>
            </w:tcBorders>
            <w:tcMar>
              <w:top w:w="-113" w:type="dxa"/>
              <w:left w:w="-113" w:type="dxa"/>
              <w:bottom w:w="-113" w:type="dxa"/>
              <w:right w:w="-113" w:type="dxa"/>
            </w:tcMar>
          </w:tcPr>
          <w:p w14:paraId="7B7B5EAC" w14:textId="77777777" w:rsidR="00830D35" w:rsidRDefault="00830D35" w:rsidP="00830D35">
            <w:pPr>
              <w:rPr>
                <w:sz w:val="16"/>
                <w:szCs w:val="16"/>
              </w:rPr>
            </w:pPr>
            <w:r>
              <w:rPr>
                <w:sz w:val="16"/>
                <w:szCs w:val="16"/>
              </w:rPr>
              <w:t>A&gt;G</w:t>
            </w:r>
          </w:p>
        </w:tc>
        <w:tc>
          <w:tcPr>
            <w:tcW w:w="1701" w:type="dxa"/>
            <w:tcBorders>
              <w:top w:val="single" w:sz="4" w:space="0" w:color="D0CECE"/>
              <w:bottom w:val="single" w:sz="4" w:space="0" w:color="000000"/>
            </w:tcBorders>
            <w:tcMar>
              <w:top w:w="-113" w:type="dxa"/>
              <w:left w:w="-113" w:type="dxa"/>
              <w:bottom w:w="-113" w:type="dxa"/>
              <w:right w:w="-113" w:type="dxa"/>
            </w:tcMar>
          </w:tcPr>
          <w:p w14:paraId="46EBF441" w14:textId="77777777" w:rsidR="00830D35" w:rsidRDefault="00830D35" w:rsidP="00830D35">
            <w:pPr>
              <w:rPr>
                <w:sz w:val="16"/>
                <w:szCs w:val="16"/>
              </w:rPr>
            </w:pPr>
            <w:r>
              <w:rPr>
                <w:sz w:val="16"/>
                <w:szCs w:val="16"/>
              </w:rPr>
              <w:t>5 Prime UTR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6506408C" w14:textId="77777777" w:rsidR="00830D35" w:rsidRDefault="00830D35" w:rsidP="00830D35">
            <w:pPr>
              <w:widowControl w:val="0"/>
              <w:pBdr>
                <w:top w:val="nil"/>
                <w:left w:val="nil"/>
                <w:bottom w:val="nil"/>
                <w:right w:val="nil"/>
                <w:between w:val="nil"/>
              </w:pBdr>
              <w:spacing w:line="276" w:lineRule="auto"/>
              <w:rPr>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3BE71A05" w14:textId="77777777" w:rsidR="00830D35" w:rsidRDefault="00830D35" w:rsidP="00830D35">
            <w:pPr>
              <w:widowControl w:val="0"/>
              <w:pBdr>
                <w:top w:val="nil"/>
                <w:left w:val="nil"/>
                <w:bottom w:val="nil"/>
                <w:right w:val="nil"/>
                <w:between w:val="nil"/>
              </w:pBdr>
              <w:spacing w:line="276" w:lineRule="auto"/>
              <w:rPr>
                <w:sz w:val="16"/>
                <w:szCs w:val="16"/>
              </w:rPr>
            </w:pPr>
          </w:p>
        </w:tc>
      </w:tr>
      <w:tr w:rsidR="00830D35" w14:paraId="60AE00B7"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7EA052A6" w14:textId="77777777" w:rsidR="00830D35" w:rsidRDefault="00830D35" w:rsidP="00830D35">
            <w:pPr>
              <w:rPr>
                <w:i/>
                <w:color w:val="000000"/>
                <w:sz w:val="16"/>
                <w:szCs w:val="16"/>
              </w:rPr>
            </w:pPr>
            <w:r>
              <w:rPr>
                <w:i/>
                <w:color w:val="000000"/>
                <w:sz w:val="16"/>
                <w:szCs w:val="16"/>
              </w:rPr>
              <w:t>TXN2</w:t>
            </w: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78FB97E" w14:textId="77777777" w:rsidR="00830D35" w:rsidRDefault="00830D35" w:rsidP="00830D35">
            <w:pPr>
              <w:rPr>
                <w:color w:val="000000"/>
                <w:sz w:val="16"/>
                <w:szCs w:val="16"/>
              </w:rPr>
            </w:pPr>
            <w:r>
              <w:rPr>
                <w:color w:val="000000"/>
                <w:sz w:val="16"/>
                <w:szCs w:val="16"/>
              </w:rPr>
              <w:t>Thioredoxin 2</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0FCBF51D" w14:textId="77777777" w:rsidR="00830D35" w:rsidRDefault="00830D35" w:rsidP="00830D35">
            <w:pPr>
              <w:rPr>
                <w:color w:val="000000"/>
                <w:sz w:val="16"/>
                <w:szCs w:val="16"/>
              </w:rPr>
            </w:pPr>
            <w:r>
              <w:rPr>
                <w:color w:val="000000"/>
                <w:sz w:val="16"/>
                <w:szCs w:val="16"/>
              </w:rPr>
              <w:t>rs2281082</w:t>
            </w:r>
          </w:p>
        </w:tc>
        <w:tc>
          <w:tcPr>
            <w:tcW w:w="851" w:type="dxa"/>
            <w:tcBorders>
              <w:top w:val="single" w:sz="4" w:space="0" w:color="000000"/>
              <w:bottom w:val="single" w:sz="4" w:space="0" w:color="D0CECE"/>
            </w:tcBorders>
            <w:tcMar>
              <w:top w:w="-113" w:type="dxa"/>
              <w:left w:w="-113" w:type="dxa"/>
              <w:bottom w:w="-113" w:type="dxa"/>
              <w:right w:w="-113" w:type="dxa"/>
            </w:tcMar>
          </w:tcPr>
          <w:p w14:paraId="1E8700F3" w14:textId="77777777" w:rsidR="00830D35" w:rsidRDefault="00830D35" w:rsidP="00830D35">
            <w:pPr>
              <w:rPr>
                <w:sz w:val="16"/>
                <w:szCs w:val="16"/>
              </w:rPr>
            </w:pPr>
            <w:r>
              <w:rPr>
                <w:sz w:val="16"/>
                <w:szCs w:val="16"/>
              </w:rPr>
              <w:t>G&gt;T</w:t>
            </w:r>
          </w:p>
        </w:tc>
        <w:tc>
          <w:tcPr>
            <w:tcW w:w="1701" w:type="dxa"/>
            <w:tcBorders>
              <w:top w:val="single" w:sz="4" w:space="0" w:color="000000"/>
              <w:bottom w:val="single" w:sz="4" w:space="0" w:color="D0CECE"/>
            </w:tcBorders>
            <w:tcMar>
              <w:top w:w="-113" w:type="dxa"/>
              <w:left w:w="-113" w:type="dxa"/>
              <w:bottom w:w="-113" w:type="dxa"/>
              <w:right w:w="-113" w:type="dxa"/>
            </w:tcMar>
          </w:tcPr>
          <w:p w14:paraId="3C3C3295" w14:textId="77777777" w:rsidR="00830D35" w:rsidRDefault="00830D35" w:rsidP="00830D35">
            <w:pPr>
              <w:rPr>
                <w:sz w:val="16"/>
                <w:szCs w:val="16"/>
              </w:rPr>
            </w:pPr>
            <w:r>
              <w:rPr>
                <w:sz w:val="16"/>
                <w:szCs w:val="16"/>
              </w:rPr>
              <w:t>Intron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6C6D62D5" w14:textId="77777777" w:rsidR="00830D35" w:rsidRDefault="00830D35" w:rsidP="00830D35">
            <w:pPr>
              <w:rPr>
                <w:sz w:val="16"/>
                <w:szCs w:val="16"/>
              </w:rPr>
            </w:pPr>
            <w:r>
              <w:rPr>
                <w:color w:val="000000"/>
                <w:sz w:val="16"/>
                <w:szCs w:val="16"/>
              </w:rPr>
              <w:t>T2DM</w:t>
            </w: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3B756404" w14:textId="77777777" w:rsidR="00830D35" w:rsidRDefault="00830D35" w:rsidP="00830D35">
            <w:pPr>
              <w:rPr>
                <w:sz w:val="16"/>
                <w:szCs w:val="16"/>
              </w:rPr>
            </w:pPr>
            <w:r>
              <w:rPr>
                <w:sz w:val="16"/>
                <w:szCs w:val="16"/>
              </w:rPr>
              <w:t>Grau-Perez et al. 2018</w:t>
            </w:r>
          </w:p>
          <w:p w14:paraId="218AB0D1" w14:textId="77777777" w:rsidR="00830D35" w:rsidRDefault="00830D35" w:rsidP="00830D35">
            <w:pPr>
              <w:rPr>
                <w:sz w:val="16"/>
                <w:szCs w:val="16"/>
              </w:rPr>
            </w:pPr>
          </w:p>
        </w:tc>
      </w:tr>
      <w:tr w:rsidR="00830D35" w14:paraId="1961F791"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E5E4E91" w14:textId="77777777" w:rsidR="00830D35" w:rsidRDefault="00830D35" w:rsidP="00830D35">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2F8BB3C" w14:textId="77777777" w:rsidR="00830D35" w:rsidRDefault="00830D35" w:rsidP="00830D35">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2B33CD3B" w14:textId="77777777" w:rsidR="00830D35" w:rsidRDefault="00830D35" w:rsidP="00830D35">
            <w:pPr>
              <w:rPr>
                <w:color w:val="000000"/>
                <w:sz w:val="16"/>
                <w:szCs w:val="16"/>
              </w:rPr>
            </w:pPr>
            <w:r>
              <w:rPr>
                <w:color w:val="000000"/>
                <w:sz w:val="16"/>
                <w:szCs w:val="16"/>
              </w:rPr>
              <w:t>rs8139906</w:t>
            </w:r>
          </w:p>
        </w:tc>
        <w:tc>
          <w:tcPr>
            <w:tcW w:w="851" w:type="dxa"/>
            <w:tcBorders>
              <w:top w:val="single" w:sz="4" w:space="0" w:color="D0CECE"/>
              <w:bottom w:val="single" w:sz="4" w:space="0" w:color="000000"/>
            </w:tcBorders>
            <w:tcMar>
              <w:top w:w="-113" w:type="dxa"/>
              <w:left w:w="-113" w:type="dxa"/>
              <w:bottom w:w="-113" w:type="dxa"/>
              <w:right w:w="-113" w:type="dxa"/>
            </w:tcMar>
          </w:tcPr>
          <w:p w14:paraId="7D552181" w14:textId="77777777" w:rsidR="00830D35" w:rsidRDefault="00830D35" w:rsidP="00830D35">
            <w:pPr>
              <w:rPr>
                <w:sz w:val="16"/>
                <w:szCs w:val="16"/>
              </w:rPr>
            </w:pPr>
            <w:r>
              <w:rPr>
                <w:sz w:val="16"/>
                <w:szCs w:val="16"/>
              </w:rPr>
              <w:t>C&gt;G</w:t>
            </w:r>
          </w:p>
        </w:tc>
        <w:tc>
          <w:tcPr>
            <w:tcW w:w="1701" w:type="dxa"/>
            <w:tcBorders>
              <w:top w:val="single" w:sz="4" w:space="0" w:color="D0CECE"/>
              <w:bottom w:val="single" w:sz="4" w:space="0" w:color="000000"/>
            </w:tcBorders>
            <w:tcMar>
              <w:top w:w="-113" w:type="dxa"/>
              <w:left w:w="-113" w:type="dxa"/>
              <w:bottom w:w="-113" w:type="dxa"/>
              <w:right w:w="-113" w:type="dxa"/>
            </w:tcMar>
          </w:tcPr>
          <w:p w14:paraId="45F3403C" w14:textId="77777777" w:rsidR="00830D35" w:rsidRDefault="00830D35" w:rsidP="00830D35">
            <w:pPr>
              <w:rPr>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1FF406B4" w14:textId="77777777" w:rsidR="00830D35" w:rsidRDefault="00830D35" w:rsidP="00830D35">
            <w:pPr>
              <w:widowControl w:val="0"/>
              <w:pBdr>
                <w:top w:val="nil"/>
                <w:left w:val="nil"/>
                <w:bottom w:val="nil"/>
                <w:right w:val="nil"/>
                <w:between w:val="nil"/>
              </w:pBdr>
              <w:spacing w:line="276" w:lineRule="auto"/>
              <w:rPr>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6FB1F71D" w14:textId="77777777" w:rsidR="00830D35" w:rsidRDefault="00830D35" w:rsidP="00830D35">
            <w:pPr>
              <w:widowControl w:val="0"/>
              <w:pBdr>
                <w:top w:val="nil"/>
                <w:left w:val="nil"/>
                <w:bottom w:val="nil"/>
                <w:right w:val="nil"/>
                <w:between w:val="nil"/>
              </w:pBdr>
              <w:spacing w:line="276" w:lineRule="auto"/>
              <w:rPr>
                <w:sz w:val="16"/>
                <w:szCs w:val="16"/>
              </w:rPr>
            </w:pPr>
          </w:p>
        </w:tc>
      </w:tr>
      <w:tr w:rsidR="00830D35" w14:paraId="1A12CE62"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E633C08" w14:textId="77777777" w:rsidR="00830D35" w:rsidRDefault="00830D35" w:rsidP="00830D35">
            <w:pPr>
              <w:rPr>
                <w:i/>
                <w:color w:val="000000"/>
                <w:sz w:val="16"/>
                <w:szCs w:val="16"/>
              </w:rPr>
            </w:pPr>
            <w:r>
              <w:rPr>
                <w:i/>
                <w:color w:val="000000"/>
                <w:sz w:val="16"/>
                <w:szCs w:val="16"/>
              </w:rPr>
              <w:t>TXNRD1</w:t>
            </w:r>
          </w:p>
          <w:p w14:paraId="2002EE41" w14:textId="77777777" w:rsidR="00830D35" w:rsidRDefault="00830D35" w:rsidP="00830D35">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B7AE3F2" w14:textId="77777777" w:rsidR="00830D35" w:rsidRDefault="00830D35" w:rsidP="00830D35">
            <w:pPr>
              <w:rPr>
                <w:color w:val="000000"/>
                <w:sz w:val="16"/>
                <w:szCs w:val="16"/>
              </w:rPr>
            </w:pPr>
            <w:r>
              <w:rPr>
                <w:color w:val="000000"/>
                <w:sz w:val="16"/>
                <w:szCs w:val="16"/>
              </w:rPr>
              <w:t>Thioredoxin Reductase 1</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24877476" w14:textId="77777777" w:rsidR="00830D35" w:rsidRDefault="00830D35" w:rsidP="00830D35">
            <w:pPr>
              <w:rPr>
                <w:color w:val="000000"/>
                <w:sz w:val="16"/>
                <w:szCs w:val="16"/>
              </w:rPr>
            </w:pPr>
            <w:r>
              <w:rPr>
                <w:color w:val="000000"/>
                <w:sz w:val="16"/>
                <w:szCs w:val="16"/>
              </w:rPr>
              <w:t>rs4077561</w:t>
            </w:r>
          </w:p>
        </w:tc>
        <w:tc>
          <w:tcPr>
            <w:tcW w:w="851" w:type="dxa"/>
            <w:tcBorders>
              <w:top w:val="single" w:sz="4" w:space="0" w:color="000000"/>
              <w:bottom w:val="single" w:sz="4" w:space="0" w:color="D0CECE"/>
            </w:tcBorders>
            <w:tcMar>
              <w:top w:w="-113" w:type="dxa"/>
              <w:left w:w="-113" w:type="dxa"/>
              <w:bottom w:w="-113" w:type="dxa"/>
              <w:right w:w="-113" w:type="dxa"/>
            </w:tcMar>
          </w:tcPr>
          <w:p w14:paraId="7B8B9985" w14:textId="77777777" w:rsidR="00830D35" w:rsidRDefault="00830D35" w:rsidP="00830D35">
            <w:pPr>
              <w:rPr>
                <w:sz w:val="16"/>
                <w:szCs w:val="16"/>
              </w:rPr>
            </w:pPr>
            <w:r>
              <w:rPr>
                <w:sz w:val="16"/>
                <w:szCs w:val="16"/>
              </w:rPr>
              <w:t>C&gt;T</w:t>
            </w:r>
          </w:p>
        </w:tc>
        <w:tc>
          <w:tcPr>
            <w:tcW w:w="1701" w:type="dxa"/>
            <w:tcBorders>
              <w:top w:val="single" w:sz="4" w:space="0" w:color="000000"/>
              <w:bottom w:val="single" w:sz="4" w:space="0" w:color="D0CECE"/>
            </w:tcBorders>
            <w:tcMar>
              <w:top w:w="-113" w:type="dxa"/>
              <w:left w:w="-113" w:type="dxa"/>
              <w:bottom w:w="-113" w:type="dxa"/>
              <w:right w:w="-113" w:type="dxa"/>
            </w:tcMar>
          </w:tcPr>
          <w:p w14:paraId="358D8E89" w14:textId="77777777" w:rsidR="00830D35" w:rsidRDefault="00830D35" w:rsidP="00830D35">
            <w:pPr>
              <w:rPr>
                <w:sz w:val="16"/>
                <w:szCs w:val="16"/>
              </w:rPr>
            </w:pPr>
            <w:r>
              <w:rPr>
                <w:sz w:val="16"/>
                <w:szCs w:val="16"/>
              </w:rPr>
              <w:t>Intron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12A1E3FB" w14:textId="77777777" w:rsidR="00830D35" w:rsidRDefault="00830D35" w:rsidP="00830D35">
            <w:pPr>
              <w:rPr>
                <w:sz w:val="16"/>
                <w:szCs w:val="16"/>
              </w:rPr>
            </w:pPr>
            <w:r>
              <w:rPr>
                <w:color w:val="000000"/>
                <w:sz w:val="16"/>
                <w:szCs w:val="16"/>
              </w:rPr>
              <w:t>T2DM</w:t>
            </w:r>
          </w:p>
          <w:p w14:paraId="67B3CF3A" w14:textId="77777777" w:rsidR="00830D35" w:rsidRDefault="00830D35" w:rsidP="00830D35">
            <w:pPr>
              <w:rPr>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7821C300" w14:textId="77777777" w:rsidR="00830D35" w:rsidRDefault="00830D35" w:rsidP="00830D35">
            <w:pPr>
              <w:rPr>
                <w:sz w:val="16"/>
                <w:szCs w:val="16"/>
              </w:rPr>
            </w:pPr>
            <w:r>
              <w:rPr>
                <w:sz w:val="16"/>
                <w:szCs w:val="16"/>
              </w:rPr>
              <w:t>Grau-Perez et al. 2018</w:t>
            </w:r>
          </w:p>
          <w:p w14:paraId="4242DC86" w14:textId="77777777" w:rsidR="00830D35" w:rsidRDefault="00830D35" w:rsidP="00830D35">
            <w:pPr>
              <w:rPr>
                <w:sz w:val="16"/>
                <w:szCs w:val="16"/>
              </w:rPr>
            </w:pPr>
          </w:p>
        </w:tc>
      </w:tr>
      <w:tr w:rsidR="00830D35" w14:paraId="64B9FED2"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E8446F0" w14:textId="77777777" w:rsidR="00830D35" w:rsidRDefault="00830D35" w:rsidP="00830D35">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3A24E04" w14:textId="77777777" w:rsidR="00830D35" w:rsidRDefault="00830D35" w:rsidP="00830D35">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5497A759" w14:textId="77777777" w:rsidR="00830D35" w:rsidRDefault="00830D35" w:rsidP="00830D35">
            <w:pPr>
              <w:rPr>
                <w:color w:val="000000"/>
                <w:sz w:val="16"/>
                <w:szCs w:val="16"/>
              </w:rPr>
            </w:pPr>
            <w:r>
              <w:rPr>
                <w:color w:val="000000"/>
                <w:sz w:val="16"/>
                <w:szCs w:val="16"/>
              </w:rPr>
              <w:t>rs4964287</w:t>
            </w:r>
          </w:p>
        </w:tc>
        <w:tc>
          <w:tcPr>
            <w:tcW w:w="851" w:type="dxa"/>
            <w:tcBorders>
              <w:top w:val="single" w:sz="4" w:space="0" w:color="D0CECE"/>
              <w:bottom w:val="single" w:sz="4" w:space="0" w:color="D0CECE"/>
            </w:tcBorders>
            <w:tcMar>
              <w:top w:w="-113" w:type="dxa"/>
              <w:left w:w="-113" w:type="dxa"/>
              <w:bottom w:w="-113" w:type="dxa"/>
              <w:right w:w="-113" w:type="dxa"/>
            </w:tcMar>
          </w:tcPr>
          <w:p w14:paraId="58FBEE80" w14:textId="77777777" w:rsidR="00830D35" w:rsidRDefault="00830D35" w:rsidP="00830D35">
            <w:pPr>
              <w:rPr>
                <w:sz w:val="16"/>
                <w:szCs w:val="16"/>
              </w:rPr>
            </w:pPr>
            <w:r>
              <w:rPr>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53F9974A" w14:textId="77777777" w:rsidR="00830D35" w:rsidRDefault="00830D35" w:rsidP="00830D35">
            <w:pPr>
              <w:rPr>
                <w:sz w:val="16"/>
                <w:szCs w:val="16"/>
              </w:rPr>
            </w:pPr>
            <w:r>
              <w:rPr>
                <w:sz w:val="16"/>
                <w:szCs w:val="16"/>
              </w:rPr>
              <w:t>Synonymous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292DD637" w14:textId="77777777" w:rsidR="00830D35" w:rsidRDefault="00830D35" w:rsidP="00830D35">
            <w:pPr>
              <w:widowControl w:val="0"/>
              <w:pBdr>
                <w:top w:val="nil"/>
                <w:left w:val="nil"/>
                <w:bottom w:val="nil"/>
                <w:right w:val="nil"/>
                <w:between w:val="nil"/>
              </w:pBdr>
              <w:spacing w:line="276" w:lineRule="auto"/>
              <w:rPr>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E7FB7C6" w14:textId="77777777" w:rsidR="00830D35" w:rsidRDefault="00830D35" w:rsidP="00830D35">
            <w:pPr>
              <w:widowControl w:val="0"/>
              <w:pBdr>
                <w:top w:val="nil"/>
                <w:left w:val="nil"/>
                <w:bottom w:val="nil"/>
                <w:right w:val="nil"/>
                <w:between w:val="nil"/>
              </w:pBdr>
              <w:spacing w:line="276" w:lineRule="auto"/>
              <w:rPr>
                <w:sz w:val="16"/>
                <w:szCs w:val="16"/>
              </w:rPr>
            </w:pPr>
          </w:p>
        </w:tc>
      </w:tr>
      <w:tr w:rsidR="00830D35" w14:paraId="5DB92193"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E719A9A" w14:textId="77777777" w:rsidR="00830D35" w:rsidRDefault="00830D35" w:rsidP="00830D35">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744D764" w14:textId="77777777" w:rsidR="00830D35" w:rsidRDefault="00830D35" w:rsidP="00830D35">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2708022D" w14:textId="77777777" w:rsidR="00830D35" w:rsidRDefault="00830D35" w:rsidP="00830D35">
            <w:pPr>
              <w:rPr>
                <w:color w:val="000000"/>
                <w:sz w:val="16"/>
                <w:szCs w:val="16"/>
              </w:rPr>
            </w:pPr>
            <w:r>
              <w:rPr>
                <w:color w:val="000000"/>
                <w:sz w:val="16"/>
                <w:szCs w:val="16"/>
              </w:rPr>
              <w:t>rs5018287</w:t>
            </w:r>
          </w:p>
        </w:tc>
        <w:tc>
          <w:tcPr>
            <w:tcW w:w="851" w:type="dxa"/>
            <w:tcBorders>
              <w:top w:val="single" w:sz="4" w:space="0" w:color="D0CECE"/>
              <w:bottom w:val="single" w:sz="4" w:space="0" w:color="000000"/>
            </w:tcBorders>
            <w:tcMar>
              <w:top w:w="-113" w:type="dxa"/>
              <w:left w:w="-113" w:type="dxa"/>
              <w:bottom w:w="-113" w:type="dxa"/>
              <w:right w:w="-113" w:type="dxa"/>
            </w:tcMar>
          </w:tcPr>
          <w:p w14:paraId="794852EF" w14:textId="77777777" w:rsidR="00830D35" w:rsidRDefault="00830D35" w:rsidP="00830D35">
            <w:pPr>
              <w:rPr>
                <w:sz w:val="16"/>
                <w:szCs w:val="16"/>
              </w:rPr>
            </w:pPr>
            <w:r>
              <w:rPr>
                <w:sz w:val="16"/>
                <w:szCs w:val="16"/>
              </w:rPr>
              <w:t>A&gt;G</w:t>
            </w:r>
          </w:p>
        </w:tc>
        <w:tc>
          <w:tcPr>
            <w:tcW w:w="1701" w:type="dxa"/>
            <w:tcBorders>
              <w:top w:val="single" w:sz="4" w:space="0" w:color="D0CECE"/>
              <w:bottom w:val="single" w:sz="4" w:space="0" w:color="000000"/>
            </w:tcBorders>
            <w:tcMar>
              <w:top w:w="-113" w:type="dxa"/>
              <w:left w:w="-113" w:type="dxa"/>
              <w:bottom w:w="-113" w:type="dxa"/>
              <w:right w:w="-113" w:type="dxa"/>
            </w:tcMar>
          </w:tcPr>
          <w:p w14:paraId="66A28BD0" w14:textId="77777777" w:rsidR="00830D35" w:rsidRDefault="00830D35" w:rsidP="00830D35">
            <w:pPr>
              <w:rPr>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04DAA779" w14:textId="77777777" w:rsidR="00830D35" w:rsidRDefault="00830D35" w:rsidP="00830D35">
            <w:pPr>
              <w:widowControl w:val="0"/>
              <w:pBdr>
                <w:top w:val="nil"/>
                <w:left w:val="nil"/>
                <w:bottom w:val="nil"/>
                <w:right w:val="nil"/>
                <w:between w:val="nil"/>
              </w:pBdr>
              <w:spacing w:line="276" w:lineRule="auto"/>
              <w:rPr>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3577890" w14:textId="77777777" w:rsidR="00830D35" w:rsidRDefault="00830D35" w:rsidP="00830D35">
            <w:pPr>
              <w:widowControl w:val="0"/>
              <w:pBdr>
                <w:top w:val="nil"/>
                <w:left w:val="nil"/>
                <w:bottom w:val="nil"/>
                <w:right w:val="nil"/>
                <w:between w:val="nil"/>
              </w:pBdr>
              <w:spacing w:line="276" w:lineRule="auto"/>
              <w:rPr>
                <w:sz w:val="16"/>
                <w:szCs w:val="16"/>
              </w:rPr>
            </w:pPr>
          </w:p>
        </w:tc>
      </w:tr>
      <w:tr w:rsidR="00830D35" w14:paraId="4C2EEE1B"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249E882" w14:textId="77777777" w:rsidR="00830D35" w:rsidRDefault="00830D35" w:rsidP="00830D35">
            <w:pPr>
              <w:rPr>
                <w:i/>
                <w:color w:val="000000"/>
                <w:sz w:val="16"/>
                <w:szCs w:val="16"/>
              </w:rPr>
            </w:pPr>
            <w:r>
              <w:rPr>
                <w:i/>
                <w:color w:val="000000"/>
                <w:sz w:val="16"/>
                <w:szCs w:val="16"/>
              </w:rPr>
              <w:t>TXNRD2</w:t>
            </w:r>
          </w:p>
          <w:p w14:paraId="0869907B" w14:textId="77777777" w:rsidR="00830D35" w:rsidRDefault="00830D35" w:rsidP="00830D35">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4D87C93" w14:textId="77777777" w:rsidR="00830D35" w:rsidRDefault="00830D35" w:rsidP="00830D35">
            <w:pPr>
              <w:rPr>
                <w:color w:val="000000"/>
                <w:sz w:val="16"/>
                <w:szCs w:val="16"/>
              </w:rPr>
            </w:pPr>
            <w:r>
              <w:rPr>
                <w:color w:val="000000"/>
                <w:sz w:val="16"/>
                <w:szCs w:val="16"/>
              </w:rPr>
              <w:t>Thioredoxin Reductase 2</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102FEE98" w14:textId="77777777" w:rsidR="00830D35" w:rsidRDefault="00830D35" w:rsidP="00830D35">
            <w:pPr>
              <w:rPr>
                <w:color w:val="000000"/>
                <w:sz w:val="16"/>
                <w:szCs w:val="16"/>
              </w:rPr>
            </w:pPr>
            <w:r>
              <w:rPr>
                <w:color w:val="000000"/>
                <w:sz w:val="16"/>
                <w:szCs w:val="16"/>
              </w:rPr>
              <w:t>rs1139793</w:t>
            </w:r>
          </w:p>
        </w:tc>
        <w:tc>
          <w:tcPr>
            <w:tcW w:w="851" w:type="dxa"/>
            <w:tcBorders>
              <w:top w:val="single" w:sz="4" w:space="0" w:color="000000"/>
              <w:bottom w:val="single" w:sz="4" w:space="0" w:color="D0CECE"/>
            </w:tcBorders>
            <w:tcMar>
              <w:top w:w="-113" w:type="dxa"/>
              <w:left w:w="-113" w:type="dxa"/>
              <w:bottom w:w="-113" w:type="dxa"/>
              <w:right w:w="-113" w:type="dxa"/>
            </w:tcMar>
          </w:tcPr>
          <w:p w14:paraId="19E0F2DF" w14:textId="77777777" w:rsidR="00830D35" w:rsidRDefault="00830D35" w:rsidP="00830D35">
            <w:pPr>
              <w:rPr>
                <w:sz w:val="16"/>
                <w:szCs w:val="16"/>
              </w:rPr>
            </w:pPr>
            <w:r>
              <w:rPr>
                <w:sz w:val="16"/>
                <w:szCs w:val="16"/>
              </w:rPr>
              <w:t>A&gt;G</w:t>
            </w:r>
          </w:p>
        </w:tc>
        <w:tc>
          <w:tcPr>
            <w:tcW w:w="1701" w:type="dxa"/>
            <w:tcBorders>
              <w:top w:val="single" w:sz="4" w:space="0" w:color="000000"/>
              <w:bottom w:val="single" w:sz="4" w:space="0" w:color="D0CECE"/>
            </w:tcBorders>
            <w:tcMar>
              <w:top w:w="-113" w:type="dxa"/>
              <w:left w:w="-113" w:type="dxa"/>
              <w:bottom w:w="-113" w:type="dxa"/>
              <w:right w:w="-113" w:type="dxa"/>
            </w:tcMar>
          </w:tcPr>
          <w:p w14:paraId="65D20A95" w14:textId="77777777" w:rsidR="00830D35" w:rsidRDefault="00830D35" w:rsidP="00830D35">
            <w:pPr>
              <w:rPr>
                <w:sz w:val="16"/>
                <w:szCs w:val="16"/>
              </w:rPr>
            </w:pPr>
            <w:r>
              <w:rPr>
                <w:sz w:val="16"/>
                <w:szCs w:val="16"/>
              </w:rPr>
              <w:t>Missense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45ECF176" w14:textId="77777777" w:rsidR="00830D35" w:rsidRDefault="00830D35" w:rsidP="00830D35">
            <w:pPr>
              <w:rPr>
                <w:sz w:val="16"/>
                <w:szCs w:val="16"/>
              </w:rPr>
            </w:pPr>
            <w:r>
              <w:rPr>
                <w:color w:val="000000"/>
                <w:sz w:val="16"/>
                <w:szCs w:val="16"/>
              </w:rPr>
              <w:t>T2DM</w:t>
            </w:r>
          </w:p>
          <w:p w14:paraId="2DF814F5" w14:textId="77777777" w:rsidR="00830D35" w:rsidRDefault="00830D35" w:rsidP="00830D35">
            <w:pPr>
              <w:rPr>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2148D3B9" w14:textId="77777777" w:rsidR="00830D35" w:rsidRDefault="00830D35" w:rsidP="00830D35">
            <w:pPr>
              <w:rPr>
                <w:sz w:val="16"/>
                <w:szCs w:val="16"/>
              </w:rPr>
            </w:pPr>
            <w:r>
              <w:rPr>
                <w:sz w:val="16"/>
                <w:szCs w:val="16"/>
              </w:rPr>
              <w:t>Grau-Perez et al. 2018</w:t>
            </w:r>
          </w:p>
          <w:p w14:paraId="01EF1616" w14:textId="77777777" w:rsidR="00830D35" w:rsidRDefault="00830D35" w:rsidP="00830D35">
            <w:pPr>
              <w:rPr>
                <w:sz w:val="16"/>
                <w:szCs w:val="16"/>
              </w:rPr>
            </w:pPr>
          </w:p>
        </w:tc>
      </w:tr>
      <w:tr w:rsidR="00830D35" w14:paraId="3EF82809"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F7170C8" w14:textId="77777777" w:rsidR="00830D35" w:rsidRDefault="00830D35" w:rsidP="00830D35">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E007382" w14:textId="77777777" w:rsidR="00830D35" w:rsidRDefault="00830D35" w:rsidP="00830D35">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725C2DAC" w14:textId="77777777" w:rsidR="00830D35" w:rsidRDefault="00830D35" w:rsidP="00830D35">
            <w:pPr>
              <w:rPr>
                <w:color w:val="000000"/>
                <w:sz w:val="16"/>
                <w:szCs w:val="16"/>
              </w:rPr>
            </w:pPr>
            <w:r>
              <w:rPr>
                <w:color w:val="000000"/>
                <w:sz w:val="16"/>
                <w:szCs w:val="16"/>
              </w:rPr>
              <w:t>rs1548357</w:t>
            </w:r>
          </w:p>
        </w:tc>
        <w:tc>
          <w:tcPr>
            <w:tcW w:w="851" w:type="dxa"/>
            <w:tcBorders>
              <w:top w:val="single" w:sz="4" w:space="0" w:color="D0CECE"/>
              <w:bottom w:val="single" w:sz="4" w:space="0" w:color="D0CECE"/>
            </w:tcBorders>
            <w:tcMar>
              <w:top w:w="-113" w:type="dxa"/>
              <w:left w:w="-113" w:type="dxa"/>
              <w:bottom w:w="-113" w:type="dxa"/>
              <w:right w:w="-113" w:type="dxa"/>
            </w:tcMar>
          </w:tcPr>
          <w:p w14:paraId="55510B74" w14:textId="77777777" w:rsidR="00830D35" w:rsidRDefault="00830D35" w:rsidP="00830D35">
            <w:pPr>
              <w:rPr>
                <w:sz w:val="16"/>
                <w:szCs w:val="16"/>
              </w:rPr>
            </w:pPr>
            <w:r>
              <w:rPr>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2131579B" w14:textId="77777777" w:rsidR="00830D35" w:rsidRDefault="00830D35" w:rsidP="00830D35">
            <w:pPr>
              <w:rPr>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7CFA8F73" w14:textId="77777777" w:rsidR="00830D35" w:rsidRDefault="00830D35" w:rsidP="00830D35">
            <w:pPr>
              <w:widowControl w:val="0"/>
              <w:pBdr>
                <w:top w:val="nil"/>
                <w:left w:val="nil"/>
                <w:bottom w:val="nil"/>
                <w:right w:val="nil"/>
                <w:between w:val="nil"/>
              </w:pBdr>
              <w:spacing w:line="276" w:lineRule="auto"/>
              <w:rPr>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335E2D2F" w14:textId="77777777" w:rsidR="00830D35" w:rsidRDefault="00830D35" w:rsidP="00830D35">
            <w:pPr>
              <w:widowControl w:val="0"/>
              <w:pBdr>
                <w:top w:val="nil"/>
                <w:left w:val="nil"/>
                <w:bottom w:val="nil"/>
                <w:right w:val="nil"/>
                <w:between w:val="nil"/>
              </w:pBdr>
              <w:spacing w:line="276" w:lineRule="auto"/>
              <w:rPr>
                <w:sz w:val="16"/>
                <w:szCs w:val="16"/>
              </w:rPr>
            </w:pPr>
          </w:p>
        </w:tc>
      </w:tr>
      <w:tr w:rsidR="00830D35" w14:paraId="0ECB07A0"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124B171" w14:textId="77777777" w:rsidR="00830D35" w:rsidRDefault="00830D35" w:rsidP="00830D35">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7B82388" w14:textId="77777777" w:rsidR="00830D35" w:rsidRDefault="00830D35" w:rsidP="00830D35">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E37C5F7" w14:textId="77777777" w:rsidR="00830D35" w:rsidRDefault="00830D35" w:rsidP="00830D35">
            <w:pPr>
              <w:rPr>
                <w:color w:val="000000"/>
                <w:sz w:val="16"/>
                <w:szCs w:val="16"/>
              </w:rPr>
            </w:pPr>
            <w:r>
              <w:rPr>
                <w:color w:val="000000"/>
                <w:sz w:val="16"/>
                <w:szCs w:val="16"/>
              </w:rPr>
              <w:t>rs2020917</w:t>
            </w:r>
          </w:p>
        </w:tc>
        <w:tc>
          <w:tcPr>
            <w:tcW w:w="851" w:type="dxa"/>
            <w:tcBorders>
              <w:top w:val="single" w:sz="4" w:space="0" w:color="D0CECE"/>
              <w:bottom w:val="single" w:sz="4" w:space="0" w:color="D0CECE"/>
            </w:tcBorders>
            <w:tcMar>
              <w:top w:w="-113" w:type="dxa"/>
              <w:left w:w="-113" w:type="dxa"/>
              <w:bottom w:w="-113" w:type="dxa"/>
              <w:right w:w="-113" w:type="dxa"/>
            </w:tcMar>
          </w:tcPr>
          <w:p w14:paraId="7CB258FD" w14:textId="77777777" w:rsidR="00830D35" w:rsidRDefault="00830D35" w:rsidP="00830D35">
            <w:pPr>
              <w:rPr>
                <w:sz w:val="16"/>
                <w:szCs w:val="16"/>
              </w:rPr>
            </w:pPr>
            <w:r>
              <w:rPr>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610CCDF4" w14:textId="77777777" w:rsidR="00830D35" w:rsidRDefault="00830D35" w:rsidP="00830D35">
            <w:pPr>
              <w:rPr>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434606FF" w14:textId="77777777" w:rsidR="00830D35" w:rsidRDefault="00830D35" w:rsidP="00830D35">
            <w:pPr>
              <w:widowControl w:val="0"/>
              <w:pBdr>
                <w:top w:val="nil"/>
                <w:left w:val="nil"/>
                <w:bottom w:val="nil"/>
                <w:right w:val="nil"/>
                <w:between w:val="nil"/>
              </w:pBdr>
              <w:spacing w:line="276" w:lineRule="auto"/>
              <w:rPr>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70873A0D" w14:textId="77777777" w:rsidR="00830D35" w:rsidRDefault="00830D35" w:rsidP="00830D35">
            <w:pPr>
              <w:widowControl w:val="0"/>
              <w:pBdr>
                <w:top w:val="nil"/>
                <w:left w:val="nil"/>
                <w:bottom w:val="nil"/>
                <w:right w:val="nil"/>
                <w:between w:val="nil"/>
              </w:pBdr>
              <w:spacing w:line="276" w:lineRule="auto"/>
              <w:rPr>
                <w:sz w:val="16"/>
                <w:szCs w:val="16"/>
              </w:rPr>
            </w:pPr>
          </w:p>
        </w:tc>
      </w:tr>
      <w:tr w:rsidR="00830D35" w14:paraId="2965D31F"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DF04531" w14:textId="77777777" w:rsidR="00830D35" w:rsidRDefault="00830D35" w:rsidP="00830D35">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59B27E4" w14:textId="77777777" w:rsidR="00830D35" w:rsidRDefault="00830D35" w:rsidP="00830D35">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C562D6B" w14:textId="77777777" w:rsidR="00830D35" w:rsidRDefault="00830D35" w:rsidP="00830D35">
            <w:pPr>
              <w:rPr>
                <w:color w:val="000000"/>
                <w:sz w:val="16"/>
                <w:szCs w:val="16"/>
              </w:rPr>
            </w:pPr>
            <w:r>
              <w:rPr>
                <w:color w:val="000000"/>
                <w:sz w:val="16"/>
                <w:szCs w:val="16"/>
              </w:rPr>
              <w:t>rs2073750</w:t>
            </w:r>
          </w:p>
        </w:tc>
        <w:tc>
          <w:tcPr>
            <w:tcW w:w="851" w:type="dxa"/>
            <w:tcBorders>
              <w:top w:val="single" w:sz="4" w:space="0" w:color="D0CECE"/>
              <w:bottom w:val="single" w:sz="4" w:space="0" w:color="D0CECE"/>
            </w:tcBorders>
            <w:tcMar>
              <w:top w:w="-113" w:type="dxa"/>
              <w:left w:w="-113" w:type="dxa"/>
              <w:bottom w:w="-113" w:type="dxa"/>
              <w:right w:w="-113" w:type="dxa"/>
            </w:tcMar>
          </w:tcPr>
          <w:p w14:paraId="211948AD" w14:textId="77777777" w:rsidR="00830D35" w:rsidRDefault="00830D35" w:rsidP="00830D35">
            <w:pPr>
              <w:rPr>
                <w:sz w:val="16"/>
                <w:szCs w:val="16"/>
              </w:rPr>
            </w:pPr>
            <w:r>
              <w:rPr>
                <w:sz w:val="16"/>
                <w:szCs w:val="16"/>
              </w:rPr>
              <w:t>A&gt;G</w:t>
            </w:r>
          </w:p>
        </w:tc>
        <w:tc>
          <w:tcPr>
            <w:tcW w:w="1701" w:type="dxa"/>
            <w:tcBorders>
              <w:top w:val="single" w:sz="4" w:space="0" w:color="D0CECE"/>
              <w:bottom w:val="single" w:sz="4" w:space="0" w:color="D0CECE"/>
            </w:tcBorders>
            <w:tcMar>
              <w:top w:w="-113" w:type="dxa"/>
              <w:left w:w="-113" w:type="dxa"/>
              <w:bottom w:w="-113" w:type="dxa"/>
              <w:right w:w="-113" w:type="dxa"/>
            </w:tcMar>
          </w:tcPr>
          <w:p w14:paraId="6205D06A" w14:textId="77777777" w:rsidR="00830D35" w:rsidRDefault="00830D35" w:rsidP="00830D35">
            <w:pPr>
              <w:rPr>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14195BDC" w14:textId="77777777" w:rsidR="00830D35" w:rsidRDefault="00830D35" w:rsidP="00830D35">
            <w:pPr>
              <w:widowControl w:val="0"/>
              <w:pBdr>
                <w:top w:val="nil"/>
                <w:left w:val="nil"/>
                <w:bottom w:val="nil"/>
                <w:right w:val="nil"/>
                <w:between w:val="nil"/>
              </w:pBdr>
              <w:spacing w:line="276" w:lineRule="auto"/>
              <w:rPr>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2BE5C93C" w14:textId="77777777" w:rsidR="00830D35" w:rsidRDefault="00830D35" w:rsidP="00830D35">
            <w:pPr>
              <w:widowControl w:val="0"/>
              <w:pBdr>
                <w:top w:val="nil"/>
                <w:left w:val="nil"/>
                <w:bottom w:val="nil"/>
                <w:right w:val="nil"/>
                <w:between w:val="nil"/>
              </w:pBdr>
              <w:spacing w:line="276" w:lineRule="auto"/>
              <w:rPr>
                <w:sz w:val="16"/>
                <w:szCs w:val="16"/>
              </w:rPr>
            </w:pPr>
          </w:p>
        </w:tc>
      </w:tr>
      <w:tr w:rsidR="00830D35" w14:paraId="44D90EB0"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2611B50" w14:textId="77777777" w:rsidR="00830D35" w:rsidRDefault="00830D35" w:rsidP="00830D35">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26197BE" w14:textId="77777777" w:rsidR="00830D35" w:rsidRDefault="00830D35" w:rsidP="00830D35">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15071909" w14:textId="77777777" w:rsidR="00830D35" w:rsidRDefault="00830D35" w:rsidP="00830D35">
            <w:pPr>
              <w:rPr>
                <w:color w:val="000000"/>
                <w:sz w:val="16"/>
                <w:szCs w:val="16"/>
              </w:rPr>
            </w:pPr>
            <w:r>
              <w:rPr>
                <w:color w:val="000000"/>
                <w:sz w:val="16"/>
                <w:szCs w:val="16"/>
              </w:rPr>
              <w:t>rs5992495</w:t>
            </w:r>
          </w:p>
        </w:tc>
        <w:tc>
          <w:tcPr>
            <w:tcW w:w="851" w:type="dxa"/>
            <w:tcBorders>
              <w:top w:val="single" w:sz="4" w:space="0" w:color="D0CECE"/>
              <w:bottom w:val="single" w:sz="4" w:space="0" w:color="D0CECE"/>
            </w:tcBorders>
            <w:tcMar>
              <w:top w:w="-113" w:type="dxa"/>
              <w:left w:w="-113" w:type="dxa"/>
              <w:bottom w:w="-113" w:type="dxa"/>
              <w:right w:w="-113" w:type="dxa"/>
            </w:tcMar>
          </w:tcPr>
          <w:p w14:paraId="4C582CE9" w14:textId="77777777" w:rsidR="00830D35" w:rsidRDefault="00830D35" w:rsidP="00830D35">
            <w:pPr>
              <w:rPr>
                <w:sz w:val="16"/>
                <w:szCs w:val="16"/>
              </w:rPr>
            </w:pPr>
            <w:r>
              <w:rPr>
                <w:sz w:val="16"/>
                <w:szCs w:val="16"/>
              </w:rPr>
              <w:t>G&gt;T</w:t>
            </w:r>
          </w:p>
        </w:tc>
        <w:tc>
          <w:tcPr>
            <w:tcW w:w="1701" w:type="dxa"/>
            <w:tcBorders>
              <w:top w:val="single" w:sz="4" w:space="0" w:color="D0CECE"/>
              <w:bottom w:val="single" w:sz="4" w:space="0" w:color="D0CECE"/>
            </w:tcBorders>
            <w:tcMar>
              <w:top w:w="-113" w:type="dxa"/>
              <w:left w:w="-113" w:type="dxa"/>
              <w:bottom w:w="-113" w:type="dxa"/>
              <w:right w:w="-113" w:type="dxa"/>
            </w:tcMar>
          </w:tcPr>
          <w:p w14:paraId="6DBFBAC9" w14:textId="77777777" w:rsidR="00830D35" w:rsidRDefault="00830D35" w:rsidP="00830D35">
            <w:pPr>
              <w:rPr>
                <w:sz w:val="16"/>
                <w:szCs w:val="16"/>
              </w:rPr>
            </w:pPr>
            <w:r>
              <w:rPr>
                <w:sz w:val="16"/>
                <w:szCs w:val="16"/>
              </w:rPr>
              <w:t>Missense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6F6DB08B" w14:textId="77777777" w:rsidR="00830D35" w:rsidRDefault="00830D35" w:rsidP="00830D35">
            <w:pPr>
              <w:widowControl w:val="0"/>
              <w:pBdr>
                <w:top w:val="nil"/>
                <w:left w:val="nil"/>
                <w:bottom w:val="nil"/>
                <w:right w:val="nil"/>
                <w:between w:val="nil"/>
              </w:pBdr>
              <w:spacing w:line="276" w:lineRule="auto"/>
              <w:rPr>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E1ACA8B" w14:textId="77777777" w:rsidR="00830D35" w:rsidRDefault="00830D35" w:rsidP="00830D35">
            <w:pPr>
              <w:widowControl w:val="0"/>
              <w:pBdr>
                <w:top w:val="nil"/>
                <w:left w:val="nil"/>
                <w:bottom w:val="nil"/>
                <w:right w:val="nil"/>
                <w:between w:val="nil"/>
              </w:pBdr>
              <w:spacing w:line="276" w:lineRule="auto"/>
              <w:rPr>
                <w:sz w:val="16"/>
                <w:szCs w:val="16"/>
              </w:rPr>
            </w:pPr>
          </w:p>
        </w:tc>
      </w:tr>
      <w:tr w:rsidR="00830D35" w14:paraId="638D2B29"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61547C2" w14:textId="77777777" w:rsidR="00830D35" w:rsidRDefault="00830D35" w:rsidP="00830D35">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96EC4CE" w14:textId="77777777" w:rsidR="00830D35" w:rsidRDefault="00830D35" w:rsidP="00830D35">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7980D8D1" w14:textId="77777777" w:rsidR="00830D35" w:rsidRDefault="00830D35" w:rsidP="00830D35">
            <w:pPr>
              <w:rPr>
                <w:color w:val="000000"/>
                <w:sz w:val="16"/>
                <w:szCs w:val="16"/>
              </w:rPr>
            </w:pPr>
            <w:r>
              <w:rPr>
                <w:color w:val="000000"/>
                <w:sz w:val="16"/>
                <w:szCs w:val="16"/>
              </w:rPr>
              <w:t>rs740603</w:t>
            </w:r>
          </w:p>
        </w:tc>
        <w:tc>
          <w:tcPr>
            <w:tcW w:w="851" w:type="dxa"/>
            <w:tcBorders>
              <w:top w:val="single" w:sz="4" w:space="0" w:color="D0CECE"/>
              <w:bottom w:val="single" w:sz="4" w:space="0" w:color="D0CECE"/>
            </w:tcBorders>
            <w:tcMar>
              <w:top w:w="-113" w:type="dxa"/>
              <w:left w:w="-113" w:type="dxa"/>
              <w:bottom w:w="-113" w:type="dxa"/>
              <w:right w:w="-113" w:type="dxa"/>
            </w:tcMar>
          </w:tcPr>
          <w:p w14:paraId="5F0ABCCA" w14:textId="77777777" w:rsidR="00830D35" w:rsidRDefault="00830D35" w:rsidP="00830D35">
            <w:pPr>
              <w:rPr>
                <w:sz w:val="16"/>
                <w:szCs w:val="16"/>
              </w:rPr>
            </w:pPr>
            <w:r>
              <w:rPr>
                <w:sz w:val="16"/>
                <w:szCs w:val="16"/>
              </w:rPr>
              <w:t>A&gt;G</w:t>
            </w:r>
          </w:p>
        </w:tc>
        <w:tc>
          <w:tcPr>
            <w:tcW w:w="1701" w:type="dxa"/>
            <w:tcBorders>
              <w:top w:val="single" w:sz="4" w:space="0" w:color="D0CECE"/>
              <w:bottom w:val="single" w:sz="4" w:space="0" w:color="D0CECE"/>
            </w:tcBorders>
            <w:tcMar>
              <w:top w:w="-113" w:type="dxa"/>
              <w:left w:w="-113" w:type="dxa"/>
              <w:bottom w:w="-113" w:type="dxa"/>
              <w:right w:w="-113" w:type="dxa"/>
            </w:tcMar>
          </w:tcPr>
          <w:p w14:paraId="39F97CC1" w14:textId="77777777" w:rsidR="00830D35" w:rsidRDefault="00830D35" w:rsidP="00830D35">
            <w:pPr>
              <w:rPr>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3333DD1E" w14:textId="77777777" w:rsidR="00830D35" w:rsidRDefault="00830D35" w:rsidP="00830D35">
            <w:pPr>
              <w:widowControl w:val="0"/>
              <w:pBdr>
                <w:top w:val="nil"/>
                <w:left w:val="nil"/>
                <w:bottom w:val="nil"/>
                <w:right w:val="nil"/>
                <w:between w:val="nil"/>
              </w:pBdr>
              <w:spacing w:line="276" w:lineRule="auto"/>
              <w:rPr>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67B69C0A" w14:textId="77777777" w:rsidR="00830D35" w:rsidRDefault="00830D35" w:rsidP="00830D35">
            <w:pPr>
              <w:widowControl w:val="0"/>
              <w:pBdr>
                <w:top w:val="nil"/>
                <w:left w:val="nil"/>
                <w:bottom w:val="nil"/>
                <w:right w:val="nil"/>
                <w:between w:val="nil"/>
              </w:pBdr>
              <w:spacing w:line="276" w:lineRule="auto"/>
              <w:rPr>
                <w:sz w:val="16"/>
                <w:szCs w:val="16"/>
              </w:rPr>
            </w:pPr>
          </w:p>
        </w:tc>
      </w:tr>
      <w:tr w:rsidR="00830D35" w14:paraId="61383BB8"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9BDA394" w14:textId="77777777" w:rsidR="00830D35" w:rsidRDefault="00830D35" w:rsidP="00830D35">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B393CE2" w14:textId="77777777" w:rsidR="00830D35" w:rsidRDefault="00830D35" w:rsidP="00830D35">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1DE174F5" w14:textId="77777777" w:rsidR="00830D35" w:rsidRDefault="00830D35" w:rsidP="00830D35">
            <w:pPr>
              <w:rPr>
                <w:color w:val="000000"/>
                <w:sz w:val="16"/>
                <w:szCs w:val="16"/>
              </w:rPr>
            </w:pPr>
            <w:r>
              <w:rPr>
                <w:color w:val="000000"/>
                <w:sz w:val="16"/>
                <w:szCs w:val="16"/>
              </w:rPr>
              <w:t>rs756661</w:t>
            </w:r>
          </w:p>
        </w:tc>
        <w:tc>
          <w:tcPr>
            <w:tcW w:w="851" w:type="dxa"/>
            <w:tcBorders>
              <w:top w:val="single" w:sz="4" w:space="0" w:color="D0CECE"/>
              <w:bottom w:val="single" w:sz="4" w:space="0" w:color="000000"/>
            </w:tcBorders>
            <w:tcMar>
              <w:top w:w="-113" w:type="dxa"/>
              <w:left w:w="-113" w:type="dxa"/>
              <w:bottom w:w="-113" w:type="dxa"/>
              <w:right w:w="-113" w:type="dxa"/>
            </w:tcMar>
          </w:tcPr>
          <w:p w14:paraId="6D50A016" w14:textId="77777777" w:rsidR="00830D35" w:rsidRDefault="00830D35" w:rsidP="00830D35">
            <w:pPr>
              <w:rPr>
                <w:sz w:val="16"/>
                <w:szCs w:val="16"/>
              </w:rPr>
            </w:pPr>
            <w:r>
              <w:rPr>
                <w:sz w:val="16"/>
                <w:szCs w:val="16"/>
              </w:rPr>
              <w:t>C&gt;T</w:t>
            </w:r>
          </w:p>
        </w:tc>
        <w:tc>
          <w:tcPr>
            <w:tcW w:w="1701" w:type="dxa"/>
            <w:tcBorders>
              <w:top w:val="single" w:sz="4" w:space="0" w:color="D0CECE"/>
              <w:bottom w:val="single" w:sz="4" w:space="0" w:color="000000"/>
            </w:tcBorders>
            <w:tcMar>
              <w:top w:w="-113" w:type="dxa"/>
              <w:left w:w="-113" w:type="dxa"/>
              <w:bottom w:w="-113" w:type="dxa"/>
              <w:right w:w="-113" w:type="dxa"/>
            </w:tcMar>
          </w:tcPr>
          <w:p w14:paraId="491A57F7" w14:textId="77777777" w:rsidR="00830D35" w:rsidRDefault="00830D35" w:rsidP="00830D35">
            <w:pPr>
              <w:rPr>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12AD6ED5" w14:textId="77777777" w:rsidR="00830D35" w:rsidRDefault="00830D35" w:rsidP="00830D35">
            <w:pPr>
              <w:widowControl w:val="0"/>
              <w:pBdr>
                <w:top w:val="nil"/>
                <w:left w:val="nil"/>
                <w:bottom w:val="nil"/>
                <w:right w:val="nil"/>
                <w:between w:val="nil"/>
              </w:pBdr>
              <w:spacing w:line="276" w:lineRule="auto"/>
              <w:rPr>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22819B86" w14:textId="77777777" w:rsidR="00830D35" w:rsidRDefault="00830D35" w:rsidP="00830D35">
            <w:pPr>
              <w:widowControl w:val="0"/>
              <w:pBdr>
                <w:top w:val="nil"/>
                <w:left w:val="nil"/>
                <w:bottom w:val="nil"/>
                <w:right w:val="nil"/>
                <w:between w:val="nil"/>
              </w:pBdr>
              <w:spacing w:line="276" w:lineRule="auto"/>
              <w:rPr>
                <w:sz w:val="16"/>
                <w:szCs w:val="16"/>
              </w:rPr>
            </w:pPr>
          </w:p>
        </w:tc>
      </w:tr>
      <w:tr w:rsidR="00830D35" w14:paraId="4BA97E54"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557EC18" w14:textId="77777777" w:rsidR="00830D35" w:rsidRDefault="00830D35" w:rsidP="00830D35">
            <w:pPr>
              <w:rPr>
                <w:i/>
                <w:color w:val="000000"/>
                <w:sz w:val="16"/>
                <w:szCs w:val="16"/>
              </w:rPr>
            </w:pPr>
            <w:r>
              <w:rPr>
                <w:i/>
                <w:color w:val="000000"/>
                <w:sz w:val="16"/>
                <w:szCs w:val="16"/>
              </w:rPr>
              <w:t>UCP1</w:t>
            </w:r>
          </w:p>
          <w:p w14:paraId="59091DEC" w14:textId="77777777" w:rsidR="00830D35" w:rsidRDefault="00830D35" w:rsidP="00830D35">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DCDD255" w14:textId="77777777" w:rsidR="00830D35" w:rsidRDefault="00830D35" w:rsidP="00830D35">
            <w:pPr>
              <w:rPr>
                <w:color w:val="000000"/>
                <w:sz w:val="16"/>
                <w:szCs w:val="16"/>
              </w:rPr>
            </w:pPr>
            <w:r>
              <w:rPr>
                <w:color w:val="000000"/>
                <w:sz w:val="16"/>
                <w:szCs w:val="16"/>
              </w:rPr>
              <w:t>Uncoupling Protein 1</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6C0ADA6C" w14:textId="77777777" w:rsidR="00830D35" w:rsidRDefault="00830D35" w:rsidP="00830D35">
            <w:pPr>
              <w:rPr>
                <w:color w:val="000000"/>
                <w:sz w:val="16"/>
                <w:szCs w:val="16"/>
              </w:rPr>
            </w:pPr>
            <w:r>
              <w:rPr>
                <w:color w:val="000000"/>
                <w:sz w:val="16"/>
                <w:szCs w:val="16"/>
              </w:rPr>
              <w:t>rs12502572</w:t>
            </w:r>
          </w:p>
        </w:tc>
        <w:tc>
          <w:tcPr>
            <w:tcW w:w="851" w:type="dxa"/>
            <w:tcBorders>
              <w:top w:val="single" w:sz="4" w:space="0" w:color="000000"/>
              <w:bottom w:val="single" w:sz="4" w:space="0" w:color="D0CECE"/>
            </w:tcBorders>
            <w:tcMar>
              <w:top w:w="-113" w:type="dxa"/>
              <w:left w:w="-113" w:type="dxa"/>
              <w:bottom w:w="-113" w:type="dxa"/>
              <w:right w:w="-113" w:type="dxa"/>
            </w:tcMar>
          </w:tcPr>
          <w:p w14:paraId="776A4F60" w14:textId="77777777" w:rsidR="00830D35" w:rsidRDefault="00830D35" w:rsidP="00830D35">
            <w:pPr>
              <w:rPr>
                <w:sz w:val="16"/>
                <w:szCs w:val="16"/>
              </w:rPr>
            </w:pPr>
            <w:r>
              <w:rPr>
                <w:sz w:val="16"/>
                <w:szCs w:val="16"/>
              </w:rPr>
              <w:t>G&gt;A</w:t>
            </w:r>
          </w:p>
        </w:tc>
        <w:tc>
          <w:tcPr>
            <w:tcW w:w="1701" w:type="dxa"/>
            <w:tcBorders>
              <w:top w:val="single" w:sz="4" w:space="0" w:color="000000"/>
              <w:bottom w:val="single" w:sz="4" w:space="0" w:color="D0CECE"/>
            </w:tcBorders>
            <w:tcMar>
              <w:top w:w="-113" w:type="dxa"/>
              <w:left w:w="-113" w:type="dxa"/>
              <w:bottom w:w="-113" w:type="dxa"/>
              <w:right w:w="-113" w:type="dxa"/>
            </w:tcMar>
          </w:tcPr>
          <w:p w14:paraId="44741687" w14:textId="77777777" w:rsidR="00830D35" w:rsidRDefault="00830D35" w:rsidP="00830D35">
            <w:pPr>
              <w:rPr>
                <w:sz w:val="16"/>
                <w:szCs w:val="16"/>
              </w:rPr>
            </w:pPr>
            <w:r>
              <w:rPr>
                <w:sz w:val="16"/>
                <w:szCs w:val="16"/>
              </w:rPr>
              <w:t>Intron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34910E3D" w14:textId="77777777" w:rsidR="00830D35" w:rsidRDefault="00830D35" w:rsidP="00830D35">
            <w:pPr>
              <w:rPr>
                <w:sz w:val="16"/>
                <w:szCs w:val="16"/>
              </w:rPr>
            </w:pPr>
            <w:r>
              <w:rPr>
                <w:color w:val="000000"/>
                <w:sz w:val="16"/>
                <w:szCs w:val="16"/>
              </w:rPr>
              <w:t>T2DM</w:t>
            </w:r>
          </w:p>
          <w:p w14:paraId="3BDC01CB" w14:textId="77777777" w:rsidR="00830D35" w:rsidRDefault="00830D35" w:rsidP="00830D35">
            <w:pPr>
              <w:rPr>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023D951A" w14:textId="77777777" w:rsidR="00830D35" w:rsidRDefault="00830D35" w:rsidP="00830D35">
            <w:pPr>
              <w:rPr>
                <w:sz w:val="16"/>
                <w:szCs w:val="16"/>
              </w:rPr>
            </w:pPr>
            <w:r>
              <w:rPr>
                <w:sz w:val="16"/>
                <w:szCs w:val="16"/>
              </w:rPr>
              <w:t>Grau-Perez et al. 2018</w:t>
            </w:r>
          </w:p>
          <w:p w14:paraId="0F8DBD72" w14:textId="77777777" w:rsidR="00830D35" w:rsidRDefault="00830D35" w:rsidP="00830D35">
            <w:pPr>
              <w:rPr>
                <w:sz w:val="16"/>
                <w:szCs w:val="16"/>
              </w:rPr>
            </w:pPr>
          </w:p>
        </w:tc>
      </w:tr>
      <w:tr w:rsidR="00830D35" w14:paraId="000126A7"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0604B09" w14:textId="77777777" w:rsidR="00830D35" w:rsidRDefault="00830D35" w:rsidP="00830D35">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92B6F09" w14:textId="77777777" w:rsidR="00830D35" w:rsidRDefault="00830D35" w:rsidP="00830D35">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224F9326" w14:textId="77777777" w:rsidR="00830D35" w:rsidRDefault="00830D35" w:rsidP="00830D35">
            <w:pPr>
              <w:rPr>
                <w:color w:val="000000"/>
                <w:sz w:val="16"/>
                <w:szCs w:val="16"/>
              </w:rPr>
            </w:pPr>
            <w:r>
              <w:rPr>
                <w:color w:val="000000"/>
                <w:sz w:val="16"/>
                <w:szCs w:val="16"/>
              </w:rPr>
              <w:t>rs1800592</w:t>
            </w:r>
          </w:p>
        </w:tc>
        <w:tc>
          <w:tcPr>
            <w:tcW w:w="851" w:type="dxa"/>
            <w:tcBorders>
              <w:top w:val="single" w:sz="4" w:space="0" w:color="D0CECE"/>
              <w:bottom w:val="single" w:sz="4" w:space="0" w:color="D0CECE"/>
            </w:tcBorders>
            <w:tcMar>
              <w:top w:w="-113" w:type="dxa"/>
              <w:left w:w="-113" w:type="dxa"/>
              <w:bottom w:w="-113" w:type="dxa"/>
              <w:right w:w="-113" w:type="dxa"/>
            </w:tcMar>
          </w:tcPr>
          <w:p w14:paraId="61CCDB57" w14:textId="77777777" w:rsidR="00830D35" w:rsidRDefault="00830D35" w:rsidP="00830D35">
            <w:pPr>
              <w:rPr>
                <w:sz w:val="16"/>
                <w:szCs w:val="16"/>
              </w:rPr>
            </w:pPr>
            <w:r>
              <w:rPr>
                <w:sz w:val="16"/>
                <w:szCs w:val="16"/>
              </w:rPr>
              <w:t>T&gt;C</w:t>
            </w:r>
          </w:p>
        </w:tc>
        <w:tc>
          <w:tcPr>
            <w:tcW w:w="1701" w:type="dxa"/>
            <w:tcBorders>
              <w:top w:val="single" w:sz="4" w:space="0" w:color="D0CECE"/>
              <w:bottom w:val="single" w:sz="4" w:space="0" w:color="D0CECE"/>
            </w:tcBorders>
            <w:tcMar>
              <w:top w:w="-113" w:type="dxa"/>
              <w:left w:w="-113" w:type="dxa"/>
              <w:bottom w:w="-113" w:type="dxa"/>
              <w:right w:w="-113" w:type="dxa"/>
            </w:tcMar>
          </w:tcPr>
          <w:p w14:paraId="0B077DD6" w14:textId="77777777" w:rsidR="00830D35" w:rsidRDefault="00830D35" w:rsidP="00830D35">
            <w:pPr>
              <w:rPr>
                <w:sz w:val="16"/>
                <w:szCs w:val="16"/>
              </w:rPr>
            </w:pPr>
            <w:r>
              <w:rPr>
                <w:sz w:val="16"/>
                <w:szCs w:val="16"/>
              </w:rPr>
              <w:t>5 Prime UTR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39733D6E" w14:textId="77777777" w:rsidR="00830D35" w:rsidRDefault="00830D35" w:rsidP="00830D35">
            <w:pPr>
              <w:widowControl w:val="0"/>
              <w:pBdr>
                <w:top w:val="nil"/>
                <w:left w:val="nil"/>
                <w:bottom w:val="nil"/>
                <w:right w:val="nil"/>
                <w:between w:val="nil"/>
              </w:pBdr>
              <w:spacing w:line="276" w:lineRule="auto"/>
              <w:rPr>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150871C4" w14:textId="77777777" w:rsidR="00830D35" w:rsidRDefault="00830D35" w:rsidP="00830D35">
            <w:pPr>
              <w:widowControl w:val="0"/>
              <w:pBdr>
                <w:top w:val="nil"/>
                <w:left w:val="nil"/>
                <w:bottom w:val="nil"/>
                <w:right w:val="nil"/>
                <w:between w:val="nil"/>
              </w:pBdr>
              <w:spacing w:line="276" w:lineRule="auto"/>
              <w:rPr>
                <w:sz w:val="16"/>
                <w:szCs w:val="16"/>
              </w:rPr>
            </w:pPr>
          </w:p>
        </w:tc>
      </w:tr>
      <w:tr w:rsidR="00830D35" w14:paraId="229E55BF"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7347BDB" w14:textId="77777777" w:rsidR="00830D35" w:rsidRDefault="00830D35" w:rsidP="00830D35">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3805A53" w14:textId="77777777" w:rsidR="00830D35" w:rsidRDefault="00830D35" w:rsidP="00830D35">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2E15FAB8" w14:textId="77777777" w:rsidR="00830D35" w:rsidRDefault="00830D35" w:rsidP="00830D35">
            <w:pPr>
              <w:rPr>
                <w:color w:val="000000"/>
                <w:sz w:val="16"/>
                <w:szCs w:val="16"/>
              </w:rPr>
            </w:pPr>
            <w:r>
              <w:rPr>
                <w:color w:val="000000"/>
                <w:sz w:val="16"/>
                <w:szCs w:val="16"/>
              </w:rPr>
              <w:t>rs3811787</w:t>
            </w:r>
          </w:p>
        </w:tc>
        <w:tc>
          <w:tcPr>
            <w:tcW w:w="851" w:type="dxa"/>
            <w:tcBorders>
              <w:top w:val="single" w:sz="4" w:space="0" w:color="D0CECE"/>
              <w:bottom w:val="single" w:sz="4" w:space="0" w:color="000000"/>
            </w:tcBorders>
            <w:tcMar>
              <w:top w:w="-113" w:type="dxa"/>
              <w:left w:w="-113" w:type="dxa"/>
              <w:bottom w:w="-113" w:type="dxa"/>
              <w:right w:w="-113" w:type="dxa"/>
            </w:tcMar>
          </w:tcPr>
          <w:p w14:paraId="1C403325" w14:textId="77777777" w:rsidR="00830D35" w:rsidRDefault="00830D35" w:rsidP="00830D35">
            <w:pPr>
              <w:rPr>
                <w:sz w:val="16"/>
                <w:szCs w:val="16"/>
              </w:rPr>
            </w:pPr>
            <w:r>
              <w:rPr>
                <w:sz w:val="16"/>
                <w:szCs w:val="16"/>
              </w:rPr>
              <w:t>T&gt;G</w:t>
            </w:r>
          </w:p>
        </w:tc>
        <w:tc>
          <w:tcPr>
            <w:tcW w:w="1701" w:type="dxa"/>
            <w:tcBorders>
              <w:top w:val="single" w:sz="4" w:space="0" w:color="D0CECE"/>
              <w:bottom w:val="single" w:sz="4" w:space="0" w:color="000000"/>
            </w:tcBorders>
            <w:tcMar>
              <w:top w:w="-113" w:type="dxa"/>
              <w:left w:w="-113" w:type="dxa"/>
              <w:bottom w:w="-113" w:type="dxa"/>
              <w:right w:w="-113" w:type="dxa"/>
            </w:tcMar>
          </w:tcPr>
          <w:p w14:paraId="65F6E529" w14:textId="77777777" w:rsidR="00830D35" w:rsidRDefault="00830D35" w:rsidP="00830D35">
            <w:pPr>
              <w:rPr>
                <w:sz w:val="16"/>
                <w:szCs w:val="16"/>
              </w:rPr>
            </w:pPr>
            <w:r>
              <w:rPr>
                <w:sz w:val="16"/>
                <w:szCs w:val="16"/>
              </w:rPr>
              <w:t>5 Prime UTR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4BC2441D" w14:textId="77777777" w:rsidR="00830D35" w:rsidRDefault="00830D35" w:rsidP="00830D35">
            <w:pPr>
              <w:widowControl w:val="0"/>
              <w:pBdr>
                <w:top w:val="nil"/>
                <w:left w:val="nil"/>
                <w:bottom w:val="nil"/>
                <w:right w:val="nil"/>
                <w:between w:val="nil"/>
              </w:pBdr>
              <w:spacing w:line="276" w:lineRule="auto"/>
              <w:rPr>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76BBEDCA" w14:textId="77777777" w:rsidR="00830D35" w:rsidRDefault="00830D35" w:rsidP="00830D35">
            <w:pPr>
              <w:widowControl w:val="0"/>
              <w:pBdr>
                <w:top w:val="nil"/>
                <w:left w:val="nil"/>
                <w:bottom w:val="nil"/>
                <w:right w:val="nil"/>
                <w:between w:val="nil"/>
              </w:pBdr>
              <w:spacing w:line="276" w:lineRule="auto"/>
              <w:rPr>
                <w:sz w:val="16"/>
                <w:szCs w:val="16"/>
              </w:rPr>
            </w:pPr>
          </w:p>
        </w:tc>
      </w:tr>
      <w:tr w:rsidR="00830D35" w14:paraId="6FD6919D"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2F4C4180" w14:textId="77777777" w:rsidR="00830D35" w:rsidRDefault="00830D35" w:rsidP="00830D35">
            <w:pPr>
              <w:rPr>
                <w:i/>
                <w:color w:val="000000"/>
                <w:sz w:val="16"/>
                <w:szCs w:val="16"/>
              </w:rPr>
            </w:pPr>
            <w:r>
              <w:rPr>
                <w:i/>
                <w:color w:val="000000"/>
                <w:sz w:val="16"/>
                <w:szCs w:val="16"/>
              </w:rPr>
              <w:t>UCP2</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1B799F6C" w14:textId="77777777" w:rsidR="00830D35" w:rsidRDefault="00830D35" w:rsidP="00830D35">
            <w:pPr>
              <w:rPr>
                <w:color w:val="000000"/>
                <w:sz w:val="16"/>
                <w:szCs w:val="16"/>
              </w:rPr>
            </w:pPr>
            <w:r>
              <w:rPr>
                <w:color w:val="000000"/>
                <w:sz w:val="16"/>
                <w:szCs w:val="16"/>
              </w:rPr>
              <w:t>Uncoupling Protein 2</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23E5B67F" w14:textId="77777777" w:rsidR="00830D35" w:rsidRDefault="00830D35" w:rsidP="00830D35">
            <w:pPr>
              <w:rPr>
                <w:color w:val="000000"/>
                <w:sz w:val="16"/>
                <w:szCs w:val="16"/>
              </w:rPr>
            </w:pPr>
            <w:r>
              <w:rPr>
                <w:color w:val="000000"/>
                <w:sz w:val="16"/>
                <w:szCs w:val="16"/>
              </w:rPr>
              <w:t>rs660339</w:t>
            </w:r>
          </w:p>
        </w:tc>
        <w:tc>
          <w:tcPr>
            <w:tcW w:w="851" w:type="dxa"/>
            <w:tcBorders>
              <w:top w:val="single" w:sz="4" w:space="0" w:color="000000"/>
              <w:bottom w:val="single" w:sz="4" w:space="0" w:color="000000"/>
            </w:tcBorders>
            <w:tcMar>
              <w:top w:w="-113" w:type="dxa"/>
              <w:left w:w="-113" w:type="dxa"/>
              <w:bottom w:w="-113" w:type="dxa"/>
              <w:right w:w="-113" w:type="dxa"/>
            </w:tcMar>
          </w:tcPr>
          <w:p w14:paraId="3E96EBD2" w14:textId="77777777" w:rsidR="00830D35" w:rsidRDefault="00830D35" w:rsidP="00830D35">
            <w:pPr>
              <w:rPr>
                <w:sz w:val="16"/>
                <w:szCs w:val="16"/>
              </w:rPr>
            </w:pPr>
            <w:r>
              <w:rPr>
                <w:sz w:val="16"/>
                <w:szCs w:val="16"/>
              </w:rPr>
              <w:t>G&gt;A</w:t>
            </w:r>
          </w:p>
        </w:tc>
        <w:tc>
          <w:tcPr>
            <w:tcW w:w="1701" w:type="dxa"/>
            <w:tcBorders>
              <w:top w:val="single" w:sz="4" w:space="0" w:color="000000"/>
              <w:bottom w:val="single" w:sz="4" w:space="0" w:color="000000"/>
            </w:tcBorders>
            <w:tcMar>
              <w:top w:w="-113" w:type="dxa"/>
              <w:left w:w="-113" w:type="dxa"/>
              <w:bottom w:w="-113" w:type="dxa"/>
              <w:right w:w="-113" w:type="dxa"/>
            </w:tcMar>
          </w:tcPr>
          <w:p w14:paraId="3EE1AE48" w14:textId="77777777" w:rsidR="00830D35" w:rsidRDefault="00830D35" w:rsidP="00830D35">
            <w:pPr>
              <w:rPr>
                <w:sz w:val="16"/>
                <w:szCs w:val="16"/>
              </w:rPr>
            </w:pPr>
            <w:r>
              <w:rPr>
                <w:sz w:val="16"/>
                <w:szCs w:val="16"/>
              </w:rPr>
              <w:t xml:space="preserve">Missense variant </w:t>
            </w:r>
          </w:p>
        </w:tc>
        <w:tc>
          <w:tcPr>
            <w:tcW w:w="708" w:type="dxa"/>
            <w:tcBorders>
              <w:top w:val="single" w:sz="4" w:space="0" w:color="000000"/>
              <w:bottom w:val="single" w:sz="4" w:space="0" w:color="000000"/>
            </w:tcBorders>
            <w:tcMar>
              <w:top w:w="-113" w:type="dxa"/>
              <w:left w:w="-113" w:type="dxa"/>
              <w:bottom w:w="-113" w:type="dxa"/>
              <w:right w:w="-113" w:type="dxa"/>
            </w:tcMar>
          </w:tcPr>
          <w:p w14:paraId="72E7D592" w14:textId="77777777" w:rsidR="00830D35" w:rsidRDefault="00830D35" w:rsidP="00830D35">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42F944F0" w14:textId="77777777" w:rsidR="00830D35" w:rsidRDefault="00830D35" w:rsidP="00830D35">
            <w:pPr>
              <w:rPr>
                <w:color w:val="000000"/>
                <w:sz w:val="16"/>
                <w:szCs w:val="16"/>
              </w:rPr>
            </w:pPr>
            <w:r>
              <w:rPr>
                <w:sz w:val="16"/>
                <w:szCs w:val="16"/>
              </w:rPr>
              <w:t>Grau-Perez et al. 2018</w:t>
            </w:r>
          </w:p>
        </w:tc>
      </w:tr>
      <w:tr w:rsidR="00830D35" w14:paraId="67507FA9"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59D197E" w14:textId="77777777" w:rsidR="00830D35" w:rsidRDefault="00830D35" w:rsidP="00830D35">
            <w:pPr>
              <w:rPr>
                <w:i/>
                <w:color w:val="000000"/>
                <w:sz w:val="16"/>
                <w:szCs w:val="16"/>
              </w:rPr>
            </w:pPr>
            <w:r>
              <w:rPr>
                <w:i/>
                <w:color w:val="000000"/>
                <w:sz w:val="16"/>
                <w:szCs w:val="16"/>
              </w:rPr>
              <w:t>UCP3</w:t>
            </w:r>
          </w:p>
          <w:p w14:paraId="46E7A800" w14:textId="77777777" w:rsidR="00830D35" w:rsidRDefault="00830D35" w:rsidP="00830D35">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024EECD" w14:textId="77777777" w:rsidR="00830D35" w:rsidRDefault="00830D35" w:rsidP="00830D35">
            <w:pPr>
              <w:rPr>
                <w:color w:val="000000"/>
                <w:sz w:val="16"/>
                <w:szCs w:val="16"/>
              </w:rPr>
            </w:pPr>
            <w:r>
              <w:rPr>
                <w:color w:val="000000"/>
                <w:sz w:val="16"/>
                <w:szCs w:val="16"/>
              </w:rPr>
              <w:t>Uncoupling Protein 3</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63EA1067" w14:textId="77777777" w:rsidR="00830D35" w:rsidRDefault="00830D35" w:rsidP="00830D35">
            <w:pPr>
              <w:rPr>
                <w:color w:val="000000"/>
                <w:sz w:val="16"/>
                <w:szCs w:val="16"/>
              </w:rPr>
            </w:pPr>
            <w:r>
              <w:rPr>
                <w:color w:val="000000"/>
                <w:sz w:val="16"/>
                <w:szCs w:val="16"/>
              </w:rPr>
              <w:t>rs1800849</w:t>
            </w:r>
          </w:p>
        </w:tc>
        <w:tc>
          <w:tcPr>
            <w:tcW w:w="851" w:type="dxa"/>
            <w:tcBorders>
              <w:top w:val="single" w:sz="4" w:space="0" w:color="000000"/>
              <w:bottom w:val="single" w:sz="4" w:space="0" w:color="D0CECE"/>
            </w:tcBorders>
            <w:tcMar>
              <w:top w:w="-113" w:type="dxa"/>
              <w:left w:w="-113" w:type="dxa"/>
              <w:bottom w:w="-113" w:type="dxa"/>
              <w:right w:w="-113" w:type="dxa"/>
            </w:tcMar>
          </w:tcPr>
          <w:p w14:paraId="258428C5" w14:textId="77777777" w:rsidR="00830D35" w:rsidRDefault="00830D35" w:rsidP="00830D35">
            <w:pPr>
              <w:rPr>
                <w:sz w:val="16"/>
                <w:szCs w:val="16"/>
              </w:rPr>
            </w:pPr>
            <w:r>
              <w:rPr>
                <w:sz w:val="16"/>
                <w:szCs w:val="16"/>
              </w:rPr>
              <w:t>G&gt;A</w:t>
            </w:r>
          </w:p>
        </w:tc>
        <w:tc>
          <w:tcPr>
            <w:tcW w:w="1701" w:type="dxa"/>
            <w:tcBorders>
              <w:top w:val="single" w:sz="4" w:space="0" w:color="000000"/>
              <w:bottom w:val="single" w:sz="4" w:space="0" w:color="D0CECE"/>
            </w:tcBorders>
            <w:tcMar>
              <w:top w:w="-113" w:type="dxa"/>
              <w:left w:w="-113" w:type="dxa"/>
              <w:bottom w:w="-113" w:type="dxa"/>
              <w:right w:w="-113" w:type="dxa"/>
            </w:tcMar>
          </w:tcPr>
          <w:p w14:paraId="5A1CCFE0" w14:textId="77777777" w:rsidR="00830D35" w:rsidRDefault="00830D35" w:rsidP="00830D35">
            <w:pPr>
              <w:rPr>
                <w:sz w:val="16"/>
                <w:szCs w:val="16"/>
              </w:rPr>
            </w:pPr>
            <w:r>
              <w:rPr>
                <w:sz w:val="16"/>
                <w:szCs w:val="16"/>
              </w:rPr>
              <w:t>5 Prime UTR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1E5FBB10" w14:textId="77777777" w:rsidR="00830D35" w:rsidRDefault="00830D35" w:rsidP="00830D35">
            <w:pPr>
              <w:rPr>
                <w:sz w:val="16"/>
                <w:szCs w:val="16"/>
              </w:rPr>
            </w:pPr>
            <w:r>
              <w:rPr>
                <w:color w:val="000000"/>
                <w:sz w:val="16"/>
                <w:szCs w:val="16"/>
              </w:rPr>
              <w:t>T2DM</w:t>
            </w:r>
          </w:p>
          <w:p w14:paraId="599823DC" w14:textId="77777777" w:rsidR="00830D35" w:rsidRDefault="00830D35" w:rsidP="00830D35">
            <w:pPr>
              <w:rPr>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3CA4A0F7" w14:textId="77777777" w:rsidR="00830D35" w:rsidRDefault="00830D35" w:rsidP="00830D35">
            <w:pPr>
              <w:rPr>
                <w:sz w:val="16"/>
                <w:szCs w:val="16"/>
              </w:rPr>
            </w:pPr>
            <w:r>
              <w:rPr>
                <w:sz w:val="16"/>
                <w:szCs w:val="16"/>
              </w:rPr>
              <w:t>Grau-Perez et al. 2018</w:t>
            </w:r>
          </w:p>
          <w:p w14:paraId="12BFE8BE" w14:textId="77777777" w:rsidR="00830D35" w:rsidRDefault="00830D35" w:rsidP="00830D35">
            <w:pPr>
              <w:rPr>
                <w:sz w:val="16"/>
                <w:szCs w:val="16"/>
              </w:rPr>
            </w:pPr>
          </w:p>
        </w:tc>
      </w:tr>
      <w:tr w:rsidR="00830D35" w14:paraId="7F258009"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63E70E8" w14:textId="77777777" w:rsidR="00830D35" w:rsidRDefault="00830D35" w:rsidP="00830D35">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47E2714" w14:textId="77777777" w:rsidR="00830D35" w:rsidRDefault="00830D35" w:rsidP="00830D35">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26AE3050" w14:textId="77777777" w:rsidR="00830D35" w:rsidRDefault="00830D35" w:rsidP="00830D35">
            <w:pPr>
              <w:rPr>
                <w:color w:val="000000"/>
                <w:sz w:val="16"/>
                <w:szCs w:val="16"/>
              </w:rPr>
            </w:pPr>
            <w:r>
              <w:rPr>
                <w:color w:val="000000"/>
                <w:sz w:val="16"/>
                <w:szCs w:val="16"/>
              </w:rPr>
              <w:t>rs2075577</w:t>
            </w:r>
          </w:p>
        </w:tc>
        <w:tc>
          <w:tcPr>
            <w:tcW w:w="851" w:type="dxa"/>
            <w:tcBorders>
              <w:top w:val="single" w:sz="4" w:space="0" w:color="D0CECE"/>
              <w:bottom w:val="single" w:sz="4" w:space="0" w:color="D0CECE"/>
            </w:tcBorders>
            <w:tcMar>
              <w:top w:w="-113" w:type="dxa"/>
              <w:left w:w="-113" w:type="dxa"/>
              <w:bottom w:w="-113" w:type="dxa"/>
              <w:right w:w="-113" w:type="dxa"/>
            </w:tcMar>
          </w:tcPr>
          <w:p w14:paraId="03804542" w14:textId="77777777" w:rsidR="00830D35" w:rsidRDefault="00830D35" w:rsidP="00830D35">
            <w:pPr>
              <w:rPr>
                <w:sz w:val="16"/>
                <w:szCs w:val="16"/>
              </w:rPr>
            </w:pPr>
            <w:r>
              <w:rPr>
                <w:sz w:val="16"/>
                <w:szCs w:val="16"/>
              </w:rPr>
              <w:t>G&gt;A</w:t>
            </w:r>
          </w:p>
        </w:tc>
        <w:tc>
          <w:tcPr>
            <w:tcW w:w="1701" w:type="dxa"/>
            <w:tcBorders>
              <w:top w:val="single" w:sz="4" w:space="0" w:color="D0CECE"/>
              <w:bottom w:val="single" w:sz="4" w:space="0" w:color="D0CECE"/>
            </w:tcBorders>
            <w:tcMar>
              <w:top w:w="-113" w:type="dxa"/>
              <w:left w:w="-113" w:type="dxa"/>
              <w:bottom w:w="-113" w:type="dxa"/>
              <w:right w:w="-113" w:type="dxa"/>
            </w:tcMar>
          </w:tcPr>
          <w:p w14:paraId="6AEDA06F" w14:textId="77777777" w:rsidR="00830D35" w:rsidRDefault="00830D35" w:rsidP="00830D35">
            <w:pPr>
              <w:rPr>
                <w:sz w:val="16"/>
                <w:szCs w:val="16"/>
              </w:rPr>
            </w:pPr>
            <w:r>
              <w:rPr>
                <w:sz w:val="16"/>
                <w:szCs w:val="16"/>
              </w:rPr>
              <w:t>Synonymous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3930A9A7" w14:textId="77777777" w:rsidR="00830D35" w:rsidRDefault="00830D35" w:rsidP="00830D35">
            <w:pPr>
              <w:widowControl w:val="0"/>
              <w:pBdr>
                <w:top w:val="nil"/>
                <w:left w:val="nil"/>
                <w:bottom w:val="nil"/>
                <w:right w:val="nil"/>
                <w:between w:val="nil"/>
              </w:pBdr>
              <w:spacing w:line="276" w:lineRule="auto"/>
              <w:rPr>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1AE931BA" w14:textId="77777777" w:rsidR="00830D35" w:rsidRDefault="00830D35" w:rsidP="00830D35">
            <w:pPr>
              <w:widowControl w:val="0"/>
              <w:pBdr>
                <w:top w:val="nil"/>
                <w:left w:val="nil"/>
                <w:bottom w:val="nil"/>
                <w:right w:val="nil"/>
                <w:between w:val="nil"/>
              </w:pBdr>
              <w:spacing w:line="276" w:lineRule="auto"/>
              <w:rPr>
                <w:sz w:val="16"/>
                <w:szCs w:val="16"/>
              </w:rPr>
            </w:pPr>
          </w:p>
        </w:tc>
      </w:tr>
      <w:tr w:rsidR="00830D35" w14:paraId="63CA57CC"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CADE6CF" w14:textId="77777777" w:rsidR="00830D35" w:rsidRDefault="00830D35" w:rsidP="00830D35">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67C71B0" w14:textId="77777777" w:rsidR="00830D35" w:rsidRDefault="00830D35" w:rsidP="00830D35">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3F222249" w14:textId="77777777" w:rsidR="00830D35" w:rsidRDefault="00830D35" w:rsidP="00830D35">
            <w:pPr>
              <w:rPr>
                <w:color w:val="000000"/>
                <w:sz w:val="16"/>
                <w:szCs w:val="16"/>
              </w:rPr>
            </w:pPr>
            <w:r>
              <w:rPr>
                <w:color w:val="000000"/>
                <w:sz w:val="16"/>
                <w:szCs w:val="16"/>
              </w:rPr>
              <w:t>rs647126</w:t>
            </w:r>
          </w:p>
        </w:tc>
        <w:tc>
          <w:tcPr>
            <w:tcW w:w="851" w:type="dxa"/>
            <w:tcBorders>
              <w:top w:val="single" w:sz="4" w:space="0" w:color="D0CECE"/>
              <w:bottom w:val="single" w:sz="4" w:space="0" w:color="000000"/>
            </w:tcBorders>
            <w:tcMar>
              <w:top w:w="-113" w:type="dxa"/>
              <w:left w:w="-113" w:type="dxa"/>
              <w:bottom w:w="-113" w:type="dxa"/>
              <w:right w:w="-113" w:type="dxa"/>
            </w:tcMar>
          </w:tcPr>
          <w:p w14:paraId="1B8A30F3" w14:textId="77777777" w:rsidR="00830D35" w:rsidRDefault="00830D35" w:rsidP="00830D35">
            <w:pPr>
              <w:rPr>
                <w:sz w:val="16"/>
                <w:szCs w:val="16"/>
              </w:rPr>
            </w:pPr>
            <w:r>
              <w:rPr>
                <w:sz w:val="16"/>
                <w:szCs w:val="16"/>
              </w:rPr>
              <w:t>A&gt;G</w:t>
            </w:r>
          </w:p>
        </w:tc>
        <w:tc>
          <w:tcPr>
            <w:tcW w:w="1701" w:type="dxa"/>
            <w:tcBorders>
              <w:top w:val="single" w:sz="4" w:space="0" w:color="D0CECE"/>
              <w:bottom w:val="single" w:sz="4" w:space="0" w:color="000000"/>
            </w:tcBorders>
            <w:tcMar>
              <w:top w:w="-113" w:type="dxa"/>
              <w:left w:w="-113" w:type="dxa"/>
              <w:bottom w:w="-113" w:type="dxa"/>
              <w:right w:w="-113" w:type="dxa"/>
            </w:tcMar>
          </w:tcPr>
          <w:p w14:paraId="1F84995F" w14:textId="77777777" w:rsidR="00830D35" w:rsidRDefault="00830D35" w:rsidP="00830D35">
            <w:pPr>
              <w:rPr>
                <w:sz w:val="16"/>
                <w:szCs w:val="16"/>
              </w:rPr>
            </w:pPr>
            <w:r>
              <w:rPr>
                <w:sz w:val="16"/>
                <w:szCs w:val="16"/>
              </w:rPr>
              <w:t>3 Prime UTR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3CFC82BD" w14:textId="77777777" w:rsidR="00830D35" w:rsidRDefault="00830D35" w:rsidP="00830D35">
            <w:pPr>
              <w:widowControl w:val="0"/>
              <w:pBdr>
                <w:top w:val="nil"/>
                <w:left w:val="nil"/>
                <w:bottom w:val="nil"/>
                <w:right w:val="nil"/>
                <w:between w:val="nil"/>
              </w:pBdr>
              <w:spacing w:line="276" w:lineRule="auto"/>
              <w:rPr>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3E307376" w14:textId="77777777" w:rsidR="00830D35" w:rsidRDefault="00830D35" w:rsidP="00830D35">
            <w:pPr>
              <w:widowControl w:val="0"/>
              <w:pBdr>
                <w:top w:val="nil"/>
                <w:left w:val="nil"/>
                <w:bottom w:val="nil"/>
                <w:right w:val="nil"/>
                <w:between w:val="nil"/>
              </w:pBdr>
              <w:spacing w:line="276" w:lineRule="auto"/>
              <w:rPr>
                <w:sz w:val="16"/>
                <w:szCs w:val="16"/>
              </w:rPr>
            </w:pPr>
          </w:p>
        </w:tc>
      </w:tr>
      <w:tr w:rsidR="00830D35" w14:paraId="4BA86F4B"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64971675" w14:textId="77777777" w:rsidR="00830D35" w:rsidRDefault="00830D35" w:rsidP="00830D35">
            <w:pPr>
              <w:rPr>
                <w:i/>
                <w:color w:val="000000"/>
                <w:sz w:val="16"/>
                <w:szCs w:val="16"/>
              </w:rPr>
            </w:pPr>
            <w:r>
              <w:rPr>
                <w:i/>
                <w:color w:val="000000"/>
                <w:sz w:val="16"/>
                <w:szCs w:val="16"/>
              </w:rPr>
              <w:t>UQCRB</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13456F2F" w14:textId="77777777" w:rsidR="00830D35" w:rsidRDefault="00830D35" w:rsidP="00830D35">
            <w:pPr>
              <w:rPr>
                <w:color w:val="000000"/>
                <w:sz w:val="16"/>
                <w:szCs w:val="16"/>
              </w:rPr>
            </w:pPr>
            <w:r>
              <w:rPr>
                <w:color w:val="000000"/>
                <w:sz w:val="16"/>
                <w:szCs w:val="16"/>
              </w:rPr>
              <w:t>Ubiquinol-Cytochrome C Reductase Binding Protein</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69C70808" w14:textId="77777777" w:rsidR="00830D35" w:rsidRDefault="00830D35" w:rsidP="00830D35">
            <w:pPr>
              <w:rPr>
                <w:color w:val="000000"/>
                <w:sz w:val="16"/>
                <w:szCs w:val="16"/>
              </w:rPr>
            </w:pPr>
            <w:r>
              <w:rPr>
                <w:color w:val="000000"/>
                <w:sz w:val="16"/>
                <w:szCs w:val="16"/>
              </w:rPr>
              <w:t>rs10504961</w:t>
            </w:r>
          </w:p>
        </w:tc>
        <w:tc>
          <w:tcPr>
            <w:tcW w:w="851" w:type="dxa"/>
            <w:tcBorders>
              <w:top w:val="single" w:sz="4" w:space="0" w:color="000000"/>
              <w:bottom w:val="single" w:sz="4" w:space="0" w:color="000000"/>
            </w:tcBorders>
            <w:tcMar>
              <w:top w:w="-113" w:type="dxa"/>
              <w:left w:w="-113" w:type="dxa"/>
              <w:bottom w:w="-113" w:type="dxa"/>
              <w:right w:w="-113" w:type="dxa"/>
            </w:tcMar>
          </w:tcPr>
          <w:p w14:paraId="138C1052" w14:textId="77777777" w:rsidR="00830D35" w:rsidRDefault="00830D35" w:rsidP="00830D35">
            <w:pPr>
              <w:rPr>
                <w:sz w:val="16"/>
                <w:szCs w:val="16"/>
              </w:rPr>
            </w:pPr>
            <w:r>
              <w:rPr>
                <w:sz w:val="16"/>
                <w:szCs w:val="16"/>
              </w:rPr>
              <w:t>C&gt;T</w:t>
            </w:r>
          </w:p>
        </w:tc>
        <w:tc>
          <w:tcPr>
            <w:tcW w:w="1701" w:type="dxa"/>
            <w:tcBorders>
              <w:top w:val="single" w:sz="4" w:space="0" w:color="000000"/>
              <w:bottom w:val="single" w:sz="4" w:space="0" w:color="000000"/>
            </w:tcBorders>
            <w:tcMar>
              <w:top w:w="-113" w:type="dxa"/>
              <w:left w:w="-113" w:type="dxa"/>
              <w:bottom w:w="-113" w:type="dxa"/>
              <w:right w:w="-113" w:type="dxa"/>
            </w:tcMar>
          </w:tcPr>
          <w:p w14:paraId="7F5AE577" w14:textId="77777777" w:rsidR="00830D35" w:rsidRDefault="00830D35" w:rsidP="00830D35">
            <w:pPr>
              <w:rPr>
                <w:sz w:val="16"/>
                <w:szCs w:val="16"/>
              </w:rPr>
            </w:pPr>
            <w:r>
              <w:rPr>
                <w:sz w:val="16"/>
                <w:szCs w:val="16"/>
              </w:rPr>
              <w:t>3 Prime UTR variant</w:t>
            </w:r>
          </w:p>
        </w:tc>
        <w:tc>
          <w:tcPr>
            <w:tcW w:w="708" w:type="dxa"/>
            <w:tcBorders>
              <w:top w:val="single" w:sz="4" w:space="0" w:color="000000"/>
              <w:bottom w:val="single" w:sz="4" w:space="0" w:color="000000"/>
            </w:tcBorders>
            <w:tcMar>
              <w:top w:w="-113" w:type="dxa"/>
              <w:left w:w="-113" w:type="dxa"/>
              <w:bottom w:w="-113" w:type="dxa"/>
              <w:right w:w="-113" w:type="dxa"/>
            </w:tcMar>
          </w:tcPr>
          <w:p w14:paraId="5D21F19A" w14:textId="77777777" w:rsidR="00830D35" w:rsidRDefault="00830D35" w:rsidP="00830D35">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7A3E8605" w14:textId="77777777" w:rsidR="00830D35" w:rsidRDefault="00830D35" w:rsidP="00830D35">
            <w:pPr>
              <w:rPr>
                <w:color w:val="000000"/>
                <w:sz w:val="16"/>
                <w:szCs w:val="16"/>
              </w:rPr>
            </w:pPr>
            <w:r>
              <w:rPr>
                <w:sz w:val="16"/>
                <w:szCs w:val="16"/>
              </w:rPr>
              <w:t>Grau-Perez et al. 2018</w:t>
            </w:r>
          </w:p>
        </w:tc>
      </w:tr>
      <w:tr w:rsidR="00830D35" w:rsidRPr="0030321B" w14:paraId="458812FE"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7C2654B" w14:textId="77777777" w:rsidR="00830D35" w:rsidRDefault="00830D35" w:rsidP="00830D35">
            <w:pPr>
              <w:rPr>
                <w:i/>
                <w:color w:val="000000"/>
                <w:sz w:val="16"/>
                <w:szCs w:val="16"/>
              </w:rPr>
            </w:pPr>
            <w:r>
              <w:rPr>
                <w:i/>
                <w:color w:val="000000"/>
                <w:sz w:val="16"/>
                <w:szCs w:val="16"/>
              </w:rPr>
              <w:t>VCAM1</w:t>
            </w: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7B4A7F2" w14:textId="77777777" w:rsidR="00830D35" w:rsidRDefault="00830D35" w:rsidP="00830D35">
            <w:pPr>
              <w:rPr>
                <w:color w:val="000000"/>
                <w:sz w:val="16"/>
                <w:szCs w:val="16"/>
              </w:rPr>
            </w:pPr>
            <w:r>
              <w:rPr>
                <w:color w:val="000000"/>
                <w:sz w:val="16"/>
                <w:szCs w:val="16"/>
              </w:rPr>
              <w:t>Vascular cell adhesion protein 1</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089B9D26" w14:textId="77777777" w:rsidR="00830D35" w:rsidRDefault="00830D35" w:rsidP="00830D35">
            <w:pPr>
              <w:rPr>
                <w:color w:val="000000"/>
                <w:sz w:val="16"/>
                <w:szCs w:val="16"/>
              </w:rPr>
            </w:pPr>
            <w:r>
              <w:rPr>
                <w:color w:val="000000"/>
                <w:sz w:val="16"/>
                <w:szCs w:val="16"/>
              </w:rPr>
              <w:t>rs1041163</w:t>
            </w:r>
          </w:p>
        </w:tc>
        <w:tc>
          <w:tcPr>
            <w:tcW w:w="851" w:type="dxa"/>
            <w:tcBorders>
              <w:top w:val="single" w:sz="4" w:space="0" w:color="000000"/>
              <w:bottom w:val="single" w:sz="4" w:space="0" w:color="D0CECE"/>
            </w:tcBorders>
            <w:tcMar>
              <w:top w:w="-113" w:type="dxa"/>
              <w:left w:w="-113" w:type="dxa"/>
              <w:bottom w:w="-113" w:type="dxa"/>
              <w:right w:w="-113" w:type="dxa"/>
            </w:tcMar>
          </w:tcPr>
          <w:p w14:paraId="54E8710D" w14:textId="77777777" w:rsidR="00830D35" w:rsidRDefault="00830D35" w:rsidP="00830D35">
            <w:pPr>
              <w:rPr>
                <w:color w:val="000000"/>
                <w:sz w:val="16"/>
                <w:szCs w:val="16"/>
              </w:rPr>
            </w:pPr>
            <w:r>
              <w:rPr>
                <w:color w:val="000000"/>
                <w:sz w:val="16"/>
                <w:szCs w:val="16"/>
              </w:rPr>
              <w:t>T&gt;C</w:t>
            </w:r>
          </w:p>
        </w:tc>
        <w:tc>
          <w:tcPr>
            <w:tcW w:w="1701" w:type="dxa"/>
            <w:tcBorders>
              <w:top w:val="single" w:sz="4" w:space="0" w:color="000000"/>
              <w:bottom w:val="single" w:sz="4" w:space="0" w:color="D0CECE"/>
            </w:tcBorders>
            <w:tcMar>
              <w:top w:w="-113" w:type="dxa"/>
              <w:left w:w="-113" w:type="dxa"/>
              <w:bottom w:w="-113" w:type="dxa"/>
              <w:right w:w="-113" w:type="dxa"/>
            </w:tcMar>
          </w:tcPr>
          <w:p w14:paraId="7445ED0A" w14:textId="77777777" w:rsidR="00830D35" w:rsidRDefault="00830D35" w:rsidP="00830D35">
            <w:pPr>
              <w:rPr>
                <w:color w:val="000000"/>
                <w:sz w:val="16"/>
                <w:szCs w:val="16"/>
              </w:rPr>
            </w:pPr>
            <w:r>
              <w:rPr>
                <w:sz w:val="16"/>
                <w:szCs w:val="16"/>
              </w:rPr>
              <w:t>2KB Upstream variant</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39A3995C" w14:textId="77777777" w:rsidR="00830D35" w:rsidRDefault="00830D35" w:rsidP="00830D35">
            <w:pPr>
              <w:rPr>
                <w:sz w:val="16"/>
                <w:szCs w:val="16"/>
              </w:rPr>
            </w:pPr>
            <w:r>
              <w:rPr>
                <w:color w:val="000000"/>
                <w:sz w:val="16"/>
                <w:szCs w:val="16"/>
              </w:rPr>
              <w:t>CVD</w:t>
            </w:r>
          </w:p>
          <w:p w14:paraId="543F3A82" w14:textId="77777777" w:rsidR="00830D35" w:rsidRDefault="00830D35" w:rsidP="00830D35">
            <w:pPr>
              <w:rPr>
                <w:sz w:val="16"/>
                <w:szCs w:val="16"/>
              </w:rPr>
            </w:pPr>
            <w:r>
              <w:rPr>
                <w:sz w:val="16"/>
                <w:szCs w:val="16"/>
              </w:rPr>
              <w:t>CIMT</w:t>
            </w: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18B47022" w14:textId="77777777" w:rsidR="00830D35" w:rsidRPr="00641BD3" w:rsidRDefault="00830D35" w:rsidP="00830D35">
            <w:pPr>
              <w:rPr>
                <w:sz w:val="16"/>
                <w:szCs w:val="16"/>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5D3E9933" w14:textId="77777777" w:rsidR="00830D35" w:rsidRPr="00641BD3" w:rsidRDefault="00830D35" w:rsidP="00830D35">
            <w:pPr>
              <w:rPr>
                <w:sz w:val="16"/>
                <w:szCs w:val="16"/>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tc>
      </w:tr>
      <w:tr w:rsidR="00830D35" w14:paraId="0B1A2F72"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04D6F78" w14:textId="77777777" w:rsidR="00830D35" w:rsidRPr="00641BD3" w:rsidRDefault="00830D35" w:rsidP="00830D35">
            <w:pPr>
              <w:widowControl w:val="0"/>
              <w:pBdr>
                <w:top w:val="nil"/>
                <w:left w:val="nil"/>
                <w:bottom w:val="nil"/>
                <w:right w:val="nil"/>
                <w:between w:val="nil"/>
              </w:pBdr>
              <w:spacing w:line="276" w:lineRule="auto"/>
              <w:rPr>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5BA163B" w14:textId="77777777" w:rsidR="00830D35" w:rsidRPr="00641BD3" w:rsidRDefault="00830D35" w:rsidP="00830D35">
            <w:pPr>
              <w:widowControl w:val="0"/>
              <w:pBdr>
                <w:top w:val="nil"/>
                <w:left w:val="nil"/>
                <w:bottom w:val="nil"/>
                <w:right w:val="nil"/>
                <w:between w:val="nil"/>
              </w:pBdr>
              <w:spacing w:line="276" w:lineRule="auto"/>
              <w:rPr>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EF37B6C" w14:textId="77777777" w:rsidR="00830D35" w:rsidRDefault="00830D35" w:rsidP="00830D35">
            <w:pPr>
              <w:rPr>
                <w:color w:val="000000"/>
                <w:sz w:val="16"/>
                <w:szCs w:val="16"/>
              </w:rPr>
            </w:pPr>
            <w:r>
              <w:rPr>
                <w:color w:val="000000"/>
                <w:sz w:val="16"/>
                <w:szCs w:val="16"/>
              </w:rPr>
              <w:t>rs1409419</w:t>
            </w:r>
          </w:p>
        </w:tc>
        <w:tc>
          <w:tcPr>
            <w:tcW w:w="851" w:type="dxa"/>
            <w:tcBorders>
              <w:top w:val="single" w:sz="4" w:space="0" w:color="D0CECE"/>
              <w:bottom w:val="single" w:sz="4" w:space="0" w:color="D0CECE"/>
            </w:tcBorders>
            <w:tcMar>
              <w:top w:w="-113" w:type="dxa"/>
              <w:left w:w="-113" w:type="dxa"/>
              <w:bottom w:w="-113" w:type="dxa"/>
              <w:right w:w="-113" w:type="dxa"/>
            </w:tcMar>
          </w:tcPr>
          <w:p w14:paraId="6DD2BB98" w14:textId="77777777" w:rsidR="00830D35" w:rsidRDefault="00830D35" w:rsidP="00830D35">
            <w:pPr>
              <w:rPr>
                <w:color w:val="000000"/>
                <w:sz w:val="16"/>
                <w:szCs w:val="16"/>
              </w:rPr>
            </w:pPr>
            <w:r>
              <w:rPr>
                <w:color w:val="000000"/>
                <w:sz w:val="16"/>
                <w:szCs w:val="16"/>
              </w:rPr>
              <w:t>T&gt;</w:t>
            </w:r>
            <w:proofErr w:type="gramStart"/>
            <w:r>
              <w:rPr>
                <w:color w:val="000000"/>
                <w:sz w:val="16"/>
                <w:szCs w:val="16"/>
              </w:rPr>
              <w:t>A,C</w:t>
            </w:r>
            <w:proofErr w:type="gramEnd"/>
            <w:r>
              <w:rPr>
                <w:color w:val="000000"/>
                <w:sz w:val="16"/>
                <w:szCs w:val="16"/>
              </w:rPr>
              <w:t>,G</w:t>
            </w:r>
          </w:p>
        </w:tc>
        <w:tc>
          <w:tcPr>
            <w:tcW w:w="1701" w:type="dxa"/>
            <w:tcBorders>
              <w:top w:val="single" w:sz="4" w:space="0" w:color="D0CECE"/>
              <w:bottom w:val="single" w:sz="4" w:space="0" w:color="D0CECE"/>
            </w:tcBorders>
            <w:tcMar>
              <w:top w:w="-113" w:type="dxa"/>
              <w:left w:w="-113" w:type="dxa"/>
              <w:bottom w:w="-113" w:type="dxa"/>
              <w:right w:w="-113" w:type="dxa"/>
            </w:tcMar>
          </w:tcPr>
          <w:p w14:paraId="48739C7F" w14:textId="77777777" w:rsidR="00830D35" w:rsidRDefault="00830D35" w:rsidP="00830D35">
            <w:pPr>
              <w:rPr>
                <w:color w:val="000000"/>
                <w:sz w:val="16"/>
                <w:szCs w:val="16"/>
              </w:rPr>
            </w:pPr>
            <w:r>
              <w:rPr>
                <w:sz w:val="16"/>
                <w:szCs w:val="16"/>
              </w:rPr>
              <w:t>2KB Upstream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16478BBB"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1C8455F"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7EFF5F14"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69AEB6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04590B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7CE2643" w14:textId="77777777" w:rsidR="00830D35" w:rsidRDefault="00830D35" w:rsidP="00830D35">
            <w:pPr>
              <w:rPr>
                <w:color w:val="000000"/>
                <w:sz w:val="16"/>
                <w:szCs w:val="16"/>
              </w:rPr>
            </w:pPr>
            <w:r>
              <w:rPr>
                <w:color w:val="000000"/>
                <w:sz w:val="16"/>
                <w:szCs w:val="16"/>
              </w:rPr>
              <w:t>rs2209627</w:t>
            </w:r>
          </w:p>
        </w:tc>
        <w:tc>
          <w:tcPr>
            <w:tcW w:w="851" w:type="dxa"/>
            <w:tcBorders>
              <w:top w:val="single" w:sz="4" w:space="0" w:color="D0CECE"/>
              <w:bottom w:val="single" w:sz="4" w:space="0" w:color="D0CECE"/>
            </w:tcBorders>
            <w:tcMar>
              <w:top w:w="-113" w:type="dxa"/>
              <w:left w:w="-113" w:type="dxa"/>
              <w:bottom w:w="-113" w:type="dxa"/>
              <w:right w:w="-113" w:type="dxa"/>
            </w:tcMar>
          </w:tcPr>
          <w:p w14:paraId="0A9E8108" w14:textId="77777777" w:rsidR="00830D35" w:rsidRDefault="00830D35" w:rsidP="00830D35">
            <w:pPr>
              <w:rPr>
                <w:color w:val="000000"/>
                <w:sz w:val="16"/>
                <w:szCs w:val="16"/>
              </w:rPr>
            </w:pPr>
            <w:r>
              <w:rPr>
                <w:color w:val="000000"/>
                <w:sz w:val="16"/>
                <w:szCs w:val="16"/>
              </w:rPr>
              <w:t>A&gt;G</w:t>
            </w:r>
          </w:p>
        </w:tc>
        <w:tc>
          <w:tcPr>
            <w:tcW w:w="1701" w:type="dxa"/>
            <w:tcBorders>
              <w:top w:val="single" w:sz="4" w:space="0" w:color="D0CECE"/>
              <w:bottom w:val="single" w:sz="4" w:space="0" w:color="D0CECE"/>
            </w:tcBorders>
            <w:tcMar>
              <w:top w:w="-113" w:type="dxa"/>
              <w:left w:w="-113" w:type="dxa"/>
              <w:bottom w:w="-113" w:type="dxa"/>
              <w:right w:w="-113" w:type="dxa"/>
            </w:tcMar>
          </w:tcPr>
          <w:p w14:paraId="7DC8C398"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1A049BE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3DDDBF44"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5BECEA50"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5EF782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EE0592F"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2FCA600E" w14:textId="77777777" w:rsidR="00830D35" w:rsidRDefault="00830D35" w:rsidP="00830D35">
            <w:pPr>
              <w:rPr>
                <w:color w:val="000000"/>
                <w:sz w:val="16"/>
                <w:szCs w:val="16"/>
              </w:rPr>
            </w:pPr>
            <w:r>
              <w:rPr>
                <w:color w:val="000000"/>
                <w:sz w:val="16"/>
                <w:szCs w:val="16"/>
              </w:rPr>
              <w:t>rs2392221</w:t>
            </w:r>
          </w:p>
        </w:tc>
        <w:tc>
          <w:tcPr>
            <w:tcW w:w="851" w:type="dxa"/>
            <w:tcBorders>
              <w:top w:val="single" w:sz="4" w:space="0" w:color="D0CECE"/>
              <w:bottom w:val="single" w:sz="4" w:space="0" w:color="D0CECE"/>
            </w:tcBorders>
            <w:tcMar>
              <w:top w:w="-113" w:type="dxa"/>
              <w:left w:w="-113" w:type="dxa"/>
              <w:bottom w:w="-113" w:type="dxa"/>
              <w:right w:w="-113" w:type="dxa"/>
            </w:tcMar>
          </w:tcPr>
          <w:p w14:paraId="01D3B5DB" w14:textId="77777777" w:rsidR="00830D35" w:rsidRDefault="00830D35" w:rsidP="00830D35">
            <w:pPr>
              <w:rPr>
                <w:color w:val="000000"/>
                <w:sz w:val="16"/>
                <w:szCs w:val="16"/>
              </w:rPr>
            </w:pPr>
            <w:r>
              <w:rPr>
                <w:color w:val="000000"/>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31F451F3"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04F8A463"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1C70A8F"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0B108520"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AE5DB2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F1523B6"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7907CDF6" w14:textId="77777777" w:rsidR="00830D35" w:rsidRDefault="00830D35" w:rsidP="00830D35">
            <w:pPr>
              <w:rPr>
                <w:color w:val="000000"/>
                <w:sz w:val="16"/>
                <w:szCs w:val="16"/>
              </w:rPr>
            </w:pPr>
            <w:r>
              <w:rPr>
                <w:color w:val="000000"/>
                <w:sz w:val="16"/>
                <w:szCs w:val="16"/>
              </w:rPr>
              <w:t>rs3170794</w:t>
            </w:r>
          </w:p>
        </w:tc>
        <w:tc>
          <w:tcPr>
            <w:tcW w:w="851" w:type="dxa"/>
            <w:tcBorders>
              <w:top w:val="single" w:sz="4" w:space="0" w:color="D0CECE"/>
              <w:bottom w:val="single" w:sz="4" w:space="0" w:color="D0CECE"/>
            </w:tcBorders>
            <w:tcMar>
              <w:top w:w="-113" w:type="dxa"/>
              <w:left w:w="-113" w:type="dxa"/>
              <w:bottom w:w="-113" w:type="dxa"/>
              <w:right w:w="-113" w:type="dxa"/>
            </w:tcMar>
          </w:tcPr>
          <w:p w14:paraId="3B755632" w14:textId="77777777" w:rsidR="00830D35" w:rsidRDefault="00830D35" w:rsidP="00830D35">
            <w:pPr>
              <w:rPr>
                <w:color w:val="000000"/>
                <w:sz w:val="16"/>
                <w:szCs w:val="16"/>
              </w:rPr>
            </w:pPr>
            <w:r>
              <w:rPr>
                <w:color w:val="000000"/>
                <w:sz w:val="16"/>
                <w:szCs w:val="16"/>
              </w:rPr>
              <w:t>T&gt;C</w:t>
            </w:r>
          </w:p>
        </w:tc>
        <w:tc>
          <w:tcPr>
            <w:tcW w:w="1701" w:type="dxa"/>
            <w:tcBorders>
              <w:top w:val="single" w:sz="4" w:space="0" w:color="D0CECE"/>
              <w:bottom w:val="single" w:sz="4" w:space="0" w:color="D0CECE"/>
            </w:tcBorders>
            <w:tcMar>
              <w:top w:w="-113" w:type="dxa"/>
              <w:left w:w="-113" w:type="dxa"/>
              <w:bottom w:w="-113" w:type="dxa"/>
              <w:right w:w="-113" w:type="dxa"/>
            </w:tcMar>
          </w:tcPr>
          <w:p w14:paraId="1F78915C" w14:textId="77777777" w:rsidR="00830D35" w:rsidRDefault="00830D35" w:rsidP="00830D35">
            <w:pPr>
              <w:rPr>
                <w:color w:val="000000"/>
                <w:sz w:val="16"/>
                <w:szCs w:val="16"/>
              </w:rPr>
            </w:pPr>
            <w:r>
              <w:rPr>
                <w:sz w:val="16"/>
                <w:szCs w:val="16"/>
              </w:rPr>
              <w:t>2KB Upstream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6F6D3E0D"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4CF26B70"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4310389F"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3CFE383"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957C5A0"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274544F9" w14:textId="77777777" w:rsidR="00830D35" w:rsidRDefault="00830D35" w:rsidP="00830D35">
            <w:pPr>
              <w:rPr>
                <w:color w:val="000000"/>
                <w:sz w:val="16"/>
                <w:szCs w:val="16"/>
              </w:rPr>
            </w:pPr>
            <w:r>
              <w:rPr>
                <w:color w:val="000000"/>
                <w:sz w:val="16"/>
                <w:szCs w:val="16"/>
              </w:rPr>
              <w:t>rs3176859</w:t>
            </w:r>
          </w:p>
        </w:tc>
        <w:tc>
          <w:tcPr>
            <w:tcW w:w="851" w:type="dxa"/>
            <w:tcBorders>
              <w:top w:val="single" w:sz="4" w:space="0" w:color="D0CECE"/>
              <w:bottom w:val="single" w:sz="4" w:space="0" w:color="D0CECE"/>
            </w:tcBorders>
            <w:tcMar>
              <w:top w:w="-113" w:type="dxa"/>
              <w:left w:w="-113" w:type="dxa"/>
              <w:bottom w:w="-113" w:type="dxa"/>
              <w:right w:w="-113" w:type="dxa"/>
            </w:tcMar>
          </w:tcPr>
          <w:p w14:paraId="2773C0A0" w14:textId="77777777" w:rsidR="00830D35" w:rsidRDefault="00830D35" w:rsidP="00830D35">
            <w:pPr>
              <w:rPr>
                <w:color w:val="000000"/>
                <w:sz w:val="16"/>
                <w:szCs w:val="16"/>
              </w:rPr>
            </w:pPr>
            <w:r>
              <w:rPr>
                <w:color w:val="000000"/>
                <w:sz w:val="16"/>
                <w:szCs w:val="16"/>
              </w:rPr>
              <w:t>G&gt;T</w:t>
            </w:r>
          </w:p>
        </w:tc>
        <w:tc>
          <w:tcPr>
            <w:tcW w:w="1701" w:type="dxa"/>
            <w:tcBorders>
              <w:top w:val="single" w:sz="4" w:space="0" w:color="D0CECE"/>
              <w:bottom w:val="single" w:sz="4" w:space="0" w:color="D0CECE"/>
            </w:tcBorders>
            <w:tcMar>
              <w:top w:w="-113" w:type="dxa"/>
              <w:left w:w="-113" w:type="dxa"/>
              <w:bottom w:w="-113" w:type="dxa"/>
              <w:right w:w="-113" w:type="dxa"/>
            </w:tcMar>
          </w:tcPr>
          <w:p w14:paraId="1EB18E7F"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1CB465D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4FB3E2CA"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54738AC2"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0591269"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4244080"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DCB6018" w14:textId="77777777" w:rsidR="00830D35" w:rsidRDefault="00830D35" w:rsidP="00830D35">
            <w:pPr>
              <w:rPr>
                <w:color w:val="000000"/>
                <w:sz w:val="16"/>
                <w:szCs w:val="16"/>
              </w:rPr>
            </w:pPr>
            <w:r>
              <w:rPr>
                <w:color w:val="000000"/>
                <w:sz w:val="16"/>
                <w:szCs w:val="16"/>
              </w:rPr>
              <w:t>rs3176860</w:t>
            </w:r>
          </w:p>
        </w:tc>
        <w:tc>
          <w:tcPr>
            <w:tcW w:w="851" w:type="dxa"/>
            <w:tcBorders>
              <w:top w:val="single" w:sz="4" w:space="0" w:color="D0CECE"/>
              <w:bottom w:val="single" w:sz="4" w:space="0" w:color="D0CECE"/>
            </w:tcBorders>
            <w:tcMar>
              <w:top w:w="-113" w:type="dxa"/>
              <w:left w:w="-113" w:type="dxa"/>
              <w:bottom w:w="-113" w:type="dxa"/>
              <w:right w:w="-113" w:type="dxa"/>
            </w:tcMar>
          </w:tcPr>
          <w:p w14:paraId="4E323A48" w14:textId="77777777" w:rsidR="00830D35" w:rsidRDefault="00830D35" w:rsidP="00830D35">
            <w:pPr>
              <w:rPr>
                <w:color w:val="000000"/>
                <w:sz w:val="16"/>
                <w:szCs w:val="16"/>
              </w:rPr>
            </w:pPr>
            <w:r>
              <w:rPr>
                <w:color w:val="000000"/>
                <w:sz w:val="16"/>
                <w:szCs w:val="16"/>
              </w:rPr>
              <w:t>A&gt;</w:t>
            </w:r>
            <w:proofErr w:type="gramStart"/>
            <w:r>
              <w:rPr>
                <w:color w:val="000000"/>
                <w:sz w:val="16"/>
                <w:szCs w:val="16"/>
              </w:rPr>
              <w:t>C,G</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77F2B385"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34DDED94"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40F00EC6"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1D83AD6E"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F9F239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725665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0D5106D" w14:textId="77777777" w:rsidR="00830D35" w:rsidRDefault="00830D35" w:rsidP="00830D35">
            <w:pPr>
              <w:rPr>
                <w:color w:val="000000"/>
                <w:sz w:val="16"/>
                <w:szCs w:val="16"/>
              </w:rPr>
            </w:pPr>
            <w:r>
              <w:rPr>
                <w:color w:val="000000"/>
                <w:sz w:val="16"/>
                <w:szCs w:val="16"/>
              </w:rPr>
              <w:t>rs3176861</w:t>
            </w:r>
          </w:p>
        </w:tc>
        <w:tc>
          <w:tcPr>
            <w:tcW w:w="851" w:type="dxa"/>
            <w:tcBorders>
              <w:top w:val="single" w:sz="4" w:space="0" w:color="D0CECE"/>
              <w:bottom w:val="single" w:sz="4" w:space="0" w:color="D0CECE"/>
            </w:tcBorders>
            <w:tcMar>
              <w:top w:w="-113" w:type="dxa"/>
              <w:left w:w="-113" w:type="dxa"/>
              <w:bottom w:w="-113" w:type="dxa"/>
              <w:right w:w="-113" w:type="dxa"/>
            </w:tcMar>
          </w:tcPr>
          <w:p w14:paraId="08E3C4C6" w14:textId="77777777" w:rsidR="00830D35" w:rsidRDefault="00830D35" w:rsidP="00830D35">
            <w:pPr>
              <w:rPr>
                <w:color w:val="000000"/>
                <w:sz w:val="16"/>
                <w:szCs w:val="16"/>
              </w:rPr>
            </w:pPr>
            <w:r>
              <w:rPr>
                <w:color w:val="000000"/>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250082A0"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1F9FF6ED"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56D0A62B"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6D8CE738"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FA1231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3CCD45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23FA1DE4" w14:textId="77777777" w:rsidR="00830D35" w:rsidRDefault="00830D35" w:rsidP="00830D35">
            <w:pPr>
              <w:rPr>
                <w:color w:val="000000"/>
                <w:sz w:val="16"/>
                <w:szCs w:val="16"/>
              </w:rPr>
            </w:pPr>
            <w:r>
              <w:rPr>
                <w:color w:val="000000"/>
                <w:sz w:val="16"/>
                <w:szCs w:val="16"/>
              </w:rPr>
              <w:t>rs3176862</w:t>
            </w:r>
          </w:p>
        </w:tc>
        <w:tc>
          <w:tcPr>
            <w:tcW w:w="851" w:type="dxa"/>
            <w:tcBorders>
              <w:top w:val="single" w:sz="4" w:space="0" w:color="D0CECE"/>
              <w:bottom w:val="single" w:sz="4" w:space="0" w:color="D0CECE"/>
            </w:tcBorders>
            <w:tcMar>
              <w:top w:w="-113" w:type="dxa"/>
              <w:left w:w="-113" w:type="dxa"/>
              <w:bottom w:w="-113" w:type="dxa"/>
              <w:right w:w="-113" w:type="dxa"/>
            </w:tcMar>
          </w:tcPr>
          <w:p w14:paraId="4D596DF9" w14:textId="77777777" w:rsidR="00830D35" w:rsidRDefault="00830D35" w:rsidP="00830D35">
            <w:pPr>
              <w:rPr>
                <w:color w:val="000000"/>
                <w:sz w:val="16"/>
                <w:szCs w:val="16"/>
              </w:rPr>
            </w:pPr>
            <w:r>
              <w:rPr>
                <w:color w:val="000000"/>
                <w:sz w:val="16"/>
                <w:szCs w:val="16"/>
              </w:rPr>
              <w:t>C&gt;G</w:t>
            </w:r>
          </w:p>
        </w:tc>
        <w:tc>
          <w:tcPr>
            <w:tcW w:w="1701" w:type="dxa"/>
            <w:tcBorders>
              <w:top w:val="single" w:sz="4" w:space="0" w:color="D0CECE"/>
              <w:bottom w:val="single" w:sz="4" w:space="0" w:color="D0CECE"/>
            </w:tcBorders>
            <w:tcMar>
              <w:top w:w="-113" w:type="dxa"/>
              <w:left w:w="-113" w:type="dxa"/>
              <w:bottom w:w="-113" w:type="dxa"/>
              <w:right w:w="-113" w:type="dxa"/>
            </w:tcMar>
          </w:tcPr>
          <w:p w14:paraId="7ADCC17F"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01F80F64"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2473122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398BB11D"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18F39E4"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EACC4E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50AD365" w14:textId="77777777" w:rsidR="00830D35" w:rsidRDefault="00830D35" w:rsidP="00830D35">
            <w:pPr>
              <w:rPr>
                <w:color w:val="000000"/>
                <w:sz w:val="16"/>
                <w:szCs w:val="16"/>
              </w:rPr>
            </w:pPr>
            <w:r>
              <w:rPr>
                <w:color w:val="000000"/>
                <w:sz w:val="16"/>
                <w:szCs w:val="16"/>
              </w:rPr>
              <w:t>rs3176863</w:t>
            </w:r>
          </w:p>
        </w:tc>
        <w:tc>
          <w:tcPr>
            <w:tcW w:w="851" w:type="dxa"/>
            <w:tcBorders>
              <w:top w:val="single" w:sz="4" w:space="0" w:color="D0CECE"/>
              <w:bottom w:val="single" w:sz="4" w:space="0" w:color="D0CECE"/>
            </w:tcBorders>
            <w:tcMar>
              <w:top w:w="-113" w:type="dxa"/>
              <w:left w:w="-113" w:type="dxa"/>
              <w:bottom w:w="-113" w:type="dxa"/>
              <w:right w:w="-113" w:type="dxa"/>
            </w:tcMar>
          </w:tcPr>
          <w:p w14:paraId="4B5C9EBC" w14:textId="77777777" w:rsidR="00830D35" w:rsidRDefault="00830D35" w:rsidP="00830D35">
            <w:pPr>
              <w:rPr>
                <w:color w:val="000000"/>
                <w:sz w:val="16"/>
                <w:szCs w:val="16"/>
              </w:rPr>
            </w:pPr>
            <w:r>
              <w:rPr>
                <w:color w:val="000000"/>
                <w:sz w:val="16"/>
                <w:szCs w:val="16"/>
              </w:rPr>
              <w:t>G&gt;</w:t>
            </w:r>
            <w:proofErr w:type="gramStart"/>
            <w:r>
              <w:rPr>
                <w:color w:val="000000"/>
                <w:sz w:val="16"/>
                <w:szCs w:val="16"/>
              </w:rPr>
              <w:t>A,C</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3B42725B"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7F29E1A6"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04C2A049"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1587DA9E"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F167FE6"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D3576A4"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6715547B" w14:textId="77777777" w:rsidR="00830D35" w:rsidRDefault="00830D35" w:rsidP="00830D35">
            <w:pPr>
              <w:rPr>
                <w:color w:val="000000"/>
                <w:sz w:val="16"/>
                <w:szCs w:val="16"/>
              </w:rPr>
            </w:pPr>
            <w:r>
              <w:rPr>
                <w:color w:val="000000"/>
                <w:sz w:val="16"/>
                <w:szCs w:val="16"/>
              </w:rPr>
              <w:t>rs3176867</w:t>
            </w:r>
          </w:p>
        </w:tc>
        <w:tc>
          <w:tcPr>
            <w:tcW w:w="851" w:type="dxa"/>
            <w:tcBorders>
              <w:top w:val="single" w:sz="4" w:space="0" w:color="D0CECE"/>
              <w:bottom w:val="single" w:sz="4" w:space="0" w:color="D0CECE"/>
            </w:tcBorders>
            <w:tcMar>
              <w:top w:w="-113" w:type="dxa"/>
              <w:left w:w="-113" w:type="dxa"/>
              <w:bottom w:w="-113" w:type="dxa"/>
              <w:right w:w="-113" w:type="dxa"/>
            </w:tcMar>
          </w:tcPr>
          <w:p w14:paraId="3856E9E5" w14:textId="77777777" w:rsidR="00830D35" w:rsidRDefault="00830D35" w:rsidP="00830D35">
            <w:pPr>
              <w:rPr>
                <w:color w:val="000000"/>
                <w:sz w:val="16"/>
                <w:szCs w:val="16"/>
              </w:rPr>
            </w:pPr>
            <w:r>
              <w:rPr>
                <w:color w:val="000000"/>
                <w:sz w:val="16"/>
                <w:szCs w:val="16"/>
              </w:rPr>
              <w:t>C&gt;</w:t>
            </w:r>
            <w:proofErr w:type="gramStart"/>
            <w:r>
              <w:rPr>
                <w:color w:val="000000"/>
                <w:sz w:val="16"/>
                <w:szCs w:val="16"/>
              </w:rPr>
              <w:t>A,T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7957CFA7"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38C6353A"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26F4B9C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39B3F266"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7DA924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72A6E15"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71CDEF9F" w14:textId="77777777" w:rsidR="00830D35" w:rsidRDefault="00830D35" w:rsidP="00830D35">
            <w:pPr>
              <w:rPr>
                <w:color w:val="000000"/>
                <w:sz w:val="16"/>
                <w:szCs w:val="16"/>
              </w:rPr>
            </w:pPr>
            <w:r>
              <w:rPr>
                <w:color w:val="000000"/>
                <w:sz w:val="16"/>
                <w:szCs w:val="16"/>
              </w:rPr>
              <w:t>rs3176870</w:t>
            </w:r>
          </w:p>
        </w:tc>
        <w:tc>
          <w:tcPr>
            <w:tcW w:w="851" w:type="dxa"/>
            <w:tcBorders>
              <w:top w:val="single" w:sz="4" w:space="0" w:color="D0CECE"/>
              <w:bottom w:val="single" w:sz="4" w:space="0" w:color="D0CECE"/>
            </w:tcBorders>
            <w:tcMar>
              <w:top w:w="-113" w:type="dxa"/>
              <w:left w:w="-113" w:type="dxa"/>
              <w:bottom w:w="-113" w:type="dxa"/>
              <w:right w:w="-113" w:type="dxa"/>
            </w:tcMar>
          </w:tcPr>
          <w:p w14:paraId="046E985B" w14:textId="77777777" w:rsidR="00830D35" w:rsidRDefault="00830D35" w:rsidP="00830D35">
            <w:pPr>
              <w:rPr>
                <w:color w:val="000000"/>
                <w:sz w:val="16"/>
                <w:szCs w:val="16"/>
              </w:rPr>
            </w:pPr>
            <w:r>
              <w:rPr>
                <w:color w:val="000000"/>
                <w:sz w:val="16"/>
                <w:szCs w:val="16"/>
              </w:rPr>
              <w:t>G&gt;A</w:t>
            </w:r>
          </w:p>
        </w:tc>
        <w:tc>
          <w:tcPr>
            <w:tcW w:w="1701" w:type="dxa"/>
            <w:tcBorders>
              <w:top w:val="single" w:sz="4" w:space="0" w:color="D0CECE"/>
              <w:bottom w:val="single" w:sz="4" w:space="0" w:color="D0CECE"/>
            </w:tcBorders>
            <w:tcMar>
              <w:top w:w="-113" w:type="dxa"/>
              <w:left w:w="-113" w:type="dxa"/>
              <w:bottom w:w="-113" w:type="dxa"/>
              <w:right w:w="-113" w:type="dxa"/>
            </w:tcMar>
          </w:tcPr>
          <w:p w14:paraId="21D79C9F"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67A05720"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0D3B5EE3"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3C8D29B0"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766F4EB"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3CEA83F"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A1960AA" w14:textId="77777777" w:rsidR="00830D35" w:rsidRDefault="00830D35" w:rsidP="00830D35">
            <w:pPr>
              <w:rPr>
                <w:color w:val="000000"/>
                <w:sz w:val="16"/>
                <w:szCs w:val="16"/>
              </w:rPr>
            </w:pPr>
            <w:r>
              <w:rPr>
                <w:color w:val="000000"/>
                <w:sz w:val="16"/>
                <w:szCs w:val="16"/>
              </w:rPr>
              <w:t>rs3176871</w:t>
            </w:r>
          </w:p>
        </w:tc>
        <w:tc>
          <w:tcPr>
            <w:tcW w:w="851" w:type="dxa"/>
            <w:tcBorders>
              <w:top w:val="single" w:sz="4" w:space="0" w:color="D0CECE"/>
              <w:bottom w:val="single" w:sz="4" w:space="0" w:color="D0CECE"/>
            </w:tcBorders>
            <w:tcMar>
              <w:top w:w="-113" w:type="dxa"/>
              <w:left w:w="-113" w:type="dxa"/>
              <w:bottom w:w="-113" w:type="dxa"/>
              <w:right w:w="-113" w:type="dxa"/>
            </w:tcMar>
          </w:tcPr>
          <w:p w14:paraId="7A9E232F" w14:textId="77777777" w:rsidR="00830D35" w:rsidRDefault="00830D35" w:rsidP="00830D35">
            <w:pPr>
              <w:rPr>
                <w:color w:val="000000"/>
                <w:sz w:val="16"/>
                <w:szCs w:val="16"/>
              </w:rPr>
            </w:pPr>
            <w:r>
              <w:rPr>
                <w:color w:val="000000"/>
                <w:sz w:val="16"/>
                <w:szCs w:val="16"/>
              </w:rPr>
              <w:t>A&gt;</w:t>
            </w:r>
            <w:proofErr w:type="gramStart"/>
            <w:r>
              <w:rPr>
                <w:color w:val="000000"/>
                <w:sz w:val="16"/>
                <w:szCs w:val="16"/>
              </w:rPr>
              <w:t>C,G</w:t>
            </w:r>
            <w:proofErr w:type="gramEnd"/>
            <w:r>
              <w:rPr>
                <w:color w:val="000000"/>
                <w:sz w:val="16"/>
                <w:szCs w:val="16"/>
              </w:rPr>
              <w:t>,T</w:t>
            </w:r>
          </w:p>
        </w:tc>
        <w:tc>
          <w:tcPr>
            <w:tcW w:w="1701" w:type="dxa"/>
            <w:tcBorders>
              <w:top w:val="single" w:sz="4" w:space="0" w:color="D0CECE"/>
              <w:bottom w:val="single" w:sz="4" w:space="0" w:color="D0CECE"/>
            </w:tcBorders>
            <w:tcMar>
              <w:top w:w="-113" w:type="dxa"/>
              <w:left w:w="-113" w:type="dxa"/>
              <w:bottom w:w="-113" w:type="dxa"/>
              <w:right w:w="-113" w:type="dxa"/>
            </w:tcMar>
          </w:tcPr>
          <w:p w14:paraId="1FB8C294"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0E0D6F0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3469090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397D5AE3"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E85295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58FD7BB"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1A53F4B5" w14:textId="77777777" w:rsidR="00830D35" w:rsidRDefault="00830D35" w:rsidP="00830D35">
            <w:pPr>
              <w:rPr>
                <w:color w:val="000000"/>
                <w:sz w:val="16"/>
                <w:szCs w:val="16"/>
              </w:rPr>
            </w:pPr>
            <w:r>
              <w:rPr>
                <w:color w:val="000000"/>
                <w:sz w:val="16"/>
                <w:szCs w:val="16"/>
              </w:rPr>
              <w:t>rs3176874</w:t>
            </w:r>
          </w:p>
        </w:tc>
        <w:tc>
          <w:tcPr>
            <w:tcW w:w="851" w:type="dxa"/>
            <w:tcBorders>
              <w:top w:val="single" w:sz="4" w:space="0" w:color="D0CECE"/>
              <w:bottom w:val="single" w:sz="4" w:space="0" w:color="D0CECE"/>
            </w:tcBorders>
            <w:tcMar>
              <w:top w:w="-113" w:type="dxa"/>
              <w:left w:w="-113" w:type="dxa"/>
              <w:bottom w:w="-113" w:type="dxa"/>
              <w:right w:w="-113" w:type="dxa"/>
            </w:tcMar>
          </w:tcPr>
          <w:p w14:paraId="21DF7A14" w14:textId="77777777" w:rsidR="00830D35" w:rsidRDefault="00830D35" w:rsidP="00830D35">
            <w:pPr>
              <w:rPr>
                <w:color w:val="000000"/>
                <w:sz w:val="16"/>
                <w:szCs w:val="16"/>
              </w:rPr>
            </w:pPr>
            <w:r>
              <w:rPr>
                <w:color w:val="000000"/>
                <w:sz w:val="16"/>
                <w:szCs w:val="16"/>
              </w:rPr>
              <w:t>A&gt;G</w:t>
            </w:r>
          </w:p>
        </w:tc>
        <w:tc>
          <w:tcPr>
            <w:tcW w:w="1701" w:type="dxa"/>
            <w:tcBorders>
              <w:top w:val="single" w:sz="4" w:space="0" w:color="D0CECE"/>
              <w:bottom w:val="single" w:sz="4" w:space="0" w:color="D0CECE"/>
            </w:tcBorders>
            <w:tcMar>
              <w:top w:w="-113" w:type="dxa"/>
              <w:left w:w="-113" w:type="dxa"/>
              <w:bottom w:w="-113" w:type="dxa"/>
              <w:right w:w="-113" w:type="dxa"/>
            </w:tcMar>
          </w:tcPr>
          <w:p w14:paraId="155B1F32"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63C8710B"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1BA58F76"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34521DCF"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9149913"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64122E0"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BE3D553" w14:textId="77777777" w:rsidR="00830D35" w:rsidRDefault="00830D35" w:rsidP="00830D35">
            <w:pPr>
              <w:rPr>
                <w:color w:val="000000"/>
                <w:sz w:val="16"/>
                <w:szCs w:val="16"/>
              </w:rPr>
            </w:pPr>
            <w:r>
              <w:rPr>
                <w:color w:val="000000"/>
                <w:sz w:val="16"/>
                <w:szCs w:val="16"/>
              </w:rPr>
              <w:t>rs3176876</w:t>
            </w:r>
          </w:p>
        </w:tc>
        <w:tc>
          <w:tcPr>
            <w:tcW w:w="851" w:type="dxa"/>
            <w:tcBorders>
              <w:top w:val="single" w:sz="4" w:space="0" w:color="D0CECE"/>
              <w:bottom w:val="single" w:sz="4" w:space="0" w:color="D0CECE"/>
            </w:tcBorders>
            <w:tcMar>
              <w:top w:w="-113" w:type="dxa"/>
              <w:left w:w="-113" w:type="dxa"/>
              <w:bottom w:w="-113" w:type="dxa"/>
              <w:right w:w="-113" w:type="dxa"/>
            </w:tcMar>
          </w:tcPr>
          <w:p w14:paraId="7E7BA4D8" w14:textId="77777777" w:rsidR="00830D35" w:rsidRDefault="00830D35" w:rsidP="00830D35">
            <w:pPr>
              <w:rPr>
                <w:color w:val="000000"/>
                <w:sz w:val="16"/>
                <w:szCs w:val="16"/>
              </w:rPr>
            </w:pPr>
            <w:r>
              <w:rPr>
                <w:color w:val="000000"/>
                <w:sz w:val="16"/>
                <w:szCs w:val="16"/>
              </w:rPr>
              <w:t>A&gt;</w:t>
            </w:r>
            <w:proofErr w:type="gramStart"/>
            <w:r>
              <w:rPr>
                <w:color w:val="000000"/>
                <w:sz w:val="16"/>
                <w:szCs w:val="16"/>
              </w:rPr>
              <w:t>C,G</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686FEE8C"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000000"/>
              <w:bottom w:val="single" w:sz="4" w:space="0" w:color="D0CECE"/>
            </w:tcBorders>
            <w:tcMar>
              <w:top w:w="-113" w:type="dxa"/>
              <w:left w:w="-113" w:type="dxa"/>
              <w:bottom w:w="-113" w:type="dxa"/>
              <w:right w:w="-113" w:type="dxa"/>
            </w:tcMar>
          </w:tcPr>
          <w:p w14:paraId="291F6945"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351651EF"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377EB1C3"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D4E5BD3"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2258E6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05D4328D" w14:textId="77777777" w:rsidR="00830D35" w:rsidRDefault="00830D35" w:rsidP="00830D35">
            <w:pPr>
              <w:rPr>
                <w:sz w:val="16"/>
                <w:szCs w:val="16"/>
              </w:rPr>
            </w:pPr>
            <w:r>
              <w:rPr>
                <w:color w:val="000000"/>
                <w:sz w:val="16"/>
                <w:szCs w:val="16"/>
              </w:rPr>
              <w:t>rs3176877</w:t>
            </w:r>
          </w:p>
        </w:tc>
        <w:tc>
          <w:tcPr>
            <w:tcW w:w="851" w:type="dxa"/>
            <w:vMerge w:val="restart"/>
            <w:tcBorders>
              <w:top w:val="single" w:sz="4" w:space="0" w:color="D0CECE"/>
              <w:bottom w:val="single" w:sz="4" w:space="0" w:color="D0CECE"/>
            </w:tcBorders>
            <w:tcMar>
              <w:top w:w="-113" w:type="dxa"/>
              <w:left w:w="-113" w:type="dxa"/>
              <w:bottom w:w="-113" w:type="dxa"/>
              <w:right w:w="-113" w:type="dxa"/>
            </w:tcMar>
          </w:tcPr>
          <w:p w14:paraId="38A402BF" w14:textId="77777777" w:rsidR="00830D35" w:rsidRDefault="00830D35" w:rsidP="00830D35">
            <w:pPr>
              <w:rPr>
                <w:color w:val="000000"/>
                <w:sz w:val="16"/>
                <w:szCs w:val="16"/>
              </w:rPr>
            </w:pPr>
            <w:r>
              <w:rPr>
                <w:color w:val="000000"/>
                <w:sz w:val="16"/>
                <w:szCs w:val="16"/>
              </w:rPr>
              <w:t>A/C</w:t>
            </w:r>
          </w:p>
        </w:tc>
        <w:tc>
          <w:tcPr>
            <w:tcW w:w="1701" w:type="dxa"/>
            <w:vMerge w:val="restart"/>
            <w:tcBorders>
              <w:top w:val="single" w:sz="4" w:space="0" w:color="D0CECE"/>
              <w:bottom w:val="single" w:sz="4" w:space="0" w:color="D0CECE"/>
            </w:tcBorders>
            <w:tcMar>
              <w:top w:w="-113" w:type="dxa"/>
              <w:left w:w="-113" w:type="dxa"/>
              <w:bottom w:w="-113" w:type="dxa"/>
              <w:right w:w="-113" w:type="dxa"/>
            </w:tcMar>
          </w:tcPr>
          <w:p w14:paraId="070A23B8" w14:textId="77777777" w:rsidR="00830D35" w:rsidRDefault="00830D35" w:rsidP="00830D35">
            <w:pPr>
              <w:rPr>
                <w:color w:val="000000"/>
                <w:sz w:val="16"/>
                <w:szCs w:val="16"/>
              </w:rPr>
            </w:pPr>
            <w:r>
              <w:rPr>
                <w:sz w:val="16"/>
                <w:szCs w:val="16"/>
              </w:rPr>
              <w:t>Intron variant</w:t>
            </w:r>
          </w:p>
        </w:tc>
        <w:tc>
          <w:tcPr>
            <w:tcW w:w="708" w:type="dxa"/>
            <w:tcBorders>
              <w:top w:val="single" w:sz="4" w:space="0" w:color="D0CECE"/>
              <w:bottom w:val="single" w:sz="4" w:space="0" w:color="D0CECE"/>
            </w:tcBorders>
            <w:tcMar>
              <w:top w:w="-113" w:type="dxa"/>
              <w:left w:w="-113" w:type="dxa"/>
              <w:bottom w:w="-113" w:type="dxa"/>
              <w:right w:w="-113" w:type="dxa"/>
            </w:tcMar>
          </w:tcPr>
          <w:p w14:paraId="2B090484" w14:textId="77777777" w:rsidR="00830D35" w:rsidRDefault="00830D35" w:rsidP="00830D35">
            <w:pPr>
              <w:rPr>
                <w:color w:val="000000"/>
                <w:sz w:val="16"/>
                <w:szCs w:val="16"/>
              </w:rPr>
            </w:pPr>
            <w:r>
              <w:rPr>
                <w:color w:val="000000"/>
                <w:sz w:val="16"/>
                <w:szCs w:val="16"/>
              </w:rPr>
              <w:t>BP</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13FEF80C" w14:textId="77777777" w:rsidR="00830D35" w:rsidRDefault="00830D35" w:rsidP="00830D35">
            <w:pPr>
              <w:rPr>
                <w:color w:val="000000"/>
                <w:sz w:val="16"/>
                <w:szCs w:val="16"/>
              </w:rPr>
            </w:pPr>
            <w:r>
              <w:rPr>
                <w:sz w:val="16"/>
                <w:szCs w:val="16"/>
              </w:rPr>
              <w:t xml:space="preserve">Farzan </w:t>
            </w:r>
            <w:r>
              <w:rPr>
                <w:i/>
                <w:sz w:val="16"/>
                <w:szCs w:val="16"/>
              </w:rPr>
              <w:t>et al.</w:t>
            </w:r>
            <w:r>
              <w:rPr>
                <w:sz w:val="16"/>
                <w:szCs w:val="16"/>
              </w:rPr>
              <w:t xml:space="preserve"> 2016</w:t>
            </w:r>
          </w:p>
        </w:tc>
      </w:tr>
      <w:tr w:rsidR="00830D35" w14:paraId="2E8C42A5" w14:textId="77777777" w:rsidTr="00923C73">
        <w:trPr>
          <w:trHeight w:val="317"/>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27651A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027E01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74CBC8EF"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tcMar>
              <w:top w:w="-113" w:type="dxa"/>
              <w:left w:w="-113" w:type="dxa"/>
              <w:bottom w:w="-113" w:type="dxa"/>
              <w:right w:w="-113" w:type="dxa"/>
            </w:tcMar>
          </w:tcPr>
          <w:p w14:paraId="48E87415"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tcMar>
              <w:top w:w="-113" w:type="dxa"/>
              <w:left w:w="-113" w:type="dxa"/>
              <w:bottom w:w="-113" w:type="dxa"/>
              <w:right w:w="-113" w:type="dxa"/>
            </w:tcMar>
          </w:tcPr>
          <w:p w14:paraId="18BA1BD4"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708" w:type="dxa"/>
            <w:vMerge w:val="restart"/>
            <w:tcBorders>
              <w:top w:val="single" w:sz="4" w:space="0" w:color="D0CECE"/>
              <w:bottom w:val="single" w:sz="4" w:space="0" w:color="D0CECE"/>
            </w:tcBorders>
            <w:tcMar>
              <w:top w:w="-113" w:type="dxa"/>
              <w:left w:w="-113" w:type="dxa"/>
              <w:bottom w:w="-113" w:type="dxa"/>
              <w:right w:w="-113" w:type="dxa"/>
            </w:tcMar>
          </w:tcPr>
          <w:p w14:paraId="36CA5175" w14:textId="77777777" w:rsidR="00830D35" w:rsidRDefault="00830D35" w:rsidP="00830D35">
            <w:pPr>
              <w:rPr>
                <w:sz w:val="16"/>
                <w:szCs w:val="16"/>
              </w:rPr>
            </w:pPr>
            <w:r>
              <w:rPr>
                <w:color w:val="000000"/>
                <w:sz w:val="16"/>
                <w:szCs w:val="16"/>
              </w:rPr>
              <w:t>CVD</w:t>
            </w:r>
          </w:p>
          <w:p w14:paraId="0AA3CD40" w14:textId="77777777" w:rsidR="00830D35" w:rsidRDefault="00830D35" w:rsidP="00830D35">
            <w:pPr>
              <w:rPr>
                <w:sz w:val="16"/>
                <w:szCs w:val="16"/>
              </w:rPr>
            </w:pP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4905B843" w14:textId="77777777" w:rsidR="00830D35" w:rsidRDefault="00830D35" w:rsidP="00830D35">
            <w:pPr>
              <w:rPr>
                <w:sz w:val="16"/>
                <w:szCs w:val="16"/>
              </w:rPr>
            </w:pPr>
            <w:r>
              <w:rPr>
                <w:sz w:val="16"/>
                <w:szCs w:val="16"/>
              </w:rPr>
              <w:t xml:space="preserve">Wu </w:t>
            </w:r>
            <w:r>
              <w:rPr>
                <w:i/>
                <w:sz w:val="16"/>
                <w:szCs w:val="16"/>
              </w:rPr>
              <w:t>et al.</w:t>
            </w:r>
            <w:r>
              <w:rPr>
                <w:sz w:val="16"/>
                <w:szCs w:val="16"/>
              </w:rPr>
              <w:t xml:space="preserve"> 2015</w:t>
            </w:r>
          </w:p>
          <w:p w14:paraId="7B7ABC07" w14:textId="77777777" w:rsidR="00830D35" w:rsidRDefault="00830D35" w:rsidP="00830D35">
            <w:pPr>
              <w:rPr>
                <w:sz w:val="16"/>
                <w:szCs w:val="16"/>
              </w:rPr>
            </w:pPr>
          </w:p>
        </w:tc>
      </w:tr>
      <w:tr w:rsidR="00830D35" w14:paraId="0789EE31"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5E56F35" w14:textId="77777777" w:rsidR="00830D35" w:rsidRDefault="00830D35" w:rsidP="00830D35">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DE83817" w14:textId="77777777" w:rsidR="00830D35" w:rsidRDefault="00830D35" w:rsidP="00830D35">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0BCC384" w14:textId="77777777" w:rsidR="00830D35" w:rsidRDefault="00830D35" w:rsidP="00830D35">
            <w:pPr>
              <w:rPr>
                <w:color w:val="000000"/>
                <w:sz w:val="16"/>
                <w:szCs w:val="16"/>
              </w:rPr>
            </w:pPr>
            <w:r>
              <w:rPr>
                <w:color w:val="000000"/>
                <w:sz w:val="16"/>
                <w:szCs w:val="16"/>
              </w:rPr>
              <w:t>rs3176878</w:t>
            </w:r>
          </w:p>
        </w:tc>
        <w:tc>
          <w:tcPr>
            <w:tcW w:w="851" w:type="dxa"/>
            <w:tcBorders>
              <w:top w:val="single" w:sz="4" w:space="0" w:color="D0CECE"/>
              <w:bottom w:val="single" w:sz="4" w:space="0" w:color="D0CECE"/>
            </w:tcBorders>
            <w:tcMar>
              <w:top w:w="-113" w:type="dxa"/>
              <w:left w:w="-113" w:type="dxa"/>
              <w:bottom w:w="-113" w:type="dxa"/>
              <w:right w:w="-113" w:type="dxa"/>
            </w:tcMar>
          </w:tcPr>
          <w:p w14:paraId="54A56DC7" w14:textId="77777777" w:rsidR="00830D35" w:rsidRDefault="00830D35" w:rsidP="00830D35">
            <w:pPr>
              <w:rPr>
                <w:color w:val="000000"/>
                <w:sz w:val="16"/>
                <w:szCs w:val="16"/>
              </w:rPr>
            </w:pPr>
            <w:r>
              <w:rPr>
                <w:color w:val="000000"/>
                <w:sz w:val="16"/>
                <w:szCs w:val="16"/>
              </w:rPr>
              <w:t>A&gt;</w:t>
            </w:r>
            <w:proofErr w:type="gramStart"/>
            <w:r>
              <w:rPr>
                <w:color w:val="000000"/>
                <w:sz w:val="16"/>
                <w:szCs w:val="16"/>
              </w:rPr>
              <w:t>C,G</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6971486D"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39F47555"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724621C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2462314D"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18371B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AAD6D5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2A496F5D" w14:textId="77777777" w:rsidR="00830D35" w:rsidRDefault="00830D35" w:rsidP="00830D35">
            <w:pPr>
              <w:rPr>
                <w:color w:val="000000"/>
                <w:sz w:val="16"/>
                <w:szCs w:val="16"/>
              </w:rPr>
            </w:pPr>
            <w:r>
              <w:rPr>
                <w:color w:val="000000"/>
                <w:sz w:val="16"/>
                <w:szCs w:val="16"/>
              </w:rPr>
              <w:t>rs3181087</w:t>
            </w:r>
          </w:p>
        </w:tc>
        <w:tc>
          <w:tcPr>
            <w:tcW w:w="851" w:type="dxa"/>
            <w:tcBorders>
              <w:top w:val="single" w:sz="4" w:space="0" w:color="D0CECE"/>
              <w:bottom w:val="single" w:sz="4" w:space="0" w:color="D0CECE"/>
            </w:tcBorders>
            <w:tcMar>
              <w:top w:w="-113" w:type="dxa"/>
              <w:left w:w="-113" w:type="dxa"/>
              <w:bottom w:w="-113" w:type="dxa"/>
              <w:right w:w="-113" w:type="dxa"/>
            </w:tcMar>
          </w:tcPr>
          <w:p w14:paraId="5E420FCF" w14:textId="77777777" w:rsidR="00830D35" w:rsidRDefault="00830D35" w:rsidP="00830D35">
            <w:pPr>
              <w:rPr>
                <w:color w:val="000000"/>
                <w:sz w:val="16"/>
                <w:szCs w:val="16"/>
              </w:rPr>
            </w:pPr>
            <w:r>
              <w:rPr>
                <w:color w:val="000000"/>
                <w:sz w:val="16"/>
                <w:szCs w:val="16"/>
              </w:rPr>
              <w:t>A&gt;T</w:t>
            </w:r>
          </w:p>
        </w:tc>
        <w:tc>
          <w:tcPr>
            <w:tcW w:w="1701" w:type="dxa"/>
            <w:tcBorders>
              <w:top w:val="single" w:sz="4" w:space="0" w:color="D0CECE"/>
              <w:bottom w:val="single" w:sz="4" w:space="0" w:color="D0CECE"/>
            </w:tcBorders>
            <w:tcMar>
              <w:top w:w="-113" w:type="dxa"/>
              <w:left w:w="-113" w:type="dxa"/>
              <w:bottom w:w="-113" w:type="dxa"/>
              <w:right w:w="-113" w:type="dxa"/>
            </w:tcMar>
          </w:tcPr>
          <w:p w14:paraId="27656DEA" w14:textId="77777777" w:rsidR="00830D35" w:rsidRDefault="00830D35" w:rsidP="00830D35">
            <w:pPr>
              <w:rPr>
                <w:color w:val="000000"/>
                <w:sz w:val="16"/>
                <w:szCs w:val="16"/>
              </w:rPr>
            </w:pPr>
            <w:r>
              <w:rPr>
                <w:sz w:val="16"/>
                <w:szCs w:val="16"/>
              </w:rPr>
              <w:t>2KB Upstream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79366B3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37BB380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725DDC9D"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60A23FF"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E13E35A"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C05B4E2" w14:textId="77777777" w:rsidR="00830D35" w:rsidRDefault="00830D35" w:rsidP="00830D35">
            <w:pPr>
              <w:rPr>
                <w:color w:val="000000"/>
                <w:sz w:val="16"/>
                <w:szCs w:val="16"/>
              </w:rPr>
            </w:pPr>
            <w:r>
              <w:rPr>
                <w:color w:val="000000"/>
                <w:sz w:val="16"/>
                <w:szCs w:val="16"/>
              </w:rPr>
              <w:t>rs3181088</w:t>
            </w:r>
          </w:p>
        </w:tc>
        <w:tc>
          <w:tcPr>
            <w:tcW w:w="851" w:type="dxa"/>
            <w:tcBorders>
              <w:top w:val="single" w:sz="4" w:space="0" w:color="D0CECE"/>
              <w:bottom w:val="single" w:sz="4" w:space="0" w:color="D0CECE"/>
            </w:tcBorders>
            <w:tcMar>
              <w:top w:w="-113" w:type="dxa"/>
              <w:left w:w="-113" w:type="dxa"/>
              <w:bottom w:w="-113" w:type="dxa"/>
              <w:right w:w="-113" w:type="dxa"/>
            </w:tcMar>
          </w:tcPr>
          <w:p w14:paraId="11F91CFE" w14:textId="77777777" w:rsidR="00830D35" w:rsidRDefault="00830D35" w:rsidP="00830D35">
            <w:pPr>
              <w:rPr>
                <w:color w:val="000000"/>
                <w:sz w:val="16"/>
                <w:szCs w:val="16"/>
              </w:rPr>
            </w:pPr>
            <w:r>
              <w:rPr>
                <w:color w:val="000000"/>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1CD9FC6A"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71B53490"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4FAE7225"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3A8EA8B8"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5E577D0"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F3214F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5F5A4C19" w14:textId="77777777" w:rsidR="00830D35" w:rsidRDefault="00830D35" w:rsidP="00830D35">
            <w:pPr>
              <w:rPr>
                <w:color w:val="000000"/>
                <w:sz w:val="16"/>
                <w:szCs w:val="16"/>
              </w:rPr>
            </w:pPr>
            <w:r>
              <w:rPr>
                <w:color w:val="000000"/>
                <w:sz w:val="16"/>
                <w:szCs w:val="16"/>
              </w:rPr>
              <w:t>rs3181089</w:t>
            </w:r>
          </w:p>
        </w:tc>
        <w:tc>
          <w:tcPr>
            <w:tcW w:w="851" w:type="dxa"/>
            <w:tcBorders>
              <w:top w:val="single" w:sz="4" w:space="0" w:color="D0CECE"/>
              <w:bottom w:val="single" w:sz="4" w:space="0" w:color="D0CECE"/>
            </w:tcBorders>
            <w:tcMar>
              <w:top w:w="-113" w:type="dxa"/>
              <w:left w:w="-113" w:type="dxa"/>
              <w:bottom w:w="-113" w:type="dxa"/>
              <w:right w:w="-113" w:type="dxa"/>
            </w:tcMar>
          </w:tcPr>
          <w:p w14:paraId="2626402A" w14:textId="77777777" w:rsidR="00830D35" w:rsidRDefault="00830D35" w:rsidP="00830D35">
            <w:pPr>
              <w:rPr>
                <w:color w:val="000000"/>
                <w:sz w:val="16"/>
                <w:szCs w:val="16"/>
              </w:rPr>
            </w:pPr>
            <w:r>
              <w:rPr>
                <w:color w:val="000000"/>
                <w:sz w:val="16"/>
                <w:szCs w:val="16"/>
              </w:rPr>
              <w:t>C&gt;</w:t>
            </w:r>
            <w:proofErr w:type="gramStart"/>
            <w:r>
              <w:rPr>
                <w:color w:val="000000"/>
                <w:sz w:val="16"/>
                <w:szCs w:val="16"/>
              </w:rPr>
              <w:t>A,T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24784002"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343C61C5"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B7FA2A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1D77BB5A"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DEB7775"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D528A7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296AB3C" w14:textId="77777777" w:rsidR="00830D35" w:rsidRDefault="00830D35" w:rsidP="00830D35">
            <w:pPr>
              <w:rPr>
                <w:color w:val="000000"/>
                <w:sz w:val="16"/>
                <w:szCs w:val="16"/>
              </w:rPr>
            </w:pPr>
            <w:r>
              <w:rPr>
                <w:color w:val="000000"/>
                <w:sz w:val="16"/>
                <w:szCs w:val="16"/>
              </w:rPr>
              <w:t>rs3181092</w:t>
            </w:r>
          </w:p>
        </w:tc>
        <w:tc>
          <w:tcPr>
            <w:tcW w:w="851" w:type="dxa"/>
            <w:tcBorders>
              <w:top w:val="single" w:sz="4" w:space="0" w:color="D0CECE"/>
              <w:bottom w:val="single" w:sz="4" w:space="0" w:color="D0CECE"/>
            </w:tcBorders>
            <w:tcMar>
              <w:top w:w="-113" w:type="dxa"/>
              <w:left w:w="-113" w:type="dxa"/>
              <w:bottom w:w="-113" w:type="dxa"/>
              <w:right w:w="-113" w:type="dxa"/>
            </w:tcMar>
          </w:tcPr>
          <w:p w14:paraId="6933D285" w14:textId="77777777" w:rsidR="00830D35" w:rsidRDefault="00830D35" w:rsidP="00830D35">
            <w:pPr>
              <w:rPr>
                <w:color w:val="000000"/>
                <w:sz w:val="16"/>
                <w:szCs w:val="16"/>
              </w:rPr>
            </w:pPr>
            <w:r>
              <w:rPr>
                <w:color w:val="000000"/>
                <w:sz w:val="16"/>
                <w:szCs w:val="16"/>
              </w:rPr>
              <w:t>A&gt;G</w:t>
            </w:r>
          </w:p>
        </w:tc>
        <w:tc>
          <w:tcPr>
            <w:tcW w:w="1701" w:type="dxa"/>
            <w:tcBorders>
              <w:top w:val="single" w:sz="4" w:space="0" w:color="D0CECE"/>
              <w:bottom w:val="single" w:sz="4" w:space="0" w:color="D0CECE"/>
            </w:tcBorders>
            <w:tcMar>
              <w:top w:w="-113" w:type="dxa"/>
              <w:left w:w="-113" w:type="dxa"/>
              <w:bottom w:w="-113" w:type="dxa"/>
              <w:right w:w="-113" w:type="dxa"/>
            </w:tcMar>
          </w:tcPr>
          <w:p w14:paraId="04201B3A" w14:textId="77777777" w:rsidR="00830D35" w:rsidRDefault="00830D35" w:rsidP="00830D35">
            <w:pPr>
              <w:rPr>
                <w:color w:val="000000"/>
                <w:sz w:val="16"/>
                <w:szCs w:val="16"/>
              </w:rPr>
            </w:pPr>
            <w:r>
              <w:rPr>
                <w:sz w:val="16"/>
                <w:szCs w:val="16"/>
              </w:rPr>
              <w:t>500B Downstream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5EC1418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36FCDB59"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6F715768"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55B334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6CA09FF"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6FEE5D1E" w14:textId="77777777" w:rsidR="00830D35" w:rsidRDefault="00830D35" w:rsidP="00830D35">
            <w:pPr>
              <w:rPr>
                <w:color w:val="000000"/>
                <w:sz w:val="16"/>
                <w:szCs w:val="16"/>
              </w:rPr>
            </w:pPr>
            <w:r>
              <w:rPr>
                <w:color w:val="000000"/>
                <w:sz w:val="16"/>
                <w:szCs w:val="16"/>
              </w:rPr>
              <w:t>rs3765685</w:t>
            </w:r>
          </w:p>
        </w:tc>
        <w:tc>
          <w:tcPr>
            <w:tcW w:w="851" w:type="dxa"/>
            <w:tcBorders>
              <w:top w:val="single" w:sz="4" w:space="0" w:color="D0CECE"/>
              <w:bottom w:val="single" w:sz="4" w:space="0" w:color="D0CECE"/>
            </w:tcBorders>
            <w:tcMar>
              <w:top w:w="-113" w:type="dxa"/>
              <w:left w:w="-113" w:type="dxa"/>
              <w:bottom w:w="-113" w:type="dxa"/>
              <w:right w:w="-113" w:type="dxa"/>
            </w:tcMar>
          </w:tcPr>
          <w:p w14:paraId="26772DCE" w14:textId="77777777" w:rsidR="00830D35" w:rsidRDefault="00830D35" w:rsidP="00830D35">
            <w:pPr>
              <w:rPr>
                <w:color w:val="000000"/>
                <w:sz w:val="16"/>
                <w:szCs w:val="16"/>
              </w:rPr>
            </w:pPr>
            <w:r>
              <w:rPr>
                <w:color w:val="000000"/>
                <w:sz w:val="16"/>
                <w:szCs w:val="16"/>
              </w:rPr>
              <w:t>A&gt;G</w:t>
            </w:r>
          </w:p>
        </w:tc>
        <w:tc>
          <w:tcPr>
            <w:tcW w:w="1701" w:type="dxa"/>
            <w:tcBorders>
              <w:top w:val="single" w:sz="4" w:space="0" w:color="D0CECE"/>
              <w:bottom w:val="single" w:sz="4" w:space="0" w:color="D0CECE"/>
            </w:tcBorders>
            <w:tcMar>
              <w:top w:w="-113" w:type="dxa"/>
              <w:left w:w="-113" w:type="dxa"/>
              <w:bottom w:w="-113" w:type="dxa"/>
              <w:right w:w="-113" w:type="dxa"/>
            </w:tcMar>
          </w:tcPr>
          <w:p w14:paraId="4524EC83"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34922BAB"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66A1FCEF"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36931371"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A3310E9"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41CBCA5"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1D7DE567" w14:textId="77777777" w:rsidR="00830D35" w:rsidRDefault="00830D35" w:rsidP="00830D35">
            <w:pPr>
              <w:rPr>
                <w:color w:val="000000"/>
                <w:sz w:val="16"/>
                <w:szCs w:val="16"/>
              </w:rPr>
            </w:pPr>
            <w:r>
              <w:rPr>
                <w:color w:val="000000"/>
                <w:sz w:val="16"/>
                <w:szCs w:val="16"/>
              </w:rPr>
              <w:t>rs3783597</w:t>
            </w:r>
          </w:p>
        </w:tc>
        <w:tc>
          <w:tcPr>
            <w:tcW w:w="851" w:type="dxa"/>
            <w:tcBorders>
              <w:top w:val="single" w:sz="4" w:space="0" w:color="D0CECE"/>
              <w:bottom w:val="single" w:sz="4" w:space="0" w:color="D0CECE"/>
            </w:tcBorders>
            <w:tcMar>
              <w:top w:w="-113" w:type="dxa"/>
              <w:left w:w="-113" w:type="dxa"/>
              <w:bottom w:w="-113" w:type="dxa"/>
              <w:right w:w="-113" w:type="dxa"/>
            </w:tcMar>
          </w:tcPr>
          <w:p w14:paraId="01D663A2" w14:textId="77777777" w:rsidR="00830D35" w:rsidRDefault="00830D35" w:rsidP="00830D35">
            <w:pPr>
              <w:rPr>
                <w:color w:val="000000"/>
                <w:sz w:val="16"/>
                <w:szCs w:val="16"/>
              </w:rPr>
            </w:pPr>
            <w:r>
              <w:rPr>
                <w:color w:val="000000"/>
                <w:sz w:val="16"/>
                <w:szCs w:val="16"/>
              </w:rPr>
              <w:t>C&gt;</w:t>
            </w:r>
            <w:proofErr w:type="gramStart"/>
            <w:r>
              <w:rPr>
                <w:color w:val="000000"/>
                <w:sz w:val="16"/>
                <w:szCs w:val="16"/>
              </w:rPr>
              <w:t>G,T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18B8EEB5" w14:textId="77777777" w:rsidR="00830D35" w:rsidRDefault="00830D35" w:rsidP="00830D35">
            <w:pPr>
              <w:rPr>
                <w:color w:val="000000"/>
                <w:sz w:val="16"/>
                <w:szCs w:val="16"/>
              </w:rPr>
            </w:pPr>
            <w:r>
              <w:rPr>
                <w:sz w:val="16"/>
                <w:szCs w:val="16"/>
              </w:rPr>
              <w:t>2KB Upstream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09AA59B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6740A8A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565DDFB5"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435DAACB"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B6E184A"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9A6DA53" w14:textId="77777777" w:rsidR="00830D35" w:rsidRDefault="00830D35" w:rsidP="00830D35">
            <w:pPr>
              <w:rPr>
                <w:color w:val="000000"/>
                <w:sz w:val="16"/>
                <w:szCs w:val="16"/>
              </w:rPr>
            </w:pPr>
            <w:r>
              <w:rPr>
                <w:color w:val="000000"/>
                <w:sz w:val="16"/>
                <w:szCs w:val="16"/>
              </w:rPr>
              <w:t>rs3783599</w:t>
            </w:r>
          </w:p>
        </w:tc>
        <w:tc>
          <w:tcPr>
            <w:tcW w:w="851" w:type="dxa"/>
            <w:tcBorders>
              <w:top w:val="single" w:sz="4" w:space="0" w:color="D0CECE"/>
              <w:bottom w:val="single" w:sz="4" w:space="0" w:color="D0CECE"/>
            </w:tcBorders>
            <w:tcMar>
              <w:top w:w="-113" w:type="dxa"/>
              <w:left w:w="-113" w:type="dxa"/>
              <w:bottom w:w="-113" w:type="dxa"/>
              <w:right w:w="-113" w:type="dxa"/>
            </w:tcMar>
          </w:tcPr>
          <w:p w14:paraId="21127D58" w14:textId="77777777" w:rsidR="00830D35" w:rsidRDefault="00830D35" w:rsidP="00830D35">
            <w:pPr>
              <w:rPr>
                <w:color w:val="000000"/>
                <w:sz w:val="16"/>
                <w:szCs w:val="16"/>
              </w:rPr>
            </w:pPr>
            <w:r>
              <w:rPr>
                <w:color w:val="000000"/>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5D5F4E9E" w14:textId="77777777" w:rsidR="00830D35" w:rsidRDefault="00830D35" w:rsidP="00830D35">
            <w:pPr>
              <w:rPr>
                <w:color w:val="000000"/>
                <w:sz w:val="16"/>
                <w:szCs w:val="16"/>
              </w:rPr>
            </w:pPr>
            <w:r>
              <w:rPr>
                <w:sz w:val="16"/>
                <w:szCs w:val="16"/>
              </w:rPr>
              <w:t>2KB Upstream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2C57DF56"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421FBB36"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3483AC07"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A5BFB7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5CB06D4"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8D1E3DC" w14:textId="77777777" w:rsidR="00830D35" w:rsidRDefault="00830D35" w:rsidP="00830D35">
            <w:pPr>
              <w:rPr>
                <w:color w:val="000000"/>
                <w:sz w:val="16"/>
                <w:szCs w:val="16"/>
              </w:rPr>
            </w:pPr>
            <w:r>
              <w:rPr>
                <w:color w:val="000000"/>
                <w:sz w:val="16"/>
                <w:szCs w:val="16"/>
              </w:rPr>
              <w:t>rs3783601</w:t>
            </w:r>
          </w:p>
        </w:tc>
        <w:tc>
          <w:tcPr>
            <w:tcW w:w="851" w:type="dxa"/>
            <w:tcBorders>
              <w:top w:val="single" w:sz="4" w:space="0" w:color="D0CECE"/>
              <w:bottom w:val="single" w:sz="4" w:space="0" w:color="D0CECE"/>
            </w:tcBorders>
            <w:tcMar>
              <w:top w:w="-113" w:type="dxa"/>
              <w:left w:w="-113" w:type="dxa"/>
              <w:bottom w:w="-113" w:type="dxa"/>
              <w:right w:w="-113" w:type="dxa"/>
            </w:tcMar>
          </w:tcPr>
          <w:p w14:paraId="671F3786" w14:textId="77777777" w:rsidR="00830D35" w:rsidRDefault="00830D35" w:rsidP="00830D35">
            <w:pPr>
              <w:rPr>
                <w:color w:val="000000"/>
                <w:sz w:val="16"/>
                <w:szCs w:val="16"/>
              </w:rPr>
            </w:pPr>
            <w:r>
              <w:rPr>
                <w:color w:val="000000"/>
                <w:sz w:val="16"/>
                <w:szCs w:val="16"/>
              </w:rPr>
              <w:t>A&gt;</w:t>
            </w:r>
            <w:proofErr w:type="gramStart"/>
            <w:r>
              <w:rPr>
                <w:color w:val="000000"/>
                <w:sz w:val="16"/>
                <w:szCs w:val="16"/>
              </w:rPr>
              <w:t>G,T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33A21042" w14:textId="77777777" w:rsidR="00830D35" w:rsidRDefault="00830D35" w:rsidP="00830D35">
            <w:pPr>
              <w:rPr>
                <w:color w:val="000000"/>
                <w:sz w:val="16"/>
                <w:szCs w:val="16"/>
              </w:rPr>
            </w:pPr>
            <w:r>
              <w:rPr>
                <w:sz w:val="16"/>
                <w:szCs w:val="16"/>
              </w:rPr>
              <w:t>2KB Upstream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6B568220"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70CAF0C5"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0E9E4887"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A6B6920"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45ACCFA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11A65FFB" w14:textId="77777777" w:rsidR="00830D35" w:rsidRDefault="00830D35" w:rsidP="00830D35">
            <w:pPr>
              <w:rPr>
                <w:color w:val="000000"/>
                <w:sz w:val="16"/>
                <w:szCs w:val="16"/>
              </w:rPr>
            </w:pPr>
            <w:r>
              <w:rPr>
                <w:color w:val="000000"/>
                <w:sz w:val="16"/>
                <w:szCs w:val="16"/>
              </w:rPr>
              <w:t>rs3783603</w:t>
            </w:r>
          </w:p>
        </w:tc>
        <w:tc>
          <w:tcPr>
            <w:tcW w:w="851" w:type="dxa"/>
            <w:tcBorders>
              <w:top w:val="single" w:sz="4" w:space="0" w:color="D0CECE"/>
              <w:bottom w:val="single" w:sz="4" w:space="0" w:color="D0CECE"/>
            </w:tcBorders>
            <w:tcMar>
              <w:top w:w="-113" w:type="dxa"/>
              <w:left w:w="-113" w:type="dxa"/>
              <w:bottom w:w="-113" w:type="dxa"/>
              <w:right w:w="-113" w:type="dxa"/>
            </w:tcMar>
          </w:tcPr>
          <w:p w14:paraId="36BCE9C4" w14:textId="77777777" w:rsidR="00830D35" w:rsidRDefault="00830D35" w:rsidP="00830D35">
            <w:pPr>
              <w:rPr>
                <w:color w:val="000000"/>
                <w:sz w:val="16"/>
                <w:szCs w:val="16"/>
              </w:rPr>
            </w:pPr>
            <w:r>
              <w:rPr>
                <w:color w:val="000000"/>
                <w:sz w:val="16"/>
                <w:szCs w:val="16"/>
              </w:rPr>
              <w:t>G&gt;A</w:t>
            </w:r>
          </w:p>
        </w:tc>
        <w:tc>
          <w:tcPr>
            <w:tcW w:w="1701" w:type="dxa"/>
            <w:tcBorders>
              <w:top w:val="single" w:sz="4" w:space="0" w:color="D0CECE"/>
              <w:bottom w:val="single" w:sz="4" w:space="0" w:color="D0CECE"/>
            </w:tcBorders>
            <w:tcMar>
              <w:top w:w="-113" w:type="dxa"/>
              <w:left w:w="-113" w:type="dxa"/>
              <w:bottom w:w="-113" w:type="dxa"/>
              <w:right w:w="-113" w:type="dxa"/>
            </w:tcMar>
          </w:tcPr>
          <w:p w14:paraId="0860C5EB" w14:textId="77777777" w:rsidR="00830D35" w:rsidRDefault="00830D35" w:rsidP="00830D35">
            <w:pPr>
              <w:rPr>
                <w:color w:val="000000"/>
                <w:sz w:val="16"/>
                <w:szCs w:val="16"/>
              </w:rPr>
            </w:pPr>
            <w:r>
              <w:rPr>
                <w:sz w:val="16"/>
                <w:szCs w:val="16"/>
              </w:rPr>
              <w:t>2KB Upstream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0395875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1A74D1B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371F8D0D"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9511DD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7F37150"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14EF597" w14:textId="77777777" w:rsidR="00830D35" w:rsidRDefault="00830D35" w:rsidP="00830D35">
            <w:pPr>
              <w:rPr>
                <w:color w:val="000000"/>
                <w:sz w:val="16"/>
                <w:szCs w:val="16"/>
              </w:rPr>
            </w:pPr>
            <w:r>
              <w:rPr>
                <w:color w:val="000000"/>
                <w:sz w:val="16"/>
                <w:szCs w:val="16"/>
              </w:rPr>
              <w:t>rs3783606</w:t>
            </w:r>
          </w:p>
        </w:tc>
        <w:tc>
          <w:tcPr>
            <w:tcW w:w="851" w:type="dxa"/>
            <w:tcBorders>
              <w:top w:val="single" w:sz="4" w:space="0" w:color="D0CECE"/>
              <w:bottom w:val="single" w:sz="4" w:space="0" w:color="D0CECE"/>
            </w:tcBorders>
            <w:tcMar>
              <w:top w:w="-113" w:type="dxa"/>
              <w:left w:w="-113" w:type="dxa"/>
              <w:bottom w:w="-113" w:type="dxa"/>
              <w:right w:w="-113" w:type="dxa"/>
            </w:tcMar>
          </w:tcPr>
          <w:p w14:paraId="4D304812" w14:textId="77777777" w:rsidR="00830D35" w:rsidRDefault="00830D35" w:rsidP="00830D35">
            <w:pPr>
              <w:rPr>
                <w:color w:val="000000"/>
                <w:sz w:val="16"/>
                <w:szCs w:val="16"/>
              </w:rPr>
            </w:pPr>
            <w:r>
              <w:rPr>
                <w:color w:val="000000"/>
                <w:sz w:val="16"/>
                <w:szCs w:val="16"/>
              </w:rPr>
              <w:t>T&gt;G</w:t>
            </w:r>
          </w:p>
        </w:tc>
        <w:tc>
          <w:tcPr>
            <w:tcW w:w="1701" w:type="dxa"/>
            <w:tcBorders>
              <w:top w:val="single" w:sz="4" w:space="0" w:color="D0CECE"/>
              <w:bottom w:val="single" w:sz="4" w:space="0" w:color="D0CECE"/>
            </w:tcBorders>
            <w:tcMar>
              <w:top w:w="-113" w:type="dxa"/>
              <w:left w:w="-113" w:type="dxa"/>
              <w:bottom w:w="-113" w:type="dxa"/>
              <w:right w:w="-113" w:type="dxa"/>
            </w:tcMar>
          </w:tcPr>
          <w:p w14:paraId="5049A671" w14:textId="77777777" w:rsidR="00830D35" w:rsidRDefault="00830D35" w:rsidP="00830D35">
            <w:pPr>
              <w:rPr>
                <w:color w:val="000000"/>
                <w:sz w:val="16"/>
                <w:szCs w:val="16"/>
              </w:rPr>
            </w:pPr>
            <w:r>
              <w:rPr>
                <w:sz w:val="16"/>
                <w:szCs w:val="16"/>
              </w:rPr>
              <w:t>2KB Upstream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3483226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25CCA696"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7D65A54B"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0730D4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8D149A9"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003D5AD" w14:textId="77777777" w:rsidR="00830D35" w:rsidRDefault="00830D35" w:rsidP="00830D35">
            <w:pPr>
              <w:rPr>
                <w:color w:val="000000"/>
                <w:sz w:val="16"/>
                <w:szCs w:val="16"/>
              </w:rPr>
            </w:pPr>
            <w:r>
              <w:rPr>
                <w:color w:val="000000"/>
                <w:sz w:val="16"/>
                <w:szCs w:val="16"/>
              </w:rPr>
              <w:t>rs3783609</w:t>
            </w:r>
          </w:p>
        </w:tc>
        <w:tc>
          <w:tcPr>
            <w:tcW w:w="851" w:type="dxa"/>
            <w:tcBorders>
              <w:top w:val="single" w:sz="4" w:space="0" w:color="D0CECE"/>
              <w:bottom w:val="single" w:sz="4" w:space="0" w:color="D0CECE"/>
            </w:tcBorders>
            <w:tcMar>
              <w:top w:w="-113" w:type="dxa"/>
              <w:left w:w="-113" w:type="dxa"/>
              <w:bottom w:w="-113" w:type="dxa"/>
              <w:right w:w="-113" w:type="dxa"/>
            </w:tcMar>
          </w:tcPr>
          <w:p w14:paraId="6E291C4C" w14:textId="77777777" w:rsidR="00830D35" w:rsidRDefault="00830D35" w:rsidP="00830D35">
            <w:pPr>
              <w:rPr>
                <w:color w:val="000000"/>
                <w:sz w:val="16"/>
                <w:szCs w:val="16"/>
              </w:rPr>
            </w:pPr>
            <w:r>
              <w:rPr>
                <w:color w:val="000000"/>
                <w:sz w:val="16"/>
                <w:szCs w:val="16"/>
              </w:rPr>
              <w:t>G&gt;A</w:t>
            </w:r>
          </w:p>
        </w:tc>
        <w:tc>
          <w:tcPr>
            <w:tcW w:w="1701" w:type="dxa"/>
            <w:tcBorders>
              <w:top w:val="single" w:sz="4" w:space="0" w:color="D0CECE"/>
              <w:bottom w:val="single" w:sz="4" w:space="0" w:color="D0CECE"/>
            </w:tcBorders>
            <w:tcMar>
              <w:top w:w="-113" w:type="dxa"/>
              <w:left w:w="-113" w:type="dxa"/>
              <w:bottom w:w="-113" w:type="dxa"/>
              <w:right w:w="-113" w:type="dxa"/>
            </w:tcMar>
          </w:tcPr>
          <w:p w14:paraId="3A2F7044" w14:textId="77777777" w:rsidR="00830D35" w:rsidRDefault="00830D35" w:rsidP="00830D35">
            <w:pPr>
              <w:rPr>
                <w:color w:val="000000"/>
                <w:sz w:val="16"/>
                <w:szCs w:val="16"/>
              </w:rPr>
            </w:pPr>
            <w:r>
              <w:rPr>
                <w:sz w:val="16"/>
                <w:szCs w:val="16"/>
              </w:rPr>
              <w:t>5 Prime UTR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48F2C6A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24BCE33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1D4A11D8"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F83392A"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834D0F5"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D411289" w14:textId="77777777" w:rsidR="00830D35" w:rsidRDefault="00830D35" w:rsidP="00830D35">
            <w:pPr>
              <w:rPr>
                <w:color w:val="000000"/>
                <w:sz w:val="16"/>
                <w:szCs w:val="16"/>
              </w:rPr>
            </w:pPr>
            <w:r>
              <w:rPr>
                <w:color w:val="000000"/>
                <w:sz w:val="16"/>
                <w:szCs w:val="16"/>
              </w:rPr>
              <w:t>rs3783613</w:t>
            </w:r>
          </w:p>
        </w:tc>
        <w:tc>
          <w:tcPr>
            <w:tcW w:w="851" w:type="dxa"/>
            <w:tcBorders>
              <w:top w:val="single" w:sz="4" w:space="0" w:color="D0CECE"/>
              <w:bottom w:val="single" w:sz="4" w:space="0" w:color="D0CECE"/>
            </w:tcBorders>
            <w:tcMar>
              <w:top w:w="-113" w:type="dxa"/>
              <w:left w:w="-113" w:type="dxa"/>
              <w:bottom w:w="-113" w:type="dxa"/>
              <w:right w:w="-113" w:type="dxa"/>
            </w:tcMar>
          </w:tcPr>
          <w:p w14:paraId="1470C8D8" w14:textId="77777777" w:rsidR="00830D35" w:rsidRDefault="00830D35" w:rsidP="00830D35">
            <w:pPr>
              <w:rPr>
                <w:color w:val="000000"/>
                <w:sz w:val="16"/>
                <w:szCs w:val="16"/>
              </w:rPr>
            </w:pPr>
            <w:r>
              <w:rPr>
                <w:color w:val="000000"/>
                <w:sz w:val="16"/>
                <w:szCs w:val="16"/>
              </w:rPr>
              <w:t>G&gt;</w:t>
            </w:r>
            <w:proofErr w:type="gramStart"/>
            <w:r>
              <w:rPr>
                <w:color w:val="000000"/>
                <w:sz w:val="16"/>
                <w:szCs w:val="16"/>
              </w:rPr>
              <w:t>A,C</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45D5CD5A" w14:textId="77777777" w:rsidR="00830D35" w:rsidRDefault="00830D35" w:rsidP="00830D35">
            <w:pPr>
              <w:rPr>
                <w:color w:val="000000"/>
                <w:sz w:val="16"/>
                <w:szCs w:val="16"/>
              </w:rPr>
            </w:pPr>
            <w:r>
              <w:rPr>
                <w:sz w:val="16"/>
                <w:szCs w:val="16"/>
              </w:rPr>
              <w:t>Missense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3633C91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7BB6578F"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399681AA"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D9B5FEA"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CBB62B0"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vMerge w:val="restart"/>
            <w:tcBorders>
              <w:top w:val="single" w:sz="4" w:space="0" w:color="D0CECE"/>
              <w:left w:val="nil"/>
              <w:bottom w:val="single" w:sz="4" w:space="0" w:color="D0CECE"/>
            </w:tcBorders>
            <w:shd w:val="clear" w:color="auto" w:fill="auto"/>
            <w:tcMar>
              <w:top w:w="-113" w:type="dxa"/>
              <w:left w:w="-113" w:type="dxa"/>
              <w:bottom w:w="-113" w:type="dxa"/>
              <w:right w:w="-113" w:type="dxa"/>
            </w:tcMar>
          </w:tcPr>
          <w:p w14:paraId="0BC5A2C7" w14:textId="77777777" w:rsidR="00830D35" w:rsidRDefault="00830D35" w:rsidP="00830D35">
            <w:pPr>
              <w:rPr>
                <w:sz w:val="16"/>
                <w:szCs w:val="16"/>
              </w:rPr>
            </w:pPr>
            <w:r>
              <w:rPr>
                <w:color w:val="000000"/>
                <w:sz w:val="16"/>
                <w:szCs w:val="16"/>
              </w:rPr>
              <w:t>rs3783617</w:t>
            </w:r>
          </w:p>
          <w:p w14:paraId="38025F8B" w14:textId="77777777" w:rsidR="00830D35" w:rsidRDefault="00830D35" w:rsidP="00830D35">
            <w:pPr>
              <w:rPr>
                <w:sz w:val="16"/>
                <w:szCs w:val="16"/>
              </w:rPr>
            </w:pPr>
          </w:p>
        </w:tc>
        <w:tc>
          <w:tcPr>
            <w:tcW w:w="851" w:type="dxa"/>
            <w:vMerge w:val="restart"/>
            <w:tcBorders>
              <w:top w:val="single" w:sz="4" w:space="0" w:color="D0CECE"/>
              <w:bottom w:val="single" w:sz="4" w:space="0" w:color="D0CECE"/>
            </w:tcBorders>
            <w:tcMar>
              <w:top w:w="-113" w:type="dxa"/>
              <w:left w:w="-113" w:type="dxa"/>
              <w:bottom w:w="-113" w:type="dxa"/>
              <w:right w:w="-113" w:type="dxa"/>
            </w:tcMar>
          </w:tcPr>
          <w:p w14:paraId="4E183AA0" w14:textId="77777777" w:rsidR="00830D35" w:rsidRDefault="00830D35" w:rsidP="00830D35">
            <w:pPr>
              <w:rPr>
                <w:color w:val="000000"/>
                <w:sz w:val="16"/>
                <w:szCs w:val="16"/>
              </w:rPr>
            </w:pPr>
            <w:r>
              <w:rPr>
                <w:color w:val="000000"/>
                <w:sz w:val="16"/>
                <w:szCs w:val="16"/>
              </w:rPr>
              <w:t>G&gt;C</w:t>
            </w:r>
          </w:p>
        </w:tc>
        <w:tc>
          <w:tcPr>
            <w:tcW w:w="1701" w:type="dxa"/>
            <w:vMerge w:val="restart"/>
            <w:tcBorders>
              <w:top w:val="single" w:sz="4" w:space="0" w:color="D0CECE"/>
              <w:bottom w:val="single" w:sz="4" w:space="0" w:color="D0CECE"/>
            </w:tcBorders>
            <w:tcMar>
              <w:top w:w="-113" w:type="dxa"/>
              <w:left w:w="-113" w:type="dxa"/>
              <w:bottom w:w="-113" w:type="dxa"/>
              <w:right w:w="-113" w:type="dxa"/>
            </w:tcMar>
          </w:tcPr>
          <w:p w14:paraId="128DF1E1" w14:textId="77777777" w:rsidR="00830D35" w:rsidRDefault="00830D35" w:rsidP="00830D35">
            <w:pPr>
              <w:rPr>
                <w:color w:val="000000"/>
                <w:sz w:val="16"/>
                <w:szCs w:val="16"/>
              </w:rPr>
            </w:pPr>
            <w:r>
              <w:rPr>
                <w:sz w:val="16"/>
                <w:szCs w:val="16"/>
              </w:rPr>
              <w:t>3 Prime UTR variant</w:t>
            </w:r>
          </w:p>
        </w:tc>
        <w:tc>
          <w:tcPr>
            <w:tcW w:w="708" w:type="dxa"/>
            <w:tcBorders>
              <w:top w:val="single" w:sz="4" w:space="0" w:color="D0CECE"/>
              <w:bottom w:val="single" w:sz="4" w:space="0" w:color="D0CECE"/>
            </w:tcBorders>
            <w:tcMar>
              <w:top w:w="-113" w:type="dxa"/>
              <w:left w:w="-113" w:type="dxa"/>
              <w:bottom w:w="-113" w:type="dxa"/>
              <w:right w:w="-113" w:type="dxa"/>
            </w:tcMar>
          </w:tcPr>
          <w:p w14:paraId="6A8511D6" w14:textId="77777777" w:rsidR="00830D35" w:rsidRDefault="00830D35" w:rsidP="00830D35">
            <w:pPr>
              <w:rPr>
                <w:color w:val="000000"/>
                <w:sz w:val="16"/>
                <w:szCs w:val="16"/>
              </w:rPr>
            </w:pPr>
            <w:r>
              <w:rPr>
                <w:color w:val="000000"/>
                <w:sz w:val="16"/>
                <w:szCs w:val="16"/>
              </w:rPr>
              <w:t>BP</w:t>
            </w:r>
          </w:p>
        </w:tc>
        <w:tc>
          <w:tcPr>
            <w:tcW w:w="1838" w:type="dxa"/>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E0A3B6D" w14:textId="77777777" w:rsidR="00830D35" w:rsidRDefault="00830D35" w:rsidP="00830D35">
            <w:pPr>
              <w:rPr>
                <w:color w:val="000000"/>
                <w:sz w:val="16"/>
                <w:szCs w:val="16"/>
              </w:rPr>
            </w:pPr>
            <w:r>
              <w:rPr>
                <w:sz w:val="16"/>
                <w:szCs w:val="16"/>
              </w:rPr>
              <w:t xml:space="preserve">Farzan </w:t>
            </w:r>
            <w:r>
              <w:rPr>
                <w:i/>
                <w:sz w:val="16"/>
                <w:szCs w:val="16"/>
              </w:rPr>
              <w:t>et al.</w:t>
            </w:r>
            <w:r>
              <w:rPr>
                <w:sz w:val="16"/>
                <w:szCs w:val="16"/>
              </w:rPr>
              <w:t xml:space="preserve"> 2016</w:t>
            </w:r>
          </w:p>
        </w:tc>
      </w:tr>
      <w:tr w:rsidR="00830D35" w:rsidRPr="0030321B" w14:paraId="13A10FB6" w14:textId="77777777" w:rsidTr="00923C73">
        <w:trPr>
          <w:trHeight w:val="317"/>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DF93205"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C00CCC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vMerge/>
            <w:tcBorders>
              <w:top w:val="single" w:sz="4" w:space="0" w:color="D0CECE"/>
              <w:left w:val="nil"/>
              <w:bottom w:val="single" w:sz="4" w:space="0" w:color="D0CECE"/>
            </w:tcBorders>
            <w:shd w:val="clear" w:color="auto" w:fill="auto"/>
            <w:tcMar>
              <w:top w:w="-113" w:type="dxa"/>
              <w:left w:w="-113" w:type="dxa"/>
              <w:bottom w:w="-113" w:type="dxa"/>
              <w:right w:w="-113" w:type="dxa"/>
            </w:tcMar>
          </w:tcPr>
          <w:p w14:paraId="05BD85E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851" w:type="dxa"/>
            <w:vMerge/>
            <w:tcBorders>
              <w:top w:val="single" w:sz="4" w:space="0" w:color="D0CECE"/>
              <w:bottom w:val="single" w:sz="4" w:space="0" w:color="D0CECE"/>
            </w:tcBorders>
            <w:tcMar>
              <w:top w:w="-113" w:type="dxa"/>
              <w:left w:w="-113" w:type="dxa"/>
              <w:bottom w:w="-113" w:type="dxa"/>
              <w:right w:w="-113" w:type="dxa"/>
            </w:tcMar>
          </w:tcPr>
          <w:p w14:paraId="52C7AA7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701" w:type="dxa"/>
            <w:vMerge/>
            <w:tcBorders>
              <w:top w:val="single" w:sz="4" w:space="0" w:color="D0CECE"/>
              <w:bottom w:val="single" w:sz="4" w:space="0" w:color="D0CECE"/>
            </w:tcBorders>
            <w:tcMar>
              <w:top w:w="-113" w:type="dxa"/>
              <w:left w:w="-113" w:type="dxa"/>
              <w:bottom w:w="-113" w:type="dxa"/>
              <w:right w:w="-113" w:type="dxa"/>
            </w:tcMar>
          </w:tcPr>
          <w:p w14:paraId="50E2869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708" w:type="dxa"/>
            <w:vMerge w:val="restart"/>
            <w:tcBorders>
              <w:top w:val="single" w:sz="4" w:space="0" w:color="D0CECE"/>
              <w:bottom w:val="single" w:sz="4" w:space="0" w:color="D0CECE"/>
            </w:tcBorders>
            <w:tcMar>
              <w:top w:w="-113" w:type="dxa"/>
              <w:left w:w="-113" w:type="dxa"/>
              <w:bottom w:w="-113" w:type="dxa"/>
              <w:right w:w="-113" w:type="dxa"/>
            </w:tcMar>
          </w:tcPr>
          <w:p w14:paraId="1D5345E0" w14:textId="77777777" w:rsidR="00830D35" w:rsidRDefault="00830D35" w:rsidP="00830D35">
            <w:pPr>
              <w:rPr>
                <w:sz w:val="16"/>
                <w:szCs w:val="16"/>
              </w:rPr>
            </w:pPr>
            <w:r>
              <w:rPr>
                <w:color w:val="000000"/>
                <w:sz w:val="16"/>
                <w:szCs w:val="16"/>
              </w:rPr>
              <w:t>CVD</w:t>
            </w:r>
          </w:p>
          <w:p w14:paraId="1EAC5A20" w14:textId="77777777" w:rsidR="00830D35" w:rsidRDefault="00830D35" w:rsidP="00830D35">
            <w:pPr>
              <w:rPr>
                <w:sz w:val="16"/>
                <w:szCs w:val="16"/>
              </w:rPr>
            </w:pPr>
            <w:r>
              <w:rPr>
                <w:sz w:val="16"/>
                <w:szCs w:val="16"/>
              </w:rPr>
              <w:t>CIMT</w:t>
            </w:r>
          </w:p>
        </w:tc>
        <w:tc>
          <w:tcPr>
            <w:tcW w:w="1838" w:type="dxa"/>
            <w:vMerge w:val="restart"/>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550A367F" w14:textId="77777777" w:rsidR="00830D35" w:rsidRPr="00641BD3" w:rsidRDefault="00830D35" w:rsidP="00830D35">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2015</w:t>
            </w:r>
          </w:p>
          <w:p w14:paraId="03D97ACF" w14:textId="77777777" w:rsidR="00830D35" w:rsidRPr="00641BD3" w:rsidRDefault="00830D35" w:rsidP="00830D35">
            <w:pPr>
              <w:rPr>
                <w:sz w:val="16"/>
                <w:szCs w:val="16"/>
                <w:vertAlign w:val="superscript"/>
                <w:lang w:val="es-ES"/>
              </w:rPr>
            </w:pPr>
            <w:r w:rsidRPr="00641BD3">
              <w:rPr>
                <w:sz w:val="16"/>
                <w:szCs w:val="16"/>
                <w:lang w:val="es-ES"/>
              </w:rPr>
              <w:t xml:space="preserve">Wu </w:t>
            </w:r>
            <w:r w:rsidRPr="00641BD3">
              <w:rPr>
                <w:i/>
                <w:sz w:val="16"/>
                <w:szCs w:val="16"/>
                <w:lang w:val="es-ES"/>
              </w:rPr>
              <w:t>et al.</w:t>
            </w:r>
            <w:r w:rsidRPr="00641BD3">
              <w:rPr>
                <w:sz w:val="16"/>
                <w:szCs w:val="16"/>
                <w:lang w:val="es-ES"/>
              </w:rPr>
              <w:t xml:space="preserve"> 2014</w:t>
            </w:r>
          </w:p>
          <w:p w14:paraId="4949146A" w14:textId="77777777" w:rsidR="00830D35" w:rsidRPr="00641BD3" w:rsidRDefault="00830D35" w:rsidP="00830D35">
            <w:pPr>
              <w:rPr>
                <w:sz w:val="16"/>
                <w:szCs w:val="16"/>
                <w:lang w:val="es-ES"/>
              </w:rPr>
            </w:pPr>
          </w:p>
        </w:tc>
      </w:tr>
      <w:tr w:rsidR="00830D35" w14:paraId="06EC18F5"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4E46D7E" w14:textId="77777777" w:rsidR="00830D35" w:rsidRPr="00641BD3" w:rsidRDefault="00830D35" w:rsidP="00830D35">
            <w:pPr>
              <w:widowControl w:val="0"/>
              <w:pBdr>
                <w:top w:val="nil"/>
                <w:left w:val="nil"/>
                <w:bottom w:val="nil"/>
                <w:right w:val="nil"/>
                <w:between w:val="nil"/>
              </w:pBdr>
              <w:spacing w:line="276" w:lineRule="auto"/>
              <w:rPr>
                <w:sz w:val="16"/>
                <w:szCs w:val="16"/>
                <w:lang w:val="es-ES"/>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6A495356" w14:textId="77777777" w:rsidR="00830D35" w:rsidRPr="00641BD3" w:rsidRDefault="00830D35" w:rsidP="00830D35">
            <w:pPr>
              <w:widowControl w:val="0"/>
              <w:pBdr>
                <w:top w:val="nil"/>
                <w:left w:val="nil"/>
                <w:bottom w:val="nil"/>
                <w:right w:val="nil"/>
                <w:between w:val="nil"/>
              </w:pBdr>
              <w:spacing w:line="276" w:lineRule="auto"/>
              <w:rPr>
                <w:sz w:val="16"/>
                <w:szCs w:val="16"/>
                <w:lang w:val="es-ES"/>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1A0EFEE8" w14:textId="77777777" w:rsidR="00830D35" w:rsidRDefault="00830D35" w:rsidP="00830D35">
            <w:pPr>
              <w:rPr>
                <w:color w:val="000000"/>
                <w:sz w:val="16"/>
                <w:szCs w:val="16"/>
              </w:rPr>
            </w:pPr>
            <w:r>
              <w:rPr>
                <w:color w:val="000000"/>
                <w:sz w:val="16"/>
                <w:szCs w:val="16"/>
              </w:rPr>
              <w:t>rs3783624</w:t>
            </w:r>
          </w:p>
        </w:tc>
        <w:tc>
          <w:tcPr>
            <w:tcW w:w="851" w:type="dxa"/>
            <w:tcBorders>
              <w:top w:val="single" w:sz="4" w:space="0" w:color="D0CECE"/>
              <w:bottom w:val="single" w:sz="4" w:space="0" w:color="D0CECE"/>
            </w:tcBorders>
            <w:tcMar>
              <w:top w:w="-113" w:type="dxa"/>
              <w:left w:w="-113" w:type="dxa"/>
              <w:bottom w:w="-113" w:type="dxa"/>
              <w:right w:w="-113" w:type="dxa"/>
            </w:tcMar>
          </w:tcPr>
          <w:p w14:paraId="4C55DD00" w14:textId="77777777" w:rsidR="00830D35" w:rsidRDefault="00830D35" w:rsidP="00830D35">
            <w:pPr>
              <w:rPr>
                <w:color w:val="000000"/>
                <w:sz w:val="16"/>
                <w:szCs w:val="16"/>
              </w:rPr>
            </w:pPr>
            <w:r>
              <w:rPr>
                <w:color w:val="000000"/>
                <w:sz w:val="16"/>
                <w:szCs w:val="16"/>
              </w:rPr>
              <w:t>A&gt;G</w:t>
            </w:r>
          </w:p>
        </w:tc>
        <w:tc>
          <w:tcPr>
            <w:tcW w:w="1701" w:type="dxa"/>
            <w:tcBorders>
              <w:top w:val="single" w:sz="4" w:space="0" w:color="D0CECE"/>
              <w:bottom w:val="single" w:sz="4" w:space="0" w:color="D0CECE"/>
            </w:tcBorders>
            <w:tcMar>
              <w:top w:w="-113" w:type="dxa"/>
              <w:left w:w="-113" w:type="dxa"/>
              <w:bottom w:w="-113" w:type="dxa"/>
              <w:right w:w="-113" w:type="dxa"/>
            </w:tcMar>
          </w:tcPr>
          <w:p w14:paraId="150C3739" w14:textId="77777777" w:rsidR="00830D35" w:rsidRDefault="00830D35" w:rsidP="00830D35">
            <w:pPr>
              <w:rPr>
                <w:color w:val="000000"/>
                <w:sz w:val="16"/>
                <w:szCs w:val="16"/>
              </w:rPr>
            </w:pPr>
            <w:r>
              <w:rPr>
                <w:sz w:val="16"/>
                <w:szCs w:val="16"/>
              </w:rPr>
              <w:t>500B Upstream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10AF409B"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2E4E24F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44307EF6"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A86159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4F73099"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A104941" w14:textId="77777777" w:rsidR="00830D35" w:rsidRDefault="00830D35" w:rsidP="00830D35">
            <w:pPr>
              <w:rPr>
                <w:color w:val="000000"/>
                <w:sz w:val="16"/>
                <w:szCs w:val="16"/>
              </w:rPr>
            </w:pPr>
            <w:r>
              <w:rPr>
                <w:color w:val="000000"/>
                <w:sz w:val="16"/>
                <w:szCs w:val="16"/>
              </w:rPr>
              <w:t>rs3917009</w:t>
            </w:r>
          </w:p>
        </w:tc>
        <w:tc>
          <w:tcPr>
            <w:tcW w:w="851" w:type="dxa"/>
            <w:tcBorders>
              <w:top w:val="single" w:sz="4" w:space="0" w:color="D0CECE"/>
              <w:bottom w:val="single" w:sz="4" w:space="0" w:color="D0CECE"/>
            </w:tcBorders>
            <w:tcMar>
              <w:top w:w="-113" w:type="dxa"/>
              <w:left w:w="-113" w:type="dxa"/>
              <w:bottom w:w="-113" w:type="dxa"/>
              <w:right w:w="-113" w:type="dxa"/>
            </w:tcMar>
          </w:tcPr>
          <w:p w14:paraId="6DD71D33" w14:textId="77777777" w:rsidR="00830D35" w:rsidRDefault="00830D35" w:rsidP="00830D35">
            <w:pPr>
              <w:rPr>
                <w:color w:val="000000"/>
                <w:sz w:val="16"/>
                <w:szCs w:val="16"/>
              </w:rPr>
            </w:pPr>
            <w:r>
              <w:rPr>
                <w:color w:val="000000"/>
                <w:sz w:val="16"/>
                <w:szCs w:val="16"/>
              </w:rPr>
              <w:t>C&gt;T</w:t>
            </w:r>
          </w:p>
        </w:tc>
        <w:tc>
          <w:tcPr>
            <w:tcW w:w="1701" w:type="dxa"/>
            <w:tcBorders>
              <w:top w:val="single" w:sz="4" w:space="0" w:color="D0CECE"/>
              <w:bottom w:val="single" w:sz="4" w:space="0" w:color="D0CECE"/>
            </w:tcBorders>
            <w:tcMar>
              <w:top w:w="-113" w:type="dxa"/>
              <w:left w:w="-113" w:type="dxa"/>
              <w:bottom w:w="-113" w:type="dxa"/>
              <w:right w:w="-113" w:type="dxa"/>
            </w:tcMar>
          </w:tcPr>
          <w:p w14:paraId="70881E84"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3107AAD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E328BF9"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491C1F9A"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383835A"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752E15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19AE787" w14:textId="77777777" w:rsidR="00830D35" w:rsidRDefault="00830D35" w:rsidP="00830D35">
            <w:pPr>
              <w:rPr>
                <w:color w:val="000000"/>
                <w:sz w:val="16"/>
                <w:szCs w:val="16"/>
              </w:rPr>
            </w:pPr>
            <w:r>
              <w:rPr>
                <w:color w:val="000000"/>
                <w:sz w:val="16"/>
                <w:szCs w:val="16"/>
              </w:rPr>
              <w:t>rs3917010</w:t>
            </w:r>
          </w:p>
        </w:tc>
        <w:tc>
          <w:tcPr>
            <w:tcW w:w="851" w:type="dxa"/>
            <w:tcBorders>
              <w:top w:val="single" w:sz="4" w:space="0" w:color="D0CECE"/>
              <w:bottom w:val="single" w:sz="4" w:space="0" w:color="D0CECE"/>
            </w:tcBorders>
            <w:tcMar>
              <w:top w:w="-113" w:type="dxa"/>
              <w:left w:w="-113" w:type="dxa"/>
              <w:bottom w:w="-113" w:type="dxa"/>
              <w:right w:w="-113" w:type="dxa"/>
            </w:tcMar>
          </w:tcPr>
          <w:p w14:paraId="2EB0C643" w14:textId="77777777" w:rsidR="00830D35" w:rsidRDefault="00830D35" w:rsidP="00830D35">
            <w:pPr>
              <w:rPr>
                <w:color w:val="000000"/>
                <w:sz w:val="16"/>
                <w:szCs w:val="16"/>
              </w:rPr>
            </w:pPr>
            <w:r>
              <w:rPr>
                <w:color w:val="000000"/>
                <w:sz w:val="16"/>
                <w:szCs w:val="16"/>
              </w:rPr>
              <w:t>A&gt;</w:t>
            </w:r>
            <w:proofErr w:type="gramStart"/>
            <w:r>
              <w:rPr>
                <w:color w:val="000000"/>
                <w:sz w:val="16"/>
                <w:szCs w:val="16"/>
              </w:rPr>
              <w:t>C,G</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4EB2D63A"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3DD144E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204D1B46"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59BA29D0"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6F5223F"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152FB9C9"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62F700E6" w14:textId="77777777" w:rsidR="00830D35" w:rsidRDefault="00830D35" w:rsidP="00830D35">
            <w:pPr>
              <w:rPr>
                <w:color w:val="000000"/>
                <w:sz w:val="16"/>
                <w:szCs w:val="16"/>
              </w:rPr>
            </w:pPr>
            <w:r>
              <w:rPr>
                <w:color w:val="000000"/>
                <w:sz w:val="16"/>
                <w:szCs w:val="16"/>
              </w:rPr>
              <w:t>rs3917014</w:t>
            </w:r>
          </w:p>
        </w:tc>
        <w:tc>
          <w:tcPr>
            <w:tcW w:w="851" w:type="dxa"/>
            <w:tcBorders>
              <w:top w:val="single" w:sz="4" w:space="0" w:color="D0CECE"/>
              <w:bottom w:val="single" w:sz="4" w:space="0" w:color="D0CECE"/>
            </w:tcBorders>
            <w:tcMar>
              <w:top w:w="-113" w:type="dxa"/>
              <w:left w:w="-113" w:type="dxa"/>
              <w:bottom w:w="-113" w:type="dxa"/>
              <w:right w:w="-113" w:type="dxa"/>
            </w:tcMar>
          </w:tcPr>
          <w:p w14:paraId="38EA7031" w14:textId="77777777" w:rsidR="00830D35" w:rsidRDefault="00830D35" w:rsidP="00830D35">
            <w:pPr>
              <w:rPr>
                <w:color w:val="000000"/>
                <w:sz w:val="16"/>
                <w:szCs w:val="16"/>
              </w:rPr>
            </w:pPr>
            <w:r>
              <w:rPr>
                <w:color w:val="000000"/>
                <w:sz w:val="16"/>
                <w:szCs w:val="16"/>
              </w:rPr>
              <w:t>A&gt;G</w:t>
            </w:r>
          </w:p>
        </w:tc>
        <w:tc>
          <w:tcPr>
            <w:tcW w:w="1701" w:type="dxa"/>
            <w:tcBorders>
              <w:top w:val="single" w:sz="4" w:space="0" w:color="D0CECE"/>
              <w:bottom w:val="single" w:sz="4" w:space="0" w:color="D0CECE"/>
            </w:tcBorders>
            <w:tcMar>
              <w:top w:w="-113" w:type="dxa"/>
              <w:left w:w="-113" w:type="dxa"/>
              <w:bottom w:w="-113" w:type="dxa"/>
              <w:right w:w="-113" w:type="dxa"/>
            </w:tcMar>
          </w:tcPr>
          <w:p w14:paraId="14DECC37"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424D073D"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201B7DE9"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2376DAB0"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5E2E60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CA08A96"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5F1A516" w14:textId="77777777" w:rsidR="00830D35" w:rsidRDefault="00830D35" w:rsidP="00830D35">
            <w:pPr>
              <w:rPr>
                <w:color w:val="000000"/>
                <w:sz w:val="16"/>
                <w:szCs w:val="16"/>
              </w:rPr>
            </w:pPr>
            <w:r>
              <w:rPr>
                <w:color w:val="000000"/>
                <w:sz w:val="16"/>
                <w:szCs w:val="16"/>
              </w:rPr>
              <w:t>rs3917016</w:t>
            </w:r>
          </w:p>
        </w:tc>
        <w:tc>
          <w:tcPr>
            <w:tcW w:w="851" w:type="dxa"/>
            <w:tcBorders>
              <w:top w:val="single" w:sz="4" w:space="0" w:color="D0CECE"/>
              <w:bottom w:val="single" w:sz="4" w:space="0" w:color="D0CECE"/>
            </w:tcBorders>
            <w:tcMar>
              <w:top w:w="-113" w:type="dxa"/>
              <w:left w:w="-113" w:type="dxa"/>
              <w:bottom w:w="-113" w:type="dxa"/>
              <w:right w:w="-113" w:type="dxa"/>
            </w:tcMar>
          </w:tcPr>
          <w:p w14:paraId="12571BEE" w14:textId="77777777" w:rsidR="00830D35" w:rsidRDefault="00830D35" w:rsidP="00830D35">
            <w:pPr>
              <w:rPr>
                <w:color w:val="000000"/>
                <w:sz w:val="16"/>
                <w:szCs w:val="16"/>
              </w:rPr>
            </w:pPr>
            <w:r>
              <w:rPr>
                <w:color w:val="000000"/>
                <w:sz w:val="16"/>
                <w:szCs w:val="16"/>
              </w:rPr>
              <w:t>T&gt;A</w:t>
            </w:r>
          </w:p>
        </w:tc>
        <w:tc>
          <w:tcPr>
            <w:tcW w:w="1701" w:type="dxa"/>
            <w:tcBorders>
              <w:top w:val="single" w:sz="4" w:space="0" w:color="D0CECE"/>
              <w:bottom w:val="single" w:sz="4" w:space="0" w:color="D0CECE"/>
            </w:tcBorders>
            <w:tcMar>
              <w:top w:w="-113" w:type="dxa"/>
              <w:left w:w="-113" w:type="dxa"/>
              <w:bottom w:w="-113" w:type="dxa"/>
              <w:right w:w="-113" w:type="dxa"/>
            </w:tcMar>
          </w:tcPr>
          <w:p w14:paraId="32D73242"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04AFDBA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698B638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72F29DD0"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21B049D6"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30D5D8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2CAB6A7" w14:textId="77777777" w:rsidR="00830D35" w:rsidRDefault="00830D35" w:rsidP="00830D35">
            <w:pPr>
              <w:rPr>
                <w:color w:val="000000"/>
                <w:sz w:val="16"/>
                <w:szCs w:val="16"/>
              </w:rPr>
            </w:pPr>
            <w:r>
              <w:rPr>
                <w:color w:val="000000"/>
                <w:sz w:val="16"/>
                <w:szCs w:val="16"/>
              </w:rPr>
              <w:t>rs3917018</w:t>
            </w:r>
          </w:p>
        </w:tc>
        <w:tc>
          <w:tcPr>
            <w:tcW w:w="851" w:type="dxa"/>
            <w:tcBorders>
              <w:top w:val="single" w:sz="4" w:space="0" w:color="D0CECE"/>
              <w:bottom w:val="single" w:sz="4" w:space="0" w:color="D0CECE"/>
            </w:tcBorders>
            <w:tcMar>
              <w:top w:w="-113" w:type="dxa"/>
              <w:left w:w="-113" w:type="dxa"/>
              <w:bottom w:w="-113" w:type="dxa"/>
              <w:right w:w="-113" w:type="dxa"/>
            </w:tcMar>
          </w:tcPr>
          <w:p w14:paraId="25CDE2A3" w14:textId="77777777" w:rsidR="00830D35" w:rsidRDefault="00830D35" w:rsidP="00830D35">
            <w:pPr>
              <w:rPr>
                <w:color w:val="000000"/>
                <w:sz w:val="16"/>
                <w:szCs w:val="16"/>
              </w:rPr>
            </w:pPr>
            <w:r>
              <w:rPr>
                <w:color w:val="000000"/>
                <w:sz w:val="16"/>
                <w:szCs w:val="16"/>
              </w:rPr>
              <w:t>A&gt;</w:t>
            </w:r>
            <w:proofErr w:type="gramStart"/>
            <w:r>
              <w:rPr>
                <w:color w:val="000000"/>
                <w:sz w:val="16"/>
                <w:szCs w:val="16"/>
              </w:rPr>
              <w:t>C,G</w:t>
            </w:r>
            <w:proofErr w:type="gramEnd"/>
            <w:r>
              <w:rPr>
                <w:color w:val="000000"/>
                <w:sz w:val="16"/>
                <w:szCs w:val="16"/>
              </w:rPr>
              <w:t>,T</w:t>
            </w:r>
          </w:p>
        </w:tc>
        <w:tc>
          <w:tcPr>
            <w:tcW w:w="1701" w:type="dxa"/>
            <w:tcBorders>
              <w:top w:val="single" w:sz="4" w:space="0" w:color="D0CECE"/>
              <w:bottom w:val="single" w:sz="4" w:space="0" w:color="D0CECE"/>
            </w:tcBorders>
            <w:tcMar>
              <w:top w:w="-113" w:type="dxa"/>
              <w:left w:w="-113" w:type="dxa"/>
              <w:bottom w:w="-113" w:type="dxa"/>
              <w:right w:w="-113" w:type="dxa"/>
            </w:tcMar>
          </w:tcPr>
          <w:p w14:paraId="667C5A02"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4B95F3EA"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52BB3525"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360D68B5"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09D187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05BF85D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1F7E33F7" w14:textId="77777777" w:rsidR="00830D35" w:rsidRDefault="00830D35" w:rsidP="00830D35">
            <w:pPr>
              <w:rPr>
                <w:color w:val="000000"/>
                <w:sz w:val="16"/>
                <w:szCs w:val="16"/>
              </w:rPr>
            </w:pPr>
            <w:r>
              <w:rPr>
                <w:color w:val="000000"/>
                <w:sz w:val="16"/>
                <w:szCs w:val="16"/>
              </w:rPr>
              <w:t>rs3917019</w:t>
            </w:r>
          </w:p>
        </w:tc>
        <w:tc>
          <w:tcPr>
            <w:tcW w:w="851" w:type="dxa"/>
            <w:tcBorders>
              <w:top w:val="single" w:sz="4" w:space="0" w:color="D0CECE"/>
              <w:bottom w:val="single" w:sz="4" w:space="0" w:color="D0CECE"/>
            </w:tcBorders>
            <w:tcMar>
              <w:top w:w="-113" w:type="dxa"/>
              <w:left w:w="-113" w:type="dxa"/>
              <w:bottom w:w="-113" w:type="dxa"/>
              <w:right w:w="-113" w:type="dxa"/>
            </w:tcMar>
          </w:tcPr>
          <w:p w14:paraId="479C60AC" w14:textId="77777777" w:rsidR="00830D35" w:rsidRDefault="00830D35" w:rsidP="00830D35">
            <w:pPr>
              <w:rPr>
                <w:color w:val="000000"/>
                <w:sz w:val="16"/>
                <w:szCs w:val="16"/>
              </w:rPr>
            </w:pPr>
            <w:r>
              <w:rPr>
                <w:color w:val="000000"/>
                <w:sz w:val="16"/>
                <w:szCs w:val="16"/>
              </w:rPr>
              <w:t>A&gt;</w:t>
            </w:r>
            <w:proofErr w:type="gramStart"/>
            <w:r>
              <w:rPr>
                <w:color w:val="000000"/>
                <w:sz w:val="16"/>
                <w:szCs w:val="16"/>
              </w:rPr>
              <w:t>C,G</w:t>
            </w:r>
            <w:proofErr w:type="gramEnd"/>
            <w:r>
              <w:rPr>
                <w:color w:val="000000"/>
                <w:sz w:val="16"/>
                <w:szCs w:val="16"/>
              </w:rPr>
              <w:t>,T</w:t>
            </w:r>
          </w:p>
        </w:tc>
        <w:tc>
          <w:tcPr>
            <w:tcW w:w="1701" w:type="dxa"/>
            <w:tcBorders>
              <w:top w:val="single" w:sz="4" w:space="0" w:color="D0CECE"/>
              <w:bottom w:val="single" w:sz="4" w:space="0" w:color="D0CECE"/>
            </w:tcBorders>
            <w:tcMar>
              <w:top w:w="-113" w:type="dxa"/>
              <w:left w:w="-113" w:type="dxa"/>
              <w:bottom w:w="-113" w:type="dxa"/>
              <w:right w:w="-113" w:type="dxa"/>
            </w:tcMar>
          </w:tcPr>
          <w:p w14:paraId="55358D6F"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027FCB3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7BA2F7E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3BB00E43"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B76C80A"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6E4EAC4"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270F57D1" w14:textId="77777777" w:rsidR="00830D35" w:rsidRDefault="00830D35" w:rsidP="00830D35">
            <w:pPr>
              <w:rPr>
                <w:color w:val="000000"/>
                <w:sz w:val="16"/>
                <w:szCs w:val="16"/>
              </w:rPr>
            </w:pPr>
            <w:r>
              <w:rPr>
                <w:color w:val="000000"/>
                <w:sz w:val="16"/>
                <w:szCs w:val="16"/>
              </w:rPr>
              <w:t>rs3917022</w:t>
            </w:r>
          </w:p>
        </w:tc>
        <w:tc>
          <w:tcPr>
            <w:tcW w:w="851" w:type="dxa"/>
            <w:tcBorders>
              <w:top w:val="single" w:sz="4" w:space="0" w:color="D0CECE"/>
              <w:bottom w:val="single" w:sz="4" w:space="0" w:color="D0CECE"/>
            </w:tcBorders>
            <w:tcMar>
              <w:top w:w="-113" w:type="dxa"/>
              <w:left w:w="-113" w:type="dxa"/>
              <w:bottom w:w="-113" w:type="dxa"/>
              <w:right w:w="-113" w:type="dxa"/>
            </w:tcMar>
          </w:tcPr>
          <w:p w14:paraId="12A8B503" w14:textId="77777777" w:rsidR="00830D35" w:rsidRDefault="00830D35" w:rsidP="00830D35">
            <w:pPr>
              <w:rPr>
                <w:color w:val="000000"/>
                <w:sz w:val="16"/>
                <w:szCs w:val="16"/>
              </w:rPr>
            </w:pPr>
            <w:r>
              <w:rPr>
                <w:color w:val="000000"/>
                <w:sz w:val="16"/>
                <w:szCs w:val="16"/>
              </w:rPr>
              <w:t>T&gt;C</w:t>
            </w:r>
          </w:p>
        </w:tc>
        <w:tc>
          <w:tcPr>
            <w:tcW w:w="1701" w:type="dxa"/>
            <w:tcBorders>
              <w:top w:val="single" w:sz="4" w:space="0" w:color="D0CECE"/>
              <w:bottom w:val="single" w:sz="4" w:space="0" w:color="D0CECE"/>
            </w:tcBorders>
            <w:tcMar>
              <w:top w:w="-113" w:type="dxa"/>
              <w:left w:w="-113" w:type="dxa"/>
              <w:bottom w:w="-113" w:type="dxa"/>
              <w:right w:w="-113" w:type="dxa"/>
            </w:tcMar>
          </w:tcPr>
          <w:p w14:paraId="6D34DD86" w14:textId="77777777" w:rsidR="00830D35" w:rsidRDefault="00830D35" w:rsidP="00830D35">
            <w:pPr>
              <w:rPr>
                <w:color w:val="000000"/>
                <w:sz w:val="16"/>
                <w:szCs w:val="16"/>
              </w:rPr>
            </w:pPr>
            <w:r>
              <w:rPr>
                <w:sz w:val="16"/>
                <w:szCs w:val="16"/>
              </w:rPr>
              <w:t>500B Upstream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202348A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4A7FD60"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13AEEDCC"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C1FF7A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216BCCC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F9BE0B5" w14:textId="77777777" w:rsidR="00830D35" w:rsidRDefault="00830D35" w:rsidP="00830D35">
            <w:pPr>
              <w:rPr>
                <w:color w:val="000000"/>
                <w:sz w:val="16"/>
                <w:szCs w:val="16"/>
              </w:rPr>
            </w:pPr>
            <w:r>
              <w:rPr>
                <w:color w:val="000000"/>
                <w:sz w:val="16"/>
                <w:szCs w:val="16"/>
              </w:rPr>
              <w:t>rs3917026</w:t>
            </w:r>
          </w:p>
        </w:tc>
        <w:tc>
          <w:tcPr>
            <w:tcW w:w="851" w:type="dxa"/>
            <w:tcBorders>
              <w:top w:val="single" w:sz="4" w:space="0" w:color="D0CECE"/>
              <w:bottom w:val="single" w:sz="4" w:space="0" w:color="D0CECE"/>
            </w:tcBorders>
            <w:tcMar>
              <w:top w:w="-113" w:type="dxa"/>
              <w:left w:w="-113" w:type="dxa"/>
              <w:bottom w:w="-113" w:type="dxa"/>
              <w:right w:w="-113" w:type="dxa"/>
            </w:tcMar>
          </w:tcPr>
          <w:p w14:paraId="5A08679A" w14:textId="77777777" w:rsidR="00830D35" w:rsidRDefault="00830D35" w:rsidP="00830D35">
            <w:pPr>
              <w:rPr>
                <w:color w:val="000000"/>
                <w:sz w:val="16"/>
                <w:szCs w:val="16"/>
              </w:rPr>
            </w:pPr>
            <w:r>
              <w:rPr>
                <w:color w:val="000000"/>
                <w:sz w:val="16"/>
                <w:szCs w:val="16"/>
              </w:rPr>
              <w:t>T&gt;</w:t>
            </w:r>
            <w:proofErr w:type="gramStart"/>
            <w:r>
              <w:rPr>
                <w:color w:val="000000"/>
                <w:sz w:val="16"/>
                <w:szCs w:val="16"/>
              </w:rPr>
              <w:t>A,C</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0F7B75B6" w14:textId="77777777" w:rsidR="00830D35" w:rsidRDefault="00830D35" w:rsidP="00830D35">
            <w:pPr>
              <w:rPr>
                <w:color w:val="000000"/>
                <w:sz w:val="16"/>
                <w:szCs w:val="16"/>
              </w:rPr>
            </w:pPr>
            <w:r>
              <w:rPr>
                <w:sz w:val="16"/>
                <w:szCs w:val="16"/>
              </w:rPr>
              <w:t>2KB Upstream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0E5F76C6"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7F5C517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747689C1"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38E5663B"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38FA4F9"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8B8BF7F" w14:textId="77777777" w:rsidR="00830D35" w:rsidRDefault="00830D35" w:rsidP="00830D35">
            <w:pPr>
              <w:rPr>
                <w:color w:val="000000"/>
                <w:sz w:val="16"/>
                <w:szCs w:val="16"/>
              </w:rPr>
            </w:pPr>
            <w:r>
              <w:rPr>
                <w:color w:val="000000"/>
                <w:sz w:val="16"/>
                <w:szCs w:val="16"/>
              </w:rPr>
              <w:t>rs3917032</w:t>
            </w:r>
          </w:p>
        </w:tc>
        <w:tc>
          <w:tcPr>
            <w:tcW w:w="851" w:type="dxa"/>
            <w:tcBorders>
              <w:top w:val="single" w:sz="4" w:space="0" w:color="D0CECE"/>
              <w:bottom w:val="single" w:sz="4" w:space="0" w:color="D0CECE"/>
            </w:tcBorders>
            <w:tcMar>
              <w:top w:w="-113" w:type="dxa"/>
              <w:left w:w="-113" w:type="dxa"/>
              <w:bottom w:w="-113" w:type="dxa"/>
              <w:right w:w="-113" w:type="dxa"/>
            </w:tcMar>
          </w:tcPr>
          <w:p w14:paraId="72973936" w14:textId="77777777" w:rsidR="00830D35" w:rsidRDefault="00830D35" w:rsidP="00830D35">
            <w:pPr>
              <w:rPr>
                <w:color w:val="000000"/>
                <w:sz w:val="16"/>
                <w:szCs w:val="16"/>
              </w:rPr>
            </w:pPr>
            <w:r>
              <w:rPr>
                <w:color w:val="000000"/>
                <w:sz w:val="16"/>
                <w:szCs w:val="16"/>
              </w:rPr>
              <w:t>C&gt;A</w:t>
            </w:r>
          </w:p>
        </w:tc>
        <w:tc>
          <w:tcPr>
            <w:tcW w:w="1701" w:type="dxa"/>
            <w:tcBorders>
              <w:top w:val="single" w:sz="4" w:space="0" w:color="D0CECE"/>
              <w:bottom w:val="single" w:sz="4" w:space="0" w:color="D0CECE"/>
            </w:tcBorders>
            <w:tcMar>
              <w:top w:w="-113" w:type="dxa"/>
              <w:left w:w="-113" w:type="dxa"/>
              <w:bottom w:w="-113" w:type="dxa"/>
              <w:right w:w="-113" w:type="dxa"/>
            </w:tcMar>
          </w:tcPr>
          <w:p w14:paraId="2E7AB0CC"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33DD566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4D489485"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1A4EA03A"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028FB05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5D6CE3C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56B31E5" w14:textId="77777777" w:rsidR="00830D35" w:rsidRDefault="00830D35" w:rsidP="00830D35">
            <w:pPr>
              <w:rPr>
                <w:color w:val="000000"/>
                <w:sz w:val="16"/>
                <w:szCs w:val="16"/>
              </w:rPr>
            </w:pPr>
            <w:r>
              <w:rPr>
                <w:color w:val="000000"/>
                <w:sz w:val="16"/>
                <w:szCs w:val="16"/>
              </w:rPr>
              <w:t>rs3917033</w:t>
            </w:r>
          </w:p>
        </w:tc>
        <w:tc>
          <w:tcPr>
            <w:tcW w:w="851" w:type="dxa"/>
            <w:tcBorders>
              <w:top w:val="single" w:sz="4" w:space="0" w:color="D0CECE"/>
              <w:bottom w:val="single" w:sz="4" w:space="0" w:color="D0CECE"/>
            </w:tcBorders>
            <w:tcMar>
              <w:top w:w="-113" w:type="dxa"/>
              <w:left w:w="-113" w:type="dxa"/>
              <w:bottom w:w="-113" w:type="dxa"/>
              <w:right w:w="-113" w:type="dxa"/>
            </w:tcMar>
          </w:tcPr>
          <w:p w14:paraId="6C65FE8C" w14:textId="77777777" w:rsidR="00830D35" w:rsidRDefault="00830D35" w:rsidP="00830D35">
            <w:pPr>
              <w:rPr>
                <w:color w:val="000000"/>
                <w:sz w:val="16"/>
                <w:szCs w:val="16"/>
              </w:rPr>
            </w:pPr>
            <w:r>
              <w:rPr>
                <w:color w:val="000000"/>
                <w:sz w:val="16"/>
                <w:szCs w:val="16"/>
              </w:rPr>
              <w:t>T&gt;C</w:t>
            </w:r>
          </w:p>
        </w:tc>
        <w:tc>
          <w:tcPr>
            <w:tcW w:w="1701" w:type="dxa"/>
            <w:tcBorders>
              <w:top w:val="single" w:sz="4" w:space="0" w:color="D0CECE"/>
              <w:bottom w:val="single" w:sz="4" w:space="0" w:color="D0CECE"/>
            </w:tcBorders>
            <w:tcMar>
              <w:top w:w="-113" w:type="dxa"/>
              <w:left w:w="-113" w:type="dxa"/>
              <w:bottom w:w="-113" w:type="dxa"/>
              <w:right w:w="-113" w:type="dxa"/>
            </w:tcMar>
          </w:tcPr>
          <w:p w14:paraId="1FE33154"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69E82FB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0B7B7545"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5BA88F0B"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5658179"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224E5D6"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4C920547" w14:textId="77777777" w:rsidR="00830D35" w:rsidRDefault="00830D35" w:rsidP="00830D35">
            <w:pPr>
              <w:rPr>
                <w:color w:val="000000"/>
                <w:sz w:val="16"/>
                <w:szCs w:val="16"/>
              </w:rPr>
            </w:pPr>
            <w:r>
              <w:rPr>
                <w:color w:val="000000"/>
                <w:sz w:val="16"/>
                <w:szCs w:val="16"/>
              </w:rPr>
              <w:t>rs3917057</w:t>
            </w:r>
          </w:p>
        </w:tc>
        <w:tc>
          <w:tcPr>
            <w:tcW w:w="851" w:type="dxa"/>
            <w:tcBorders>
              <w:top w:val="single" w:sz="4" w:space="0" w:color="D0CECE"/>
              <w:bottom w:val="single" w:sz="4" w:space="0" w:color="000000"/>
            </w:tcBorders>
            <w:tcMar>
              <w:top w:w="-113" w:type="dxa"/>
              <w:left w:w="-113" w:type="dxa"/>
              <w:bottom w:w="-113" w:type="dxa"/>
              <w:right w:w="-113" w:type="dxa"/>
            </w:tcMar>
          </w:tcPr>
          <w:p w14:paraId="18E15A06" w14:textId="77777777" w:rsidR="00830D35" w:rsidRDefault="00830D35" w:rsidP="00830D35">
            <w:pPr>
              <w:rPr>
                <w:color w:val="000000"/>
                <w:sz w:val="16"/>
                <w:szCs w:val="16"/>
              </w:rPr>
            </w:pPr>
            <w:r>
              <w:rPr>
                <w:color w:val="000000"/>
                <w:sz w:val="16"/>
                <w:szCs w:val="16"/>
              </w:rPr>
              <w:t>A&gt;G</w:t>
            </w:r>
          </w:p>
        </w:tc>
        <w:tc>
          <w:tcPr>
            <w:tcW w:w="1701" w:type="dxa"/>
            <w:tcBorders>
              <w:top w:val="single" w:sz="4" w:space="0" w:color="D0CECE"/>
              <w:bottom w:val="single" w:sz="4" w:space="0" w:color="000000"/>
            </w:tcBorders>
            <w:tcMar>
              <w:top w:w="-113" w:type="dxa"/>
              <w:left w:w="-113" w:type="dxa"/>
              <w:bottom w:w="-113" w:type="dxa"/>
              <w:right w:w="-113" w:type="dxa"/>
            </w:tcMar>
          </w:tcPr>
          <w:p w14:paraId="18475ADE" w14:textId="77777777" w:rsidR="00830D35" w:rsidRDefault="00830D35" w:rsidP="00830D35">
            <w:pPr>
              <w:rPr>
                <w:color w:val="000000"/>
                <w:sz w:val="16"/>
                <w:szCs w:val="16"/>
              </w:rPr>
            </w:pPr>
            <w:r>
              <w:rPr>
                <w:sz w:val="16"/>
                <w:szCs w:val="16"/>
              </w:rPr>
              <w:t>Intron variant</w:t>
            </w:r>
          </w:p>
        </w:tc>
        <w:tc>
          <w:tcPr>
            <w:tcW w:w="708" w:type="dxa"/>
            <w:vMerge/>
            <w:tcBorders>
              <w:top w:val="single" w:sz="4" w:space="0" w:color="D0CECE"/>
              <w:bottom w:val="single" w:sz="4" w:space="0" w:color="D0CECE"/>
            </w:tcBorders>
            <w:tcMar>
              <w:top w:w="-113" w:type="dxa"/>
              <w:left w:w="-113" w:type="dxa"/>
              <w:bottom w:w="-113" w:type="dxa"/>
              <w:right w:w="-113" w:type="dxa"/>
            </w:tcMar>
          </w:tcPr>
          <w:p w14:paraId="0475C374"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D0CECE"/>
              <w:bottom w:val="single" w:sz="4" w:space="0" w:color="D0CECE"/>
              <w:right w:val="single" w:sz="4" w:space="0" w:color="000000" w:themeColor="text1"/>
            </w:tcBorders>
            <w:tcMar>
              <w:top w:w="-113" w:type="dxa"/>
              <w:left w:w="-113" w:type="dxa"/>
              <w:bottom w:w="-113" w:type="dxa"/>
              <w:right w:w="-113" w:type="dxa"/>
            </w:tcMar>
          </w:tcPr>
          <w:p w14:paraId="34D7F396"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32311367" w14:textId="77777777" w:rsidTr="00923C73">
        <w:trPr>
          <w:trHeight w:val="150"/>
        </w:trPr>
        <w:tc>
          <w:tcPr>
            <w:tcW w:w="993" w:type="dxa"/>
            <w:vMerge w:val="restart"/>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6C8472C2" w14:textId="77777777" w:rsidR="00830D35" w:rsidRDefault="00830D35" w:rsidP="00830D35">
            <w:pPr>
              <w:rPr>
                <w:i/>
                <w:color w:val="000000"/>
                <w:sz w:val="16"/>
                <w:szCs w:val="16"/>
              </w:rPr>
            </w:pPr>
            <w:r>
              <w:rPr>
                <w:i/>
                <w:color w:val="000000"/>
                <w:sz w:val="16"/>
                <w:szCs w:val="16"/>
              </w:rPr>
              <w:t>WFS1</w:t>
            </w:r>
          </w:p>
          <w:p w14:paraId="30336D8B" w14:textId="77777777" w:rsidR="00830D35" w:rsidRDefault="00830D35" w:rsidP="00830D35">
            <w:pPr>
              <w:rPr>
                <w:i/>
                <w:color w:val="000000"/>
                <w:sz w:val="16"/>
                <w:szCs w:val="16"/>
              </w:rPr>
            </w:pPr>
          </w:p>
        </w:tc>
        <w:tc>
          <w:tcPr>
            <w:tcW w:w="3402" w:type="dxa"/>
            <w:vMerge w:val="restart"/>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FFE4B15" w14:textId="77777777" w:rsidR="00830D35" w:rsidRDefault="00830D35" w:rsidP="00830D35">
            <w:pPr>
              <w:rPr>
                <w:color w:val="000000"/>
                <w:sz w:val="16"/>
                <w:szCs w:val="16"/>
              </w:rPr>
            </w:pPr>
            <w:proofErr w:type="spellStart"/>
            <w:r>
              <w:rPr>
                <w:color w:val="000000"/>
                <w:sz w:val="16"/>
                <w:szCs w:val="16"/>
              </w:rPr>
              <w:t>Wolframin</w:t>
            </w:r>
            <w:proofErr w:type="spellEnd"/>
            <w:r>
              <w:rPr>
                <w:color w:val="000000"/>
                <w:sz w:val="16"/>
                <w:szCs w:val="16"/>
              </w:rPr>
              <w:t xml:space="preserve"> ER Transmembrane Glycoprotein</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19933973" w14:textId="77777777" w:rsidR="00830D35" w:rsidRDefault="00830D35" w:rsidP="00830D35">
            <w:pPr>
              <w:rPr>
                <w:color w:val="000000"/>
                <w:sz w:val="16"/>
                <w:szCs w:val="16"/>
              </w:rPr>
            </w:pPr>
            <w:r>
              <w:rPr>
                <w:color w:val="000000"/>
                <w:sz w:val="16"/>
                <w:szCs w:val="16"/>
              </w:rPr>
              <w:t>rs1801208</w:t>
            </w:r>
          </w:p>
        </w:tc>
        <w:tc>
          <w:tcPr>
            <w:tcW w:w="851" w:type="dxa"/>
            <w:tcBorders>
              <w:top w:val="single" w:sz="4" w:space="0" w:color="000000"/>
              <w:bottom w:val="single" w:sz="4" w:space="0" w:color="D0CECE"/>
            </w:tcBorders>
            <w:tcMar>
              <w:top w:w="-113" w:type="dxa"/>
              <w:left w:w="-113" w:type="dxa"/>
              <w:bottom w:w="-113" w:type="dxa"/>
              <w:right w:w="-113" w:type="dxa"/>
            </w:tcMar>
          </w:tcPr>
          <w:p w14:paraId="400FBBEE" w14:textId="77777777" w:rsidR="00830D35" w:rsidRDefault="00830D35" w:rsidP="00830D35">
            <w:pPr>
              <w:rPr>
                <w:color w:val="000000"/>
                <w:sz w:val="16"/>
                <w:szCs w:val="16"/>
              </w:rPr>
            </w:pPr>
            <w:r>
              <w:rPr>
                <w:color w:val="000000"/>
                <w:sz w:val="16"/>
                <w:szCs w:val="16"/>
              </w:rPr>
              <w:t>G&gt;A</w:t>
            </w:r>
          </w:p>
        </w:tc>
        <w:tc>
          <w:tcPr>
            <w:tcW w:w="1701" w:type="dxa"/>
            <w:tcBorders>
              <w:top w:val="single" w:sz="4" w:space="0" w:color="000000"/>
              <w:bottom w:val="single" w:sz="4" w:space="0" w:color="D0CECE"/>
            </w:tcBorders>
            <w:tcMar>
              <w:top w:w="-113" w:type="dxa"/>
              <w:left w:w="-113" w:type="dxa"/>
              <w:bottom w:w="-113" w:type="dxa"/>
              <w:right w:w="-113" w:type="dxa"/>
            </w:tcMar>
          </w:tcPr>
          <w:p w14:paraId="36A97A6B" w14:textId="77777777" w:rsidR="00830D35" w:rsidRDefault="00830D35" w:rsidP="00830D35">
            <w:pPr>
              <w:rPr>
                <w:color w:val="000000"/>
                <w:sz w:val="16"/>
                <w:szCs w:val="16"/>
              </w:rPr>
            </w:pPr>
            <w:r>
              <w:rPr>
                <w:sz w:val="16"/>
                <w:szCs w:val="16"/>
              </w:rPr>
              <w:t xml:space="preserve">Missense variant </w:t>
            </w:r>
          </w:p>
        </w:tc>
        <w:tc>
          <w:tcPr>
            <w:tcW w:w="708" w:type="dxa"/>
            <w:vMerge w:val="restart"/>
            <w:tcBorders>
              <w:top w:val="single" w:sz="4" w:space="0" w:color="000000"/>
              <w:bottom w:val="single" w:sz="4" w:space="0" w:color="D0CECE"/>
            </w:tcBorders>
            <w:tcMar>
              <w:top w:w="-113" w:type="dxa"/>
              <w:left w:w="-113" w:type="dxa"/>
              <w:bottom w:w="-113" w:type="dxa"/>
              <w:right w:w="-113" w:type="dxa"/>
            </w:tcMar>
          </w:tcPr>
          <w:p w14:paraId="1ECA365C" w14:textId="77777777" w:rsidR="00830D35" w:rsidRDefault="00830D35" w:rsidP="00830D35">
            <w:pPr>
              <w:rPr>
                <w:sz w:val="16"/>
                <w:szCs w:val="16"/>
              </w:rPr>
            </w:pPr>
            <w:r>
              <w:rPr>
                <w:color w:val="000000"/>
                <w:sz w:val="16"/>
                <w:szCs w:val="16"/>
              </w:rPr>
              <w:t>T2DM</w:t>
            </w:r>
          </w:p>
          <w:p w14:paraId="4E9438F1" w14:textId="77777777" w:rsidR="00830D35" w:rsidRDefault="00830D35" w:rsidP="00830D35">
            <w:pPr>
              <w:rPr>
                <w:sz w:val="16"/>
                <w:szCs w:val="16"/>
              </w:rPr>
            </w:pPr>
          </w:p>
        </w:tc>
        <w:tc>
          <w:tcPr>
            <w:tcW w:w="1838" w:type="dxa"/>
            <w:vMerge w:val="restart"/>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2759675E" w14:textId="77777777" w:rsidR="00830D35" w:rsidRDefault="00830D35" w:rsidP="00830D35">
            <w:pPr>
              <w:rPr>
                <w:sz w:val="16"/>
                <w:szCs w:val="16"/>
              </w:rPr>
            </w:pPr>
            <w:r>
              <w:rPr>
                <w:sz w:val="16"/>
                <w:szCs w:val="16"/>
              </w:rPr>
              <w:t xml:space="preserve">Pan </w:t>
            </w:r>
            <w:r>
              <w:rPr>
                <w:i/>
                <w:sz w:val="16"/>
                <w:szCs w:val="16"/>
              </w:rPr>
              <w:t>et al.</w:t>
            </w:r>
            <w:r>
              <w:rPr>
                <w:sz w:val="16"/>
                <w:szCs w:val="16"/>
              </w:rPr>
              <w:t xml:space="preserve"> 2013</w:t>
            </w:r>
          </w:p>
          <w:p w14:paraId="2BDF579E" w14:textId="77777777" w:rsidR="00830D35" w:rsidRDefault="00830D35" w:rsidP="00830D35">
            <w:pPr>
              <w:rPr>
                <w:sz w:val="16"/>
                <w:szCs w:val="16"/>
              </w:rPr>
            </w:pPr>
          </w:p>
        </w:tc>
      </w:tr>
      <w:tr w:rsidR="00830D35" w14:paraId="663008D1"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1FC22971" w14:textId="77777777" w:rsidR="00830D35" w:rsidRDefault="00830D35" w:rsidP="00830D35">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76BC916A" w14:textId="77777777" w:rsidR="00830D35" w:rsidRDefault="00830D35" w:rsidP="00830D35">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3B2386A5" w14:textId="77777777" w:rsidR="00830D35" w:rsidRDefault="00830D35" w:rsidP="00830D35">
            <w:pPr>
              <w:rPr>
                <w:color w:val="000000"/>
                <w:sz w:val="16"/>
                <w:szCs w:val="16"/>
              </w:rPr>
            </w:pPr>
            <w:r>
              <w:rPr>
                <w:color w:val="000000"/>
                <w:sz w:val="16"/>
                <w:szCs w:val="16"/>
              </w:rPr>
              <w:t>rs1801212</w:t>
            </w:r>
          </w:p>
        </w:tc>
        <w:tc>
          <w:tcPr>
            <w:tcW w:w="851" w:type="dxa"/>
            <w:tcBorders>
              <w:top w:val="single" w:sz="4" w:space="0" w:color="D0CECE"/>
              <w:bottom w:val="single" w:sz="4" w:space="0" w:color="D0CECE"/>
            </w:tcBorders>
            <w:tcMar>
              <w:top w:w="-113" w:type="dxa"/>
              <w:left w:w="-113" w:type="dxa"/>
              <w:bottom w:w="-113" w:type="dxa"/>
              <w:right w:w="-113" w:type="dxa"/>
            </w:tcMar>
          </w:tcPr>
          <w:p w14:paraId="5CF13A70" w14:textId="77777777" w:rsidR="00830D35" w:rsidRDefault="00830D35" w:rsidP="00830D35">
            <w:pPr>
              <w:rPr>
                <w:color w:val="000000"/>
                <w:sz w:val="16"/>
                <w:szCs w:val="16"/>
              </w:rPr>
            </w:pPr>
            <w:r>
              <w:rPr>
                <w:color w:val="000000"/>
                <w:sz w:val="16"/>
                <w:szCs w:val="16"/>
              </w:rPr>
              <w:t>G&gt;</w:t>
            </w:r>
            <w:proofErr w:type="gramStart"/>
            <w:r>
              <w:rPr>
                <w:color w:val="000000"/>
                <w:sz w:val="16"/>
                <w:szCs w:val="16"/>
              </w:rPr>
              <w:t>A,C</w:t>
            </w:r>
            <w:proofErr w:type="gramEnd"/>
            <w:r>
              <w:rPr>
                <w:color w:val="000000"/>
                <w:sz w:val="16"/>
                <w:szCs w:val="16"/>
              </w:rPr>
              <w:t>,T</w:t>
            </w:r>
          </w:p>
        </w:tc>
        <w:tc>
          <w:tcPr>
            <w:tcW w:w="1701" w:type="dxa"/>
            <w:tcBorders>
              <w:top w:val="single" w:sz="4" w:space="0" w:color="D0CECE"/>
              <w:bottom w:val="single" w:sz="4" w:space="0" w:color="D0CECE"/>
            </w:tcBorders>
            <w:tcMar>
              <w:top w:w="-113" w:type="dxa"/>
              <w:left w:w="-113" w:type="dxa"/>
              <w:bottom w:w="-113" w:type="dxa"/>
              <w:right w:w="-113" w:type="dxa"/>
            </w:tcMar>
          </w:tcPr>
          <w:p w14:paraId="2D5BB401" w14:textId="77777777" w:rsidR="00830D35" w:rsidRDefault="00830D35" w:rsidP="00830D35">
            <w:pPr>
              <w:rPr>
                <w:color w:val="000000"/>
                <w:sz w:val="16"/>
                <w:szCs w:val="16"/>
              </w:rPr>
            </w:pPr>
            <w:r>
              <w:rPr>
                <w:sz w:val="16"/>
                <w:szCs w:val="16"/>
              </w:rPr>
              <w:t xml:space="preserve">Missense variant </w:t>
            </w:r>
          </w:p>
        </w:tc>
        <w:tc>
          <w:tcPr>
            <w:tcW w:w="708" w:type="dxa"/>
            <w:vMerge/>
            <w:tcBorders>
              <w:top w:val="single" w:sz="4" w:space="0" w:color="000000"/>
              <w:bottom w:val="single" w:sz="4" w:space="0" w:color="D0CECE"/>
            </w:tcBorders>
            <w:tcMar>
              <w:top w:w="-113" w:type="dxa"/>
              <w:left w:w="-113" w:type="dxa"/>
              <w:bottom w:w="-113" w:type="dxa"/>
              <w:right w:w="-113" w:type="dxa"/>
            </w:tcMar>
          </w:tcPr>
          <w:p w14:paraId="3215519F"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76E910A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31B83391" w14:textId="77777777" w:rsidTr="00923C73">
        <w:trPr>
          <w:trHeight w:val="150"/>
        </w:trPr>
        <w:tc>
          <w:tcPr>
            <w:tcW w:w="993" w:type="dxa"/>
            <w:vMerge/>
            <w:tcBorders>
              <w:top w:val="single" w:sz="4" w:space="0" w:color="000000"/>
              <w:left w:val="single" w:sz="4" w:space="0" w:color="000000" w:themeColor="text1"/>
              <w:bottom w:val="single" w:sz="4" w:space="0" w:color="D0CECE"/>
              <w:right w:val="nil"/>
            </w:tcBorders>
            <w:shd w:val="clear" w:color="auto" w:fill="auto"/>
            <w:tcMar>
              <w:top w:w="-113" w:type="dxa"/>
              <w:left w:w="-113" w:type="dxa"/>
              <w:bottom w:w="-113" w:type="dxa"/>
              <w:right w:w="-113" w:type="dxa"/>
            </w:tcMar>
          </w:tcPr>
          <w:p w14:paraId="5BCF1E6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D0CECE"/>
              <w:right w:val="nil"/>
            </w:tcBorders>
            <w:shd w:val="clear" w:color="auto" w:fill="auto"/>
            <w:tcMar>
              <w:top w:w="-113" w:type="dxa"/>
              <w:left w:w="-113" w:type="dxa"/>
              <w:bottom w:w="-113" w:type="dxa"/>
              <w:right w:w="-113" w:type="dxa"/>
            </w:tcMar>
          </w:tcPr>
          <w:p w14:paraId="33CE4583"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0B4D823E" w14:textId="77777777" w:rsidR="00830D35" w:rsidRDefault="00830D35" w:rsidP="00830D35">
            <w:pPr>
              <w:rPr>
                <w:color w:val="000000"/>
                <w:sz w:val="16"/>
                <w:szCs w:val="16"/>
              </w:rPr>
            </w:pPr>
            <w:r>
              <w:rPr>
                <w:color w:val="000000"/>
                <w:sz w:val="16"/>
                <w:szCs w:val="16"/>
              </w:rPr>
              <w:t>rs734312</w:t>
            </w:r>
          </w:p>
        </w:tc>
        <w:tc>
          <w:tcPr>
            <w:tcW w:w="851" w:type="dxa"/>
            <w:tcBorders>
              <w:top w:val="single" w:sz="4" w:space="0" w:color="D0CECE"/>
              <w:bottom w:val="single" w:sz="4" w:space="0" w:color="000000"/>
            </w:tcBorders>
            <w:tcMar>
              <w:top w:w="-113" w:type="dxa"/>
              <w:left w:w="-113" w:type="dxa"/>
              <w:bottom w:w="-113" w:type="dxa"/>
              <w:right w:w="-113" w:type="dxa"/>
            </w:tcMar>
          </w:tcPr>
          <w:p w14:paraId="378A3B39" w14:textId="77777777" w:rsidR="00830D35" w:rsidRDefault="00830D35" w:rsidP="00830D35">
            <w:pPr>
              <w:rPr>
                <w:color w:val="000000"/>
                <w:sz w:val="16"/>
                <w:szCs w:val="16"/>
              </w:rPr>
            </w:pPr>
            <w:r>
              <w:rPr>
                <w:color w:val="000000"/>
                <w:sz w:val="16"/>
                <w:szCs w:val="16"/>
              </w:rPr>
              <w:t>G&gt;</w:t>
            </w:r>
            <w:proofErr w:type="gramStart"/>
            <w:r>
              <w:rPr>
                <w:color w:val="000000"/>
                <w:sz w:val="16"/>
                <w:szCs w:val="16"/>
              </w:rPr>
              <w:t>A,C</w:t>
            </w:r>
            <w:proofErr w:type="gramEnd"/>
          </w:p>
        </w:tc>
        <w:tc>
          <w:tcPr>
            <w:tcW w:w="1701" w:type="dxa"/>
            <w:tcBorders>
              <w:top w:val="single" w:sz="4" w:space="0" w:color="D0CECE"/>
              <w:bottom w:val="single" w:sz="4" w:space="0" w:color="000000"/>
            </w:tcBorders>
            <w:tcMar>
              <w:top w:w="-113" w:type="dxa"/>
              <w:left w:w="-113" w:type="dxa"/>
              <w:bottom w:w="-113" w:type="dxa"/>
              <w:right w:w="-113" w:type="dxa"/>
            </w:tcMar>
          </w:tcPr>
          <w:p w14:paraId="4D0EC41C" w14:textId="77777777" w:rsidR="00830D35" w:rsidRDefault="00830D35" w:rsidP="00830D35">
            <w:pPr>
              <w:rPr>
                <w:color w:val="000000"/>
                <w:sz w:val="16"/>
                <w:szCs w:val="16"/>
              </w:rPr>
            </w:pPr>
            <w:r>
              <w:rPr>
                <w:sz w:val="16"/>
                <w:szCs w:val="16"/>
              </w:rPr>
              <w:t xml:space="preserve">Missense variant </w:t>
            </w:r>
          </w:p>
        </w:tc>
        <w:tc>
          <w:tcPr>
            <w:tcW w:w="708" w:type="dxa"/>
            <w:vMerge/>
            <w:tcBorders>
              <w:top w:val="single" w:sz="4" w:space="0" w:color="000000"/>
              <w:bottom w:val="single" w:sz="4" w:space="0" w:color="D0CECE"/>
            </w:tcBorders>
            <w:tcMar>
              <w:top w:w="-113" w:type="dxa"/>
              <w:left w:w="-113" w:type="dxa"/>
              <w:bottom w:w="-113" w:type="dxa"/>
              <w:right w:w="-113" w:type="dxa"/>
            </w:tcMar>
          </w:tcPr>
          <w:p w14:paraId="4A864E2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D0CECE"/>
              <w:right w:val="single" w:sz="4" w:space="0" w:color="000000" w:themeColor="text1"/>
            </w:tcBorders>
            <w:tcMar>
              <w:top w:w="-113" w:type="dxa"/>
              <w:left w:w="-113" w:type="dxa"/>
              <w:bottom w:w="-113" w:type="dxa"/>
              <w:right w:w="-113" w:type="dxa"/>
            </w:tcMar>
          </w:tcPr>
          <w:p w14:paraId="1D71CC52"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67096182" w14:textId="77777777" w:rsidTr="00923C73">
        <w:trPr>
          <w:trHeight w:val="61"/>
        </w:trPr>
        <w:tc>
          <w:tcPr>
            <w:tcW w:w="993" w:type="dxa"/>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029F09FC" w14:textId="77777777" w:rsidR="00830D35" w:rsidRDefault="00830D35" w:rsidP="00830D35">
            <w:pPr>
              <w:rPr>
                <w:i/>
                <w:color w:val="000000"/>
                <w:sz w:val="16"/>
                <w:szCs w:val="16"/>
              </w:rPr>
            </w:pPr>
            <w:r>
              <w:rPr>
                <w:i/>
                <w:color w:val="000000"/>
                <w:sz w:val="16"/>
                <w:szCs w:val="16"/>
              </w:rPr>
              <w:t>WWOX</w:t>
            </w:r>
          </w:p>
        </w:tc>
        <w:tc>
          <w:tcPr>
            <w:tcW w:w="3402" w:type="dxa"/>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2A4EC6E4" w14:textId="77777777" w:rsidR="00830D35" w:rsidRDefault="00830D35" w:rsidP="00830D35">
            <w:pPr>
              <w:rPr>
                <w:color w:val="000000"/>
                <w:sz w:val="16"/>
                <w:szCs w:val="16"/>
              </w:rPr>
            </w:pPr>
            <w:r>
              <w:rPr>
                <w:color w:val="000000"/>
                <w:sz w:val="16"/>
                <w:szCs w:val="16"/>
              </w:rPr>
              <w:t>WW Domain Containing Oxidoreductase</w:t>
            </w:r>
          </w:p>
        </w:tc>
        <w:tc>
          <w:tcPr>
            <w:tcW w:w="992" w:type="dxa"/>
            <w:tcBorders>
              <w:top w:val="single" w:sz="4" w:space="0" w:color="000000"/>
              <w:left w:val="nil"/>
              <w:bottom w:val="single" w:sz="4" w:space="0" w:color="000000"/>
            </w:tcBorders>
            <w:shd w:val="clear" w:color="auto" w:fill="auto"/>
            <w:tcMar>
              <w:top w:w="-113" w:type="dxa"/>
              <w:left w:w="-113" w:type="dxa"/>
              <w:bottom w:w="-113" w:type="dxa"/>
              <w:right w:w="-113" w:type="dxa"/>
            </w:tcMar>
          </w:tcPr>
          <w:p w14:paraId="2B30D11A" w14:textId="77777777" w:rsidR="00830D35" w:rsidRDefault="00830D35" w:rsidP="00830D35">
            <w:pPr>
              <w:rPr>
                <w:color w:val="000000"/>
                <w:sz w:val="16"/>
                <w:szCs w:val="16"/>
              </w:rPr>
            </w:pPr>
            <w:r>
              <w:rPr>
                <w:color w:val="000000"/>
                <w:sz w:val="16"/>
                <w:szCs w:val="16"/>
              </w:rPr>
              <w:t>rs1465099</w:t>
            </w:r>
          </w:p>
        </w:tc>
        <w:tc>
          <w:tcPr>
            <w:tcW w:w="851" w:type="dxa"/>
            <w:tcBorders>
              <w:top w:val="single" w:sz="4" w:space="0" w:color="000000"/>
              <w:bottom w:val="single" w:sz="4" w:space="0" w:color="000000"/>
            </w:tcBorders>
            <w:tcMar>
              <w:top w:w="-113" w:type="dxa"/>
              <w:left w:w="-113" w:type="dxa"/>
              <w:bottom w:w="-113" w:type="dxa"/>
              <w:right w:w="-113" w:type="dxa"/>
            </w:tcMar>
          </w:tcPr>
          <w:p w14:paraId="0AD2ACBD" w14:textId="77777777" w:rsidR="00830D35" w:rsidRDefault="00830D35" w:rsidP="00830D35">
            <w:pPr>
              <w:rPr>
                <w:color w:val="000000"/>
                <w:sz w:val="16"/>
                <w:szCs w:val="16"/>
              </w:rPr>
            </w:pPr>
            <w:r>
              <w:rPr>
                <w:sz w:val="16"/>
                <w:szCs w:val="16"/>
              </w:rPr>
              <w:t>A&gt;</w:t>
            </w:r>
            <w:proofErr w:type="gramStart"/>
            <w:r>
              <w:rPr>
                <w:sz w:val="16"/>
                <w:szCs w:val="16"/>
              </w:rPr>
              <w:t>C,G</w:t>
            </w:r>
            <w:proofErr w:type="gramEnd"/>
            <w:r>
              <w:rPr>
                <w:sz w:val="16"/>
                <w:szCs w:val="16"/>
              </w:rPr>
              <w:t>,T</w:t>
            </w:r>
          </w:p>
        </w:tc>
        <w:tc>
          <w:tcPr>
            <w:tcW w:w="1701" w:type="dxa"/>
            <w:tcBorders>
              <w:top w:val="single" w:sz="4" w:space="0" w:color="000000"/>
              <w:bottom w:val="single" w:sz="4" w:space="0" w:color="000000"/>
            </w:tcBorders>
            <w:tcMar>
              <w:top w:w="-113" w:type="dxa"/>
              <w:left w:w="-113" w:type="dxa"/>
              <w:bottom w:w="-113" w:type="dxa"/>
              <w:right w:w="-113" w:type="dxa"/>
            </w:tcMar>
          </w:tcPr>
          <w:p w14:paraId="4F397D6A" w14:textId="77777777" w:rsidR="00830D35" w:rsidRDefault="00830D35" w:rsidP="00830D35">
            <w:pPr>
              <w:rPr>
                <w:color w:val="000000"/>
                <w:sz w:val="16"/>
                <w:szCs w:val="16"/>
              </w:rPr>
            </w:pPr>
            <w:r>
              <w:rPr>
                <w:sz w:val="16"/>
                <w:szCs w:val="16"/>
              </w:rPr>
              <w:t>Intron variant</w:t>
            </w:r>
          </w:p>
        </w:tc>
        <w:tc>
          <w:tcPr>
            <w:tcW w:w="708" w:type="dxa"/>
            <w:tcBorders>
              <w:top w:val="single" w:sz="4" w:space="0" w:color="000000"/>
              <w:bottom w:val="single" w:sz="4" w:space="0" w:color="000000"/>
            </w:tcBorders>
            <w:tcMar>
              <w:top w:w="-113" w:type="dxa"/>
              <w:left w:w="-113" w:type="dxa"/>
              <w:bottom w:w="-113" w:type="dxa"/>
              <w:right w:w="-113" w:type="dxa"/>
            </w:tcMar>
          </w:tcPr>
          <w:p w14:paraId="6B8D3288" w14:textId="77777777" w:rsidR="00830D35" w:rsidRDefault="00830D35" w:rsidP="00830D35">
            <w:pPr>
              <w:rPr>
                <w:color w:val="000000"/>
                <w:sz w:val="16"/>
                <w:szCs w:val="16"/>
              </w:rPr>
            </w:pPr>
            <w:r>
              <w:rPr>
                <w:color w:val="000000"/>
                <w:sz w:val="16"/>
                <w:szCs w:val="16"/>
              </w:rPr>
              <w:t>T2DM</w:t>
            </w:r>
          </w:p>
        </w:tc>
        <w:tc>
          <w:tcPr>
            <w:tcW w:w="1838" w:type="dxa"/>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22D8823F" w14:textId="77777777" w:rsidR="00830D35" w:rsidRDefault="00830D35" w:rsidP="00830D35">
            <w:pPr>
              <w:rPr>
                <w:color w:val="000000"/>
                <w:sz w:val="16"/>
                <w:szCs w:val="16"/>
              </w:rPr>
            </w:pPr>
            <w:r>
              <w:rPr>
                <w:sz w:val="16"/>
                <w:szCs w:val="16"/>
              </w:rPr>
              <w:t>Grau-Perez et al. 2018</w:t>
            </w:r>
          </w:p>
        </w:tc>
      </w:tr>
      <w:tr w:rsidR="00830D35" w14:paraId="4A610ED7" w14:textId="77777777" w:rsidTr="00923C73">
        <w:trPr>
          <w:trHeight w:val="150"/>
        </w:trPr>
        <w:tc>
          <w:tcPr>
            <w:tcW w:w="993" w:type="dxa"/>
            <w:vMerge w:val="restart"/>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6DEEA206" w14:textId="77777777" w:rsidR="00830D35" w:rsidRDefault="00830D35" w:rsidP="00830D35">
            <w:pPr>
              <w:rPr>
                <w:i/>
                <w:color w:val="000000"/>
                <w:sz w:val="16"/>
                <w:szCs w:val="16"/>
              </w:rPr>
            </w:pPr>
            <w:r>
              <w:rPr>
                <w:i/>
                <w:color w:val="000000"/>
                <w:sz w:val="16"/>
                <w:szCs w:val="16"/>
              </w:rPr>
              <w:t>XDH</w:t>
            </w:r>
          </w:p>
          <w:p w14:paraId="76CAAC4C" w14:textId="77777777" w:rsidR="00830D35" w:rsidRDefault="00830D35" w:rsidP="00830D35">
            <w:pPr>
              <w:rPr>
                <w:i/>
                <w:color w:val="000000"/>
                <w:sz w:val="16"/>
                <w:szCs w:val="16"/>
              </w:rPr>
            </w:pPr>
          </w:p>
        </w:tc>
        <w:tc>
          <w:tcPr>
            <w:tcW w:w="3402" w:type="dxa"/>
            <w:vMerge w:val="restart"/>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5840E402" w14:textId="77777777" w:rsidR="00830D35" w:rsidRDefault="00830D35" w:rsidP="00830D35">
            <w:pPr>
              <w:rPr>
                <w:color w:val="000000"/>
                <w:sz w:val="16"/>
                <w:szCs w:val="16"/>
              </w:rPr>
            </w:pPr>
            <w:r>
              <w:rPr>
                <w:color w:val="000000"/>
                <w:sz w:val="16"/>
                <w:szCs w:val="16"/>
              </w:rPr>
              <w:t>Xanthine Dehydrogenase</w:t>
            </w:r>
          </w:p>
        </w:tc>
        <w:tc>
          <w:tcPr>
            <w:tcW w:w="992" w:type="dxa"/>
            <w:tcBorders>
              <w:top w:val="single" w:sz="4" w:space="0" w:color="000000"/>
              <w:left w:val="nil"/>
              <w:bottom w:val="single" w:sz="4" w:space="0" w:color="D0CECE"/>
            </w:tcBorders>
            <w:shd w:val="clear" w:color="auto" w:fill="auto"/>
            <w:tcMar>
              <w:top w:w="-113" w:type="dxa"/>
              <w:left w:w="-113" w:type="dxa"/>
              <w:bottom w:w="-113" w:type="dxa"/>
              <w:right w:w="-113" w:type="dxa"/>
            </w:tcMar>
          </w:tcPr>
          <w:p w14:paraId="4C77F911" w14:textId="77777777" w:rsidR="00830D35" w:rsidRDefault="00830D35" w:rsidP="00830D35">
            <w:pPr>
              <w:pBdr>
                <w:top w:val="nil"/>
                <w:left w:val="nil"/>
                <w:bottom w:val="nil"/>
                <w:right w:val="nil"/>
                <w:between w:val="nil"/>
              </w:pBdr>
              <w:rPr>
                <w:color w:val="000000"/>
                <w:sz w:val="16"/>
                <w:szCs w:val="16"/>
              </w:rPr>
            </w:pPr>
            <w:r>
              <w:rPr>
                <w:color w:val="000000"/>
                <w:sz w:val="16"/>
                <w:szCs w:val="16"/>
              </w:rPr>
              <w:t>rs10187719</w:t>
            </w:r>
          </w:p>
        </w:tc>
        <w:tc>
          <w:tcPr>
            <w:tcW w:w="851" w:type="dxa"/>
            <w:tcBorders>
              <w:top w:val="single" w:sz="4" w:space="0" w:color="000000"/>
              <w:bottom w:val="single" w:sz="4" w:space="0" w:color="D0CECE"/>
            </w:tcBorders>
            <w:tcMar>
              <w:top w:w="-113" w:type="dxa"/>
              <w:left w:w="-113" w:type="dxa"/>
              <w:bottom w:w="-113" w:type="dxa"/>
              <w:right w:w="-113" w:type="dxa"/>
            </w:tcMar>
          </w:tcPr>
          <w:p w14:paraId="319AE0EF" w14:textId="77777777" w:rsidR="00830D35" w:rsidRDefault="00830D35" w:rsidP="00830D35">
            <w:pPr>
              <w:pBdr>
                <w:top w:val="nil"/>
                <w:left w:val="nil"/>
                <w:bottom w:val="nil"/>
                <w:right w:val="nil"/>
                <w:between w:val="nil"/>
              </w:pBdr>
              <w:rPr>
                <w:color w:val="000000"/>
                <w:sz w:val="16"/>
                <w:szCs w:val="16"/>
              </w:rPr>
            </w:pPr>
            <w:r>
              <w:rPr>
                <w:color w:val="000000"/>
                <w:sz w:val="16"/>
                <w:szCs w:val="16"/>
              </w:rPr>
              <w:t>T&gt;</w:t>
            </w:r>
            <w:proofErr w:type="gramStart"/>
            <w:r>
              <w:rPr>
                <w:color w:val="000000"/>
                <w:sz w:val="16"/>
                <w:szCs w:val="16"/>
              </w:rPr>
              <w:t>A,C</w:t>
            </w:r>
            <w:proofErr w:type="gramEnd"/>
          </w:p>
        </w:tc>
        <w:tc>
          <w:tcPr>
            <w:tcW w:w="1701" w:type="dxa"/>
            <w:tcBorders>
              <w:top w:val="single" w:sz="4" w:space="0" w:color="000000"/>
              <w:bottom w:val="single" w:sz="4" w:space="0" w:color="D0CECE"/>
            </w:tcBorders>
            <w:tcMar>
              <w:top w:w="-113" w:type="dxa"/>
              <w:left w:w="-113" w:type="dxa"/>
              <w:bottom w:w="-113" w:type="dxa"/>
              <w:right w:w="-113" w:type="dxa"/>
            </w:tcMar>
          </w:tcPr>
          <w:p w14:paraId="1DB40FE9" w14:textId="77777777" w:rsidR="00830D35" w:rsidRDefault="00830D35" w:rsidP="00830D35">
            <w:pPr>
              <w:pBdr>
                <w:top w:val="nil"/>
                <w:left w:val="nil"/>
                <w:bottom w:val="nil"/>
                <w:right w:val="nil"/>
                <w:between w:val="nil"/>
              </w:pBdr>
              <w:rPr>
                <w:color w:val="000000"/>
                <w:sz w:val="16"/>
                <w:szCs w:val="16"/>
              </w:rPr>
            </w:pPr>
            <w:r>
              <w:rPr>
                <w:color w:val="000000"/>
                <w:sz w:val="16"/>
                <w:szCs w:val="16"/>
              </w:rPr>
              <w:t>Intron variant</w:t>
            </w:r>
          </w:p>
        </w:tc>
        <w:tc>
          <w:tcPr>
            <w:tcW w:w="708" w:type="dxa"/>
            <w:vMerge w:val="restart"/>
            <w:tcBorders>
              <w:top w:val="single" w:sz="4" w:space="0" w:color="000000"/>
              <w:bottom w:val="single" w:sz="4" w:space="0" w:color="000000"/>
            </w:tcBorders>
            <w:tcMar>
              <w:top w:w="-113" w:type="dxa"/>
              <w:left w:w="-113" w:type="dxa"/>
              <w:bottom w:w="-113" w:type="dxa"/>
              <w:right w:w="-113" w:type="dxa"/>
            </w:tcMar>
          </w:tcPr>
          <w:p w14:paraId="1FD32461" w14:textId="77777777" w:rsidR="00830D35" w:rsidRDefault="00830D35" w:rsidP="00830D35">
            <w:pPr>
              <w:rPr>
                <w:sz w:val="16"/>
                <w:szCs w:val="16"/>
              </w:rPr>
            </w:pPr>
            <w:r>
              <w:rPr>
                <w:color w:val="000000"/>
                <w:sz w:val="16"/>
                <w:szCs w:val="16"/>
              </w:rPr>
              <w:t>T2DM</w:t>
            </w:r>
          </w:p>
          <w:p w14:paraId="022762B3" w14:textId="77777777" w:rsidR="00830D35" w:rsidRDefault="00830D35" w:rsidP="00830D35">
            <w:pPr>
              <w:rPr>
                <w:sz w:val="16"/>
                <w:szCs w:val="16"/>
              </w:rPr>
            </w:pPr>
          </w:p>
        </w:tc>
        <w:tc>
          <w:tcPr>
            <w:tcW w:w="1838" w:type="dxa"/>
            <w:vMerge w:val="restart"/>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3C022F1D" w14:textId="77777777" w:rsidR="00830D35" w:rsidRDefault="00830D35" w:rsidP="00830D35">
            <w:pPr>
              <w:rPr>
                <w:sz w:val="16"/>
                <w:szCs w:val="16"/>
              </w:rPr>
            </w:pPr>
            <w:r>
              <w:rPr>
                <w:sz w:val="16"/>
                <w:szCs w:val="16"/>
              </w:rPr>
              <w:t>Grau-Perez et al. 2018</w:t>
            </w:r>
          </w:p>
          <w:p w14:paraId="3AD64D52" w14:textId="77777777" w:rsidR="00830D35" w:rsidRDefault="00830D35" w:rsidP="00830D35">
            <w:pPr>
              <w:rPr>
                <w:sz w:val="16"/>
                <w:szCs w:val="16"/>
              </w:rPr>
            </w:pPr>
          </w:p>
        </w:tc>
      </w:tr>
      <w:tr w:rsidR="00830D35" w14:paraId="18C5C315" w14:textId="77777777" w:rsidTr="00923C73">
        <w:trPr>
          <w:trHeight w:val="150"/>
        </w:trPr>
        <w:tc>
          <w:tcPr>
            <w:tcW w:w="993" w:type="dxa"/>
            <w:vMerge/>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088335F6" w14:textId="77777777" w:rsidR="00830D35" w:rsidRDefault="00830D35" w:rsidP="00830D35">
            <w:pPr>
              <w:widowControl w:val="0"/>
              <w:pBdr>
                <w:top w:val="nil"/>
                <w:left w:val="nil"/>
                <w:bottom w:val="nil"/>
                <w:right w:val="nil"/>
                <w:between w:val="nil"/>
              </w:pBdr>
              <w:spacing w:line="276" w:lineRule="auto"/>
              <w:rPr>
                <w:sz w:val="16"/>
                <w:szCs w:val="16"/>
              </w:rPr>
            </w:pPr>
          </w:p>
        </w:tc>
        <w:tc>
          <w:tcPr>
            <w:tcW w:w="3402" w:type="dxa"/>
            <w:vMerge/>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2CB9C867" w14:textId="77777777" w:rsidR="00830D35" w:rsidRDefault="00830D35" w:rsidP="00830D35">
            <w:pPr>
              <w:widowControl w:val="0"/>
              <w:pBdr>
                <w:top w:val="nil"/>
                <w:left w:val="nil"/>
                <w:bottom w:val="nil"/>
                <w:right w:val="nil"/>
                <w:between w:val="nil"/>
              </w:pBdr>
              <w:spacing w:line="276" w:lineRule="auto"/>
              <w:rPr>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6E49ED6F" w14:textId="77777777" w:rsidR="00830D35" w:rsidRDefault="00830D35" w:rsidP="00830D35">
            <w:pPr>
              <w:pBdr>
                <w:top w:val="nil"/>
                <w:left w:val="nil"/>
                <w:bottom w:val="nil"/>
                <w:right w:val="nil"/>
                <w:between w:val="nil"/>
              </w:pBdr>
              <w:rPr>
                <w:color w:val="000000"/>
                <w:sz w:val="16"/>
                <w:szCs w:val="16"/>
              </w:rPr>
            </w:pPr>
            <w:r>
              <w:rPr>
                <w:color w:val="000000"/>
                <w:sz w:val="16"/>
                <w:szCs w:val="16"/>
              </w:rPr>
              <w:t>rs1042039</w:t>
            </w:r>
          </w:p>
        </w:tc>
        <w:tc>
          <w:tcPr>
            <w:tcW w:w="851" w:type="dxa"/>
            <w:tcBorders>
              <w:top w:val="single" w:sz="4" w:space="0" w:color="D0CECE"/>
              <w:bottom w:val="single" w:sz="4" w:space="0" w:color="D0CECE"/>
            </w:tcBorders>
            <w:tcMar>
              <w:top w:w="-113" w:type="dxa"/>
              <w:left w:w="-113" w:type="dxa"/>
              <w:bottom w:w="-113" w:type="dxa"/>
              <w:right w:w="-113" w:type="dxa"/>
            </w:tcMar>
          </w:tcPr>
          <w:p w14:paraId="2526A93F" w14:textId="77777777" w:rsidR="00830D35" w:rsidRDefault="00830D35" w:rsidP="00830D35">
            <w:pPr>
              <w:pBdr>
                <w:top w:val="nil"/>
                <w:left w:val="nil"/>
                <w:bottom w:val="nil"/>
                <w:right w:val="nil"/>
                <w:between w:val="nil"/>
              </w:pBdr>
              <w:rPr>
                <w:color w:val="000000"/>
                <w:sz w:val="16"/>
                <w:szCs w:val="16"/>
              </w:rPr>
            </w:pPr>
            <w:r>
              <w:rPr>
                <w:color w:val="000000"/>
                <w:sz w:val="16"/>
                <w:szCs w:val="16"/>
              </w:rPr>
              <w:t>T&gt;C</w:t>
            </w:r>
          </w:p>
        </w:tc>
        <w:tc>
          <w:tcPr>
            <w:tcW w:w="1701" w:type="dxa"/>
            <w:tcBorders>
              <w:top w:val="single" w:sz="4" w:space="0" w:color="D0CECE"/>
              <w:bottom w:val="single" w:sz="4" w:space="0" w:color="D0CECE"/>
            </w:tcBorders>
            <w:tcMar>
              <w:top w:w="-113" w:type="dxa"/>
              <w:left w:w="-113" w:type="dxa"/>
              <w:bottom w:w="-113" w:type="dxa"/>
              <w:right w:w="-113" w:type="dxa"/>
            </w:tcMar>
          </w:tcPr>
          <w:p w14:paraId="57379B58" w14:textId="77777777" w:rsidR="00830D35" w:rsidRDefault="00830D35" w:rsidP="00830D35">
            <w:pPr>
              <w:pBdr>
                <w:top w:val="nil"/>
                <w:left w:val="nil"/>
                <w:bottom w:val="nil"/>
                <w:right w:val="nil"/>
                <w:between w:val="nil"/>
              </w:pBdr>
              <w:rPr>
                <w:color w:val="000000"/>
                <w:sz w:val="16"/>
                <w:szCs w:val="16"/>
              </w:rPr>
            </w:pPr>
            <w:r>
              <w:rPr>
                <w:color w:val="000000"/>
                <w:sz w:val="16"/>
                <w:szCs w:val="16"/>
              </w:rPr>
              <w:t>3 Prime UTR variant</w:t>
            </w:r>
          </w:p>
        </w:tc>
        <w:tc>
          <w:tcPr>
            <w:tcW w:w="708" w:type="dxa"/>
            <w:vMerge/>
            <w:tcBorders>
              <w:top w:val="single" w:sz="4" w:space="0" w:color="000000"/>
              <w:bottom w:val="single" w:sz="4" w:space="0" w:color="000000"/>
            </w:tcBorders>
            <w:tcMar>
              <w:top w:w="-113" w:type="dxa"/>
              <w:left w:w="-113" w:type="dxa"/>
              <w:bottom w:w="-113" w:type="dxa"/>
              <w:right w:w="-113" w:type="dxa"/>
            </w:tcMar>
          </w:tcPr>
          <w:p w14:paraId="0B4F676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003F55A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1BFE3C60" w14:textId="77777777" w:rsidTr="00923C73">
        <w:trPr>
          <w:trHeight w:val="150"/>
        </w:trPr>
        <w:tc>
          <w:tcPr>
            <w:tcW w:w="993" w:type="dxa"/>
            <w:vMerge/>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75D9C72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3EBB3404"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2EC7568B" w14:textId="77777777" w:rsidR="00830D35" w:rsidRDefault="00830D35" w:rsidP="00830D35">
            <w:pPr>
              <w:pBdr>
                <w:top w:val="nil"/>
                <w:left w:val="nil"/>
                <w:bottom w:val="nil"/>
                <w:right w:val="nil"/>
                <w:between w:val="nil"/>
              </w:pBdr>
              <w:rPr>
                <w:color w:val="000000"/>
                <w:sz w:val="16"/>
                <w:szCs w:val="16"/>
              </w:rPr>
            </w:pPr>
            <w:r>
              <w:rPr>
                <w:color w:val="000000"/>
                <w:sz w:val="16"/>
                <w:szCs w:val="16"/>
              </w:rPr>
              <w:t>rs1429374</w:t>
            </w:r>
          </w:p>
        </w:tc>
        <w:tc>
          <w:tcPr>
            <w:tcW w:w="851" w:type="dxa"/>
            <w:tcBorders>
              <w:top w:val="single" w:sz="4" w:space="0" w:color="D0CECE"/>
              <w:bottom w:val="single" w:sz="4" w:space="0" w:color="D0CECE"/>
            </w:tcBorders>
            <w:tcMar>
              <w:top w:w="-113" w:type="dxa"/>
              <w:left w:w="-113" w:type="dxa"/>
              <w:bottom w:w="-113" w:type="dxa"/>
              <w:right w:w="-113" w:type="dxa"/>
            </w:tcMar>
          </w:tcPr>
          <w:p w14:paraId="304FEB36" w14:textId="77777777" w:rsidR="00830D35" w:rsidRDefault="00830D35" w:rsidP="00830D35">
            <w:pPr>
              <w:pBdr>
                <w:top w:val="nil"/>
                <w:left w:val="nil"/>
                <w:bottom w:val="nil"/>
                <w:right w:val="nil"/>
                <w:between w:val="nil"/>
              </w:pBdr>
              <w:rPr>
                <w:color w:val="000000"/>
                <w:sz w:val="16"/>
                <w:szCs w:val="16"/>
              </w:rPr>
            </w:pPr>
            <w:r>
              <w:rPr>
                <w:color w:val="000000"/>
                <w:sz w:val="16"/>
                <w:szCs w:val="16"/>
              </w:rPr>
              <w:t>A&gt;G</w:t>
            </w:r>
          </w:p>
        </w:tc>
        <w:tc>
          <w:tcPr>
            <w:tcW w:w="1701" w:type="dxa"/>
            <w:tcBorders>
              <w:top w:val="single" w:sz="4" w:space="0" w:color="D0CECE"/>
              <w:bottom w:val="single" w:sz="4" w:space="0" w:color="D0CECE"/>
            </w:tcBorders>
            <w:tcMar>
              <w:top w:w="-113" w:type="dxa"/>
              <w:left w:w="-113" w:type="dxa"/>
              <w:bottom w:w="-113" w:type="dxa"/>
              <w:right w:w="-113" w:type="dxa"/>
            </w:tcMar>
          </w:tcPr>
          <w:p w14:paraId="04FF52DC" w14:textId="77777777" w:rsidR="00830D35" w:rsidRDefault="00830D35" w:rsidP="00830D35">
            <w:pPr>
              <w:pBdr>
                <w:top w:val="nil"/>
                <w:left w:val="nil"/>
                <w:bottom w:val="nil"/>
                <w:right w:val="nil"/>
                <w:between w:val="nil"/>
              </w:pBdr>
              <w:rPr>
                <w:color w:val="000000"/>
                <w:sz w:val="16"/>
                <w:szCs w:val="16"/>
              </w:rPr>
            </w:pPr>
            <w:r>
              <w:rPr>
                <w:color w:val="000000"/>
                <w:sz w:val="16"/>
                <w:szCs w:val="16"/>
              </w:rPr>
              <w:t>Intron variant</w:t>
            </w:r>
          </w:p>
        </w:tc>
        <w:tc>
          <w:tcPr>
            <w:tcW w:w="708" w:type="dxa"/>
            <w:vMerge/>
            <w:tcBorders>
              <w:top w:val="single" w:sz="4" w:space="0" w:color="000000"/>
              <w:bottom w:val="single" w:sz="4" w:space="0" w:color="000000"/>
            </w:tcBorders>
            <w:tcMar>
              <w:top w:w="-113" w:type="dxa"/>
              <w:left w:w="-113" w:type="dxa"/>
              <w:bottom w:w="-113" w:type="dxa"/>
              <w:right w:w="-113" w:type="dxa"/>
            </w:tcMar>
          </w:tcPr>
          <w:p w14:paraId="521A6609"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59C9563D"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67FFD4C8" w14:textId="77777777" w:rsidTr="00923C73">
        <w:trPr>
          <w:trHeight w:val="150"/>
        </w:trPr>
        <w:tc>
          <w:tcPr>
            <w:tcW w:w="993" w:type="dxa"/>
            <w:vMerge/>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035EFD07"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6E1DBA53"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0581F89E" w14:textId="77777777" w:rsidR="00830D35" w:rsidRDefault="00830D35" w:rsidP="00830D35">
            <w:pPr>
              <w:pBdr>
                <w:top w:val="nil"/>
                <w:left w:val="nil"/>
                <w:bottom w:val="nil"/>
                <w:right w:val="nil"/>
                <w:between w:val="nil"/>
              </w:pBdr>
              <w:rPr>
                <w:color w:val="000000"/>
                <w:sz w:val="16"/>
                <w:szCs w:val="16"/>
              </w:rPr>
            </w:pPr>
            <w:r>
              <w:rPr>
                <w:color w:val="000000"/>
                <w:sz w:val="16"/>
                <w:szCs w:val="16"/>
              </w:rPr>
              <w:t>rs206812</w:t>
            </w:r>
          </w:p>
        </w:tc>
        <w:tc>
          <w:tcPr>
            <w:tcW w:w="851" w:type="dxa"/>
            <w:tcBorders>
              <w:top w:val="single" w:sz="4" w:space="0" w:color="D0CECE"/>
              <w:bottom w:val="single" w:sz="4" w:space="0" w:color="D0CECE"/>
            </w:tcBorders>
            <w:tcMar>
              <w:top w:w="-113" w:type="dxa"/>
              <w:left w:w="-113" w:type="dxa"/>
              <w:bottom w:w="-113" w:type="dxa"/>
              <w:right w:w="-113" w:type="dxa"/>
            </w:tcMar>
          </w:tcPr>
          <w:p w14:paraId="662B7F9E" w14:textId="77777777" w:rsidR="00830D35" w:rsidRDefault="00830D35" w:rsidP="00830D35">
            <w:pPr>
              <w:pBdr>
                <w:top w:val="nil"/>
                <w:left w:val="nil"/>
                <w:bottom w:val="nil"/>
                <w:right w:val="nil"/>
                <w:between w:val="nil"/>
              </w:pBdr>
              <w:rPr>
                <w:color w:val="000000"/>
                <w:sz w:val="16"/>
                <w:szCs w:val="16"/>
              </w:rPr>
            </w:pPr>
            <w:r>
              <w:rPr>
                <w:color w:val="000000"/>
                <w:sz w:val="16"/>
                <w:szCs w:val="16"/>
              </w:rPr>
              <w:t>C&gt;</w:t>
            </w:r>
            <w:proofErr w:type="gramStart"/>
            <w:r>
              <w:rPr>
                <w:color w:val="000000"/>
                <w:sz w:val="16"/>
                <w:szCs w:val="16"/>
              </w:rPr>
              <w:t>A,T</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2DCBAF69" w14:textId="77777777" w:rsidR="00830D35" w:rsidRDefault="00830D35" w:rsidP="00830D35">
            <w:pPr>
              <w:pBdr>
                <w:top w:val="nil"/>
                <w:left w:val="nil"/>
                <w:bottom w:val="nil"/>
                <w:right w:val="nil"/>
                <w:between w:val="nil"/>
              </w:pBdr>
              <w:rPr>
                <w:color w:val="000000"/>
                <w:sz w:val="16"/>
                <w:szCs w:val="16"/>
              </w:rPr>
            </w:pPr>
            <w:r>
              <w:rPr>
                <w:color w:val="000000"/>
                <w:sz w:val="16"/>
                <w:szCs w:val="16"/>
              </w:rPr>
              <w:t>5 Prime UTR variant</w:t>
            </w:r>
          </w:p>
        </w:tc>
        <w:tc>
          <w:tcPr>
            <w:tcW w:w="708" w:type="dxa"/>
            <w:vMerge/>
            <w:tcBorders>
              <w:top w:val="single" w:sz="4" w:space="0" w:color="000000"/>
              <w:bottom w:val="single" w:sz="4" w:space="0" w:color="000000"/>
            </w:tcBorders>
            <w:tcMar>
              <w:top w:w="-113" w:type="dxa"/>
              <w:left w:w="-113" w:type="dxa"/>
              <w:bottom w:w="-113" w:type="dxa"/>
              <w:right w:w="-113" w:type="dxa"/>
            </w:tcMar>
          </w:tcPr>
          <w:p w14:paraId="7A150EE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14E9CA3A"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350B500F" w14:textId="77777777" w:rsidTr="00923C73">
        <w:trPr>
          <w:trHeight w:val="150"/>
        </w:trPr>
        <w:tc>
          <w:tcPr>
            <w:tcW w:w="993" w:type="dxa"/>
            <w:vMerge/>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5C92E1F5"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09F36406"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595102DC" w14:textId="77777777" w:rsidR="00830D35" w:rsidRDefault="00830D35" w:rsidP="00830D35">
            <w:pPr>
              <w:pBdr>
                <w:top w:val="nil"/>
                <w:left w:val="nil"/>
                <w:bottom w:val="nil"/>
                <w:right w:val="nil"/>
                <w:between w:val="nil"/>
              </w:pBdr>
              <w:rPr>
                <w:color w:val="000000"/>
                <w:sz w:val="16"/>
                <w:szCs w:val="16"/>
              </w:rPr>
            </w:pPr>
            <w:r>
              <w:rPr>
                <w:color w:val="000000"/>
                <w:sz w:val="16"/>
                <w:szCs w:val="16"/>
              </w:rPr>
              <w:t>rs2073316</w:t>
            </w:r>
          </w:p>
        </w:tc>
        <w:tc>
          <w:tcPr>
            <w:tcW w:w="851" w:type="dxa"/>
            <w:tcBorders>
              <w:top w:val="single" w:sz="4" w:space="0" w:color="D0CECE"/>
              <w:bottom w:val="single" w:sz="4" w:space="0" w:color="D0CECE"/>
            </w:tcBorders>
            <w:tcMar>
              <w:top w:w="-113" w:type="dxa"/>
              <w:left w:w="-113" w:type="dxa"/>
              <w:bottom w:w="-113" w:type="dxa"/>
              <w:right w:w="-113" w:type="dxa"/>
            </w:tcMar>
          </w:tcPr>
          <w:p w14:paraId="13E7931B" w14:textId="77777777" w:rsidR="00830D35" w:rsidRDefault="00830D35" w:rsidP="00830D35">
            <w:pPr>
              <w:pBdr>
                <w:top w:val="nil"/>
                <w:left w:val="nil"/>
                <w:bottom w:val="nil"/>
                <w:right w:val="nil"/>
                <w:between w:val="nil"/>
              </w:pBdr>
              <w:rPr>
                <w:color w:val="000000"/>
                <w:sz w:val="16"/>
                <w:szCs w:val="16"/>
              </w:rPr>
            </w:pPr>
            <w:r>
              <w:rPr>
                <w:color w:val="000000"/>
                <w:sz w:val="16"/>
                <w:szCs w:val="16"/>
              </w:rPr>
              <w:t>G&gt;</w:t>
            </w:r>
            <w:proofErr w:type="gramStart"/>
            <w:r>
              <w:rPr>
                <w:color w:val="000000"/>
                <w:sz w:val="16"/>
                <w:szCs w:val="16"/>
              </w:rPr>
              <w:t>A,C</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36033CD7" w14:textId="77777777" w:rsidR="00830D35" w:rsidRDefault="00830D35" w:rsidP="00830D35">
            <w:pPr>
              <w:pBdr>
                <w:top w:val="nil"/>
                <w:left w:val="nil"/>
                <w:bottom w:val="nil"/>
                <w:right w:val="nil"/>
                <w:between w:val="nil"/>
              </w:pBdr>
              <w:rPr>
                <w:color w:val="000000"/>
                <w:sz w:val="16"/>
                <w:szCs w:val="16"/>
              </w:rPr>
            </w:pPr>
            <w:r>
              <w:rPr>
                <w:color w:val="000000"/>
                <w:sz w:val="16"/>
                <w:szCs w:val="16"/>
              </w:rPr>
              <w:t>Intron variant</w:t>
            </w:r>
          </w:p>
        </w:tc>
        <w:tc>
          <w:tcPr>
            <w:tcW w:w="708" w:type="dxa"/>
            <w:vMerge/>
            <w:tcBorders>
              <w:top w:val="single" w:sz="4" w:space="0" w:color="000000"/>
              <w:bottom w:val="single" w:sz="4" w:space="0" w:color="000000"/>
            </w:tcBorders>
            <w:tcMar>
              <w:top w:w="-113" w:type="dxa"/>
              <w:left w:w="-113" w:type="dxa"/>
              <w:bottom w:w="-113" w:type="dxa"/>
              <w:right w:w="-113" w:type="dxa"/>
            </w:tcMar>
          </w:tcPr>
          <w:p w14:paraId="3541C944"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37D30248"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3CA81366" w14:textId="77777777" w:rsidTr="00923C73">
        <w:trPr>
          <w:trHeight w:val="150"/>
        </w:trPr>
        <w:tc>
          <w:tcPr>
            <w:tcW w:w="993" w:type="dxa"/>
            <w:vMerge/>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0E0B295E"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5D3EAD6D"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89003DE" w14:textId="77777777" w:rsidR="00830D35" w:rsidRDefault="00830D35" w:rsidP="00830D35">
            <w:pPr>
              <w:pBdr>
                <w:top w:val="nil"/>
                <w:left w:val="nil"/>
                <w:bottom w:val="nil"/>
                <w:right w:val="nil"/>
                <w:between w:val="nil"/>
              </w:pBdr>
              <w:rPr>
                <w:color w:val="000000"/>
                <w:sz w:val="16"/>
                <w:szCs w:val="16"/>
              </w:rPr>
            </w:pPr>
            <w:r>
              <w:rPr>
                <w:color w:val="000000"/>
                <w:sz w:val="16"/>
                <w:szCs w:val="16"/>
              </w:rPr>
              <w:t>rs6710015</w:t>
            </w:r>
          </w:p>
        </w:tc>
        <w:tc>
          <w:tcPr>
            <w:tcW w:w="851" w:type="dxa"/>
            <w:tcBorders>
              <w:top w:val="single" w:sz="4" w:space="0" w:color="D0CECE"/>
              <w:bottom w:val="single" w:sz="4" w:space="0" w:color="D0CECE"/>
            </w:tcBorders>
            <w:tcMar>
              <w:top w:w="-113" w:type="dxa"/>
              <w:left w:w="-113" w:type="dxa"/>
              <w:bottom w:w="-113" w:type="dxa"/>
              <w:right w:w="-113" w:type="dxa"/>
            </w:tcMar>
          </w:tcPr>
          <w:p w14:paraId="57F12A3F" w14:textId="77777777" w:rsidR="00830D35" w:rsidRDefault="00830D35" w:rsidP="00830D35">
            <w:pPr>
              <w:pBdr>
                <w:top w:val="nil"/>
                <w:left w:val="nil"/>
                <w:bottom w:val="nil"/>
                <w:right w:val="nil"/>
                <w:between w:val="nil"/>
              </w:pBdr>
              <w:rPr>
                <w:color w:val="000000"/>
                <w:sz w:val="16"/>
                <w:szCs w:val="16"/>
              </w:rPr>
            </w:pPr>
            <w:r>
              <w:rPr>
                <w:color w:val="000000"/>
                <w:sz w:val="16"/>
                <w:szCs w:val="16"/>
              </w:rPr>
              <w:t>T&gt;</w:t>
            </w:r>
            <w:proofErr w:type="gramStart"/>
            <w:r>
              <w:rPr>
                <w:color w:val="000000"/>
                <w:sz w:val="16"/>
                <w:szCs w:val="16"/>
              </w:rPr>
              <w:t>A,C</w:t>
            </w:r>
            <w:proofErr w:type="gramEnd"/>
          </w:p>
        </w:tc>
        <w:tc>
          <w:tcPr>
            <w:tcW w:w="1701" w:type="dxa"/>
            <w:tcBorders>
              <w:top w:val="single" w:sz="4" w:space="0" w:color="D0CECE"/>
              <w:bottom w:val="single" w:sz="4" w:space="0" w:color="D0CECE"/>
            </w:tcBorders>
            <w:tcMar>
              <w:top w:w="-113" w:type="dxa"/>
              <w:left w:w="-113" w:type="dxa"/>
              <w:bottom w:w="-113" w:type="dxa"/>
              <w:right w:w="-113" w:type="dxa"/>
            </w:tcMar>
          </w:tcPr>
          <w:p w14:paraId="59EEA17B" w14:textId="77777777" w:rsidR="00830D35" w:rsidRDefault="00830D35" w:rsidP="00830D35">
            <w:pPr>
              <w:pBdr>
                <w:top w:val="nil"/>
                <w:left w:val="nil"/>
                <w:bottom w:val="nil"/>
                <w:right w:val="nil"/>
                <w:between w:val="nil"/>
              </w:pBdr>
              <w:rPr>
                <w:color w:val="000000"/>
                <w:sz w:val="16"/>
                <w:szCs w:val="16"/>
              </w:rPr>
            </w:pPr>
            <w:r>
              <w:rPr>
                <w:color w:val="000000"/>
                <w:sz w:val="16"/>
                <w:szCs w:val="16"/>
              </w:rPr>
              <w:t>3 Prime UTR variant</w:t>
            </w:r>
          </w:p>
        </w:tc>
        <w:tc>
          <w:tcPr>
            <w:tcW w:w="708" w:type="dxa"/>
            <w:vMerge/>
            <w:tcBorders>
              <w:top w:val="single" w:sz="4" w:space="0" w:color="000000"/>
              <w:bottom w:val="single" w:sz="4" w:space="0" w:color="000000"/>
            </w:tcBorders>
            <w:tcMar>
              <w:top w:w="-113" w:type="dxa"/>
              <w:left w:w="-113" w:type="dxa"/>
              <w:bottom w:w="-113" w:type="dxa"/>
              <w:right w:w="-113" w:type="dxa"/>
            </w:tcMar>
          </w:tcPr>
          <w:p w14:paraId="32B5C96C"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02FCF0A1"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43D66E6D" w14:textId="77777777" w:rsidTr="00923C73">
        <w:trPr>
          <w:trHeight w:val="55"/>
        </w:trPr>
        <w:tc>
          <w:tcPr>
            <w:tcW w:w="993" w:type="dxa"/>
            <w:vMerge/>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16FD11C4"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059F514A"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D0CECE"/>
            </w:tcBorders>
            <w:shd w:val="clear" w:color="auto" w:fill="auto"/>
            <w:tcMar>
              <w:top w:w="-113" w:type="dxa"/>
              <w:left w:w="-113" w:type="dxa"/>
              <w:bottom w:w="-113" w:type="dxa"/>
              <w:right w:w="-113" w:type="dxa"/>
            </w:tcMar>
          </w:tcPr>
          <w:p w14:paraId="4BFE497E" w14:textId="77777777" w:rsidR="00830D35" w:rsidRDefault="00830D35" w:rsidP="00830D35">
            <w:pPr>
              <w:pBdr>
                <w:top w:val="nil"/>
                <w:left w:val="nil"/>
                <w:bottom w:val="nil"/>
                <w:right w:val="nil"/>
                <w:between w:val="nil"/>
              </w:pBdr>
              <w:rPr>
                <w:color w:val="000000"/>
                <w:sz w:val="16"/>
                <w:szCs w:val="16"/>
              </w:rPr>
            </w:pPr>
            <w:r>
              <w:rPr>
                <w:color w:val="000000"/>
                <w:sz w:val="16"/>
                <w:szCs w:val="16"/>
              </w:rPr>
              <w:t>rs6752058</w:t>
            </w:r>
          </w:p>
        </w:tc>
        <w:tc>
          <w:tcPr>
            <w:tcW w:w="851" w:type="dxa"/>
            <w:tcBorders>
              <w:top w:val="single" w:sz="4" w:space="0" w:color="D0CECE"/>
              <w:bottom w:val="single" w:sz="4" w:space="0" w:color="D0CECE"/>
            </w:tcBorders>
            <w:tcMar>
              <w:top w:w="-113" w:type="dxa"/>
              <w:left w:w="-113" w:type="dxa"/>
              <w:bottom w:w="-113" w:type="dxa"/>
              <w:right w:w="-113" w:type="dxa"/>
            </w:tcMar>
          </w:tcPr>
          <w:p w14:paraId="755636CB" w14:textId="77777777" w:rsidR="00830D35" w:rsidRDefault="00830D35" w:rsidP="00830D35">
            <w:pPr>
              <w:pBdr>
                <w:top w:val="nil"/>
                <w:left w:val="nil"/>
                <w:bottom w:val="nil"/>
                <w:right w:val="nil"/>
                <w:between w:val="nil"/>
              </w:pBdr>
              <w:rPr>
                <w:color w:val="000000"/>
                <w:sz w:val="16"/>
                <w:szCs w:val="16"/>
              </w:rPr>
            </w:pPr>
            <w:r>
              <w:rPr>
                <w:color w:val="000000"/>
                <w:sz w:val="16"/>
                <w:szCs w:val="16"/>
              </w:rPr>
              <w:t>C&gt;</w:t>
            </w:r>
            <w:proofErr w:type="gramStart"/>
            <w:r>
              <w:rPr>
                <w:color w:val="000000"/>
                <w:sz w:val="16"/>
                <w:szCs w:val="16"/>
              </w:rPr>
              <w:t>A,G</w:t>
            </w:r>
            <w:proofErr w:type="gramEnd"/>
            <w:r>
              <w:rPr>
                <w:color w:val="000000"/>
                <w:sz w:val="16"/>
                <w:szCs w:val="16"/>
              </w:rPr>
              <w:t>,T</w:t>
            </w:r>
          </w:p>
        </w:tc>
        <w:tc>
          <w:tcPr>
            <w:tcW w:w="1701" w:type="dxa"/>
            <w:tcBorders>
              <w:top w:val="single" w:sz="4" w:space="0" w:color="D0CECE"/>
              <w:bottom w:val="single" w:sz="4" w:space="0" w:color="D0CECE"/>
            </w:tcBorders>
            <w:tcMar>
              <w:top w:w="-113" w:type="dxa"/>
              <w:left w:w="-113" w:type="dxa"/>
              <w:bottom w:w="-113" w:type="dxa"/>
              <w:right w:w="-113" w:type="dxa"/>
            </w:tcMar>
          </w:tcPr>
          <w:p w14:paraId="078109A7" w14:textId="77777777" w:rsidR="00830D35" w:rsidRDefault="00830D35" w:rsidP="00830D35">
            <w:pPr>
              <w:pBdr>
                <w:top w:val="nil"/>
                <w:left w:val="nil"/>
                <w:bottom w:val="nil"/>
                <w:right w:val="nil"/>
                <w:between w:val="nil"/>
              </w:pBdr>
              <w:rPr>
                <w:color w:val="000000"/>
                <w:sz w:val="16"/>
                <w:szCs w:val="16"/>
              </w:rPr>
            </w:pPr>
            <w:r>
              <w:rPr>
                <w:color w:val="000000"/>
                <w:sz w:val="16"/>
                <w:szCs w:val="16"/>
              </w:rPr>
              <w:t>3 Prime UTR variant</w:t>
            </w:r>
          </w:p>
        </w:tc>
        <w:tc>
          <w:tcPr>
            <w:tcW w:w="708" w:type="dxa"/>
            <w:vMerge/>
            <w:tcBorders>
              <w:top w:val="single" w:sz="4" w:space="0" w:color="000000"/>
              <w:bottom w:val="single" w:sz="4" w:space="0" w:color="000000"/>
            </w:tcBorders>
            <w:tcMar>
              <w:top w:w="-113" w:type="dxa"/>
              <w:left w:w="-113" w:type="dxa"/>
              <w:bottom w:w="-113" w:type="dxa"/>
              <w:right w:w="-113" w:type="dxa"/>
            </w:tcMar>
          </w:tcPr>
          <w:p w14:paraId="7C5C018A"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70B3FBF9"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r w:rsidR="00830D35" w14:paraId="5CCA9BAB" w14:textId="77777777" w:rsidTr="00923C73">
        <w:trPr>
          <w:trHeight w:val="150"/>
        </w:trPr>
        <w:tc>
          <w:tcPr>
            <w:tcW w:w="993" w:type="dxa"/>
            <w:vMerge/>
            <w:tcBorders>
              <w:top w:val="single" w:sz="4" w:space="0" w:color="000000"/>
              <w:left w:val="single" w:sz="4" w:space="0" w:color="000000" w:themeColor="text1"/>
              <w:bottom w:val="single" w:sz="4" w:space="0" w:color="000000"/>
              <w:right w:val="nil"/>
            </w:tcBorders>
            <w:shd w:val="clear" w:color="auto" w:fill="auto"/>
            <w:tcMar>
              <w:top w:w="-113" w:type="dxa"/>
              <w:left w:w="-113" w:type="dxa"/>
              <w:bottom w:w="-113" w:type="dxa"/>
              <w:right w:w="-113" w:type="dxa"/>
            </w:tcMar>
          </w:tcPr>
          <w:p w14:paraId="145725E4"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3402" w:type="dxa"/>
            <w:vMerge/>
            <w:tcBorders>
              <w:top w:val="single" w:sz="4" w:space="0" w:color="000000"/>
              <w:left w:val="nil"/>
              <w:bottom w:val="single" w:sz="4" w:space="0" w:color="000000"/>
              <w:right w:val="nil"/>
            </w:tcBorders>
            <w:shd w:val="clear" w:color="auto" w:fill="auto"/>
            <w:tcMar>
              <w:top w:w="-113" w:type="dxa"/>
              <w:left w:w="-113" w:type="dxa"/>
              <w:bottom w:w="-113" w:type="dxa"/>
              <w:right w:w="-113" w:type="dxa"/>
            </w:tcMar>
          </w:tcPr>
          <w:p w14:paraId="6E554A95"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992" w:type="dxa"/>
            <w:tcBorders>
              <w:top w:val="single" w:sz="4" w:space="0" w:color="D0CECE"/>
              <w:left w:val="nil"/>
              <w:bottom w:val="single" w:sz="4" w:space="0" w:color="000000"/>
            </w:tcBorders>
            <w:shd w:val="clear" w:color="auto" w:fill="auto"/>
            <w:tcMar>
              <w:top w:w="-113" w:type="dxa"/>
              <w:left w:w="-113" w:type="dxa"/>
              <w:bottom w:w="-113" w:type="dxa"/>
              <w:right w:w="-113" w:type="dxa"/>
            </w:tcMar>
          </w:tcPr>
          <w:p w14:paraId="591B1D27" w14:textId="77777777" w:rsidR="00830D35" w:rsidRDefault="00830D35" w:rsidP="00830D35">
            <w:pPr>
              <w:pBdr>
                <w:top w:val="nil"/>
                <w:left w:val="nil"/>
                <w:bottom w:val="nil"/>
                <w:right w:val="nil"/>
                <w:between w:val="nil"/>
              </w:pBdr>
              <w:rPr>
                <w:color w:val="000000"/>
                <w:sz w:val="16"/>
                <w:szCs w:val="16"/>
              </w:rPr>
            </w:pPr>
            <w:r>
              <w:rPr>
                <w:color w:val="000000"/>
                <w:sz w:val="16"/>
                <w:szCs w:val="16"/>
              </w:rPr>
              <w:t>rs761926</w:t>
            </w:r>
          </w:p>
        </w:tc>
        <w:tc>
          <w:tcPr>
            <w:tcW w:w="851" w:type="dxa"/>
            <w:tcBorders>
              <w:top w:val="single" w:sz="4" w:space="0" w:color="D0CECE"/>
              <w:bottom w:val="single" w:sz="4" w:space="0" w:color="000000"/>
            </w:tcBorders>
            <w:tcMar>
              <w:top w:w="-113" w:type="dxa"/>
              <w:left w:w="-113" w:type="dxa"/>
              <w:bottom w:w="-113" w:type="dxa"/>
              <w:right w:w="-113" w:type="dxa"/>
            </w:tcMar>
          </w:tcPr>
          <w:p w14:paraId="003A5815" w14:textId="77777777" w:rsidR="00830D35" w:rsidRDefault="00830D35" w:rsidP="00830D35">
            <w:pPr>
              <w:pBdr>
                <w:top w:val="nil"/>
                <w:left w:val="nil"/>
                <w:bottom w:val="nil"/>
                <w:right w:val="nil"/>
                <w:between w:val="nil"/>
              </w:pBdr>
              <w:rPr>
                <w:color w:val="000000"/>
                <w:sz w:val="16"/>
                <w:szCs w:val="16"/>
              </w:rPr>
            </w:pPr>
            <w:r>
              <w:rPr>
                <w:color w:val="000000"/>
                <w:sz w:val="16"/>
                <w:szCs w:val="16"/>
              </w:rPr>
              <w:t>C&gt;</w:t>
            </w:r>
            <w:proofErr w:type="gramStart"/>
            <w:r>
              <w:rPr>
                <w:color w:val="000000"/>
                <w:sz w:val="16"/>
                <w:szCs w:val="16"/>
              </w:rPr>
              <w:t>G,T</w:t>
            </w:r>
            <w:proofErr w:type="gramEnd"/>
          </w:p>
        </w:tc>
        <w:tc>
          <w:tcPr>
            <w:tcW w:w="1701" w:type="dxa"/>
            <w:tcBorders>
              <w:top w:val="single" w:sz="4" w:space="0" w:color="D0CECE"/>
              <w:bottom w:val="single" w:sz="4" w:space="0" w:color="000000"/>
            </w:tcBorders>
            <w:tcMar>
              <w:top w:w="-113" w:type="dxa"/>
              <w:left w:w="-113" w:type="dxa"/>
              <w:bottom w:w="-113" w:type="dxa"/>
              <w:right w:w="-113" w:type="dxa"/>
            </w:tcMar>
          </w:tcPr>
          <w:p w14:paraId="5951DB38" w14:textId="77777777" w:rsidR="00830D35" w:rsidRDefault="00830D35" w:rsidP="00830D35">
            <w:pPr>
              <w:pBdr>
                <w:top w:val="nil"/>
                <w:left w:val="nil"/>
                <w:bottom w:val="nil"/>
                <w:right w:val="nil"/>
                <w:between w:val="nil"/>
              </w:pBdr>
              <w:rPr>
                <w:color w:val="000000"/>
                <w:sz w:val="16"/>
                <w:szCs w:val="16"/>
              </w:rPr>
            </w:pPr>
            <w:r>
              <w:rPr>
                <w:color w:val="000000"/>
                <w:sz w:val="16"/>
                <w:szCs w:val="16"/>
              </w:rPr>
              <w:t>Intron variant</w:t>
            </w:r>
          </w:p>
        </w:tc>
        <w:tc>
          <w:tcPr>
            <w:tcW w:w="708" w:type="dxa"/>
            <w:vMerge/>
            <w:tcBorders>
              <w:top w:val="single" w:sz="4" w:space="0" w:color="000000"/>
              <w:bottom w:val="single" w:sz="4" w:space="0" w:color="000000"/>
            </w:tcBorders>
            <w:tcMar>
              <w:top w:w="-113" w:type="dxa"/>
              <w:left w:w="-113" w:type="dxa"/>
              <w:bottom w:w="-113" w:type="dxa"/>
              <w:right w:w="-113" w:type="dxa"/>
            </w:tcMar>
          </w:tcPr>
          <w:p w14:paraId="3453D906"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c>
          <w:tcPr>
            <w:tcW w:w="1838" w:type="dxa"/>
            <w:vMerge/>
            <w:tcBorders>
              <w:top w:val="single" w:sz="4" w:space="0" w:color="000000"/>
              <w:bottom w:val="single" w:sz="4" w:space="0" w:color="000000"/>
              <w:right w:val="single" w:sz="4" w:space="0" w:color="000000" w:themeColor="text1"/>
            </w:tcBorders>
            <w:tcMar>
              <w:top w:w="-113" w:type="dxa"/>
              <w:left w:w="-113" w:type="dxa"/>
              <w:bottom w:w="-113" w:type="dxa"/>
              <w:right w:w="-113" w:type="dxa"/>
            </w:tcMar>
          </w:tcPr>
          <w:p w14:paraId="0FB98FB4" w14:textId="77777777" w:rsidR="00830D35" w:rsidRDefault="00830D35" w:rsidP="00830D35">
            <w:pPr>
              <w:widowControl w:val="0"/>
              <w:pBdr>
                <w:top w:val="nil"/>
                <w:left w:val="nil"/>
                <w:bottom w:val="nil"/>
                <w:right w:val="nil"/>
                <w:between w:val="nil"/>
              </w:pBdr>
              <w:spacing w:line="276" w:lineRule="auto"/>
              <w:rPr>
                <w:color w:val="000000"/>
                <w:sz w:val="16"/>
                <w:szCs w:val="16"/>
              </w:rPr>
            </w:pPr>
          </w:p>
        </w:tc>
      </w:tr>
    </w:tbl>
    <w:p w14:paraId="12C67B75" w14:textId="77777777" w:rsidR="00CB0062" w:rsidRDefault="00CB0062" w:rsidP="00CB0062">
      <w:pPr>
        <w:rPr>
          <w:color w:val="000000"/>
          <w:sz w:val="17"/>
          <w:szCs w:val="17"/>
        </w:rPr>
      </w:pPr>
      <w:r>
        <w:rPr>
          <w:b/>
          <w:i/>
          <w:color w:val="000000"/>
          <w:sz w:val="17"/>
          <w:szCs w:val="17"/>
        </w:rPr>
        <w:t>Abbreviations:</w:t>
      </w:r>
      <w:r>
        <w:rPr>
          <w:b/>
          <w:color w:val="000000"/>
          <w:sz w:val="17"/>
          <w:szCs w:val="17"/>
        </w:rPr>
        <w:t xml:space="preserve"> BP</w:t>
      </w:r>
      <w:r>
        <w:rPr>
          <w:color w:val="000000"/>
          <w:sz w:val="17"/>
          <w:szCs w:val="17"/>
        </w:rPr>
        <w:t xml:space="preserve">, blood pressure; </w:t>
      </w:r>
      <w:r>
        <w:rPr>
          <w:b/>
          <w:color w:val="000000"/>
          <w:sz w:val="17"/>
          <w:szCs w:val="17"/>
        </w:rPr>
        <w:t>CA</w:t>
      </w:r>
      <w:r>
        <w:rPr>
          <w:color w:val="000000"/>
          <w:sz w:val="17"/>
          <w:szCs w:val="17"/>
        </w:rPr>
        <w:t xml:space="preserve">, carotid atherosclerosis; </w:t>
      </w:r>
      <w:r>
        <w:rPr>
          <w:b/>
          <w:color w:val="000000"/>
          <w:sz w:val="17"/>
          <w:szCs w:val="17"/>
        </w:rPr>
        <w:t>CIM</w:t>
      </w:r>
      <w:r>
        <w:rPr>
          <w:b/>
          <w:sz w:val="17"/>
          <w:szCs w:val="17"/>
        </w:rPr>
        <w:t>T</w:t>
      </w:r>
      <w:r>
        <w:rPr>
          <w:sz w:val="17"/>
          <w:szCs w:val="17"/>
        </w:rPr>
        <w:t xml:space="preserve">, carotid intima media thickness, </w:t>
      </w:r>
      <w:r>
        <w:rPr>
          <w:b/>
          <w:color w:val="000000"/>
          <w:sz w:val="17"/>
          <w:szCs w:val="17"/>
        </w:rPr>
        <w:t>CVD</w:t>
      </w:r>
      <w:r>
        <w:rPr>
          <w:color w:val="000000"/>
          <w:sz w:val="17"/>
          <w:szCs w:val="17"/>
        </w:rPr>
        <w:t xml:space="preserve">, cardiovascular disease; </w:t>
      </w:r>
      <w:r>
        <w:rPr>
          <w:b/>
          <w:color w:val="000000"/>
          <w:sz w:val="17"/>
          <w:szCs w:val="17"/>
        </w:rPr>
        <w:t>DBP</w:t>
      </w:r>
      <w:r>
        <w:rPr>
          <w:color w:val="000000"/>
          <w:sz w:val="17"/>
          <w:szCs w:val="17"/>
        </w:rPr>
        <w:t>, diastolic blood pressure;</w:t>
      </w:r>
      <w:r>
        <w:rPr>
          <w:b/>
          <w:color w:val="000000"/>
          <w:sz w:val="17"/>
          <w:szCs w:val="17"/>
        </w:rPr>
        <w:t xml:space="preserve"> DM</w:t>
      </w:r>
      <w:r>
        <w:rPr>
          <w:color w:val="000000"/>
          <w:sz w:val="17"/>
          <w:szCs w:val="17"/>
        </w:rPr>
        <w:t xml:space="preserve">, diabetes mellitus; </w:t>
      </w:r>
      <w:r>
        <w:rPr>
          <w:b/>
          <w:color w:val="000000"/>
          <w:sz w:val="17"/>
          <w:szCs w:val="17"/>
        </w:rPr>
        <w:t>T2DM</w:t>
      </w:r>
      <w:r>
        <w:rPr>
          <w:color w:val="000000"/>
          <w:sz w:val="17"/>
          <w:szCs w:val="17"/>
        </w:rPr>
        <w:t xml:space="preserve">, diabetes mellitus type 2; </w:t>
      </w:r>
      <w:r>
        <w:rPr>
          <w:b/>
          <w:color w:val="000000"/>
          <w:sz w:val="17"/>
          <w:szCs w:val="17"/>
        </w:rPr>
        <w:t>ECG</w:t>
      </w:r>
      <w:r>
        <w:rPr>
          <w:color w:val="000000"/>
          <w:sz w:val="17"/>
          <w:szCs w:val="17"/>
        </w:rPr>
        <w:t xml:space="preserve"> </w:t>
      </w:r>
      <w:proofErr w:type="spellStart"/>
      <w:r>
        <w:rPr>
          <w:color w:val="000000"/>
          <w:sz w:val="17"/>
          <w:szCs w:val="17"/>
        </w:rPr>
        <w:t>abnor</w:t>
      </w:r>
      <w:proofErr w:type="spellEnd"/>
      <w:r>
        <w:rPr>
          <w:color w:val="000000"/>
          <w:sz w:val="17"/>
          <w:szCs w:val="17"/>
        </w:rPr>
        <w:t xml:space="preserve">, electrocardiogram abnormality; </w:t>
      </w:r>
      <w:proofErr w:type="spellStart"/>
      <w:r>
        <w:rPr>
          <w:b/>
          <w:color w:val="000000"/>
          <w:sz w:val="17"/>
          <w:szCs w:val="17"/>
        </w:rPr>
        <w:t>MetS</w:t>
      </w:r>
      <w:proofErr w:type="spellEnd"/>
      <w:r>
        <w:rPr>
          <w:color w:val="000000"/>
          <w:sz w:val="17"/>
          <w:szCs w:val="17"/>
        </w:rPr>
        <w:t xml:space="preserve">, metabolic syndrome; </w:t>
      </w:r>
      <w:proofErr w:type="spellStart"/>
      <w:r>
        <w:rPr>
          <w:b/>
          <w:color w:val="000000"/>
          <w:sz w:val="17"/>
          <w:szCs w:val="17"/>
        </w:rPr>
        <w:t>rsID</w:t>
      </w:r>
      <w:proofErr w:type="spellEnd"/>
      <w:r>
        <w:rPr>
          <w:color w:val="000000"/>
          <w:sz w:val="17"/>
          <w:szCs w:val="17"/>
        </w:rPr>
        <w:t xml:space="preserve">, SNP identification number; </w:t>
      </w:r>
      <w:r>
        <w:rPr>
          <w:b/>
          <w:color w:val="000000"/>
          <w:sz w:val="17"/>
          <w:szCs w:val="17"/>
        </w:rPr>
        <w:t>SBP</w:t>
      </w:r>
      <w:r>
        <w:rPr>
          <w:color w:val="000000"/>
          <w:sz w:val="17"/>
          <w:szCs w:val="17"/>
        </w:rPr>
        <w:t xml:space="preserve">, systolic blood pressure; </w:t>
      </w:r>
      <w:r>
        <w:rPr>
          <w:b/>
          <w:color w:val="000000"/>
          <w:sz w:val="17"/>
          <w:szCs w:val="17"/>
        </w:rPr>
        <w:t>UTR</w:t>
      </w:r>
      <w:r>
        <w:rPr>
          <w:color w:val="000000"/>
          <w:sz w:val="17"/>
          <w:szCs w:val="17"/>
        </w:rPr>
        <w:t>, untranslated region</w:t>
      </w:r>
    </w:p>
    <w:p w14:paraId="573D89A3" w14:textId="264353E8" w:rsidR="00CB0062" w:rsidRPr="0099775C" w:rsidRDefault="00CB0062" w:rsidP="00CB0062">
      <w:pPr>
        <w:spacing w:line="360" w:lineRule="auto"/>
        <w:rPr>
          <w:bCs/>
        </w:rPr>
        <w:sectPr w:rsidR="00CB0062" w:rsidRPr="0099775C">
          <w:pgSz w:w="11906" w:h="16838"/>
          <w:pgMar w:top="1440" w:right="1440" w:bottom="1440" w:left="1440" w:header="708" w:footer="708" w:gutter="0"/>
          <w:cols w:space="708"/>
          <w:docGrid w:linePitch="360"/>
        </w:sectPr>
      </w:pPr>
    </w:p>
    <w:tbl>
      <w:tblPr>
        <w:tblpPr w:leftFromText="180" w:rightFromText="180" w:vertAnchor="text" w:tblpY="1"/>
        <w:tblOverlap w:val="never"/>
        <w:tblW w:w="13041" w:type="dxa"/>
        <w:tblBorders>
          <w:top w:val="single" w:sz="4" w:space="0" w:color="auto"/>
          <w:left w:val="single" w:sz="2"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8364"/>
        <w:gridCol w:w="708"/>
        <w:gridCol w:w="851"/>
        <w:gridCol w:w="850"/>
        <w:gridCol w:w="709"/>
        <w:gridCol w:w="709"/>
        <w:gridCol w:w="850"/>
      </w:tblGrid>
      <w:tr w:rsidR="00E77839" w:rsidRPr="00790DAC" w14:paraId="60C4D8E5" w14:textId="77777777" w:rsidTr="009002E5">
        <w:trPr>
          <w:cantSplit/>
          <w:trHeight w:val="432"/>
          <w:tblHeader/>
        </w:trPr>
        <w:tc>
          <w:tcPr>
            <w:tcW w:w="13041" w:type="dxa"/>
            <w:gridSpan w:val="7"/>
            <w:tcBorders>
              <w:top w:val="nil"/>
              <w:left w:val="nil"/>
              <w:bottom w:val="single" w:sz="4" w:space="0" w:color="auto"/>
              <w:right w:val="nil"/>
            </w:tcBorders>
            <w:shd w:val="clear" w:color="auto" w:fill="FFFFFF" w:themeFill="background1"/>
            <w:vAlign w:val="center"/>
          </w:tcPr>
          <w:p w14:paraId="467A66C1" w14:textId="6F2D0302" w:rsidR="00E77839" w:rsidRPr="00EA02DE" w:rsidRDefault="00E77839" w:rsidP="009002E5">
            <w:pPr>
              <w:ind w:left="113" w:right="113"/>
              <w:rPr>
                <w:sz w:val="22"/>
                <w:szCs w:val="22"/>
              </w:rPr>
            </w:pPr>
            <w:r w:rsidRPr="0099775C">
              <w:rPr>
                <w:b/>
                <w:color w:val="000000"/>
                <w:sz w:val="22"/>
                <w:szCs w:val="22"/>
              </w:rPr>
              <w:lastRenderedPageBreak/>
              <w:t xml:space="preserve">Supplement Table </w:t>
            </w:r>
            <w:r>
              <w:rPr>
                <w:b/>
                <w:color w:val="000000"/>
                <w:sz w:val="22"/>
                <w:szCs w:val="22"/>
              </w:rPr>
              <w:t>6</w:t>
            </w:r>
            <w:r w:rsidRPr="0099775C">
              <w:rPr>
                <w:b/>
                <w:color w:val="000000"/>
                <w:sz w:val="22"/>
                <w:szCs w:val="22"/>
              </w:rPr>
              <w:t xml:space="preserve"> Quality assessment of cohort or case-cohort </w:t>
            </w:r>
            <w:r w:rsidRPr="00B4476D">
              <w:rPr>
                <w:b/>
                <w:color w:val="000000"/>
                <w:sz w:val="22"/>
                <w:szCs w:val="22"/>
              </w:rPr>
              <w:t>studies (n=</w:t>
            </w:r>
            <w:r>
              <w:rPr>
                <w:b/>
                <w:color w:val="000000"/>
                <w:sz w:val="22"/>
                <w:szCs w:val="22"/>
              </w:rPr>
              <w:t>6</w:t>
            </w:r>
            <w:r w:rsidRPr="00B4476D">
              <w:rPr>
                <w:b/>
                <w:color w:val="000000"/>
                <w:sz w:val="22"/>
                <w:szCs w:val="22"/>
              </w:rPr>
              <w:t>).</w:t>
            </w:r>
          </w:p>
        </w:tc>
      </w:tr>
      <w:tr w:rsidR="00E77839" w:rsidRPr="00790DAC" w14:paraId="69B7D115" w14:textId="0F752980" w:rsidTr="009002E5">
        <w:trPr>
          <w:cantSplit/>
          <w:trHeight w:val="1407"/>
          <w:tblHeader/>
        </w:trPr>
        <w:tc>
          <w:tcPr>
            <w:tcW w:w="8364" w:type="dxa"/>
            <w:tcBorders>
              <w:top w:val="single" w:sz="4" w:space="0" w:color="auto"/>
              <w:bottom w:val="single" w:sz="4" w:space="0" w:color="auto"/>
            </w:tcBorders>
            <w:shd w:val="clear" w:color="auto" w:fill="FFFFFF" w:themeFill="background1"/>
            <w:vAlign w:val="center"/>
            <w:hideMark/>
          </w:tcPr>
          <w:p w14:paraId="3C7F8342" w14:textId="77777777" w:rsidR="00E77839" w:rsidRPr="00790DAC" w:rsidRDefault="00E77839" w:rsidP="009002E5">
            <w:pPr>
              <w:rPr>
                <w:b/>
                <w:color w:val="000000"/>
                <w:sz w:val="20"/>
                <w:szCs w:val="20"/>
              </w:rPr>
            </w:pPr>
            <w:r w:rsidRPr="00790DAC">
              <w:rPr>
                <w:b/>
                <w:color w:val="000000"/>
                <w:sz w:val="20"/>
                <w:szCs w:val="20"/>
              </w:rPr>
              <w:t xml:space="preserve">  Quality criteria</w:t>
            </w:r>
          </w:p>
        </w:tc>
        <w:tc>
          <w:tcPr>
            <w:tcW w:w="708" w:type="dxa"/>
            <w:tcBorders>
              <w:top w:val="single" w:sz="4" w:space="0" w:color="auto"/>
              <w:bottom w:val="single" w:sz="4" w:space="0" w:color="auto"/>
            </w:tcBorders>
            <w:shd w:val="clear" w:color="auto" w:fill="FFFFFF" w:themeFill="background1"/>
            <w:textDirection w:val="btLr"/>
          </w:tcPr>
          <w:p w14:paraId="02DB4A41" w14:textId="5695B670" w:rsidR="00E77839" w:rsidRPr="00EA02DE" w:rsidRDefault="00E77839" w:rsidP="009002E5">
            <w:pPr>
              <w:ind w:left="113" w:right="113"/>
              <w:rPr>
                <w:sz w:val="22"/>
                <w:szCs w:val="22"/>
              </w:rPr>
            </w:pPr>
            <w:r w:rsidRPr="00EA02DE">
              <w:rPr>
                <w:sz w:val="22"/>
                <w:szCs w:val="22"/>
              </w:rPr>
              <w:t xml:space="preserve">Chen </w:t>
            </w:r>
            <w:r w:rsidRPr="00EA02DE">
              <w:rPr>
                <w:i/>
                <w:iCs/>
                <w:sz w:val="22"/>
                <w:szCs w:val="22"/>
              </w:rPr>
              <w:t xml:space="preserve">et al. </w:t>
            </w:r>
            <w:r w:rsidRPr="00EA02DE">
              <w:rPr>
                <w:sz w:val="22"/>
                <w:szCs w:val="22"/>
              </w:rPr>
              <w:t>2012</w:t>
            </w:r>
            <w:r>
              <w:rPr>
                <w:sz w:val="22"/>
                <w:szCs w:val="22"/>
              </w:rPr>
              <w:t>b</w:t>
            </w:r>
            <w:r w:rsidRPr="00EA02DE">
              <w:rPr>
                <w:sz w:val="22"/>
                <w:szCs w:val="22"/>
              </w:rPr>
              <w:fldChar w:fldCharType="begin" w:fldLock="1"/>
            </w:r>
            <w:r w:rsidRPr="00EA02DE">
              <w:rPr>
                <w:sz w:val="22"/>
                <w:szCs w:val="22"/>
              </w:rPr>
              <w:instrText>ADDIN CSL_CITATION {"citationItems":[{"id":"ITEM-1","itemData":{"DOI":"10.1016/J.CHEMOSPHERE.2012.02.059","ISSN":"0045-6535","PMID":"22440634","abstract":"Previous studies have shown that hair arsenic (As) levels are associated with an increased prevalence of metabolic syndrome (MetS), which is a strong predictor for type 2 diabetes. The objective of this study was to evaluate whether urinary arsenic methylation is related to MetS in an arseniasis endemic area of southwestern Taiwan, taking genetic factors into account. Subjects were from a community-based cohort recruited in 1990 from three villages in Putai Township. In 2002-2003, we successfully followed 247 subjects and measured their urinary arsenic species including inorganic arsenic, monomethylarsonic acid (MMA) and dimethylarsinic acid (DMA), as well as the coding region polymorphisms of three genes known to involve in arsenic methylation. Results showed that subjects of MetS had a history of consuming well water of higher arsenic concentration as compared to those without MetS. We also found a significant association between urinary arsenic species and risk for MetS, where the odds ratio of MetS was increased with decreasing proportion of MMA and low rate of primary methylation (defined as MMA/inorganic As). The increased risk associated with low primary methylation rate was further modified by the GSTO1 A140D polymorphism, with the D allele carriers showing a slightly higher risk for MetS. Our results suggest that a low MMA% is associated with increased risk for MetS among As-exposed subjects and the genetic polymorphism of GSTO1, an enzyme responsible for the reduction of pentavalent arsenic species, may also play a modest modification role. © 2012 Elsevier Ltd.","author":[{"dropping-particle":"","family":"Chen","given":"Jein Wen","non-dropping-particle":"","parse-names":false,"suffix":""},{"dropping-particle":"","family":"Wang","given":"Shu Li","non-dropping-particle":"","parse-names":false,"suffix":""},{"dropping-particle":"","family":"Wang","given":"Ya Hui","non-dropping-particle":"","parse-names":false,"suffix":""},{"dropping-particle":"","family":"Sun","given":"Chien Wen","non-dropping-particle":"","parse-names":false,"suffix":""},{"dropping-particle":"","family":"Huang","given":"Yeou Lih","non-dropping-particle":"","parse-names":false,"suffix":""},{"dropping-particle":"","family":"Chen","given":"Chien Jen","non-dropping-particle":"","parse-names":false,"suffix":""},{"dropping-particle":"","family":"Li","given":"Wan Fen","non-dropping-particle":"","parse-names":false,"suffix":""}],"container-title":"Chemosphere","id":"ITEM-1","issue":"4","issued":{"date-parts":[["2012","7","1"]]},"page":"432-438","publisher":"Pergamon","title":"Arsenic methylation, GSTO1 polymorphisms, and metabolic syndrome in an arseniasis endemic area of southwestern Taiwan","type":"article-journal","volume":"88"},"uris":["http://www.mendeley.com/documents/?uuid=c28ce66f-0e24-363f-8c92-7f0a898edbce"]}],"mendeley":{"formattedCitation":"&lt;sup&gt;1&lt;/sup&gt;","plainTextFormattedCitation":"1","previouslyFormattedCitation":"&lt;sup&gt;1&lt;/sup&gt;"},"properties":{"noteIndex":0},"schema":"https://github.com/citation-style-language/schema/raw/master/csl-citation.json"}</w:instrText>
            </w:r>
            <w:r w:rsidRPr="00EA02DE">
              <w:rPr>
                <w:sz w:val="22"/>
                <w:szCs w:val="22"/>
              </w:rPr>
              <w:fldChar w:fldCharType="separate"/>
            </w:r>
            <w:r w:rsidRPr="00EA02DE">
              <w:rPr>
                <w:noProof/>
                <w:sz w:val="22"/>
                <w:szCs w:val="22"/>
                <w:vertAlign w:val="superscript"/>
              </w:rPr>
              <w:t>1</w:t>
            </w:r>
            <w:r w:rsidRPr="00EA02DE">
              <w:rPr>
                <w:sz w:val="22"/>
                <w:szCs w:val="22"/>
              </w:rPr>
              <w:fldChar w:fldCharType="end"/>
            </w:r>
          </w:p>
        </w:tc>
        <w:tc>
          <w:tcPr>
            <w:tcW w:w="851" w:type="dxa"/>
            <w:tcBorders>
              <w:top w:val="single" w:sz="4" w:space="0" w:color="auto"/>
              <w:bottom w:val="single" w:sz="4" w:space="0" w:color="auto"/>
            </w:tcBorders>
            <w:shd w:val="clear" w:color="auto" w:fill="FFFFFF" w:themeFill="background1"/>
            <w:textDirection w:val="btLr"/>
            <w:vAlign w:val="center"/>
          </w:tcPr>
          <w:p w14:paraId="31BC59D5" w14:textId="77975341" w:rsidR="00E77839" w:rsidRPr="00EA02DE" w:rsidRDefault="00E77839" w:rsidP="009002E5">
            <w:pPr>
              <w:ind w:left="113" w:right="113"/>
              <w:rPr>
                <w:color w:val="000000"/>
                <w:sz w:val="22"/>
                <w:szCs w:val="22"/>
              </w:rPr>
            </w:pPr>
            <w:r w:rsidRPr="00EA02DE">
              <w:rPr>
                <w:sz w:val="22"/>
                <w:szCs w:val="22"/>
              </w:rPr>
              <w:t xml:space="preserve">Farzan </w:t>
            </w:r>
            <w:r w:rsidRPr="00EA02DE">
              <w:rPr>
                <w:i/>
                <w:iCs/>
                <w:sz w:val="22"/>
                <w:szCs w:val="22"/>
              </w:rPr>
              <w:t>et al.</w:t>
            </w:r>
            <w:r w:rsidRPr="00EA02DE">
              <w:rPr>
                <w:sz w:val="22"/>
                <w:szCs w:val="22"/>
              </w:rPr>
              <w:t xml:space="preserve"> 2016</w:t>
            </w:r>
            <w:r w:rsidRPr="00EA02DE">
              <w:rPr>
                <w:sz w:val="22"/>
                <w:szCs w:val="22"/>
              </w:rPr>
              <w:fldChar w:fldCharType="begin" w:fldLock="1"/>
            </w:r>
            <w:r>
              <w:rPr>
                <w:sz w:val="22"/>
                <w:szCs w:val="22"/>
              </w:rPr>
              <w:instrText>ADDIN CSL_CITATION {"citationItems":[{"id":"ITEM-1","itemData":{"DOI":"http://dx.doi.org/10.1016/j.taap.2015.07.017","ISSN":"0041-008X","abstract":"Cardiovascular disease (CVD) is the leading cause of morbidity and mortality worldwide and mounting evidence indicates that toxicant exposures can profoundly impact on CVD risk. Epidemiologic studies have suggested that arsenic (As) exposure is positively related to increases in blood pressure (BP), a primary CVD risk factor. However, evidence of whether genetic susceptibility can modify the association between As and BP is lacking. In this study, we used mixed effect models adjusted for potential confounders to examine the interaction between As exposure from well water and potential genetic modifiers on longitudinal change in BP over approximately 7. years of follow-up in 1137 subjects selected from the Health Effects of Arsenic Longitudinal Study (HEALS) cohort in Bangladesh. Genotyping was conducted for 235 SNPs in 18 genes related to As metabolism, oxidative stress and endothelial function. We observed interactions between 44 SNPs with well water As for one or more BP outcome measures (systolic, diastolic, or pulse pressure (PP)) over the course of follow-up. The interaction between CYBA rs3794624 and well water As on annual PP remained statistically significant after correction for multiple comparisons (FDR-adjusted p for interaction = 0.05). Among individuals with the rs3794624 variant genotype, well water As was associated with a 2.23. mm. Hg (95% CI: 1.14-3.32) greater annual increase in PP, while among those with the wild type, well water As was associated with a 0.13. mm. Hg (95% CI: 0.02-0.23) greater annual increase in PP. Our results suggest that genetic variability may contribute to As-associated increases in BP over time.Copyright © 2015 Published by Elsevier Inc.","author":[{"dropping-particle":"","family":"Farzan","given":"Shohreh F.","non-dropping-particle":"","parse-names":false,"suffix":""},{"dropping-particle":"","family":"Karagas","given":"Margaret R.","non-dropping-particle":"","parse-names":false,"suffix":""},{"dropping-particle":"","family":"Jiang","given":"Jieying","non-dropping-particle":"","parse-names":false,"suffix":""},{"dropping-particle":"","family":"Wu","given":"Fen","non-dropping-particle":"","parse-names":false,"suffix":""},{"dropping-particle":"","family":"Liu","given":"Mengling","non-dropping-particle":"","parse-names":false,"suffix":""},{"dropping-particle":"","family":"Newman","given":"Jonathan D.","non-dropping-particle":"","parse-names":false,"suffix":""},{"dropping-particle":"","family":"Jasmine","given":"Farzana","non-dropping-particle":"","parse-names":false,"suffix":""},{"dropping-particle":"","family":"Kibriya","given":"Muhammad G.","non-dropping-particle":"","parse-names":false,"suffix":""},{"dropping-particle":"","family":"Paul-Brutus","given":"Rachelle","non-dropping-particle":"","parse-names":false,"suffix":""},{"dropping-particle":"","family":"Parvez","given":"Faruque","non-dropping-particle":"","parse-names":false,"suffix":""},{"dropping-particle":"","family":"Argos","given":"Maria","non-dropping-particle":"","parse-names":false,"suffix":""},{"dropping-particle":"","family":"Bryan","given":"Molly Scannell","non-dropping-particle":"","parse-names":false,"suffix":""},{"dropping-particle":"","family":"Eunus","given":"Mahbub","non-dropping-particle":"","parse-names":false,"suffix":""},{"dropping-particle":"","family":"Ahmed","given":"Alauddin","non-dropping-particle":"","parse-names":false,"suffix":""},{"dropping-particle":"","family":"Islam","given":"Tariqul","non-dropping-particle":"","parse-names":false,"suffix":""},{"dropping-particle":"","family":"Rakibuz-Zaman","given":"Muhammad","non-dropping-particle":"","parse-names":false,"suffix":""},{"dropping-particle":"","family":"Hasan","given":"Rabiul","non-dropping-particle":"","parse-names":false,"suffix":""},{"dropping-particle":"","family":"Sarwar","given":"Golam","non-dropping-particle":"","parse-names":false,"suffix":""},{"dropping-particle":"","family":"Slavkovich","given":"Vesna","non-dropping-particle":"","parse-names":false,"suffix":""},{"dropping-particle":"","family":"Graziano","given":"Joseph","non-dropping-particle":"","parse-names":false,"suffix":""},{"dropping-particle":"","family":"Ahsan","given":"Habibul","non-dropping-particle":"","parse-names":false,"suffix":""},{"dropping-particle":"","family":"Chen","given":"Yu","non-dropping-particle":"","parse-names":false,"suffix":""},{"dropping-particle":"","family":"S.F.","given":"Farzan","non-dropping-particle":"","parse-names":false,"suffix":""},{"dropping-particle":"","family":"M.R.","given":"Karagas","non-dropping-particle":"","parse-names":false,"suffix":""},{"dropping-particle":"","family":"J.","given":"Jiang","non-dropping-particle":"","parse-names":false,"suffix":""},{"dropping-particle":"","family":"F.","given":"Wu","non-dropping-particle":"","parse-names":false,"suffix":""},{"dropping-particle":"","family":"M.","given":"Liu","non-dropping-particle":"","parse-names":false,"suffix":""},{"dropping-particle":"","family":"J.D.","given":"Newman","non-dropping-particle":"","parse-names":false,"suffix":""},{"dropping-particle":"","family":"F.","given":"Jasmine","non-dropping-particle":"","parse-names":false,"suffix":""},{"dropping-particle":"","family":"M.G.","given":"Kibriya","non-dropping-particle":"","parse-names":false,"suffix":""},{"dropping-particle":"","family":"R.","given":"Paul-Brutus","non-dropping-particle":"","parse-names":false,"suffix":""},{"dropping-particle":"","family":"F.","given":"Parvez","non-dropping-particle":"","parse-names":false,"suffix":""},{"dropping-particle":"","family":"M.","given":"Argos","non-dropping-particle":"","parse-names":false,"suffix":""},{"dropping-particle":"","family":"M.S.","given":"Bryan","non-dropping-particle":"","parse-names":false,"suffix":""},{"dropping-particle":"","family":"M.","given":"Eunus","non-dropping-particle":"","parse-names":false,"suffix":""},{"dropping-particle":"","family":"A.","given":"Ahmed","non-dropping-particle":"","parse-names":false,"suffix":""},{"dropping-particle":"","family":"T.","given":"Islam","non-dropping-particle":"","parse-names":false,"suffix":""},{"dropping-particle":"","family":"M.","given":"Rakibuz-Zaman","non-dropping-particle":"","parse-names":false,"suffix":""},{"dropping-particle":"","family":"R.","given":"Hasan","non-dropping-particle":"","parse-names":false,"suffix":""},{"dropping-particle":"","family":"G.","given":"Sarwar","non-dropping-particle":"","parse-names":false,"suffix":""},{"dropping-particle":"","family":"V.","given":"Slavkovich","non-dropping-particle":"","parse-names":false,"suffix":""},{"dropping-particle":"","family":"J.","given":"Graziano","non-dropping-particle":"","parse-names":false,"suffix":""},{"dropping-particle":"","family":"H.","given":"Ahsan","non-dropping-particle":"","parse-names":false,"suffix":""}],"container-title":"Toxicology and Applied Pharmacology","id":"ITEM-1","issue":"1","issued":{"date-parts":[["2015","10"]]},"page":"95-105","publisher":"Academic Press Inc. (E-mail: apjcs@harcourt.com)","publisher-place":"Y. Chen, New York University School of Medicine, Departments of Population Health and Environmental Medicine, 650 First Avenue, New York, NY 10016, United States. E-mail: yu.chen@nyumc.org","title":"Gene-arsenic interaction in longitudinal changes of blood pressure: Findings from the Health Effects of Arsenic Longitudinal Study (HEALS) in Bangladesh","type":"article-journal","volume":"288"},"uris":["http://www.mendeley.com/documents/?uuid=bc99b62f-5bf7-4917-882e-dc838c943ff6"]}],"mendeley":{"formattedCitation":"&lt;sup&gt;2&lt;/sup&gt;","plainTextFormattedCitation":"2","previouslyFormattedCitation":"&lt;sup&gt;2&lt;/sup&gt;"},"properties":{"noteIndex":0},"schema":"https://github.com/citation-style-language/schema/raw/master/csl-citation.json"}</w:instrText>
            </w:r>
            <w:r w:rsidRPr="00EA02DE">
              <w:rPr>
                <w:sz w:val="22"/>
                <w:szCs w:val="22"/>
              </w:rPr>
              <w:fldChar w:fldCharType="separate"/>
            </w:r>
            <w:r w:rsidRPr="00EA02DE">
              <w:rPr>
                <w:noProof/>
                <w:sz w:val="22"/>
                <w:szCs w:val="22"/>
                <w:vertAlign w:val="superscript"/>
              </w:rPr>
              <w:t>2</w:t>
            </w:r>
            <w:r w:rsidRPr="00EA02DE">
              <w:rPr>
                <w:sz w:val="22"/>
                <w:szCs w:val="22"/>
              </w:rPr>
              <w:fldChar w:fldCharType="end"/>
            </w:r>
          </w:p>
        </w:tc>
        <w:tc>
          <w:tcPr>
            <w:tcW w:w="850" w:type="dxa"/>
            <w:tcBorders>
              <w:top w:val="single" w:sz="4" w:space="0" w:color="auto"/>
              <w:bottom w:val="single" w:sz="4" w:space="0" w:color="auto"/>
            </w:tcBorders>
            <w:shd w:val="clear" w:color="auto" w:fill="FFFFFF" w:themeFill="background1"/>
            <w:textDirection w:val="btLr"/>
          </w:tcPr>
          <w:p w14:paraId="21CF1F64" w14:textId="77777777" w:rsidR="00E77839" w:rsidRPr="00EA02DE" w:rsidRDefault="00E77839" w:rsidP="009002E5">
            <w:pPr>
              <w:ind w:left="113" w:right="113"/>
              <w:rPr>
                <w:color w:val="000000"/>
                <w:sz w:val="22"/>
                <w:szCs w:val="22"/>
              </w:rPr>
            </w:pPr>
            <w:r w:rsidRPr="00EA02DE">
              <w:rPr>
                <w:sz w:val="22"/>
                <w:szCs w:val="22"/>
              </w:rPr>
              <w:t xml:space="preserve">Grau-Perez </w:t>
            </w:r>
            <w:r w:rsidRPr="00EA02DE">
              <w:rPr>
                <w:i/>
                <w:iCs/>
                <w:sz w:val="22"/>
                <w:szCs w:val="22"/>
              </w:rPr>
              <w:t xml:space="preserve">et al. </w:t>
            </w:r>
            <w:r w:rsidRPr="00EA02DE">
              <w:rPr>
                <w:sz w:val="22"/>
                <w:szCs w:val="22"/>
              </w:rPr>
              <w:t>2017</w:t>
            </w:r>
            <w:r w:rsidRPr="00EA02DE">
              <w:rPr>
                <w:sz w:val="22"/>
                <w:szCs w:val="22"/>
              </w:rPr>
              <w:fldChar w:fldCharType="begin" w:fldLock="1"/>
            </w:r>
            <w:r w:rsidRPr="00EA02DE">
              <w:rPr>
                <w:sz w:val="22"/>
                <w:szCs w:val="22"/>
              </w:rPr>
              <w:instrText>ADDIN CSL_CITATION {"citationItems":[{"id":"ITEM-1","itemData":{"DOI":"10.1289/EHP2566","ISSN":"0091-6765","abstract":"BACKGROUND: High arsenic exposure has been related to diabetes, but at\nlow-moderate levels the evidence is mixed. Arsenic metabolism, which is\npartly genetically controlled and may rely on certain B vitamins, plays\na role in arsenic toxicity.\nOBJECTIVE: We evaluated the prospective association of arsenic exposure\nand metabolism with type 2 diabetes and insulin resistance.\nMETHODS: We included 1,838 American Indian men and women free of\ndiabetes (median age, 36 y). Arsenic exposure was assessed as the sum of\ninorganic arsenic (iAs), monomethylarsonate (MMA), and dimethylarsinate\n(DMA) urine concentrations (Sigma As). Arsenic metabolism was evaluated\nby the proportions of iAs, MMA, and DMA over their sum (iAs%, MMA%,\nand DMA%). Homeostasis model assessment for insulin resistance\n(HOMA2-IR) was measured at baseline and follow-up visits. Incident\ndiabetes was evaluated at follow-up.\nRESULTS: Median EAs, iAs%, MMA%, and DMA% was 4.4 mu g/g creatinine,\n9.5%, 14.4%, and 75.6%, respectively. Over 10,327 person-years of\nfollow-up, 252 participants developed diabetes. :Median HOMA2-IR at\nbaseline was 1.5. The fully adjusted hazard ratio {[}95% confidence\ninterval (CI)] for incident diabetes per an interquardle range increase\nin Sigma As was 1.57 (95% CI: 1.18, 2.08) in participants without\nprediabetes at baseline. Arsenic metabolism was not associated with\nincident diabetes. Sigma As was positively associated with HOMA2-IR at\nbaseline but negatively with HOMA2-IR at follow-up. Increased MMA% was\nassociated with lower HOMA2-IR when either iAs% or DMA% decreased. The\nassociation of arsenic metabolism with HOMA2-IR differed by B-vitamin\nintake and AS3MT genetics variants.\nCONCLUSIONS: Among participants without baseline prediabetes, arsenic\nexposure was associated with incident diabetes. Low MMA% was\ncross-sectional and prospectively associated with higher HOMA2-IR.\nResearch is needed to confirm possible interactions of arsenic\nmetabolism with B vitamins and AS3MT variants on diabetes risk.\nhttps://doi.org/10.1289/EHP2566","author":[{"dropping-particle":"","family":"Grau-Perez","given":"Maria","non-dropping-particle":"","parse-names":false,"suffix":""},{"dropping-particle":"","family":"Kuo","given":"Chin-Chi","non-dropping-particle":"","parse-names":false,"suffix":""},{"dropping-particle":"","family":"Gribble","given":"Matthew O","non-dropping-particle":"","parse-names":false,"suffix":""},{"dropping-particle":"","family":"Balakrishnan","given":"Poojitha","non-dropping-particle":"","parse-names":false,"suffix":""},{"dropping-particle":"","family":"Spratlen","given":"Miranda Jones","non-dropping-particle":"","parse-names":false,"suffix":""},{"dropping-particle":"","family":"Vaidya","given":"Dhananjay","non-dropping-particle":"","parse-names":false,"suffix":""},{"dropping-particle":"","family":"Francesconi","given":"Kevin A","non-dropping-particle":"","parse-names":false,"suffix":""},{"dropping-particle":"","family":"Goessler","given":"Walter","non-dropping-particle":"","parse-names":false,"suffix":""},{"dropping-particle":"","family":"Guallar","given":"Eliseo","non-dropping-particle":"","parse-names":false,"suffix":""},{"dropping-particle":"","family":"Silbergeld","given":"Ellen K","non-dropping-particle":"","parse-names":false,"suffix":""},{"dropping-particle":"","family":"Umans","given":"Jason G","non-dropping-particle":"","parse-names":false,"suffix":""},{"dropping-particle":"","family":"Best","given":"Lyle G","non-dropping-particle":"","parse-names":false,"suffix":""},{"dropping-particle":"","family":"Lee","given":"Elisa T","non-dropping-particle":"","parse-names":false,"suffix":""},{"dropping-particle":"","family":"Howard V","given":"Barbara","non-dropping-particle":"","parse-names":false,"suffix":""},{"dropping-particle":"","family":"Cole","given":"Shelley A","non-dropping-particle":"","parse-names":false,"suffix":""},{"dropping-particle":"","family":"Navas-Acien","given":"Ana","non-dropping-particle":"","parse-names":false,"suffix":""}],"container-title":"ENVIRONMENTAL HEALTH PERSPECTIVES","id":"ITEM-1","issue":"12","issued":{"date-parts":[["2017","12"]]},"title":"Association of Low-Moderate Arsenic Exposure and Arsenic Metabolism with Incident Diabetes and Insulin Resistance in the Strong Heart Family Study","type":"article-journal","volume":"125"},"uris":["http://www.mendeley.com/documents/?uuid=97c19e96-3bbd-40ca-9ef3-f7c3aec4a48d"]}],"mendeley":{"formattedCitation":"&lt;sup&gt;3&lt;/sup&gt;","plainTextFormattedCitation":"3","previouslyFormattedCitation":"&lt;sup&gt;3&lt;/sup&gt;"},"properties":{"noteIndex":0},"schema":"https://github.com/citation-style-language/schema/raw/master/csl-citation.json"}</w:instrText>
            </w:r>
            <w:r w:rsidRPr="00EA02DE">
              <w:rPr>
                <w:sz w:val="22"/>
                <w:szCs w:val="22"/>
              </w:rPr>
              <w:fldChar w:fldCharType="separate"/>
            </w:r>
            <w:r w:rsidRPr="00EA02DE">
              <w:rPr>
                <w:noProof/>
                <w:sz w:val="22"/>
                <w:szCs w:val="22"/>
                <w:vertAlign w:val="superscript"/>
              </w:rPr>
              <w:t>3</w:t>
            </w:r>
            <w:r w:rsidRPr="00EA02DE">
              <w:rPr>
                <w:sz w:val="22"/>
                <w:szCs w:val="22"/>
              </w:rPr>
              <w:fldChar w:fldCharType="end"/>
            </w:r>
          </w:p>
        </w:tc>
        <w:tc>
          <w:tcPr>
            <w:tcW w:w="709" w:type="dxa"/>
            <w:tcBorders>
              <w:top w:val="single" w:sz="4" w:space="0" w:color="auto"/>
              <w:bottom w:val="single" w:sz="4" w:space="0" w:color="auto"/>
            </w:tcBorders>
            <w:shd w:val="clear" w:color="auto" w:fill="FFFFFF" w:themeFill="background1"/>
            <w:textDirection w:val="btLr"/>
          </w:tcPr>
          <w:p w14:paraId="41DAA9AD" w14:textId="0A205C7D" w:rsidR="00E77839" w:rsidRPr="00EA02DE" w:rsidRDefault="00E77839" w:rsidP="009002E5">
            <w:pPr>
              <w:ind w:left="113" w:right="113"/>
              <w:rPr>
                <w:sz w:val="22"/>
                <w:szCs w:val="22"/>
              </w:rPr>
            </w:pPr>
            <w:r w:rsidRPr="00EA02DE">
              <w:rPr>
                <w:sz w:val="22"/>
                <w:szCs w:val="22"/>
              </w:rPr>
              <w:t xml:space="preserve">Liao </w:t>
            </w:r>
            <w:r w:rsidRPr="00EA02DE">
              <w:rPr>
                <w:i/>
                <w:iCs/>
                <w:sz w:val="22"/>
                <w:szCs w:val="22"/>
              </w:rPr>
              <w:t>et al.</w:t>
            </w:r>
            <w:r w:rsidRPr="00EA02DE">
              <w:rPr>
                <w:sz w:val="22"/>
                <w:szCs w:val="22"/>
              </w:rPr>
              <w:t xml:space="preserve"> 2009</w:t>
            </w:r>
            <w:r w:rsidRPr="00EA02DE">
              <w:rPr>
                <w:sz w:val="22"/>
                <w:szCs w:val="22"/>
              </w:rPr>
              <w:fldChar w:fldCharType="begin" w:fldLock="1"/>
            </w:r>
            <w:r w:rsidR="009002E5">
              <w:rPr>
                <w:sz w:val="22"/>
                <w:szCs w:val="22"/>
              </w:rPr>
              <w:instrText>ADDIN CSL_CITATION {"citationItems":[{"id":"ITEM-1","itemData":{"DOI":"10.1016/J.TAAP.2008.12.017","ISSN":"0041-008X","PMID":"19152805","abstract":"Arsenic has been linked to increased prevalence of cancer and cardiovascular disease (CVD), but the long-term impact of arsenic exposure remains unclear. Human paraoxonase (PON1) is a high-density lipoprotein-associated antioxidant enzyme which hydrolyzes oxidized lipids and is thought to be protective against atherosclerosis, but evidence remains limited to case-control studies. Only recently have genes encoding enzymes responsible for arsenic metabolism, such as AS3MT and GSTO, been cloned and characterized. This study was designed to evaluate the synergistic interaction of genetic factors and arsenic exposure on electrocardiogram abnormality. A total of 216 residents from three tap water implemented villages of previous arseniasis-hyperendemic regions in Taiwan were prospectively followed for an average of 8 years. For each resident, a 12-lead conventional electrocardiogram (ECG) was recorded and coded by Minnesota Code standard criteria. Eight functional polymorphisms of PON1, PON2, AS3MT, GSTO1, and GSTO2 were examined for genetic susceptibility to ECG abnormality. Among 42 incident cases with ECG deterioration identified among 121 baseline-normal subjects, arsenic exposure was significantly correlated with incidence of ECG abnormality. In addition, polymorphisms in two paraoxonase genes were also found associated with the incidence of ECG abnormality. A haplotype R-C-S constituted by polymorphisms of PON1 Q192R, -108C/T and PON2 C311S was linked to the increased risk. Subjects exposed to high levels of As (cumulative As exposure &gt; 14.7 ppm-year or drinking artesian well water &gt; 21 years) and carrying the R-C-S haplotype had significantly increased risks for ECG abnormality over those with only one risk factor. Results of this study showed a long-term arsenic effect on ECG abnormality and significant gene-gene and gene-environment interactions linked to the incidence of CVD. This finding might have important implications for a novel and potentially useful biomarker of arsenic risk. © 2008 Elsevier Inc. All rights reserved.","author":[{"dropping-particle":"","family":"Liao","given":"Ya Tang","non-dropping-particle":"","parse-names":false,"suffix":""},{"dropping-particle":"","family":"Li","given":"Wan Fen","non-dropping-particle":"","parse-names":false,"suffix":""},{"dropping-particle":"","family":"Chen","given":"Chien Jen","non-dropping-particle":"","parse-names":false,"suffix":""},{"dropping-particle":"","family":"Prineas","given":"Ronald J.","non-dropping-particle":"","parse-names":false,"suffix":""},{"dropping-particle":"","family":"Chen","given":"Wei J.","non-dropping-particle":"","parse-names":false,"suffix":""},{"dropping-particle":"","family":"Zhang","given":"Zhu Ming","non-dropping-particle":"","parse-names":false,"suffix":""},{"dropping-particle":"","family":"Sun","given":"Chien Wen","non-dropping-particle":"","parse-names":false,"suffix":""},{"dropping-particle":"","family":"Wang","given":"Shu Li","non-dropping-particle":"","parse-names":false,"suffix":""}],"container-title":"Toxicology and Applied Pharmacology","id":"ITEM-1","issue":"2","issued":{"date-parts":[["2009","9","1"]]},"page":"178-183","publisher":"Academic Press","title":"Synergistic effect of polymorphisms of paraoxonase gene cluster and arsenic exposure on electrocardiogram abnormality","type":"article-journal","volume":"239"},"uris":["http://www.mendeley.com/documents/?uuid=728734d0-f5ea-302f-a6e6-da7992102855"]}],"mendeley":{"formattedCitation":"&lt;sup&gt;4&lt;/sup&gt;","plainTextFormattedCitation":"4","previouslyFormattedCitation":"&lt;sup&gt;7&lt;/sup&gt;"},"properties":{"noteIndex":0},"schema":"https://github.com/citation-style-language/schema/raw/master/csl-citation.json"}</w:instrText>
            </w:r>
            <w:r w:rsidRPr="00EA02DE">
              <w:rPr>
                <w:sz w:val="22"/>
                <w:szCs w:val="22"/>
              </w:rPr>
              <w:fldChar w:fldCharType="separate"/>
            </w:r>
            <w:r w:rsidR="009002E5" w:rsidRPr="009002E5">
              <w:rPr>
                <w:noProof/>
                <w:sz w:val="22"/>
                <w:szCs w:val="22"/>
                <w:vertAlign w:val="superscript"/>
              </w:rPr>
              <w:t>4</w:t>
            </w:r>
            <w:r w:rsidRPr="00EA02DE">
              <w:rPr>
                <w:sz w:val="22"/>
                <w:szCs w:val="22"/>
              </w:rPr>
              <w:fldChar w:fldCharType="end"/>
            </w:r>
          </w:p>
        </w:tc>
        <w:tc>
          <w:tcPr>
            <w:tcW w:w="709" w:type="dxa"/>
            <w:tcBorders>
              <w:top w:val="single" w:sz="4" w:space="0" w:color="auto"/>
              <w:bottom w:val="single" w:sz="4" w:space="0" w:color="auto"/>
            </w:tcBorders>
            <w:shd w:val="clear" w:color="auto" w:fill="FFFFFF" w:themeFill="background1"/>
            <w:textDirection w:val="btLr"/>
          </w:tcPr>
          <w:p w14:paraId="7CAC1EA5" w14:textId="0A29224B" w:rsidR="00E77839" w:rsidRPr="00EA02DE" w:rsidRDefault="00E77839" w:rsidP="009002E5">
            <w:pPr>
              <w:ind w:left="113" w:right="113"/>
              <w:rPr>
                <w:sz w:val="22"/>
                <w:szCs w:val="22"/>
              </w:rPr>
            </w:pPr>
            <w:r w:rsidRPr="00EA02DE">
              <w:rPr>
                <w:sz w:val="22"/>
                <w:szCs w:val="22"/>
              </w:rPr>
              <w:t xml:space="preserve">Pan </w:t>
            </w:r>
            <w:r w:rsidRPr="00EA02DE">
              <w:rPr>
                <w:i/>
                <w:iCs/>
                <w:sz w:val="22"/>
                <w:szCs w:val="22"/>
              </w:rPr>
              <w:t>et al.</w:t>
            </w:r>
            <w:r w:rsidRPr="00EA02DE">
              <w:rPr>
                <w:sz w:val="22"/>
                <w:szCs w:val="22"/>
              </w:rPr>
              <w:t xml:space="preserve"> 2013</w:t>
            </w:r>
            <w:r w:rsidRPr="00EA02DE">
              <w:rPr>
                <w:sz w:val="22"/>
                <w:szCs w:val="22"/>
              </w:rPr>
              <w:fldChar w:fldCharType="begin" w:fldLock="1"/>
            </w:r>
            <w:r w:rsidR="009002E5">
              <w:rPr>
                <w:sz w:val="22"/>
                <w:szCs w:val="22"/>
              </w:rPr>
              <w:instrText>ADDIN CSL_CITATION {"citationItems":[{"id":"ITEM-1","itemData":{"DOI":"10.1371/journal.pone.0070792","ISBN":"1932-6203","ISSN":"1932-6203","PMID":"23967108","abstract":"BACKGROUND: Chronic exposure to arsenic in drinking water is associated with increased risk of type 2 diabetes mellitus (T2DM) but the underlying molecular mechanism remains unclear. OBJECTIVES: This study evaluated the interaction between single nucleotide polymorphisms (SNPs) in genes associated with diabetes and arsenic exposure in drinking water on the risk of developing T2DM. METHODS: In 2009-2011, we conducted a follow up study of 957 Bangladeshi adults who participated in a case-control study of arsenic-induced skin lesions in 2001-2003. Logistic regression models were used to evaluate the association between 38 SNPs in 18 genes and risk of T2DM measured at follow up. T2DM was defined as having a blood hemoglobin A1C level greater than or equal to 6.5% at follow-up. Arsenic exposure was characterized by drinking water samples collected from participants' tubewells. False discovery rates were applied in the analysis to control for multiple comparisons. RESULTS: Median arsenic levels in 2001-2003 were higher among diabetic participants compared with non-diabetic ones (71.6 microg/L vs. 12.5 microg/L, p-value &lt;0.001). Three SNPs in ADAMTS9 were nominally associated with increased risk of T2DM (rs17070905, Odds Ratio (OR) = 2.30, 95% confidence interval (CI) 1.17-4.50; rs17070967, OR = 2.02, 95%CI 1.00-4.06; rs6766801, OR = 2.33, 95%CI 1.18-4.60), but these associations did not reach the statistical significance after adjusting for multiple comparisons. A significant interaction between arsenic and NOTCH2 (rs699780) was observed which significantly increased the risk of T2DM (p for interaction = 0.003; q-value = 0.021). Further restricted analysis among participants exposed to water arsenic of less than 148 microg/L showed consistent results for interaction between the NOTCH2 variant and arsenic exposure on T2DM (p for interaction = 0.048; q-value = 0.004). CONCLUSIONS: These findings suggest that genetic variation in NOTCH2 increased susceptibility to T2DM among people exposed to inorganic arsenic. Additionally, genetic variants in ADAMTS9 may increase the risk of T2DM.","author":[{"dropping-particle":"","family":"Pan","given":"W C","non-dropping-particle":"","parse-names":false,"suffix":""},{"dropping-particle":"","family":"Kile","given":"M L","non-dropping-particle":"","parse-names":false,"suffix":""},{"dropping-particle":"","family":"Seow","given":"W J","non-dropping-particle":"","parse-names":false,"suffix":""},{"dropping-particle":"","family":"Lin","given":"X","non-dropping-particle":"","parse-names":false,"suffix":""},{"dropping-particle":"","family":"Quamruzzaman","given":"Q","non-dropping-particle":"","parse-names":false,"suffix":""},{"dropping-particle":"","family":"Rahman","given":"M","non-dropping-particle":"","parse-names":false,"suffix":""},{"dropping-particle":"","family":"Mahiuddin","given":"G","non-dropping-particle":"","parse-names":false,"suffix":""},{"dropping-particle":"","family":"Mostofa","given":"G","non-dropping-particle":"","parse-names":false,"suffix":""},{"dropping-particle":"","family":"Lu","given":"Q","non-dropping-particle":"","parse-names":false,"suffix":""},{"dropping-particle":"","family":"Christiani","given":"D C","non-dropping-particle":"","parse-names":false,"suffix":""},{"dropping-particle":"","family":"W.-C.","given":"Pan","non-dropping-particle":"","parse-names":false,"suffix":""},{"dropping-particle":"","family":"M.L.","given":"Kile","non-dropping-particle":"","parse-names":false,"suffix":""},{"dropping-particle":"","family":"W.J.","given":"Seow","non-dropping-particle":"","parse-names":false,"suffix":""},{"dropping-particle":"","family":"X.","given":"Lin","non-dropping-particle":"","parse-names":false,"suffix":""},{"dropping-particle":"","family":"Q.","given":"Quamruzzaman","non-dropping-particle":"","parse-names":false,"suffix":""},{"dropping-particle":"","family":"M.","given":"Rahman","non-dropping-particle":"","parse-names":false,"suffix":""},{"dropping-particle":"","family":"G.","given":"Mostofa Mahiuddin","non-dropping-particle":"","parse-names":false,"suffix":""},{"dropping-particle":"","family":"G.","given":"Mostofa Mahiuddin","non-dropping-particle":"","parse-names":false,"suffix":""},{"dropping-particle":"","family":"Q.","given":"Lu","non-dropping-particle":"","parse-names":false,"suffix":""}],"container-title":"PLoS One","edition":"2013/08/24","id":"ITEM-1","issue":"8","issued":{"date-parts":[["2013"]]},"language":"eng","note":"From Duplicate 2 (Genetic susceptible locus in NOTCH2 interacts with arsenic in drinking water on risk of type 2 diabetes - Pan, W C; Kile, M L; Seow, W J; Lin, X; Quamruzzaman, Q; Rahman, M; Mahiuddin, G; Mostofa, G; Lu, Q; Christiani, D C)\n\n1932-6203\nPan, Wen-Chi\nKile, Molly L\nSeow, Wei Jie\nLin, Xihong\nQuamruzzaman, Quazi\nRahman, Mahmuder\nMahiuddin, Golam\nMostofa, Golam\nLu, Quan\nChristiani, David C\nR01ES011622/ES/NIEHS NIH HHS/United States\nP30 ES000002/ES/NIEHS NIH HHS/United States\nP42ES016454/ES/NIEHS NIH HHS/United States\nK01 ES017800/ES/NIEHS NIH HHS/United States\nR01 ES022230/ES/NIEHS NIH HHS/United States\nP30ES000002/ES/NIEHS NIH HHS/United States\nR01ES022230/ES/NIEHS NIH HHS/United States\nK01ES017800/ES/NIEHS NIH HHS/United States\nJournal Article\nResearch Support, N.I.H., Extramural\nResearch Support, Non-U.S. Gov't\nUnited States\nPLoS One. 2013 Aug 14;8(8):e70792. doi: 10.1371/journal.pone.0070792. eCollection 2013.","page":"e70792","publisher":"Public Library of Science (185 Berry Street, Suite 1300, San Francisco CA 94107, United States)","publisher-place":"D. C. Christiani, Department of Environmental Health, Harvard School of Public Health, Boston, MA, United States. E-mail: dchris@hsph.harvard.edu","title":"Genetic susceptible locus in NOTCH2 interacts with arsenic in drinking water on risk of type 2 diabetes","type":"article-journal","volume":"8"},"uris":["http://www.mendeley.com/documents/?uuid=5b230f3e-037b-4242-a6f9-1d5ee184e0de"]}],"mendeley":{"formattedCitation":"&lt;sup&gt;5&lt;/sup&gt;","plainTextFormattedCitation":"5","previouslyFormattedCitation":"&lt;sup&gt;8&lt;/sup&gt;"},"properties":{"noteIndex":0},"schema":"https://github.com/citation-style-language/schema/raw/master/csl-citation.json"}</w:instrText>
            </w:r>
            <w:r w:rsidRPr="00EA02DE">
              <w:rPr>
                <w:sz w:val="22"/>
                <w:szCs w:val="22"/>
              </w:rPr>
              <w:fldChar w:fldCharType="separate"/>
            </w:r>
            <w:r w:rsidR="009002E5" w:rsidRPr="009002E5">
              <w:rPr>
                <w:noProof/>
                <w:sz w:val="22"/>
                <w:szCs w:val="22"/>
                <w:vertAlign w:val="superscript"/>
              </w:rPr>
              <w:t>5</w:t>
            </w:r>
            <w:r w:rsidRPr="00EA02DE">
              <w:rPr>
                <w:sz w:val="22"/>
                <w:szCs w:val="22"/>
              </w:rPr>
              <w:fldChar w:fldCharType="end"/>
            </w:r>
          </w:p>
        </w:tc>
        <w:tc>
          <w:tcPr>
            <w:tcW w:w="850" w:type="dxa"/>
            <w:tcBorders>
              <w:top w:val="single" w:sz="4" w:space="0" w:color="auto"/>
              <w:bottom w:val="single" w:sz="4" w:space="0" w:color="auto"/>
            </w:tcBorders>
            <w:shd w:val="clear" w:color="auto" w:fill="FFFFFF" w:themeFill="background1"/>
            <w:textDirection w:val="btLr"/>
          </w:tcPr>
          <w:p w14:paraId="7220A71C" w14:textId="42BC2F5F" w:rsidR="00E77839" w:rsidRPr="00EA02DE" w:rsidRDefault="00E77839" w:rsidP="009002E5">
            <w:pPr>
              <w:ind w:left="113" w:right="113"/>
              <w:rPr>
                <w:sz w:val="22"/>
                <w:szCs w:val="22"/>
              </w:rPr>
            </w:pPr>
            <w:r w:rsidRPr="00EA02DE">
              <w:rPr>
                <w:sz w:val="22"/>
                <w:szCs w:val="22"/>
              </w:rPr>
              <w:t xml:space="preserve">Wu </w:t>
            </w:r>
            <w:r w:rsidRPr="00EA02DE">
              <w:rPr>
                <w:i/>
                <w:iCs/>
                <w:sz w:val="22"/>
                <w:szCs w:val="22"/>
              </w:rPr>
              <w:t>et al.</w:t>
            </w:r>
            <w:r w:rsidRPr="00EA02DE">
              <w:rPr>
                <w:sz w:val="22"/>
                <w:szCs w:val="22"/>
              </w:rPr>
              <w:t xml:space="preserve"> 2015</w:t>
            </w:r>
            <w:r w:rsidRPr="00EA02DE">
              <w:rPr>
                <w:sz w:val="22"/>
                <w:szCs w:val="22"/>
              </w:rPr>
              <w:fldChar w:fldCharType="begin" w:fldLock="1"/>
            </w:r>
            <w:r w:rsidR="009002E5">
              <w:rPr>
                <w:sz w:val="22"/>
                <w:szCs w:val="22"/>
              </w:rPr>
              <w:instrText>ADDIN CSL_CITATION {"citationItems":[{"id":"ITEM-1","itemData":{"DOI":"10.1289/EHP.1307883","ISSN":"15529924","PMID":"25575156","abstract":"Background: Epidemiologic data on genetic susceptibility to cardiovascular effects of arsenic exposure from drinking water are limited. Objective: We investigated whether the association between well-water arsenic and cardiovascular disease (CVD) differed by 170 single nucleotide polymorphisms (SNPs) in 17 genes related to arsenic metabolism, oxidative stress, inflammation, and endothelial dysfunction. Method: We conducted a prospective case-cohort study nested in the Health Effects of Arsenic Longitudinal Study, with a random subcohort of 1,375 subjects and 447 incident fatal and nonfatal cases of CVD. Well-water arsenic was measured in 2000 at baseline. The CVD cases, 56 of which occurred in the subcohort, included 238 coronary heart disease cases, 165 stroke cases, and 44 deaths due to other CVD identified during follow-up from 2000 to 2012. Results: Of the 170 SNPs tested, multiplicative interactions between well-water arsenic and two SNPs, rs281432 in ICAM1 (padj = 0.0002) and rs3176867 in VCAM1 (padj = 0.035), were significant for CVD after adjustment for multiple testing. Compared with those with GC or CC genotype in rs281432 and lower well-water arsenic, the adjusted hazard ratio (aHR) for CVD was 1.82 (95% CI: 1.31, 2.54) for a 1-SD increase in well-water arsenic combined with the GG genotype, which was greater than expected given aHRs of 1.08 and 0.96 for separate effects of arsenic and the genotype alone, respectively. Similarly, the joint aHR for arsenic and the rs3176867 CC genotype was 1.34 (95% CI: 0.95, 1.87), greater than expected given aHRs for their separate effects of 1.02 and 0.84, respectively. Conclusions: Associations between CVD and arsenic exposure may be modified by genetic variants related to endothelial dysfunction.","author":[{"dropping-particle":"","family":"Wu","given":"Fen","non-dropping-particle":"","parse-names":false,"suffix":""},{"dropping-particle":"","family":"Jasmine","given":"Farzana","non-dropping-particle":"","parse-names":false,"suffix":""},{"dropping-particle":"","family":"Kibriya","given":"Muhammad G.","non-dropping-particle":"","parse-names":false,"suffix":""},{"dropping-particle":"","family":"Liu","given":"Mengling","non-dropping-particle":"","parse-names":false,"suffix":""},{"dropping-particle":"","family":"Cheng","given":"Xin","non-dropping-particle":"","parse-names":false,"suffix":""},{"dropping-particle":"","family":"Parvez","given":"Faruque","non-dropping-particle":"","parse-names":false,"suffix":""},{"dropping-particle":"","family":"Islam","given":"Tariqul","non-dropping-particle":"","parse-names":false,"suffix":""},{"dropping-particle":"","family":"Ahmed","given":"Alauddin","non-dropping-particle":"","parse-names":false,"suffix":""},{"dropping-particle":"","family":"Rakibuz-Zaman","given":"Muhammad","non-dropping-particle":"","parse-names":false,"suffix":""},{"dropping-particle":"","family":"Jiang","given":"Jieying","non-dropping-particle":"","parse-names":false,"suffix":""},{"dropping-particle":"","family":"Roy","given":"Shantanu","non-dropping-particle":"","parse-names":false,"suffix":""},{"dropping-particle":"","family":"Paul ‑ Brutus","given":"Rachelle","non-dropping-particle":"","parse-names":false,"suffix":""},{"dropping-particle":"","family":"Slavkovich","given":"Vesna","non-dropping-particle":"","parse-names":false,"suffix":""},{"dropping-particle":"","family":"Islam","given":"Tariqul","non-dropping-particle":"","parse-names":false,"suffix":""},{"dropping-particle":"","family":"Levy","given":"Diane","non-dropping-particle":"","parse-names":false,"suffix":""},{"dropping-particle":"","family":"Vanderweele","given":"Tyler J.","non-dropping-particle":"","parse-names":false,"suffix":""},{"dropping-particle":"","family":"Pierce","given":"Brandon L.","non-dropping-particle":"","parse-names":false,"suffix":""},{"dropping-particle":"","family":"Graziano","given":"Joseph H.","non-dropping-particle":"","parse-names":false,"suffix":""},{"dropping-particle":"","family":"Ahsan","given":"Habibul","non-dropping-particle":"","parse-names":false,"suffix":""},{"dropping-particle":"","family":"Chen","given":"Yu","non-dropping-particle":"","parse-names":false,"suffix":""}],"container-title":"Environmental Health Perspectives","id":"ITEM-1","issue":"5","issued":{"date-parts":[["2015"]]},"page":"451-457","publisher":"Public Health Services, US Dept of Health and Human Services","title":"Interaction between arsenic exposure from drinking water and genetic polymorphisms on cardiovascular disease in Bangladesh: A prospective case-cohort study","type":"article-journal","volume":"123"},"uris":["http://www.mendeley.com/documents/?uuid=9fb6a466-00fc-3b2f-adcd-2b9140019616"]}],"mendeley":{"formattedCitation":"&lt;sup&gt;6&lt;/sup&gt;","plainTextFormattedCitation":"6","previouslyFormattedCitation":"&lt;sup&gt;9&lt;/sup&gt;"},"properties":{"noteIndex":0},"schema":"https://github.com/citation-style-language/schema/raw/master/csl-citation.json"}</w:instrText>
            </w:r>
            <w:r w:rsidRPr="00EA02DE">
              <w:rPr>
                <w:sz w:val="22"/>
                <w:szCs w:val="22"/>
              </w:rPr>
              <w:fldChar w:fldCharType="separate"/>
            </w:r>
            <w:r w:rsidR="009002E5" w:rsidRPr="009002E5">
              <w:rPr>
                <w:noProof/>
                <w:sz w:val="22"/>
                <w:szCs w:val="22"/>
                <w:vertAlign w:val="superscript"/>
              </w:rPr>
              <w:t>6</w:t>
            </w:r>
            <w:r w:rsidRPr="00EA02DE">
              <w:rPr>
                <w:sz w:val="22"/>
                <w:szCs w:val="22"/>
              </w:rPr>
              <w:fldChar w:fldCharType="end"/>
            </w:r>
          </w:p>
        </w:tc>
      </w:tr>
      <w:tr w:rsidR="00E77839" w:rsidRPr="00790DAC" w14:paraId="4BD22446" w14:textId="77777777" w:rsidTr="009002E5">
        <w:trPr>
          <w:cantSplit/>
          <w:trHeight w:val="130"/>
          <w:tblHeader/>
        </w:trPr>
        <w:tc>
          <w:tcPr>
            <w:tcW w:w="13041" w:type="dxa"/>
            <w:gridSpan w:val="7"/>
            <w:tcBorders>
              <w:top w:val="single" w:sz="4" w:space="0" w:color="000000" w:themeColor="text1"/>
              <w:bottom w:val="single" w:sz="4" w:space="0" w:color="auto"/>
            </w:tcBorders>
            <w:shd w:val="clear" w:color="auto" w:fill="FFFFFF" w:themeFill="background1"/>
            <w:vAlign w:val="center"/>
          </w:tcPr>
          <w:p w14:paraId="2B53E057" w14:textId="1C88FF56" w:rsidR="00E77839" w:rsidRPr="00EA02DE" w:rsidRDefault="00E77839" w:rsidP="009002E5">
            <w:pPr>
              <w:ind w:left="113" w:right="113"/>
              <w:rPr>
                <w:sz w:val="22"/>
                <w:szCs w:val="22"/>
              </w:rPr>
            </w:pPr>
            <w:r w:rsidRPr="00CE12C5">
              <w:rPr>
                <w:b/>
                <w:color w:val="000000"/>
                <w:sz w:val="20"/>
                <w:szCs w:val="20"/>
              </w:rPr>
              <w:t>Selection</w:t>
            </w:r>
          </w:p>
        </w:tc>
      </w:tr>
      <w:tr w:rsidR="00E77839" w:rsidRPr="00790DAC" w14:paraId="43B0DB56" w14:textId="6938C475" w:rsidTr="009002E5">
        <w:trPr>
          <w:trHeight w:val="259"/>
        </w:trPr>
        <w:tc>
          <w:tcPr>
            <w:tcW w:w="8364" w:type="dxa"/>
            <w:tcBorders>
              <w:top w:val="single" w:sz="4" w:space="0" w:color="auto"/>
              <w:bottom w:val="nil"/>
            </w:tcBorders>
            <w:shd w:val="clear" w:color="auto" w:fill="FFFFFF" w:themeFill="background1"/>
            <w:vAlign w:val="center"/>
            <w:hideMark/>
          </w:tcPr>
          <w:p w14:paraId="533A971C" w14:textId="77777777" w:rsidR="00E77839" w:rsidRPr="00790DAC" w:rsidRDefault="00E77839" w:rsidP="009002E5">
            <w:pPr>
              <w:rPr>
                <w:color w:val="000000"/>
                <w:sz w:val="20"/>
                <w:szCs w:val="20"/>
              </w:rPr>
            </w:pPr>
            <w:r w:rsidRPr="00790DAC">
              <w:rPr>
                <w:color w:val="000000"/>
                <w:sz w:val="20"/>
                <w:szCs w:val="20"/>
              </w:rPr>
              <w:t>Representativeness of exposed cohort</w:t>
            </w:r>
          </w:p>
        </w:tc>
        <w:tc>
          <w:tcPr>
            <w:tcW w:w="708" w:type="dxa"/>
            <w:tcBorders>
              <w:top w:val="single" w:sz="4" w:space="0" w:color="auto"/>
              <w:bottom w:val="nil"/>
            </w:tcBorders>
            <w:shd w:val="clear" w:color="auto" w:fill="FFFFFF" w:themeFill="background1"/>
            <w:vAlign w:val="bottom"/>
          </w:tcPr>
          <w:p w14:paraId="09C401D7" w14:textId="77777777" w:rsidR="00E77839" w:rsidRPr="00A3510A" w:rsidRDefault="00E77839" w:rsidP="009002E5">
            <w:pPr>
              <w:jc w:val="center"/>
              <w:rPr>
                <w:color w:val="000000"/>
                <w:sz w:val="20"/>
                <w:szCs w:val="20"/>
              </w:rPr>
            </w:pPr>
            <w:r w:rsidRPr="00A3510A">
              <w:rPr>
                <w:color w:val="000000"/>
                <w:sz w:val="20"/>
                <w:szCs w:val="20"/>
              </w:rPr>
              <w:t>■</w:t>
            </w:r>
          </w:p>
        </w:tc>
        <w:tc>
          <w:tcPr>
            <w:tcW w:w="851" w:type="dxa"/>
            <w:tcBorders>
              <w:top w:val="single" w:sz="4" w:space="0" w:color="auto"/>
              <w:bottom w:val="nil"/>
            </w:tcBorders>
            <w:shd w:val="clear" w:color="auto" w:fill="FFFFFF" w:themeFill="background1"/>
            <w:vAlign w:val="bottom"/>
          </w:tcPr>
          <w:p w14:paraId="3F874177" w14:textId="77777777" w:rsidR="00E77839" w:rsidRPr="00A3510A" w:rsidRDefault="00E77839" w:rsidP="009002E5">
            <w:pPr>
              <w:jc w:val="center"/>
              <w:rPr>
                <w:color w:val="000000"/>
                <w:sz w:val="20"/>
                <w:szCs w:val="20"/>
              </w:rPr>
            </w:pPr>
            <w:r w:rsidRPr="00A3510A">
              <w:rPr>
                <w:color w:val="000000"/>
                <w:sz w:val="20"/>
                <w:szCs w:val="20"/>
              </w:rPr>
              <w:t>■</w:t>
            </w:r>
          </w:p>
        </w:tc>
        <w:tc>
          <w:tcPr>
            <w:tcW w:w="850" w:type="dxa"/>
            <w:tcBorders>
              <w:top w:val="single" w:sz="4" w:space="0" w:color="auto"/>
              <w:bottom w:val="nil"/>
            </w:tcBorders>
            <w:shd w:val="clear" w:color="auto" w:fill="FFFFFF" w:themeFill="background1"/>
            <w:vAlign w:val="bottom"/>
          </w:tcPr>
          <w:p w14:paraId="42E73A16" w14:textId="77777777" w:rsidR="00E77839" w:rsidRPr="00A3510A" w:rsidRDefault="00E77839" w:rsidP="009002E5">
            <w:pPr>
              <w:jc w:val="center"/>
              <w:rPr>
                <w:color w:val="000000"/>
                <w:sz w:val="20"/>
                <w:szCs w:val="20"/>
              </w:rPr>
            </w:pPr>
            <w:r w:rsidRPr="00A3510A">
              <w:rPr>
                <w:color w:val="000000"/>
                <w:sz w:val="20"/>
                <w:szCs w:val="20"/>
              </w:rPr>
              <w:t>■</w:t>
            </w:r>
          </w:p>
        </w:tc>
        <w:tc>
          <w:tcPr>
            <w:tcW w:w="709" w:type="dxa"/>
            <w:tcBorders>
              <w:top w:val="single" w:sz="4" w:space="0" w:color="auto"/>
              <w:bottom w:val="nil"/>
            </w:tcBorders>
            <w:shd w:val="clear" w:color="auto" w:fill="FFFFFF" w:themeFill="background1"/>
            <w:vAlign w:val="bottom"/>
          </w:tcPr>
          <w:p w14:paraId="533ABED5" w14:textId="77777777" w:rsidR="00E77839" w:rsidRPr="00A3510A" w:rsidRDefault="00E77839" w:rsidP="009002E5">
            <w:pPr>
              <w:jc w:val="center"/>
              <w:rPr>
                <w:color w:val="000000"/>
                <w:sz w:val="20"/>
                <w:szCs w:val="20"/>
              </w:rPr>
            </w:pPr>
            <w:r w:rsidRPr="00A3510A">
              <w:rPr>
                <w:color w:val="000000"/>
                <w:sz w:val="20"/>
                <w:szCs w:val="20"/>
              </w:rPr>
              <w:t>■</w:t>
            </w:r>
          </w:p>
        </w:tc>
        <w:tc>
          <w:tcPr>
            <w:tcW w:w="709" w:type="dxa"/>
            <w:tcBorders>
              <w:top w:val="single" w:sz="4" w:space="0" w:color="auto"/>
              <w:bottom w:val="nil"/>
            </w:tcBorders>
            <w:shd w:val="clear" w:color="auto" w:fill="FFFFFF" w:themeFill="background1"/>
            <w:vAlign w:val="bottom"/>
          </w:tcPr>
          <w:p w14:paraId="0FB7E020" w14:textId="77777777" w:rsidR="00E77839" w:rsidRPr="00A3510A" w:rsidRDefault="00E77839" w:rsidP="009002E5">
            <w:pPr>
              <w:jc w:val="center"/>
              <w:rPr>
                <w:color w:val="000000"/>
                <w:sz w:val="20"/>
                <w:szCs w:val="20"/>
              </w:rPr>
            </w:pPr>
            <w:r w:rsidRPr="00A3510A">
              <w:rPr>
                <w:color w:val="000000"/>
                <w:sz w:val="20"/>
                <w:szCs w:val="20"/>
              </w:rPr>
              <w:t>□</w:t>
            </w:r>
          </w:p>
        </w:tc>
        <w:tc>
          <w:tcPr>
            <w:tcW w:w="850" w:type="dxa"/>
            <w:tcBorders>
              <w:top w:val="single" w:sz="4" w:space="0" w:color="auto"/>
              <w:bottom w:val="nil"/>
            </w:tcBorders>
            <w:shd w:val="clear" w:color="auto" w:fill="FFFFFF" w:themeFill="background1"/>
            <w:vAlign w:val="bottom"/>
          </w:tcPr>
          <w:p w14:paraId="1C1DF0F0" w14:textId="77777777" w:rsidR="00E77839" w:rsidRPr="00A3510A" w:rsidRDefault="00E77839" w:rsidP="009002E5">
            <w:pPr>
              <w:jc w:val="center"/>
              <w:rPr>
                <w:color w:val="000000"/>
                <w:sz w:val="20"/>
                <w:szCs w:val="20"/>
              </w:rPr>
            </w:pPr>
            <w:r w:rsidRPr="00A3510A">
              <w:rPr>
                <w:color w:val="000000"/>
                <w:sz w:val="20"/>
                <w:szCs w:val="20"/>
              </w:rPr>
              <w:t>■</w:t>
            </w:r>
          </w:p>
        </w:tc>
      </w:tr>
      <w:tr w:rsidR="00E77839" w:rsidRPr="00790DAC" w14:paraId="649887C6" w14:textId="3D599896" w:rsidTr="009002E5">
        <w:trPr>
          <w:trHeight w:val="259"/>
        </w:trPr>
        <w:tc>
          <w:tcPr>
            <w:tcW w:w="8364" w:type="dxa"/>
            <w:tcBorders>
              <w:top w:val="nil"/>
              <w:bottom w:val="nil"/>
            </w:tcBorders>
            <w:shd w:val="clear" w:color="auto" w:fill="FFFFFF" w:themeFill="background1"/>
            <w:vAlign w:val="center"/>
            <w:hideMark/>
          </w:tcPr>
          <w:p w14:paraId="72DB5C43" w14:textId="77777777" w:rsidR="00E77839" w:rsidRPr="00790DAC" w:rsidRDefault="00E77839" w:rsidP="009002E5">
            <w:pPr>
              <w:rPr>
                <w:color w:val="000000"/>
                <w:sz w:val="20"/>
                <w:szCs w:val="20"/>
              </w:rPr>
            </w:pPr>
            <w:r w:rsidRPr="00790DAC">
              <w:rPr>
                <w:color w:val="000000"/>
                <w:sz w:val="20"/>
                <w:szCs w:val="20"/>
              </w:rPr>
              <w:t>Non-exposed drawn from the same population as exposed</w:t>
            </w:r>
          </w:p>
        </w:tc>
        <w:tc>
          <w:tcPr>
            <w:tcW w:w="708" w:type="dxa"/>
            <w:tcBorders>
              <w:top w:val="nil"/>
              <w:bottom w:val="nil"/>
            </w:tcBorders>
            <w:shd w:val="clear" w:color="auto" w:fill="FFFFFF" w:themeFill="background1"/>
            <w:vAlign w:val="bottom"/>
          </w:tcPr>
          <w:p w14:paraId="646F775D" w14:textId="77777777" w:rsidR="00E77839" w:rsidRPr="00A3510A" w:rsidRDefault="00E77839" w:rsidP="009002E5">
            <w:pPr>
              <w:jc w:val="center"/>
              <w:rPr>
                <w:color w:val="000000"/>
                <w:sz w:val="20"/>
                <w:szCs w:val="20"/>
              </w:rPr>
            </w:pPr>
            <w:r w:rsidRPr="00A3510A">
              <w:rPr>
                <w:color w:val="000000"/>
                <w:sz w:val="20"/>
                <w:szCs w:val="20"/>
              </w:rPr>
              <w:t>■</w:t>
            </w:r>
          </w:p>
        </w:tc>
        <w:tc>
          <w:tcPr>
            <w:tcW w:w="851" w:type="dxa"/>
            <w:tcBorders>
              <w:top w:val="nil"/>
              <w:bottom w:val="nil"/>
            </w:tcBorders>
            <w:shd w:val="clear" w:color="auto" w:fill="FFFFFF" w:themeFill="background1"/>
            <w:vAlign w:val="bottom"/>
          </w:tcPr>
          <w:p w14:paraId="234322BF" w14:textId="77777777" w:rsidR="00E77839" w:rsidRPr="00A3510A" w:rsidRDefault="00E77839" w:rsidP="009002E5">
            <w:pPr>
              <w:jc w:val="center"/>
              <w:rPr>
                <w:color w:val="000000"/>
                <w:sz w:val="20"/>
                <w:szCs w:val="20"/>
              </w:rPr>
            </w:pPr>
            <w:r w:rsidRPr="00A3510A">
              <w:rPr>
                <w:color w:val="000000"/>
                <w:sz w:val="20"/>
                <w:szCs w:val="20"/>
              </w:rPr>
              <w:t>■</w:t>
            </w:r>
          </w:p>
        </w:tc>
        <w:tc>
          <w:tcPr>
            <w:tcW w:w="850" w:type="dxa"/>
            <w:tcBorders>
              <w:top w:val="nil"/>
              <w:bottom w:val="nil"/>
            </w:tcBorders>
            <w:shd w:val="clear" w:color="auto" w:fill="FFFFFF" w:themeFill="background1"/>
            <w:vAlign w:val="bottom"/>
          </w:tcPr>
          <w:p w14:paraId="6198CBCE" w14:textId="77777777" w:rsidR="00E77839" w:rsidRPr="00A3510A" w:rsidRDefault="00E77839" w:rsidP="009002E5">
            <w:pPr>
              <w:jc w:val="center"/>
              <w:rPr>
                <w:color w:val="000000"/>
                <w:sz w:val="20"/>
                <w:szCs w:val="20"/>
              </w:rPr>
            </w:pPr>
            <w:r w:rsidRPr="00A3510A">
              <w:rPr>
                <w:color w:val="000000"/>
                <w:sz w:val="20"/>
                <w:szCs w:val="20"/>
              </w:rPr>
              <w:t>■</w:t>
            </w:r>
          </w:p>
        </w:tc>
        <w:tc>
          <w:tcPr>
            <w:tcW w:w="709" w:type="dxa"/>
            <w:tcBorders>
              <w:top w:val="nil"/>
              <w:bottom w:val="nil"/>
            </w:tcBorders>
            <w:shd w:val="clear" w:color="auto" w:fill="FFFFFF" w:themeFill="background1"/>
            <w:vAlign w:val="bottom"/>
          </w:tcPr>
          <w:p w14:paraId="2F21CD85" w14:textId="77777777" w:rsidR="00E77839" w:rsidRPr="00A3510A" w:rsidRDefault="00E77839" w:rsidP="009002E5">
            <w:pPr>
              <w:jc w:val="center"/>
              <w:rPr>
                <w:color w:val="000000"/>
                <w:sz w:val="20"/>
                <w:szCs w:val="20"/>
              </w:rPr>
            </w:pPr>
            <w:r w:rsidRPr="00A3510A">
              <w:rPr>
                <w:color w:val="000000"/>
                <w:sz w:val="20"/>
                <w:szCs w:val="20"/>
              </w:rPr>
              <w:t>□</w:t>
            </w:r>
          </w:p>
        </w:tc>
        <w:tc>
          <w:tcPr>
            <w:tcW w:w="709" w:type="dxa"/>
            <w:tcBorders>
              <w:top w:val="nil"/>
              <w:bottom w:val="nil"/>
            </w:tcBorders>
            <w:shd w:val="clear" w:color="auto" w:fill="FFFFFF" w:themeFill="background1"/>
            <w:vAlign w:val="bottom"/>
          </w:tcPr>
          <w:p w14:paraId="3ED639F6" w14:textId="77777777" w:rsidR="00E77839" w:rsidRPr="00A3510A" w:rsidRDefault="00E77839" w:rsidP="009002E5">
            <w:pPr>
              <w:jc w:val="center"/>
              <w:rPr>
                <w:color w:val="000000"/>
                <w:sz w:val="20"/>
                <w:szCs w:val="20"/>
              </w:rPr>
            </w:pPr>
            <w:r w:rsidRPr="00A3510A">
              <w:rPr>
                <w:color w:val="000000"/>
                <w:sz w:val="20"/>
                <w:szCs w:val="20"/>
              </w:rPr>
              <w:t>■</w:t>
            </w:r>
          </w:p>
        </w:tc>
        <w:tc>
          <w:tcPr>
            <w:tcW w:w="850" w:type="dxa"/>
            <w:tcBorders>
              <w:top w:val="nil"/>
              <w:bottom w:val="nil"/>
            </w:tcBorders>
            <w:shd w:val="clear" w:color="auto" w:fill="FFFFFF" w:themeFill="background1"/>
            <w:vAlign w:val="bottom"/>
          </w:tcPr>
          <w:p w14:paraId="3B7A799E" w14:textId="77777777" w:rsidR="00E77839" w:rsidRPr="00A3510A" w:rsidRDefault="00E77839" w:rsidP="009002E5">
            <w:pPr>
              <w:jc w:val="center"/>
              <w:rPr>
                <w:color w:val="000000"/>
                <w:sz w:val="20"/>
                <w:szCs w:val="20"/>
              </w:rPr>
            </w:pPr>
            <w:r w:rsidRPr="00A3510A">
              <w:rPr>
                <w:color w:val="000000"/>
                <w:sz w:val="20"/>
                <w:szCs w:val="20"/>
              </w:rPr>
              <w:t>■</w:t>
            </w:r>
          </w:p>
        </w:tc>
      </w:tr>
      <w:tr w:rsidR="00E77839" w:rsidRPr="00790DAC" w14:paraId="674DC165" w14:textId="6B5C888D" w:rsidTr="009002E5">
        <w:trPr>
          <w:trHeight w:val="259"/>
        </w:trPr>
        <w:tc>
          <w:tcPr>
            <w:tcW w:w="8364" w:type="dxa"/>
            <w:tcBorders>
              <w:top w:val="nil"/>
              <w:bottom w:val="single" w:sz="4" w:space="0" w:color="auto"/>
            </w:tcBorders>
            <w:shd w:val="clear" w:color="auto" w:fill="FFFFFF" w:themeFill="background1"/>
            <w:vAlign w:val="center"/>
            <w:hideMark/>
          </w:tcPr>
          <w:p w14:paraId="4A9DADEA" w14:textId="77777777" w:rsidR="00E77839" w:rsidRPr="00790DAC" w:rsidRDefault="00E77839" w:rsidP="009002E5">
            <w:pPr>
              <w:rPr>
                <w:color w:val="000000"/>
                <w:sz w:val="20"/>
                <w:szCs w:val="20"/>
              </w:rPr>
            </w:pPr>
            <w:r w:rsidRPr="00790DAC">
              <w:rPr>
                <w:color w:val="000000"/>
                <w:sz w:val="20"/>
                <w:szCs w:val="20"/>
              </w:rPr>
              <w:t>Demonstration that outcome of interest was not present at start of study</w:t>
            </w:r>
          </w:p>
        </w:tc>
        <w:tc>
          <w:tcPr>
            <w:tcW w:w="708" w:type="dxa"/>
            <w:tcBorders>
              <w:top w:val="nil"/>
              <w:bottom w:val="single" w:sz="4" w:space="0" w:color="auto"/>
            </w:tcBorders>
            <w:shd w:val="clear" w:color="auto" w:fill="FFFFFF" w:themeFill="background1"/>
            <w:vAlign w:val="bottom"/>
          </w:tcPr>
          <w:p w14:paraId="1E25D4EF" w14:textId="77777777" w:rsidR="00E77839" w:rsidRPr="00A3510A" w:rsidRDefault="00E77839" w:rsidP="009002E5">
            <w:pPr>
              <w:jc w:val="center"/>
              <w:rPr>
                <w:color w:val="000000"/>
                <w:sz w:val="20"/>
                <w:szCs w:val="20"/>
              </w:rPr>
            </w:pPr>
            <w:r w:rsidRPr="00A3510A">
              <w:rPr>
                <w:color w:val="000000"/>
                <w:sz w:val="20"/>
                <w:szCs w:val="20"/>
              </w:rPr>
              <w:t>■</w:t>
            </w:r>
          </w:p>
        </w:tc>
        <w:tc>
          <w:tcPr>
            <w:tcW w:w="851" w:type="dxa"/>
            <w:tcBorders>
              <w:top w:val="nil"/>
              <w:bottom w:val="single" w:sz="4" w:space="0" w:color="auto"/>
            </w:tcBorders>
            <w:shd w:val="clear" w:color="auto" w:fill="FFFFFF" w:themeFill="background1"/>
            <w:vAlign w:val="bottom"/>
          </w:tcPr>
          <w:p w14:paraId="2C669005" w14:textId="77777777" w:rsidR="00E77839" w:rsidRPr="00A3510A" w:rsidRDefault="00E77839" w:rsidP="009002E5">
            <w:pPr>
              <w:jc w:val="center"/>
              <w:rPr>
                <w:color w:val="000000"/>
                <w:sz w:val="20"/>
                <w:szCs w:val="20"/>
              </w:rPr>
            </w:pPr>
            <w:r w:rsidRPr="00A3510A">
              <w:rPr>
                <w:color w:val="000000"/>
                <w:sz w:val="20"/>
                <w:szCs w:val="20"/>
              </w:rPr>
              <w:t>■</w:t>
            </w:r>
          </w:p>
        </w:tc>
        <w:tc>
          <w:tcPr>
            <w:tcW w:w="850" w:type="dxa"/>
            <w:tcBorders>
              <w:top w:val="nil"/>
              <w:bottom w:val="single" w:sz="4" w:space="0" w:color="auto"/>
            </w:tcBorders>
            <w:shd w:val="clear" w:color="auto" w:fill="FFFFFF" w:themeFill="background1"/>
            <w:vAlign w:val="bottom"/>
          </w:tcPr>
          <w:p w14:paraId="75AFD652" w14:textId="77777777" w:rsidR="00E77839" w:rsidRPr="00A3510A" w:rsidRDefault="00E77839" w:rsidP="009002E5">
            <w:pPr>
              <w:jc w:val="center"/>
              <w:rPr>
                <w:color w:val="000000"/>
                <w:sz w:val="20"/>
                <w:szCs w:val="20"/>
              </w:rPr>
            </w:pPr>
            <w:r w:rsidRPr="00A3510A">
              <w:rPr>
                <w:color w:val="000000"/>
                <w:sz w:val="20"/>
                <w:szCs w:val="20"/>
              </w:rPr>
              <w:t>■</w:t>
            </w:r>
          </w:p>
        </w:tc>
        <w:tc>
          <w:tcPr>
            <w:tcW w:w="709" w:type="dxa"/>
            <w:tcBorders>
              <w:top w:val="nil"/>
              <w:bottom w:val="single" w:sz="4" w:space="0" w:color="auto"/>
            </w:tcBorders>
            <w:shd w:val="clear" w:color="auto" w:fill="FFFFFF" w:themeFill="background1"/>
            <w:vAlign w:val="bottom"/>
          </w:tcPr>
          <w:p w14:paraId="16DE7B87" w14:textId="77777777" w:rsidR="00E77839" w:rsidRPr="00A3510A" w:rsidRDefault="00E77839" w:rsidP="009002E5">
            <w:pPr>
              <w:jc w:val="center"/>
              <w:rPr>
                <w:color w:val="000000"/>
                <w:sz w:val="20"/>
                <w:szCs w:val="20"/>
              </w:rPr>
            </w:pPr>
            <w:r w:rsidRPr="00A3510A">
              <w:rPr>
                <w:color w:val="000000"/>
                <w:sz w:val="20"/>
                <w:szCs w:val="20"/>
              </w:rPr>
              <w:t>□</w:t>
            </w:r>
          </w:p>
        </w:tc>
        <w:tc>
          <w:tcPr>
            <w:tcW w:w="709" w:type="dxa"/>
            <w:tcBorders>
              <w:top w:val="nil"/>
              <w:bottom w:val="single" w:sz="4" w:space="0" w:color="auto"/>
            </w:tcBorders>
            <w:shd w:val="clear" w:color="auto" w:fill="FFFFFF" w:themeFill="background1"/>
            <w:vAlign w:val="bottom"/>
          </w:tcPr>
          <w:p w14:paraId="7035A190" w14:textId="77777777" w:rsidR="00E77839" w:rsidRPr="00A3510A" w:rsidRDefault="00E77839" w:rsidP="009002E5">
            <w:pPr>
              <w:jc w:val="center"/>
              <w:rPr>
                <w:color w:val="000000"/>
                <w:sz w:val="20"/>
                <w:szCs w:val="20"/>
              </w:rPr>
            </w:pPr>
            <w:r w:rsidRPr="00A3510A">
              <w:rPr>
                <w:color w:val="000000"/>
                <w:sz w:val="20"/>
                <w:szCs w:val="20"/>
              </w:rPr>
              <w:t>■</w:t>
            </w:r>
          </w:p>
        </w:tc>
        <w:tc>
          <w:tcPr>
            <w:tcW w:w="850" w:type="dxa"/>
            <w:tcBorders>
              <w:top w:val="nil"/>
              <w:bottom w:val="single" w:sz="4" w:space="0" w:color="auto"/>
            </w:tcBorders>
            <w:shd w:val="clear" w:color="auto" w:fill="FFFFFF" w:themeFill="background1"/>
            <w:vAlign w:val="bottom"/>
          </w:tcPr>
          <w:p w14:paraId="54840201" w14:textId="77777777" w:rsidR="00E77839" w:rsidRPr="00A3510A" w:rsidRDefault="00E77839" w:rsidP="009002E5">
            <w:pPr>
              <w:jc w:val="center"/>
              <w:rPr>
                <w:color w:val="000000"/>
                <w:sz w:val="20"/>
                <w:szCs w:val="20"/>
              </w:rPr>
            </w:pPr>
            <w:r w:rsidRPr="00A3510A">
              <w:rPr>
                <w:color w:val="000000"/>
                <w:sz w:val="20"/>
                <w:szCs w:val="20"/>
              </w:rPr>
              <w:t>■</w:t>
            </w:r>
          </w:p>
        </w:tc>
      </w:tr>
      <w:tr w:rsidR="00E77839" w:rsidRPr="00790DAC" w14:paraId="7A946A84" w14:textId="77777777" w:rsidTr="009002E5">
        <w:trPr>
          <w:trHeight w:val="259"/>
        </w:trPr>
        <w:tc>
          <w:tcPr>
            <w:tcW w:w="13041" w:type="dxa"/>
            <w:gridSpan w:val="7"/>
            <w:tcBorders>
              <w:top w:val="nil"/>
              <w:bottom w:val="single" w:sz="4" w:space="0" w:color="auto"/>
            </w:tcBorders>
            <w:shd w:val="clear" w:color="auto" w:fill="FFFFFF" w:themeFill="background1"/>
            <w:vAlign w:val="center"/>
          </w:tcPr>
          <w:p w14:paraId="254F9F06" w14:textId="741A0AD5" w:rsidR="00E77839" w:rsidRPr="00A3510A" w:rsidRDefault="00E77839" w:rsidP="009002E5">
            <w:pPr>
              <w:rPr>
                <w:color w:val="000000"/>
                <w:sz w:val="20"/>
                <w:szCs w:val="20"/>
              </w:rPr>
            </w:pPr>
            <w:r w:rsidRPr="00A3510A">
              <w:rPr>
                <w:b/>
                <w:bCs/>
                <w:color w:val="000000"/>
                <w:sz w:val="20"/>
                <w:szCs w:val="20"/>
              </w:rPr>
              <w:t>Environmental exposure</w:t>
            </w:r>
          </w:p>
        </w:tc>
      </w:tr>
      <w:tr w:rsidR="00E77839" w:rsidRPr="00790DAC" w14:paraId="53F5588E" w14:textId="1AF3B24C" w:rsidTr="009002E5">
        <w:trPr>
          <w:trHeight w:val="259"/>
        </w:trPr>
        <w:tc>
          <w:tcPr>
            <w:tcW w:w="8364" w:type="dxa"/>
            <w:tcBorders>
              <w:top w:val="single" w:sz="4" w:space="0" w:color="000000" w:themeColor="text1"/>
              <w:bottom w:val="nil"/>
              <w:right w:val="single" w:sz="4" w:space="0" w:color="000000" w:themeColor="text1"/>
            </w:tcBorders>
            <w:shd w:val="clear" w:color="auto" w:fill="FFFFFF" w:themeFill="background1"/>
            <w:vAlign w:val="center"/>
            <w:hideMark/>
          </w:tcPr>
          <w:p w14:paraId="39A49215" w14:textId="77777777" w:rsidR="00E77839" w:rsidRPr="00790DAC" w:rsidRDefault="00E77839" w:rsidP="009002E5">
            <w:pPr>
              <w:rPr>
                <w:color w:val="000000"/>
                <w:sz w:val="20"/>
                <w:szCs w:val="20"/>
              </w:rPr>
            </w:pPr>
            <w:r w:rsidRPr="00790DAC">
              <w:rPr>
                <w:color w:val="000000"/>
                <w:sz w:val="20"/>
                <w:szCs w:val="20"/>
              </w:rPr>
              <w:t>Measured at individual or household level</w:t>
            </w:r>
          </w:p>
        </w:tc>
        <w:tc>
          <w:tcPr>
            <w:tcW w:w="708"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vAlign w:val="bottom"/>
          </w:tcPr>
          <w:p w14:paraId="79850292" w14:textId="77777777" w:rsidR="00E77839" w:rsidRPr="00A3510A" w:rsidRDefault="00E77839" w:rsidP="009002E5">
            <w:pPr>
              <w:jc w:val="center"/>
              <w:rPr>
                <w:color w:val="000000"/>
                <w:sz w:val="20"/>
                <w:szCs w:val="20"/>
              </w:rPr>
            </w:pPr>
            <w:r w:rsidRPr="00A3510A">
              <w:rPr>
                <w:color w:val="000000"/>
                <w:sz w:val="20"/>
                <w:szCs w:val="20"/>
              </w:rPr>
              <w:t>■</w:t>
            </w:r>
          </w:p>
        </w:tc>
        <w:tc>
          <w:tcPr>
            <w:tcW w:w="851"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vAlign w:val="bottom"/>
          </w:tcPr>
          <w:p w14:paraId="7EC09E29" w14:textId="77777777" w:rsidR="00E77839" w:rsidRPr="00A3510A" w:rsidRDefault="00E77839" w:rsidP="009002E5">
            <w:pPr>
              <w:jc w:val="center"/>
              <w:rPr>
                <w:color w:val="000000"/>
                <w:sz w:val="20"/>
                <w:szCs w:val="20"/>
              </w:rPr>
            </w:pPr>
            <w:r w:rsidRPr="00A3510A">
              <w:rPr>
                <w:color w:val="000000"/>
                <w:sz w:val="20"/>
                <w:szCs w:val="20"/>
              </w:rPr>
              <w:t>■</w:t>
            </w:r>
          </w:p>
        </w:tc>
        <w:tc>
          <w:tcPr>
            <w:tcW w:w="850"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vAlign w:val="bottom"/>
          </w:tcPr>
          <w:p w14:paraId="3E808627" w14:textId="77777777" w:rsidR="00E77839" w:rsidRPr="00A3510A" w:rsidRDefault="00E77839" w:rsidP="009002E5">
            <w:pPr>
              <w:jc w:val="center"/>
              <w:rPr>
                <w:color w:val="000000"/>
                <w:sz w:val="20"/>
                <w:szCs w:val="20"/>
              </w:rPr>
            </w:pPr>
            <w:r w:rsidRPr="00A3510A">
              <w:rPr>
                <w:color w:val="000000"/>
                <w:sz w:val="20"/>
                <w:szCs w:val="20"/>
              </w:rPr>
              <w:t>■</w:t>
            </w:r>
          </w:p>
        </w:tc>
        <w:tc>
          <w:tcPr>
            <w:tcW w:w="709"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vAlign w:val="bottom"/>
          </w:tcPr>
          <w:p w14:paraId="74B1B6F4" w14:textId="77777777" w:rsidR="00E77839" w:rsidRPr="00A3510A" w:rsidRDefault="00E77839" w:rsidP="009002E5">
            <w:pPr>
              <w:jc w:val="center"/>
              <w:rPr>
                <w:color w:val="000000"/>
                <w:sz w:val="20"/>
                <w:szCs w:val="20"/>
              </w:rPr>
            </w:pPr>
            <w:r w:rsidRPr="00A3510A">
              <w:rPr>
                <w:color w:val="000000"/>
                <w:sz w:val="20"/>
                <w:szCs w:val="20"/>
              </w:rPr>
              <w:t>■</w:t>
            </w:r>
          </w:p>
        </w:tc>
        <w:tc>
          <w:tcPr>
            <w:tcW w:w="709"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vAlign w:val="bottom"/>
          </w:tcPr>
          <w:p w14:paraId="60C4AEB1" w14:textId="77777777" w:rsidR="00E77839" w:rsidRPr="00A3510A" w:rsidRDefault="00E77839" w:rsidP="009002E5">
            <w:pPr>
              <w:jc w:val="center"/>
              <w:rPr>
                <w:color w:val="000000"/>
                <w:sz w:val="20"/>
                <w:szCs w:val="20"/>
              </w:rPr>
            </w:pPr>
            <w:r w:rsidRPr="00A3510A">
              <w:rPr>
                <w:color w:val="000000"/>
                <w:sz w:val="20"/>
                <w:szCs w:val="20"/>
              </w:rPr>
              <w:t>■</w:t>
            </w:r>
          </w:p>
        </w:tc>
        <w:tc>
          <w:tcPr>
            <w:tcW w:w="850"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vAlign w:val="bottom"/>
          </w:tcPr>
          <w:p w14:paraId="746EA679" w14:textId="77777777" w:rsidR="00E77839" w:rsidRPr="00A3510A" w:rsidRDefault="00E77839" w:rsidP="009002E5">
            <w:pPr>
              <w:jc w:val="center"/>
              <w:rPr>
                <w:color w:val="000000"/>
                <w:sz w:val="20"/>
                <w:szCs w:val="20"/>
              </w:rPr>
            </w:pPr>
            <w:r w:rsidRPr="00A3510A">
              <w:rPr>
                <w:color w:val="000000"/>
                <w:sz w:val="20"/>
                <w:szCs w:val="20"/>
              </w:rPr>
              <w:t>■</w:t>
            </w:r>
          </w:p>
        </w:tc>
      </w:tr>
      <w:tr w:rsidR="00E77839" w:rsidRPr="00790DAC" w14:paraId="1024B557" w14:textId="689F134A" w:rsidTr="009002E5">
        <w:trPr>
          <w:trHeight w:val="259"/>
        </w:trPr>
        <w:tc>
          <w:tcPr>
            <w:tcW w:w="8364" w:type="dxa"/>
            <w:tcBorders>
              <w:top w:val="nil"/>
              <w:bottom w:val="nil"/>
              <w:right w:val="single" w:sz="4" w:space="0" w:color="000000" w:themeColor="text1"/>
            </w:tcBorders>
            <w:shd w:val="clear" w:color="auto" w:fill="FFFFFF" w:themeFill="background1"/>
            <w:vAlign w:val="center"/>
            <w:hideMark/>
          </w:tcPr>
          <w:p w14:paraId="06532F4F" w14:textId="77777777" w:rsidR="00E77839" w:rsidRPr="00790DAC" w:rsidRDefault="00E77839" w:rsidP="009002E5">
            <w:pPr>
              <w:rPr>
                <w:color w:val="000000"/>
                <w:sz w:val="20"/>
                <w:szCs w:val="20"/>
              </w:rPr>
            </w:pPr>
            <w:r w:rsidRPr="00790DAC">
              <w:rPr>
                <w:color w:val="000000"/>
                <w:sz w:val="20"/>
                <w:szCs w:val="20"/>
              </w:rPr>
              <w:t>Use of biomarker (internal dose)</w:t>
            </w:r>
          </w:p>
        </w:tc>
        <w:tc>
          <w:tcPr>
            <w:tcW w:w="708" w:type="dxa"/>
            <w:tcBorders>
              <w:top w:val="nil"/>
              <w:left w:val="single" w:sz="4" w:space="0" w:color="000000" w:themeColor="text1"/>
              <w:bottom w:val="nil"/>
              <w:right w:val="single" w:sz="4" w:space="0" w:color="000000" w:themeColor="text1"/>
            </w:tcBorders>
            <w:shd w:val="clear" w:color="auto" w:fill="FFFFFF" w:themeFill="background1"/>
            <w:vAlign w:val="bottom"/>
          </w:tcPr>
          <w:p w14:paraId="404A9682" w14:textId="77777777" w:rsidR="00E77839" w:rsidRPr="00A3510A" w:rsidRDefault="00E77839" w:rsidP="009002E5">
            <w:pPr>
              <w:jc w:val="center"/>
              <w:rPr>
                <w:color w:val="000000"/>
                <w:sz w:val="20"/>
                <w:szCs w:val="20"/>
              </w:rPr>
            </w:pPr>
            <w:r w:rsidRPr="00A3510A">
              <w:rPr>
                <w:color w:val="000000"/>
                <w:sz w:val="20"/>
                <w:szCs w:val="20"/>
              </w:rPr>
              <w:t>■</w:t>
            </w:r>
          </w:p>
        </w:tc>
        <w:tc>
          <w:tcPr>
            <w:tcW w:w="851" w:type="dxa"/>
            <w:tcBorders>
              <w:top w:val="nil"/>
              <w:left w:val="single" w:sz="4" w:space="0" w:color="000000" w:themeColor="text1"/>
              <w:bottom w:val="nil"/>
              <w:right w:val="single" w:sz="4" w:space="0" w:color="000000" w:themeColor="text1"/>
            </w:tcBorders>
            <w:shd w:val="clear" w:color="auto" w:fill="FFFFFF" w:themeFill="background1"/>
            <w:vAlign w:val="bottom"/>
          </w:tcPr>
          <w:p w14:paraId="087CC489" w14:textId="77777777" w:rsidR="00E77839" w:rsidRPr="00A3510A" w:rsidRDefault="00E77839" w:rsidP="009002E5">
            <w:pPr>
              <w:jc w:val="center"/>
              <w:rPr>
                <w:color w:val="000000"/>
                <w:sz w:val="20"/>
                <w:szCs w:val="20"/>
              </w:rPr>
            </w:pPr>
            <w:r w:rsidRPr="00A3510A">
              <w:rPr>
                <w:color w:val="000000"/>
                <w:sz w:val="20"/>
                <w:szCs w:val="20"/>
              </w:rPr>
              <w:t>□</w:t>
            </w:r>
          </w:p>
        </w:tc>
        <w:tc>
          <w:tcPr>
            <w:tcW w:w="850" w:type="dxa"/>
            <w:tcBorders>
              <w:top w:val="nil"/>
              <w:left w:val="single" w:sz="4" w:space="0" w:color="000000" w:themeColor="text1"/>
              <w:bottom w:val="nil"/>
              <w:right w:val="single" w:sz="4" w:space="0" w:color="000000" w:themeColor="text1"/>
            </w:tcBorders>
            <w:shd w:val="clear" w:color="auto" w:fill="FFFFFF" w:themeFill="background1"/>
            <w:vAlign w:val="bottom"/>
          </w:tcPr>
          <w:p w14:paraId="358C5DF0" w14:textId="77777777" w:rsidR="00E77839" w:rsidRPr="00A3510A" w:rsidRDefault="00E77839" w:rsidP="009002E5">
            <w:pPr>
              <w:jc w:val="center"/>
              <w:rPr>
                <w:color w:val="000000"/>
                <w:sz w:val="20"/>
                <w:szCs w:val="20"/>
              </w:rPr>
            </w:pPr>
            <w:r w:rsidRPr="00A3510A">
              <w:rPr>
                <w:color w:val="000000"/>
                <w:sz w:val="20"/>
                <w:szCs w:val="20"/>
              </w:rPr>
              <w:t>■</w:t>
            </w:r>
          </w:p>
        </w:tc>
        <w:tc>
          <w:tcPr>
            <w:tcW w:w="709" w:type="dxa"/>
            <w:tcBorders>
              <w:top w:val="nil"/>
              <w:left w:val="single" w:sz="4" w:space="0" w:color="000000" w:themeColor="text1"/>
              <w:bottom w:val="nil"/>
              <w:right w:val="single" w:sz="4" w:space="0" w:color="000000" w:themeColor="text1"/>
            </w:tcBorders>
            <w:shd w:val="clear" w:color="auto" w:fill="FFFFFF" w:themeFill="background1"/>
            <w:vAlign w:val="bottom"/>
          </w:tcPr>
          <w:p w14:paraId="4CFB23E5" w14:textId="77777777" w:rsidR="00E77839" w:rsidRPr="00A3510A" w:rsidRDefault="00E77839" w:rsidP="009002E5">
            <w:pPr>
              <w:jc w:val="center"/>
              <w:rPr>
                <w:color w:val="000000"/>
                <w:sz w:val="20"/>
                <w:szCs w:val="20"/>
              </w:rPr>
            </w:pPr>
            <w:r w:rsidRPr="00A3510A">
              <w:rPr>
                <w:color w:val="000000"/>
                <w:sz w:val="20"/>
                <w:szCs w:val="20"/>
              </w:rPr>
              <w:t>□</w:t>
            </w:r>
          </w:p>
        </w:tc>
        <w:tc>
          <w:tcPr>
            <w:tcW w:w="709" w:type="dxa"/>
            <w:tcBorders>
              <w:top w:val="nil"/>
              <w:left w:val="single" w:sz="4" w:space="0" w:color="000000" w:themeColor="text1"/>
              <w:bottom w:val="nil"/>
              <w:right w:val="single" w:sz="4" w:space="0" w:color="000000" w:themeColor="text1"/>
            </w:tcBorders>
            <w:shd w:val="clear" w:color="auto" w:fill="FFFFFF" w:themeFill="background1"/>
            <w:vAlign w:val="bottom"/>
          </w:tcPr>
          <w:p w14:paraId="599CD6F1" w14:textId="77777777" w:rsidR="00E77839" w:rsidRPr="00A3510A" w:rsidRDefault="00E77839" w:rsidP="009002E5">
            <w:pPr>
              <w:jc w:val="center"/>
              <w:rPr>
                <w:color w:val="000000"/>
                <w:sz w:val="20"/>
                <w:szCs w:val="20"/>
              </w:rPr>
            </w:pPr>
            <w:r w:rsidRPr="00A3510A">
              <w:rPr>
                <w:color w:val="000000"/>
                <w:sz w:val="20"/>
                <w:szCs w:val="20"/>
              </w:rPr>
              <w:t>□</w:t>
            </w:r>
          </w:p>
        </w:tc>
        <w:tc>
          <w:tcPr>
            <w:tcW w:w="850" w:type="dxa"/>
            <w:tcBorders>
              <w:top w:val="nil"/>
              <w:left w:val="single" w:sz="4" w:space="0" w:color="000000" w:themeColor="text1"/>
              <w:bottom w:val="nil"/>
              <w:right w:val="single" w:sz="4" w:space="0" w:color="000000" w:themeColor="text1"/>
            </w:tcBorders>
            <w:shd w:val="clear" w:color="auto" w:fill="FFFFFF" w:themeFill="background1"/>
            <w:vAlign w:val="bottom"/>
          </w:tcPr>
          <w:p w14:paraId="70EEB1B7" w14:textId="77777777" w:rsidR="00E77839" w:rsidRPr="00A3510A" w:rsidRDefault="00E77839" w:rsidP="009002E5">
            <w:pPr>
              <w:jc w:val="center"/>
              <w:rPr>
                <w:color w:val="000000"/>
                <w:sz w:val="20"/>
                <w:szCs w:val="20"/>
              </w:rPr>
            </w:pPr>
            <w:r w:rsidRPr="00A3510A">
              <w:rPr>
                <w:color w:val="000000"/>
                <w:sz w:val="20"/>
                <w:szCs w:val="20"/>
              </w:rPr>
              <w:t>■</w:t>
            </w:r>
          </w:p>
        </w:tc>
      </w:tr>
      <w:tr w:rsidR="00E77839" w:rsidRPr="00790DAC" w14:paraId="35A52340" w14:textId="48610C96" w:rsidTr="009002E5">
        <w:trPr>
          <w:trHeight w:val="63"/>
        </w:trPr>
        <w:tc>
          <w:tcPr>
            <w:tcW w:w="8364" w:type="dxa"/>
            <w:tcBorders>
              <w:top w:val="nil"/>
              <w:bottom w:val="nil"/>
              <w:right w:val="single" w:sz="4" w:space="0" w:color="000000" w:themeColor="text1"/>
            </w:tcBorders>
            <w:shd w:val="clear" w:color="auto" w:fill="FFFFFF" w:themeFill="background1"/>
            <w:vAlign w:val="center"/>
            <w:hideMark/>
          </w:tcPr>
          <w:p w14:paraId="6B4D87D2" w14:textId="77777777" w:rsidR="00E77839" w:rsidRPr="00790DAC" w:rsidRDefault="00E77839" w:rsidP="009002E5">
            <w:pPr>
              <w:rPr>
                <w:color w:val="000000"/>
                <w:sz w:val="20"/>
                <w:szCs w:val="20"/>
              </w:rPr>
            </w:pPr>
            <w:r w:rsidRPr="00790DAC">
              <w:rPr>
                <w:color w:val="000000"/>
                <w:sz w:val="20"/>
                <w:szCs w:val="20"/>
              </w:rPr>
              <w:t>Media (Urine [U], Toenail [T], Water [W], blood [B])</w:t>
            </w:r>
          </w:p>
        </w:tc>
        <w:tc>
          <w:tcPr>
            <w:tcW w:w="708" w:type="dxa"/>
            <w:tcBorders>
              <w:top w:val="nil"/>
              <w:left w:val="single" w:sz="4" w:space="0" w:color="000000" w:themeColor="text1"/>
              <w:bottom w:val="nil"/>
              <w:right w:val="single" w:sz="4" w:space="0" w:color="000000" w:themeColor="text1"/>
            </w:tcBorders>
            <w:shd w:val="clear" w:color="auto" w:fill="FFFFFF" w:themeFill="background1"/>
            <w:vAlign w:val="bottom"/>
          </w:tcPr>
          <w:p w14:paraId="18606C7E" w14:textId="77777777" w:rsidR="00E77839" w:rsidRPr="00A3510A" w:rsidRDefault="00E77839" w:rsidP="009002E5">
            <w:pPr>
              <w:jc w:val="center"/>
              <w:rPr>
                <w:color w:val="000000"/>
                <w:sz w:val="20"/>
                <w:szCs w:val="20"/>
              </w:rPr>
            </w:pPr>
            <w:r w:rsidRPr="00A3510A">
              <w:rPr>
                <w:color w:val="000000"/>
                <w:sz w:val="20"/>
                <w:szCs w:val="20"/>
              </w:rPr>
              <w:t>U</w:t>
            </w:r>
          </w:p>
        </w:tc>
        <w:tc>
          <w:tcPr>
            <w:tcW w:w="851" w:type="dxa"/>
            <w:tcBorders>
              <w:top w:val="nil"/>
              <w:left w:val="single" w:sz="4" w:space="0" w:color="000000" w:themeColor="text1"/>
              <w:bottom w:val="nil"/>
              <w:right w:val="single" w:sz="4" w:space="0" w:color="000000" w:themeColor="text1"/>
            </w:tcBorders>
            <w:shd w:val="clear" w:color="auto" w:fill="FFFFFF" w:themeFill="background1"/>
            <w:vAlign w:val="bottom"/>
          </w:tcPr>
          <w:p w14:paraId="462ED226" w14:textId="77777777" w:rsidR="00E77839" w:rsidRPr="00A3510A" w:rsidRDefault="00E77839" w:rsidP="009002E5">
            <w:pPr>
              <w:jc w:val="center"/>
              <w:rPr>
                <w:color w:val="000000"/>
                <w:sz w:val="20"/>
                <w:szCs w:val="20"/>
              </w:rPr>
            </w:pPr>
            <w:r w:rsidRPr="00A3510A">
              <w:rPr>
                <w:color w:val="000000"/>
                <w:sz w:val="20"/>
                <w:szCs w:val="20"/>
              </w:rPr>
              <w:t>W</w:t>
            </w:r>
          </w:p>
        </w:tc>
        <w:tc>
          <w:tcPr>
            <w:tcW w:w="850" w:type="dxa"/>
            <w:tcBorders>
              <w:top w:val="nil"/>
              <w:left w:val="single" w:sz="4" w:space="0" w:color="000000" w:themeColor="text1"/>
              <w:bottom w:val="nil"/>
              <w:right w:val="single" w:sz="4" w:space="0" w:color="000000" w:themeColor="text1"/>
            </w:tcBorders>
            <w:shd w:val="clear" w:color="auto" w:fill="FFFFFF" w:themeFill="background1"/>
            <w:vAlign w:val="bottom"/>
          </w:tcPr>
          <w:p w14:paraId="0D40D460" w14:textId="77777777" w:rsidR="00E77839" w:rsidRPr="00A3510A" w:rsidRDefault="00E77839" w:rsidP="009002E5">
            <w:pPr>
              <w:jc w:val="center"/>
              <w:rPr>
                <w:color w:val="000000"/>
                <w:sz w:val="20"/>
                <w:szCs w:val="20"/>
              </w:rPr>
            </w:pPr>
            <w:r w:rsidRPr="00A3510A">
              <w:rPr>
                <w:color w:val="000000"/>
                <w:sz w:val="20"/>
                <w:szCs w:val="20"/>
              </w:rPr>
              <w:t>U</w:t>
            </w:r>
          </w:p>
        </w:tc>
        <w:tc>
          <w:tcPr>
            <w:tcW w:w="709" w:type="dxa"/>
            <w:tcBorders>
              <w:top w:val="nil"/>
              <w:left w:val="single" w:sz="4" w:space="0" w:color="000000" w:themeColor="text1"/>
              <w:bottom w:val="nil"/>
              <w:right w:val="single" w:sz="4" w:space="0" w:color="000000" w:themeColor="text1"/>
            </w:tcBorders>
            <w:shd w:val="clear" w:color="auto" w:fill="FFFFFF" w:themeFill="background1"/>
            <w:vAlign w:val="bottom"/>
          </w:tcPr>
          <w:p w14:paraId="16A9D023" w14:textId="77777777" w:rsidR="00E77839" w:rsidRPr="00A3510A" w:rsidRDefault="00E77839" w:rsidP="009002E5">
            <w:pPr>
              <w:jc w:val="center"/>
              <w:rPr>
                <w:color w:val="000000"/>
                <w:sz w:val="20"/>
                <w:szCs w:val="20"/>
              </w:rPr>
            </w:pPr>
            <w:r w:rsidRPr="00A3510A">
              <w:rPr>
                <w:color w:val="000000"/>
                <w:sz w:val="20"/>
                <w:szCs w:val="20"/>
              </w:rPr>
              <w:t>W</w:t>
            </w:r>
          </w:p>
        </w:tc>
        <w:tc>
          <w:tcPr>
            <w:tcW w:w="709" w:type="dxa"/>
            <w:tcBorders>
              <w:top w:val="nil"/>
              <w:left w:val="single" w:sz="4" w:space="0" w:color="000000" w:themeColor="text1"/>
              <w:bottom w:val="nil"/>
              <w:right w:val="single" w:sz="4" w:space="0" w:color="000000" w:themeColor="text1"/>
            </w:tcBorders>
            <w:shd w:val="clear" w:color="auto" w:fill="FFFFFF" w:themeFill="background1"/>
            <w:vAlign w:val="bottom"/>
          </w:tcPr>
          <w:p w14:paraId="0BA2795A" w14:textId="77777777" w:rsidR="00E77839" w:rsidRPr="00A3510A" w:rsidRDefault="00E77839" w:rsidP="009002E5">
            <w:pPr>
              <w:jc w:val="center"/>
              <w:rPr>
                <w:color w:val="000000"/>
                <w:sz w:val="20"/>
                <w:szCs w:val="20"/>
              </w:rPr>
            </w:pPr>
            <w:r w:rsidRPr="00A3510A">
              <w:rPr>
                <w:color w:val="000000"/>
                <w:sz w:val="20"/>
                <w:szCs w:val="20"/>
              </w:rPr>
              <w:t>W</w:t>
            </w:r>
          </w:p>
        </w:tc>
        <w:tc>
          <w:tcPr>
            <w:tcW w:w="850" w:type="dxa"/>
            <w:tcBorders>
              <w:top w:val="nil"/>
              <w:left w:val="single" w:sz="4" w:space="0" w:color="000000" w:themeColor="text1"/>
              <w:bottom w:val="nil"/>
              <w:right w:val="single" w:sz="4" w:space="0" w:color="000000" w:themeColor="text1"/>
            </w:tcBorders>
            <w:shd w:val="clear" w:color="auto" w:fill="FFFFFF" w:themeFill="background1"/>
            <w:vAlign w:val="bottom"/>
          </w:tcPr>
          <w:p w14:paraId="731632BB" w14:textId="77777777" w:rsidR="00E77839" w:rsidRPr="00A3510A" w:rsidRDefault="00E77839" w:rsidP="009002E5">
            <w:pPr>
              <w:jc w:val="center"/>
              <w:rPr>
                <w:color w:val="000000"/>
                <w:sz w:val="20"/>
                <w:szCs w:val="20"/>
              </w:rPr>
            </w:pPr>
            <w:r w:rsidRPr="00A3510A">
              <w:rPr>
                <w:color w:val="000000"/>
                <w:sz w:val="20"/>
                <w:szCs w:val="20"/>
              </w:rPr>
              <w:t>U</w:t>
            </w:r>
          </w:p>
        </w:tc>
      </w:tr>
      <w:tr w:rsidR="00E77839" w:rsidRPr="00790DAC" w14:paraId="22BE34CC" w14:textId="25C2C40A" w:rsidTr="009002E5">
        <w:trPr>
          <w:trHeight w:val="259"/>
        </w:trPr>
        <w:tc>
          <w:tcPr>
            <w:tcW w:w="8364" w:type="dxa"/>
            <w:tcBorders>
              <w:top w:val="nil"/>
              <w:bottom w:val="nil"/>
              <w:right w:val="single" w:sz="4" w:space="0" w:color="000000" w:themeColor="text1"/>
            </w:tcBorders>
            <w:shd w:val="clear" w:color="auto" w:fill="FFFFFF" w:themeFill="background1"/>
            <w:noWrap/>
            <w:vAlign w:val="center"/>
          </w:tcPr>
          <w:p w14:paraId="1B4616B5" w14:textId="77777777" w:rsidR="00E77839" w:rsidRPr="00790DAC" w:rsidRDefault="00E77839" w:rsidP="009002E5">
            <w:pPr>
              <w:rPr>
                <w:color w:val="000000"/>
                <w:sz w:val="20"/>
                <w:szCs w:val="20"/>
              </w:rPr>
            </w:pPr>
            <w:r w:rsidRPr="00790DAC">
              <w:rPr>
                <w:color w:val="000000"/>
                <w:sz w:val="20"/>
                <w:szCs w:val="20"/>
              </w:rPr>
              <w:t xml:space="preserve">Measurement of chronic exposure (i.e., single [S], average of multiple [M], cumulative [C]) </w:t>
            </w:r>
          </w:p>
        </w:tc>
        <w:tc>
          <w:tcPr>
            <w:tcW w:w="708" w:type="dxa"/>
            <w:tcBorders>
              <w:top w:val="nil"/>
              <w:left w:val="single" w:sz="4" w:space="0" w:color="000000" w:themeColor="text1"/>
              <w:bottom w:val="nil"/>
              <w:right w:val="single" w:sz="4" w:space="0" w:color="000000" w:themeColor="text1"/>
            </w:tcBorders>
            <w:shd w:val="clear" w:color="auto" w:fill="FFFFFF" w:themeFill="background1"/>
            <w:vAlign w:val="bottom"/>
          </w:tcPr>
          <w:p w14:paraId="6AE1EA07" w14:textId="77777777" w:rsidR="00E77839" w:rsidRPr="00A3510A" w:rsidRDefault="00E77839" w:rsidP="009002E5">
            <w:pPr>
              <w:jc w:val="center"/>
              <w:rPr>
                <w:color w:val="000000"/>
                <w:sz w:val="20"/>
                <w:szCs w:val="20"/>
              </w:rPr>
            </w:pPr>
            <w:r w:rsidRPr="00A3510A">
              <w:rPr>
                <w:color w:val="000000"/>
                <w:sz w:val="20"/>
                <w:szCs w:val="20"/>
              </w:rPr>
              <w:t>S</w:t>
            </w:r>
          </w:p>
        </w:tc>
        <w:tc>
          <w:tcPr>
            <w:tcW w:w="851" w:type="dxa"/>
            <w:tcBorders>
              <w:top w:val="nil"/>
              <w:left w:val="single" w:sz="4" w:space="0" w:color="000000" w:themeColor="text1"/>
              <w:bottom w:val="nil"/>
              <w:right w:val="single" w:sz="4" w:space="0" w:color="000000" w:themeColor="text1"/>
            </w:tcBorders>
            <w:shd w:val="clear" w:color="auto" w:fill="FFFFFF" w:themeFill="background1"/>
            <w:vAlign w:val="bottom"/>
          </w:tcPr>
          <w:p w14:paraId="77DC0B4C" w14:textId="77777777" w:rsidR="00E77839" w:rsidRPr="00A3510A" w:rsidRDefault="00E77839" w:rsidP="009002E5">
            <w:pPr>
              <w:jc w:val="center"/>
              <w:rPr>
                <w:color w:val="000000"/>
                <w:sz w:val="20"/>
                <w:szCs w:val="20"/>
              </w:rPr>
            </w:pPr>
            <w:r w:rsidRPr="00A3510A">
              <w:rPr>
                <w:color w:val="000000"/>
                <w:sz w:val="20"/>
                <w:szCs w:val="20"/>
              </w:rPr>
              <w:t>S</w:t>
            </w:r>
          </w:p>
        </w:tc>
        <w:tc>
          <w:tcPr>
            <w:tcW w:w="850" w:type="dxa"/>
            <w:tcBorders>
              <w:top w:val="nil"/>
              <w:left w:val="single" w:sz="4" w:space="0" w:color="000000" w:themeColor="text1"/>
              <w:bottom w:val="nil"/>
              <w:right w:val="single" w:sz="4" w:space="0" w:color="000000" w:themeColor="text1"/>
            </w:tcBorders>
            <w:shd w:val="clear" w:color="auto" w:fill="FFFFFF" w:themeFill="background1"/>
            <w:vAlign w:val="bottom"/>
          </w:tcPr>
          <w:p w14:paraId="4FAA4D15" w14:textId="77777777" w:rsidR="00E77839" w:rsidRPr="00A3510A" w:rsidRDefault="00E77839" w:rsidP="009002E5">
            <w:pPr>
              <w:jc w:val="center"/>
              <w:rPr>
                <w:color w:val="000000"/>
                <w:sz w:val="20"/>
                <w:szCs w:val="20"/>
              </w:rPr>
            </w:pPr>
            <w:r w:rsidRPr="00A3510A">
              <w:rPr>
                <w:color w:val="000000"/>
                <w:sz w:val="20"/>
                <w:szCs w:val="20"/>
              </w:rPr>
              <w:t>S</w:t>
            </w:r>
          </w:p>
        </w:tc>
        <w:tc>
          <w:tcPr>
            <w:tcW w:w="709" w:type="dxa"/>
            <w:tcBorders>
              <w:top w:val="nil"/>
              <w:left w:val="single" w:sz="4" w:space="0" w:color="000000" w:themeColor="text1"/>
              <w:bottom w:val="nil"/>
              <w:right w:val="single" w:sz="4" w:space="0" w:color="000000" w:themeColor="text1"/>
            </w:tcBorders>
            <w:shd w:val="clear" w:color="auto" w:fill="FFFFFF" w:themeFill="background1"/>
            <w:vAlign w:val="bottom"/>
          </w:tcPr>
          <w:p w14:paraId="7B4901B3" w14:textId="77777777" w:rsidR="00E77839" w:rsidRPr="00A3510A" w:rsidRDefault="00E77839" w:rsidP="009002E5">
            <w:pPr>
              <w:jc w:val="center"/>
              <w:rPr>
                <w:color w:val="000000"/>
                <w:sz w:val="20"/>
                <w:szCs w:val="20"/>
              </w:rPr>
            </w:pPr>
            <w:r w:rsidRPr="00A3510A">
              <w:rPr>
                <w:color w:val="000000"/>
                <w:sz w:val="20"/>
                <w:szCs w:val="20"/>
              </w:rPr>
              <w:t>M, C</w:t>
            </w:r>
          </w:p>
        </w:tc>
        <w:tc>
          <w:tcPr>
            <w:tcW w:w="709" w:type="dxa"/>
            <w:tcBorders>
              <w:top w:val="nil"/>
              <w:left w:val="single" w:sz="4" w:space="0" w:color="000000" w:themeColor="text1"/>
              <w:bottom w:val="nil"/>
              <w:right w:val="single" w:sz="4" w:space="0" w:color="000000" w:themeColor="text1"/>
            </w:tcBorders>
            <w:shd w:val="clear" w:color="auto" w:fill="FFFFFF" w:themeFill="background1"/>
            <w:vAlign w:val="bottom"/>
          </w:tcPr>
          <w:p w14:paraId="3AD33C12" w14:textId="77777777" w:rsidR="00E77839" w:rsidRPr="00A3510A" w:rsidRDefault="00E77839" w:rsidP="009002E5">
            <w:pPr>
              <w:jc w:val="center"/>
              <w:rPr>
                <w:color w:val="000000"/>
                <w:sz w:val="20"/>
                <w:szCs w:val="20"/>
              </w:rPr>
            </w:pPr>
            <w:r w:rsidRPr="00A3510A">
              <w:rPr>
                <w:color w:val="000000"/>
                <w:sz w:val="20"/>
                <w:szCs w:val="20"/>
              </w:rPr>
              <w:t>S</w:t>
            </w:r>
          </w:p>
        </w:tc>
        <w:tc>
          <w:tcPr>
            <w:tcW w:w="850" w:type="dxa"/>
            <w:tcBorders>
              <w:top w:val="nil"/>
              <w:left w:val="single" w:sz="4" w:space="0" w:color="000000" w:themeColor="text1"/>
              <w:bottom w:val="nil"/>
              <w:right w:val="single" w:sz="4" w:space="0" w:color="000000" w:themeColor="text1"/>
            </w:tcBorders>
            <w:shd w:val="clear" w:color="auto" w:fill="FFFFFF" w:themeFill="background1"/>
            <w:vAlign w:val="bottom"/>
          </w:tcPr>
          <w:p w14:paraId="54B444BF" w14:textId="77777777" w:rsidR="00E77839" w:rsidRPr="00A3510A" w:rsidRDefault="00E77839" w:rsidP="009002E5">
            <w:pPr>
              <w:jc w:val="center"/>
              <w:rPr>
                <w:color w:val="000000"/>
                <w:sz w:val="20"/>
                <w:szCs w:val="20"/>
              </w:rPr>
            </w:pPr>
            <w:r>
              <w:rPr>
                <w:color w:val="000000"/>
                <w:sz w:val="20"/>
                <w:szCs w:val="20"/>
              </w:rPr>
              <w:t>S</w:t>
            </w:r>
          </w:p>
        </w:tc>
      </w:tr>
      <w:tr w:rsidR="00E77839" w:rsidRPr="00790DAC" w14:paraId="713D5FC6" w14:textId="3CFA4ED4" w:rsidTr="009002E5">
        <w:trPr>
          <w:trHeight w:val="259"/>
        </w:trPr>
        <w:tc>
          <w:tcPr>
            <w:tcW w:w="8364" w:type="dxa"/>
            <w:tcBorders>
              <w:top w:val="nil"/>
              <w:bottom w:val="single" w:sz="4" w:space="0" w:color="000000" w:themeColor="text1"/>
              <w:right w:val="single" w:sz="4" w:space="0" w:color="000000" w:themeColor="text1"/>
            </w:tcBorders>
            <w:shd w:val="clear" w:color="auto" w:fill="FFFFFF" w:themeFill="background1"/>
            <w:noWrap/>
            <w:vAlign w:val="center"/>
            <w:hideMark/>
          </w:tcPr>
          <w:p w14:paraId="75FC2EAD" w14:textId="77777777" w:rsidR="00E77839" w:rsidRPr="00790DAC" w:rsidRDefault="00E77839" w:rsidP="009002E5">
            <w:pPr>
              <w:rPr>
                <w:color w:val="000000"/>
                <w:sz w:val="20"/>
                <w:szCs w:val="20"/>
              </w:rPr>
            </w:pPr>
            <w:r w:rsidRPr="00790DAC">
              <w:rPr>
                <w:color w:val="000000"/>
                <w:sz w:val="20"/>
                <w:szCs w:val="20"/>
              </w:rPr>
              <w:t xml:space="preserve">Same exposure ascertainment for exposed and non-exposed </w:t>
            </w:r>
          </w:p>
        </w:tc>
        <w:tc>
          <w:tcPr>
            <w:tcW w:w="708"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6697A85E" w14:textId="77777777" w:rsidR="00E77839" w:rsidRPr="00A3510A" w:rsidRDefault="00E77839" w:rsidP="009002E5">
            <w:pPr>
              <w:jc w:val="center"/>
              <w:rPr>
                <w:color w:val="000000"/>
                <w:sz w:val="20"/>
                <w:szCs w:val="20"/>
              </w:rPr>
            </w:pPr>
            <w:r w:rsidRPr="00A3510A">
              <w:rPr>
                <w:color w:val="000000"/>
                <w:sz w:val="20"/>
                <w:szCs w:val="20"/>
              </w:rPr>
              <w:t>■</w:t>
            </w:r>
          </w:p>
        </w:tc>
        <w:tc>
          <w:tcPr>
            <w:tcW w:w="851"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63231236" w14:textId="77777777" w:rsidR="00E77839" w:rsidRPr="00A3510A" w:rsidRDefault="00E77839" w:rsidP="009002E5">
            <w:pPr>
              <w:jc w:val="center"/>
              <w:rPr>
                <w:color w:val="000000"/>
                <w:sz w:val="20"/>
                <w:szCs w:val="20"/>
              </w:rPr>
            </w:pPr>
            <w:r w:rsidRPr="00A3510A">
              <w:rPr>
                <w:color w:val="000000"/>
                <w:sz w:val="20"/>
                <w:szCs w:val="20"/>
              </w:rPr>
              <w:t>■</w:t>
            </w:r>
          </w:p>
        </w:tc>
        <w:tc>
          <w:tcPr>
            <w:tcW w:w="85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537E8951" w14:textId="77777777" w:rsidR="00E77839" w:rsidRPr="00A3510A" w:rsidRDefault="00E77839" w:rsidP="009002E5">
            <w:pPr>
              <w:jc w:val="center"/>
              <w:rPr>
                <w:color w:val="000000"/>
                <w:sz w:val="20"/>
                <w:szCs w:val="20"/>
              </w:rPr>
            </w:pPr>
            <w:r w:rsidRPr="00A3510A">
              <w:rPr>
                <w:color w:val="000000"/>
                <w:sz w:val="20"/>
                <w:szCs w:val="20"/>
              </w:rPr>
              <w:t>■</w:t>
            </w:r>
          </w:p>
        </w:tc>
        <w:tc>
          <w:tcPr>
            <w:tcW w:w="709"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199ECF7C" w14:textId="77777777" w:rsidR="00E77839" w:rsidRPr="00A3510A" w:rsidRDefault="00E77839" w:rsidP="009002E5">
            <w:pPr>
              <w:jc w:val="center"/>
              <w:rPr>
                <w:color w:val="000000"/>
                <w:sz w:val="20"/>
                <w:szCs w:val="20"/>
              </w:rPr>
            </w:pPr>
            <w:r w:rsidRPr="00A3510A">
              <w:rPr>
                <w:color w:val="000000"/>
                <w:sz w:val="20"/>
                <w:szCs w:val="20"/>
              </w:rPr>
              <w:t>■</w:t>
            </w:r>
          </w:p>
        </w:tc>
        <w:tc>
          <w:tcPr>
            <w:tcW w:w="709"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7C8A8602" w14:textId="77777777" w:rsidR="00E77839" w:rsidRPr="00A3510A" w:rsidRDefault="00E77839" w:rsidP="009002E5">
            <w:pPr>
              <w:jc w:val="center"/>
              <w:rPr>
                <w:color w:val="000000"/>
                <w:sz w:val="20"/>
                <w:szCs w:val="20"/>
              </w:rPr>
            </w:pPr>
            <w:r w:rsidRPr="00A3510A">
              <w:rPr>
                <w:color w:val="000000"/>
                <w:sz w:val="20"/>
                <w:szCs w:val="20"/>
              </w:rPr>
              <w:t>■</w:t>
            </w:r>
          </w:p>
        </w:tc>
        <w:tc>
          <w:tcPr>
            <w:tcW w:w="85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bottom"/>
          </w:tcPr>
          <w:p w14:paraId="6944033E" w14:textId="77777777" w:rsidR="00E77839" w:rsidRPr="00A3510A" w:rsidRDefault="00E77839" w:rsidP="009002E5">
            <w:pPr>
              <w:jc w:val="center"/>
              <w:rPr>
                <w:color w:val="000000"/>
                <w:sz w:val="20"/>
                <w:szCs w:val="20"/>
              </w:rPr>
            </w:pPr>
            <w:r w:rsidRPr="00A3510A">
              <w:rPr>
                <w:color w:val="000000"/>
                <w:sz w:val="20"/>
                <w:szCs w:val="20"/>
              </w:rPr>
              <w:t>■</w:t>
            </w:r>
          </w:p>
        </w:tc>
      </w:tr>
      <w:tr w:rsidR="00E77839" w:rsidRPr="00790DAC" w14:paraId="13FA4DA8" w14:textId="77777777" w:rsidTr="009002E5">
        <w:trPr>
          <w:trHeight w:val="259"/>
        </w:trPr>
        <w:tc>
          <w:tcPr>
            <w:tcW w:w="13041" w:type="dxa"/>
            <w:gridSpan w:val="7"/>
            <w:tcBorders>
              <w:top w:val="nil"/>
              <w:bottom w:val="single" w:sz="4" w:space="0" w:color="000000" w:themeColor="text1"/>
              <w:right w:val="single" w:sz="4" w:space="0" w:color="000000" w:themeColor="text1"/>
            </w:tcBorders>
            <w:shd w:val="clear" w:color="auto" w:fill="FFFFFF" w:themeFill="background1"/>
            <w:noWrap/>
            <w:vAlign w:val="center"/>
          </w:tcPr>
          <w:p w14:paraId="51390825" w14:textId="0CBD7FDA" w:rsidR="00E77839" w:rsidRPr="00A3510A" w:rsidRDefault="00E77839" w:rsidP="009002E5">
            <w:pPr>
              <w:rPr>
                <w:color w:val="000000"/>
                <w:sz w:val="20"/>
                <w:szCs w:val="20"/>
              </w:rPr>
            </w:pPr>
            <w:r w:rsidRPr="00A3510A">
              <w:rPr>
                <w:b/>
                <w:bCs/>
                <w:color w:val="000000"/>
                <w:sz w:val="20"/>
                <w:szCs w:val="20"/>
              </w:rPr>
              <w:t>Genetic exposure</w:t>
            </w:r>
          </w:p>
        </w:tc>
      </w:tr>
      <w:tr w:rsidR="00E77839" w:rsidRPr="00790DAC" w14:paraId="33BB724F" w14:textId="76E33383" w:rsidTr="009002E5">
        <w:trPr>
          <w:trHeight w:val="259"/>
        </w:trPr>
        <w:tc>
          <w:tcPr>
            <w:tcW w:w="8364" w:type="dxa"/>
            <w:tcBorders>
              <w:top w:val="single" w:sz="4" w:space="0" w:color="000000" w:themeColor="text1"/>
              <w:left w:val="single" w:sz="4" w:space="0" w:color="000000" w:themeColor="text1"/>
              <w:bottom w:val="nil"/>
              <w:right w:val="single" w:sz="4" w:space="0" w:color="000000" w:themeColor="text1"/>
            </w:tcBorders>
            <w:shd w:val="clear" w:color="auto" w:fill="FFFFFF" w:themeFill="background1"/>
            <w:noWrap/>
            <w:vAlign w:val="center"/>
          </w:tcPr>
          <w:p w14:paraId="6F474EF5" w14:textId="77777777" w:rsidR="00E77839" w:rsidRPr="00790DAC" w:rsidRDefault="00E77839" w:rsidP="009002E5">
            <w:pPr>
              <w:rPr>
                <w:color w:val="000000"/>
                <w:sz w:val="20"/>
                <w:szCs w:val="20"/>
              </w:rPr>
            </w:pPr>
            <w:r>
              <w:rPr>
                <w:color w:val="000000"/>
                <w:sz w:val="20"/>
                <w:szCs w:val="20"/>
              </w:rPr>
              <w:t xml:space="preserve">Appropriate rationale for chosen candidate genes </w:t>
            </w:r>
          </w:p>
        </w:tc>
        <w:tc>
          <w:tcPr>
            <w:tcW w:w="708" w:type="dxa"/>
            <w:tcBorders>
              <w:top w:val="nil"/>
              <w:left w:val="single" w:sz="4" w:space="0" w:color="000000" w:themeColor="text1"/>
              <w:bottom w:val="nil"/>
              <w:right w:val="single" w:sz="4" w:space="0" w:color="000000" w:themeColor="text1"/>
            </w:tcBorders>
            <w:shd w:val="clear" w:color="auto" w:fill="FFFFFF" w:themeFill="background1"/>
            <w:vAlign w:val="bottom"/>
          </w:tcPr>
          <w:p w14:paraId="1DAD0DF5" w14:textId="77777777" w:rsidR="00E77839" w:rsidRPr="00A3510A" w:rsidRDefault="00E77839" w:rsidP="009002E5">
            <w:pPr>
              <w:jc w:val="center"/>
              <w:rPr>
                <w:color w:val="000000"/>
                <w:sz w:val="20"/>
                <w:szCs w:val="20"/>
              </w:rPr>
            </w:pPr>
            <w:r w:rsidRPr="00A3510A">
              <w:rPr>
                <w:color w:val="000000"/>
                <w:sz w:val="20"/>
                <w:szCs w:val="20"/>
              </w:rPr>
              <w:t>■</w:t>
            </w:r>
          </w:p>
        </w:tc>
        <w:tc>
          <w:tcPr>
            <w:tcW w:w="851" w:type="dxa"/>
            <w:tcBorders>
              <w:top w:val="nil"/>
              <w:left w:val="single" w:sz="4" w:space="0" w:color="000000" w:themeColor="text1"/>
              <w:bottom w:val="nil"/>
              <w:right w:val="single" w:sz="4" w:space="0" w:color="000000" w:themeColor="text1"/>
            </w:tcBorders>
            <w:shd w:val="clear" w:color="auto" w:fill="FFFFFF" w:themeFill="background1"/>
            <w:vAlign w:val="bottom"/>
          </w:tcPr>
          <w:p w14:paraId="12FD3AB6" w14:textId="77777777" w:rsidR="00E77839" w:rsidRPr="00A3510A" w:rsidRDefault="00E77839" w:rsidP="009002E5">
            <w:pPr>
              <w:jc w:val="center"/>
              <w:rPr>
                <w:color w:val="000000"/>
                <w:sz w:val="20"/>
                <w:szCs w:val="20"/>
              </w:rPr>
            </w:pPr>
            <w:r w:rsidRPr="00A3510A">
              <w:rPr>
                <w:color w:val="000000"/>
                <w:sz w:val="20"/>
                <w:szCs w:val="20"/>
              </w:rPr>
              <w:t>■</w:t>
            </w:r>
          </w:p>
        </w:tc>
        <w:tc>
          <w:tcPr>
            <w:tcW w:w="850" w:type="dxa"/>
            <w:tcBorders>
              <w:top w:val="nil"/>
              <w:left w:val="single" w:sz="4" w:space="0" w:color="000000" w:themeColor="text1"/>
              <w:bottom w:val="nil"/>
              <w:right w:val="single" w:sz="4" w:space="0" w:color="000000" w:themeColor="text1"/>
            </w:tcBorders>
            <w:shd w:val="clear" w:color="auto" w:fill="FFFFFF" w:themeFill="background1"/>
            <w:vAlign w:val="bottom"/>
          </w:tcPr>
          <w:p w14:paraId="17C20F44" w14:textId="77777777" w:rsidR="00E77839" w:rsidRPr="00A3510A" w:rsidRDefault="00E77839" w:rsidP="009002E5">
            <w:pPr>
              <w:jc w:val="center"/>
              <w:rPr>
                <w:color w:val="000000"/>
                <w:sz w:val="20"/>
                <w:szCs w:val="20"/>
              </w:rPr>
            </w:pPr>
            <w:r w:rsidRPr="00A3510A">
              <w:rPr>
                <w:color w:val="000000"/>
                <w:sz w:val="20"/>
                <w:szCs w:val="20"/>
              </w:rPr>
              <w:t>■</w:t>
            </w:r>
          </w:p>
        </w:tc>
        <w:tc>
          <w:tcPr>
            <w:tcW w:w="709" w:type="dxa"/>
            <w:tcBorders>
              <w:top w:val="nil"/>
              <w:left w:val="single" w:sz="4" w:space="0" w:color="000000" w:themeColor="text1"/>
              <w:bottom w:val="nil"/>
              <w:right w:val="single" w:sz="4" w:space="0" w:color="000000" w:themeColor="text1"/>
            </w:tcBorders>
            <w:shd w:val="clear" w:color="auto" w:fill="FFFFFF" w:themeFill="background1"/>
            <w:vAlign w:val="bottom"/>
          </w:tcPr>
          <w:p w14:paraId="5C3326F2" w14:textId="77777777" w:rsidR="00E77839" w:rsidRPr="00A3510A" w:rsidRDefault="00E77839" w:rsidP="009002E5">
            <w:pPr>
              <w:jc w:val="center"/>
              <w:rPr>
                <w:color w:val="000000"/>
                <w:sz w:val="20"/>
                <w:szCs w:val="20"/>
              </w:rPr>
            </w:pPr>
            <w:r w:rsidRPr="00A3510A">
              <w:rPr>
                <w:color w:val="000000"/>
                <w:sz w:val="20"/>
                <w:szCs w:val="20"/>
              </w:rPr>
              <w:t>■</w:t>
            </w:r>
          </w:p>
        </w:tc>
        <w:tc>
          <w:tcPr>
            <w:tcW w:w="709" w:type="dxa"/>
            <w:tcBorders>
              <w:top w:val="nil"/>
              <w:left w:val="single" w:sz="4" w:space="0" w:color="000000" w:themeColor="text1"/>
              <w:bottom w:val="nil"/>
              <w:right w:val="single" w:sz="4" w:space="0" w:color="000000" w:themeColor="text1"/>
            </w:tcBorders>
            <w:shd w:val="clear" w:color="auto" w:fill="FFFFFF" w:themeFill="background1"/>
            <w:vAlign w:val="bottom"/>
          </w:tcPr>
          <w:p w14:paraId="3169FF03" w14:textId="77777777" w:rsidR="00E77839" w:rsidRPr="00A3510A" w:rsidRDefault="00E77839" w:rsidP="009002E5">
            <w:pPr>
              <w:jc w:val="center"/>
              <w:rPr>
                <w:color w:val="000000"/>
                <w:sz w:val="20"/>
                <w:szCs w:val="20"/>
              </w:rPr>
            </w:pPr>
            <w:r w:rsidRPr="00A3510A">
              <w:rPr>
                <w:color w:val="000000"/>
                <w:sz w:val="20"/>
                <w:szCs w:val="20"/>
              </w:rPr>
              <w:t>■</w:t>
            </w:r>
          </w:p>
        </w:tc>
        <w:tc>
          <w:tcPr>
            <w:tcW w:w="850" w:type="dxa"/>
            <w:tcBorders>
              <w:top w:val="nil"/>
              <w:left w:val="single" w:sz="4" w:space="0" w:color="000000" w:themeColor="text1"/>
              <w:bottom w:val="nil"/>
              <w:right w:val="single" w:sz="4" w:space="0" w:color="000000" w:themeColor="text1"/>
            </w:tcBorders>
            <w:shd w:val="clear" w:color="auto" w:fill="FFFFFF" w:themeFill="background1"/>
            <w:vAlign w:val="bottom"/>
          </w:tcPr>
          <w:p w14:paraId="4A68DB8C" w14:textId="77777777" w:rsidR="00E77839" w:rsidRPr="00A3510A" w:rsidRDefault="00E77839" w:rsidP="009002E5">
            <w:pPr>
              <w:jc w:val="center"/>
              <w:rPr>
                <w:color w:val="000000"/>
                <w:sz w:val="20"/>
                <w:szCs w:val="20"/>
              </w:rPr>
            </w:pPr>
            <w:r w:rsidRPr="00A3510A">
              <w:rPr>
                <w:color w:val="000000"/>
                <w:sz w:val="20"/>
                <w:szCs w:val="20"/>
              </w:rPr>
              <w:t>■</w:t>
            </w:r>
          </w:p>
        </w:tc>
      </w:tr>
      <w:tr w:rsidR="00E77839" w:rsidRPr="00790DAC" w14:paraId="0CF9E60A" w14:textId="7112589D" w:rsidTr="009002E5">
        <w:trPr>
          <w:trHeight w:val="259"/>
        </w:trPr>
        <w:tc>
          <w:tcPr>
            <w:tcW w:w="8364" w:type="dxa"/>
            <w:tcBorders>
              <w:top w:val="nil"/>
              <w:left w:val="single" w:sz="4" w:space="0" w:color="000000" w:themeColor="text1"/>
              <w:bottom w:val="nil"/>
              <w:right w:val="single" w:sz="4" w:space="0" w:color="000000" w:themeColor="text1"/>
            </w:tcBorders>
            <w:shd w:val="clear" w:color="auto" w:fill="FFFFFF" w:themeFill="background1"/>
            <w:noWrap/>
            <w:vAlign w:val="center"/>
          </w:tcPr>
          <w:p w14:paraId="391D227B" w14:textId="77777777" w:rsidR="00E77839" w:rsidRPr="00790DAC" w:rsidRDefault="00E77839" w:rsidP="009002E5">
            <w:pPr>
              <w:rPr>
                <w:color w:val="000000"/>
                <w:sz w:val="20"/>
                <w:szCs w:val="20"/>
              </w:rPr>
            </w:pPr>
            <w:r>
              <w:rPr>
                <w:color w:val="000000"/>
                <w:sz w:val="20"/>
                <w:szCs w:val="20"/>
              </w:rPr>
              <w:t xml:space="preserve">Genotyping platform and allele-calling algorithm appropriate </w:t>
            </w:r>
          </w:p>
        </w:tc>
        <w:tc>
          <w:tcPr>
            <w:tcW w:w="708" w:type="dxa"/>
            <w:tcBorders>
              <w:top w:val="nil"/>
              <w:left w:val="single" w:sz="4" w:space="0" w:color="000000" w:themeColor="text1"/>
              <w:bottom w:val="nil"/>
              <w:right w:val="single" w:sz="4" w:space="0" w:color="000000" w:themeColor="text1"/>
            </w:tcBorders>
            <w:shd w:val="clear" w:color="auto" w:fill="FFFFFF" w:themeFill="background1"/>
            <w:vAlign w:val="bottom"/>
          </w:tcPr>
          <w:p w14:paraId="2DC0A419" w14:textId="77777777" w:rsidR="00E77839" w:rsidRPr="00A3510A" w:rsidRDefault="00E77839" w:rsidP="009002E5">
            <w:pPr>
              <w:jc w:val="center"/>
              <w:rPr>
                <w:color w:val="000000"/>
                <w:sz w:val="20"/>
                <w:szCs w:val="20"/>
              </w:rPr>
            </w:pPr>
            <w:r w:rsidRPr="00A3510A">
              <w:rPr>
                <w:color w:val="000000"/>
                <w:sz w:val="20"/>
                <w:szCs w:val="20"/>
              </w:rPr>
              <w:t>■</w:t>
            </w:r>
          </w:p>
        </w:tc>
        <w:tc>
          <w:tcPr>
            <w:tcW w:w="851" w:type="dxa"/>
            <w:tcBorders>
              <w:top w:val="nil"/>
              <w:left w:val="single" w:sz="4" w:space="0" w:color="000000" w:themeColor="text1"/>
              <w:bottom w:val="nil"/>
              <w:right w:val="single" w:sz="4" w:space="0" w:color="000000" w:themeColor="text1"/>
            </w:tcBorders>
            <w:shd w:val="clear" w:color="auto" w:fill="FFFFFF" w:themeFill="background1"/>
            <w:vAlign w:val="bottom"/>
          </w:tcPr>
          <w:p w14:paraId="52641DA3" w14:textId="77777777" w:rsidR="00E77839" w:rsidRPr="00A3510A" w:rsidRDefault="00E77839" w:rsidP="009002E5">
            <w:pPr>
              <w:jc w:val="center"/>
              <w:rPr>
                <w:color w:val="000000"/>
                <w:sz w:val="20"/>
                <w:szCs w:val="20"/>
              </w:rPr>
            </w:pPr>
            <w:r w:rsidRPr="00A3510A">
              <w:rPr>
                <w:color w:val="000000"/>
                <w:sz w:val="20"/>
                <w:szCs w:val="20"/>
              </w:rPr>
              <w:t>■</w:t>
            </w:r>
          </w:p>
        </w:tc>
        <w:tc>
          <w:tcPr>
            <w:tcW w:w="850" w:type="dxa"/>
            <w:tcBorders>
              <w:top w:val="nil"/>
              <w:left w:val="single" w:sz="4" w:space="0" w:color="000000" w:themeColor="text1"/>
              <w:bottom w:val="nil"/>
              <w:right w:val="single" w:sz="4" w:space="0" w:color="000000" w:themeColor="text1"/>
            </w:tcBorders>
            <w:shd w:val="clear" w:color="auto" w:fill="FFFFFF" w:themeFill="background1"/>
            <w:vAlign w:val="bottom"/>
          </w:tcPr>
          <w:p w14:paraId="65D1C5C9" w14:textId="77777777" w:rsidR="00E77839" w:rsidRPr="00A3510A" w:rsidRDefault="00E77839" w:rsidP="009002E5">
            <w:pPr>
              <w:jc w:val="center"/>
              <w:rPr>
                <w:color w:val="000000"/>
                <w:sz w:val="20"/>
                <w:szCs w:val="20"/>
              </w:rPr>
            </w:pPr>
            <w:r w:rsidRPr="00A3510A">
              <w:rPr>
                <w:color w:val="000000"/>
                <w:sz w:val="20"/>
                <w:szCs w:val="20"/>
              </w:rPr>
              <w:t>■</w:t>
            </w:r>
          </w:p>
        </w:tc>
        <w:tc>
          <w:tcPr>
            <w:tcW w:w="709" w:type="dxa"/>
            <w:tcBorders>
              <w:top w:val="nil"/>
              <w:left w:val="single" w:sz="4" w:space="0" w:color="000000" w:themeColor="text1"/>
              <w:bottom w:val="nil"/>
              <w:right w:val="single" w:sz="4" w:space="0" w:color="000000" w:themeColor="text1"/>
            </w:tcBorders>
            <w:shd w:val="clear" w:color="auto" w:fill="FFFFFF" w:themeFill="background1"/>
            <w:vAlign w:val="bottom"/>
          </w:tcPr>
          <w:p w14:paraId="78018A92" w14:textId="77777777" w:rsidR="00E77839" w:rsidRPr="00A3510A" w:rsidRDefault="00E77839" w:rsidP="009002E5">
            <w:pPr>
              <w:jc w:val="center"/>
              <w:rPr>
                <w:color w:val="000000"/>
                <w:sz w:val="20"/>
                <w:szCs w:val="20"/>
              </w:rPr>
            </w:pPr>
            <w:r w:rsidRPr="00A3510A">
              <w:rPr>
                <w:color w:val="000000"/>
                <w:sz w:val="20"/>
                <w:szCs w:val="20"/>
              </w:rPr>
              <w:t>■</w:t>
            </w:r>
          </w:p>
        </w:tc>
        <w:tc>
          <w:tcPr>
            <w:tcW w:w="709" w:type="dxa"/>
            <w:tcBorders>
              <w:top w:val="nil"/>
              <w:left w:val="single" w:sz="4" w:space="0" w:color="000000" w:themeColor="text1"/>
              <w:bottom w:val="nil"/>
              <w:right w:val="single" w:sz="4" w:space="0" w:color="000000" w:themeColor="text1"/>
            </w:tcBorders>
            <w:shd w:val="clear" w:color="auto" w:fill="FFFFFF" w:themeFill="background1"/>
            <w:vAlign w:val="bottom"/>
          </w:tcPr>
          <w:p w14:paraId="6E2E0BC8" w14:textId="77777777" w:rsidR="00E77839" w:rsidRPr="00A3510A" w:rsidRDefault="00E77839" w:rsidP="009002E5">
            <w:pPr>
              <w:jc w:val="center"/>
              <w:rPr>
                <w:color w:val="000000"/>
                <w:sz w:val="20"/>
                <w:szCs w:val="20"/>
              </w:rPr>
            </w:pPr>
            <w:r w:rsidRPr="00A3510A">
              <w:rPr>
                <w:color w:val="000000"/>
                <w:sz w:val="20"/>
                <w:szCs w:val="20"/>
              </w:rPr>
              <w:t>■</w:t>
            </w:r>
          </w:p>
        </w:tc>
        <w:tc>
          <w:tcPr>
            <w:tcW w:w="850" w:type="dxa"/>
            <w:tcBorders>
              <w:top w:val="nil"/>
              <w:left w:val="single" w:sz="4" w:space="0" w:color="000000" w:themeColor="text1"/>
              <w:bottom w:val="nil"/>
              <w:right w:val="single" w:sz="4" w:space="0" w:color="000000" w:themeColor="text1"/>
            </w:tcBorders>
            <w:shd w:val="clear" w:color="auto" w:fill="FFFFFF" w:themeFill="background1"/>
            <w:vAlign w:val="bottom"/>
          </w:tcPr>
          <w:p w14:paraId="7786E486" w14:textId="77777777" w:rsidR="00E77839" w:rsidRPr="00A3510A" w:rsidRDefault="00E77839" w:rsidP="009002E5">
            <w:pPr>
              <w:jc w:val="center"/>
              <w:rPr>
                <w:color w:val="000000"/>
                <w:sz w:val="20"/>
                <w:szCs w:val="20"/>
              </w:rPr>
            </w:pPr>
            <w:r w:rsidRPr="00A3510A">
              <w:rPr>
                <w:color w:val="000000"/>
                <w:sz w:val="20"/>
                <w:szCs w:val="20"/>
              </w:rPr>
              <w:t>■</w:t>
            </w:r>
          </w:p>
        </w:tc>
      </w:tr>
      <w:tr w:rsidR="00E77839" w:rsidRPr="00790DAC" w14:paraId="283A6143" w14:textId="5A0CA3A3" w:rsidTr="009002E5">
        <w:trPr>
          <w:trHeight w:val="259"/>
        </w:trPr>
        <w:tc>
          <w:tcPr>
            <w:tcW w:w="8364" w:type="dxa"/>
            <w:tcBorders>
              <w:top w:val="nil"/>
              <w:left w:val="single" w:sz="4" w:space="0" w:color="000000" w:themeColor="text1"/>
              <w:bottom w:val="nil"/>
              <w:right w:val="single" w:sz="4" w:space="0" w:color="000000" w:themeColor="text1"/>
            </w:tcBorders>
            <w:shd w:val="clear" w:color="auto" w:fill="FFFFFF" w:themeFill="background1"/>
            <w:noWrap/>
            <w:vAlign w:val="center"/>
          </w:tcPr>
          <w:p w14:paraId="69FABCC3" w14:textId="77777777" w:rsidR="00E77839" w:rsidRPr="00790DAC" w:rsidRDefault="00E77839" w:rsidP="009002E5">
            <w:pPr>
              <w:rPr>
                <w:color w:val="000000"/>
                <w:sz w:val="20"/>
                <w:szCs w:val="20"/>
              </w:rPr>
            </w:pPr>
            <w:r>
              <w:rPr>
                <w:color w:val="000000"/>
                <w:sz w:val="20"/>
                <w:szCs w:val="20"/>
              </w:rPr>
              <w:t>Genotyping error and call rates appropriate (&lt;95% poor genotyping)</w:t>
            </w:r>
          </w:p>
        </w:tc>
        <w:tc>
          <w:tcPr>
            <w:tcW w:w="708" w:type="dxa"/>
            <w:tcBorders>
              <w:top w:val="nil"/>
              <w:left w:val="single" w:sz="4" w:space="0" w:color="000000" w:themeColor="text1"/>
              <w:bottom w:val="nil"/>
              <w:right w:val="single" w:sz="4" w:space="0" w:color="000000" w:themeColor="text1"/>
            </w:tcBorders>
            <w:shd w:val="clear" w:color="auto" w:fill="FFFFFF" w:themeFill="background1"/>
            <w:vAlign w:val="bottom"/>
          </w:tcPr>
          <w:p w14:paraId="53286858" w14:textId="77777777" w:rsidR="00E77839" w:rsidRPr="00A3510A" w:rsidRDefault="00E77839" w:rsidP="009002E5">
            <w:pPr>
              <w:jc w:val="center"/>
              <w:rPr>
                <w:color w:val="000000"/>
                <w:sz w:val="20"/>
                <w:szCs w:val="20"/>
              </w:rPr>
            </w:pPr>
            <w:r w:rsidRPr="00A3510A">
              <w:rPr>
                <w:color w:val="000000"/>
                <w:sz w:val="20"/>
                <w:szCs w:val="20"/>
              </w:rPr>
              <w:t>--</w:t>
            </w:r>
          </w:p>
        </w:tc>
        <w:tc>
          <w:tcPr>
            <w:tcW w:w="851" w:type="dxa"/>
            <w:tcBorders>
              <w:top w:val="nil"/>
              <w:left w:val="single" w:sz="4" w:space="0" w:color="000000" w:themeColor="text1"/>
              <w:bottom w:val="nil"/>
              <w:right w:val="single" w:sz="4" w:space="0" w:color="000000" w:themeColor="text1"/>
            </w:tcBorders>
            <w:shd w:val="clear" w:color="auto" w:fill="FFFFFF" w:themeFill="background1"/>
            <w:vAlign w:val="bottom"/>
          </w:tcPr>
          <w:p w14:paraId="5037DA33" w14:textId="77777777" w:rsidR="00E77839" w:rsidRPr="00A3510A" w:rsidRDefault="00E77839" w:rsidP="009002E5">
            <w:pPr>
              <w:jc w:val="center"/>
              <w:rPr>
                <w:color w:val="000000"/>
                <w:sz w:val="20"/>
                <w:szCs w:val="20"/>
              </w:rPr>
            </w:pPr>
            <w:r w:rsidRPr="00A3510A">
              <w:rPr>
                <w:color w:val="000000"/>
                <w:sz w:val="20"/>
                <w:szCs w:val="20"/>
              </w:rPr>
              <w:t>■</w:t>
            </w:r>
          </w:p>
        </w:tc>
        <w:tc>
          <w:tcPr>
            <w:tcW w:w="850" w:type="dxa"/>
            <w:tcBorders>
              <w:top w:val="nil"/>
              <w:left w:val="single" w:sz="4" w:space="0" w:color="000000" w:themeColor="text1"/>
              <w:bottom w:val="nil"/>
              <w:right w:val="single" w:sz="4" w:space="0" w:color="000000" w:themeColor="text1"/>
            </w:tcBorders>
            <w:shd w:val="clear" w:color="auto" w:fill="FFFFFF" w:themeFill="background1"/>
            <w:vAlign w:val="bottom"/>
          </w:tcPr>
          <w:p w14:paraId="09BAB564" w14:textId="77777777" w:rsidR="00E77839" w:rsidRPr="00A3510A" w:rsidRDefault="00E77839" w:rsidP="009002E5">
            <w:pPr>
              <w:jc w:val="center"/>
              <w:rPr>
                <w:color w:val="000000"/>
                <w:sz w:val="20"/>
                <w:szCs w:val="20"/>
              </w:rPr>
            </w:pPr>
            <w:r w:rsidRPr="00A3510A">
              <w:rPr>
                <w:color w:val="000000"/>
                <w:sz w:val="20"/>
                <w:szCs w:val="20"/>
              </w:rPr>
              <w:t>■</w:t>
            </w:r>
          </w:p>
        </w:tc>
        <w:tc>
          <w:tcPr>
            <w:tcW w:w="709" w:type="dxa"/>
            <w:tcBorders>
              <w:top w:val="nil"/>
              <w:left w:val="single" w:sz="4" w:space="0" w:color="000000" w:themeColor="text1"/>
              <w:bottom w:val="nil"/>
              <w:right w:val="single" w:sz="4" w:space="0" w:color="000000" w:themeColor="text1"/>
            </w:tcBorders>
            <w:shd w:val="clear" w:color="auto" w:fill="FFFFFF" w:themeFill="background1"/>
            <w:vAlign w:val="bottom"/>
          </w:tcPr>
          <w:p w14:paraId="758C7B29" w14:textId="77777777" w:rsidR="00E77839" w:rsidRPr="00A3510A" w:rsidRDefault="00E77839" w:rsidP="009002E5">
            <w:pPr>
              <w:jc w:val="center"/>
              <w:rPr>
                <w:color w:val="000000"/>
                <w:sz w:val="20"/>
                <w:szCs w:val="20"/>
              </w:rPr>
            </w:pPr>
            <w:r>
              <w:rPr>
                <w:color w:val="000000"/>
                <w:sz w:val="20"/>
                <w:szCs w:val="20"/>
              </w:rPr>
              <w:t>--</w:t>
            </w:r>
          </w:p>
        </w:tc>
        <w:tc>
          <w:tcPr>
            <w:tcW w:w="709" w:type="dxa"/>
            <w:tcBorders>
              <w:top w:val="nil"/>
              <w:left w:val="single" w:sz="4" w:space="0" w:color="000000" w:themeColor="text1"/>
              <w:bottom w:val="nil"/>
              <w:right w:val="single" w:sz="4" w:space="0" w:color="000000" w:themeColor="text1"/>
            </w:tcBorders>
            <w:shd w:val="clear" w:color="auto" w:fill="FFFFFF" w:themeFill="background1"/>
            <w:vAlign w:val="bottom"/>
          </w:tcPr>
          <w:p w14:paraId="295DC6C3" w14:textId="77777777" w:rsidR="00E77839" w:rsidRPr="00A3510A" w:rsidRDefault="00E77839" w:rsidP="009002E5">
            <w:pPr>
              <w:jc w:val="center"/>
              <w:rPr>
                <w:color w:val="000000"/>
                <w:sz w:val="20"/>
                <w:szCs w:val="20"/>
              </w:rPr>
            </w:pPr>
            <w:r w:rsidRPr="00A3510A">
              <w:rPr>
                <w:color w:val="000000"/>
                <w:sz w:val="20"/>
                <w:szCs w:val="20"/>
              </w:rPr>
              <w:t>■</w:t>
            </w:r>
          </w:p>
        </w:tc>
        <w:tc>
          <w:tcPr>
            <w:tcW w:w="850" w:type="dxa"/>
            <w:tcBorders>
              <w:top w:val="nil"/>
              <w:left w:val="single" w:sz="4" w:space="0" w:color="000000" w:themeColor="text1"/>
              <w:bottom w:val="nil"/>
              <w:right w:val="single" w:sz="4" w:space="0" w:color="000000" w:themeColor="text1"/>
            </w:tcBorders>
            <w:shd w:val="clear" w:color="auto" w:fill="FFFFFF" w:themeFill="background1"/>
            <w:vAlign w:val="bottom"/>
          </w:tcPr>
          <w:p w14:paraId="0D9F02C8" w14:textId="77777777" w:rsidR="00E77839" w:rsidRPr="00A3510A" w:rsidRDefault="00E77839" w:rsidP="009002E5">
            <w:pPr>
              <w:jc w:val="center"/>
              <w:rPr>
                <w:color w:val="000000"/>
                <w:sz w:val="20"/>
                <w:szCs w:val="20"/>
              </w:rPr>
            </w:pPr>
            <w:r w:rsidRPr="00A3510A">
              <w:rPr>
                <w:color w:val="000000"/>
                <w:sz w:val="20"/>
                <w:szCs w:val="20"/>
              </w:rPr>
              <w:t>■</w:t>
            </w:r>
          </w:p>
        </w:tc>
      </w:tr>
      <w:tr w:rsidR="00E77839" w:rsidRPr="00790DAC" w14:paraId="7DCC66EB" w14:textId="2888ACAD" w:rsidTr="009002E5">
        <w:trPr>
          <w:trHeight w:val="259"/>
        </w:trPr>
        <w:tc>
          <w:tcPr>
            <w:tcW w:w="8364" w:type="dxa"/>
            <w:tcBorders>
              <w:top w:val="nil"/>
              <w:left w:val="single" w:sz="4" w:space="0" w:color="000000" w:themeColor="text1"/>
              <w:bottom w:val="nil"/>
              <w:right w:val="single" w:sz="4" w:space="0" w:color="000000" w:themeColor="text1"/>
            </w:tcBorders>
            <w:shd w:val="clear" w:color="auto" w:fill="FFFFFF" w:themeFill="background1"/>
            <w:noWrap/>
            <w:vAlign w:val="center"/>
          </w:tcPr>
          <w:p w14:paraId="62B2206E" w14:textId="77777777" w:rsidR="00E77839" w:rsidRPr="00790DAC" w:rsidRDefault="00E77839" w:rsidP="009002E5">
            <w:pPr>
              <w:rPr>
                <w:color w:val="000000"/>
                <w:sz w:val="20"/>
                <w:szCs w:val="20"/>
              </w:rPr>
            </w:pPr>
            <w:r>
              <w:rPr>
                <w:color w:val="000000"/>
                <w:sz w:val="20"/>
                <w:szCs w:val="20"/>
              </w:rPr>
              <w:t xml:space="preserve">Agreement with Hardy </w:t>
            </w:r>
            <w:proofErr w:type="spellStart"/>
            <w:r>
              <w:rPr>
                <w:color w:val="000000"/>
                <w:sz w:val="20"/>
                <w:szCs w:val="20"/>
              </w:rPr>
              <w:t>Weingberg</w:t>
            </w:r>
            <w:proofErr w:type="spellEnd"/>
            <w:r>
              <w:rPr>
                <w:color w:val="000000"/>
                <w:sz w:val="20"/>
                <w:szCs w:val="20"/>
              </w:rPr>
              <w:t xml:space="preserve"> equilibrium tested in controls </w:t>
            </w:r>
          </w:p>
        </w:tc>
        <w:tc>
          <w:tcPr>
            <w:tcW w:w="708" w:type="dxa"/>
            <w:tcBorders>
              <w:top w:val="nil"/>
              <w:left w:val="single" w:sz="4" w:space="0" w:color="000000" w:themeColor="text1"/>
              <w:bottom w:val="nil"/>
              <w:right w:val="single" w:sz="4" w:space="0" w:color="000000" w:themeColor="text1"/>
            </w:tcBorders>
            <w:shd w:val="clear" w:color="auto" w:fill="FFFFFF" w:themeFill="background1"/>
            <w:vAlign w:val="bottom"/>
          </w:tcPr>
          <w:p w14:paraId="6692F4AD" w14:textId="77777777" w:rsidR="00E77839" w:rsidRPr="00A3510A" w:rsidRDefault="00E77839" w:rsidP="009002E5">
            <w:pPr>
              <w:jc w:val="center"/>
              <w:rPr>
                <w:color w:val="000000"/>
                <w:sz w:val="20"/>
                <w:szCs w:val="20"/>
              </w:rPr>
            </w:pPr>
            <w:r w:rsidRPr="00A3510A">
              <w:rPr>
                <w:color w:val="000000"/>
                <w:sz w:val="20"/>
                <w:szCs w:val="20"/>
              </w:rPr>
              <w:t>□</w:t>
            </w:r>
          </w:p>
        </w:tc>
        <w:tc>
          <w:tcPr>
            <w:tcW w:w="851" w:type="dxa"/>
            <w:tcBorders>
              <w:top w:val="nil"/>
              <w:left w:val="single" w:sz="4" w:space="0" w:color="000000" w:themeColor="text1"/>
              <w:bottom w:val="nil"/>
              <w:right w:val="single" w:sz="4" w:space="0" w:color="000000" w:themeColor="text1"/>
            </w:tcBorders>
            <w:shd w:val="clear" w:color="auto" w:fill="FFFFFF" w:themeFill="background1"/>
            <w:vAlign w:val="bottom"/>
          </w:tcPr>
          <w:p w14:paraId="2EC16D16" w14:textId="77777777" w:rsidR="00E77839" w:rsidRPr="00A3510A" w:rsidRDefault="00E77839" w:rsidP="009002E5">
            <w:pPr>
              <w:jc w:val="center"/>
              <w:rPr>
                <w:color w:val="000000"/>
                <w:sz w:val="20"/>
                <w:szCs w:val="20"/>
              </w:rPr>
            </w:pPr>
            <w:r w:rsidRPr="00A3510A">
              <w:rPr>
                <w:color w:val="000000"/>
                <w:sz w:val="20"/>
                <w:szCs w:val="20"/>
              </w:rPr>
              <w:t>□</w:t>
            </w:r>
          </w:p>
        </w:tc>
        <w:tc>
          <w:tcPr>
            <w:tcW w:w="850" w:type="dxa"/>
            <w:tcBorders>
              <w:top w:val="nil"/>
              <w:left w:val="single" w:sz="4" w:space="0" w:color="000000" w:themeColor="text1"/>
              <w:bottom w:val="nil"/>
              <w:right w:val="single" w:sz="4" w:space="0" w:color="000000" w:themeColor="text1"/>
            </w:tcBorders>
            <w:shd w:val="clear" w:color="auto" w:fill="FFFFFF" w:themeFill="background1"/>
            <w:vAlign w:val="bottom"/>
          </w:tcPr>
          <w:p w14:paraId="4D82AF78" w14:textId="77777777" w:rsidR="00E77839" w:rsidRPr="00A3510A" w:rsidRDefault="00E77839" w:rsidP="009002E5">
            <w:pPr>
              <w:jc w:val="center"/>
              <w:rPr>
                <w:color w:val="000000"/>
                <w:sz w:val="20"/>
                <w:szCs w:val="20"/>
              </w:rPr>
            </w:pPr>
            <w:r w:rsidRPr="00A3510A">
              <w:rPr>
                <w:color w:val="000000"/>
                <w:sz w:val="20"/>
                <w:szCs w:val="20"/>
              </w:rPr>
              <w:t>■</w:t>
            </w:r>
          </w:p>
        </w:tc>
        <w:tc>
          <w:tcPr>
            <w:tcW w:w="709" w:type="dxa"/>
            <w:tcBorders>
              <w:top w:val="nil"/>
              <w:left w:val="single" w:sz="4" w:space="0" w:color="000000" w:themeColor="text1"/>
              <w:bottom w:val="nil"/>
              <w:right w:val="single" w:sz="4" w:space="0" w:color="000000" w:themeColor="text1"/>
            </w:tcBorders>
            <w:shd w:val="clear" w:color="auto" w:fill="FFFFFF" w:themeFill="background1"/>
            <w:vAlign w:val="bottom"/>
          </w:tcPr>
          <w:p w14:paraId="712D5705" w14:textId="77777777" w:rsidR="00E77839" w:rsidRPr="00A3510A" w:rsidRDefault="00E77839" w:rsidP="009002E5">
            <w:pPr>
              <w:jc w:val="center"/>
              <w:rPr>
                <w:color w:val="000000"/>
                <w:sz w:val="20"/>
                <w:szCs w:val="20"/>
              </w:rPr>
            </w:pPr>
            <w:r w:rsidRPr="00A3510A">
              <w:rPr>
                <w:color w:val="000000"/>
                <w:sz w:val="20"/>
                <w:szCs w:val="20"/>
              </w:rPr>
              <w:t>■</w:t>
            </w:r>
          </w:p>
        </w:tc>
        <w:tc>
          <w:tcPr>
            <w:tcW w:w="709" w:type="dxa"/>
            <w:tcBorders>
              <w:top w:val="nil"/>
              <w:left w:val="single" w:sz="4" w:space="0" w:color="000000" w:themeColor="text1"/>
              <w:bottom w:val="nil"/>
              <w:right w:val="single" w:sz="4" w:space="0" w:color="000000" w:themeColor="text1"/>
            </w:tcBorders>
            <w:shd w:val="clear" w:color="auto" w:fill="FFFFFF" w:themeFill="background1"/>
            <w:vAlign w:val="bottom"/>
          </w:tcPr>
          <w:p w14:paraId="7370583E" w14:textId="77777777" w:rsidR="00E77839" w:rsidRPr="00A3510A" w:rsidRDefault="00E77839" w:rsidP="009002E5">
            <w:pPr>
              <w:jc w:val="center"/>
              <w:rPr>
                <w:color w:val="000000"/>
                <w:sz w:val="20"/>
                <w:szCs w:val="20"/>
              </w:rPr>
            </w:pPr>
            <w:r w:rsidRPr="00A3510A">
              <w:rPr>
                <w:color w:val="000000"/>
                <w:sz w:val="20"/>
                <w:szCs w:val="20"/>
              </w:rPr>
              <w:t>■</w:t>
            </w:r>
          </w:p>
        </w:tc>
        <w:tc>
          <w:tcPr>
            <w:tcW w:w="850" w:type="dxa"/>
            <w:tcBorders>
              <w:top w:val="nil"/>
              <w:left w:val="single" w:sz="4" w:space="0" w:color="000000" w:themeColor="text1"/>
              <w:bottom w:val="nil"/>
              <w:right w:val="single" w:sz="4" w:space="0" w:color="000000" w:themeColor="text1"/>
            </w:tcBorders>
            <w:shd w:val="clear" w:color="auto" w:fill="FFFFFF" w:themeFill="background1"/>
            <w:vAlign w:val="bottom"/>
          </w:tcPr>
          <w:p w14:paraId="37F64546" w14:textId="77777777" w:rsidR="00E77839" w:rsidRPr="00A3510A" w:rsidRDefault="00E77839" w:rsidP="009002E5">
            <w:pPr>
              <w:jc w:val="center"/>
              <w:rPr>
                <w:color w:val="000000"/>
                <w:sz w:val="20"/>
                <w:szCs w:val="20"/>
              </w:rPr>
            </w:pPr>
            <w:r w:rsidRPr="00A3510A">
              <w:rPr>
                <w:color w:val="000000"/>
                <w:sz w:val="20"/>
                <w:szCs w:val="20"/>
              </w:rPr>
              <w:t>■</w:t>
            </w:r>
          </w:p>
        </w:tc>
      </w:tr>
      <w:tr w:rsidR="00E77839" w:rsidRPr="00790DAC" w14:paraId="04BC1CA4" w14:textId="48060A72" w:rsidTr="009002E5">
        <w:trPr>
          <w:trHeight w:val="259"/>
        </w:trPr>
        <w:tc>
          <w:tcPr>
            <w:tcW w:w="8364" w:type="dxa"/>
            <w:tcBorders>
              <w:top w:val="nil"/>
              <w:left w:val="single" w:sz="4" w:space="0" w:color="000000" w:themeColor="text1"/>
              <w:bottom w:val="nil"/>
              <w:right w:val="single" w:sz="4" w:space="0" w:color="000000" w:themeColor="text1"/>
            </w:tcBorders>
            <w:shd w:val="clear" w:color="auto" w:fill="FFFFFF" w:themeFill="background1"/>
            <w:noWrap/>
            <w:vAlign w:val="center"/>
          </w:tcPr>
          <w:p w14:paraId="25953311" w14:textId="77777777" w:rsidR="00E77839" w:rsidRPr="00790DAC" w:rsidRDefault="00E77839" w:rsidP="009002E5">
            <w:pPr>
              <w:rPr>
                <w:color w:val="000000"/>
                <w:sz w:val="20"/>
                <w:szCs w:val="20"/>
              </w:rPr>
            </w:pPr>
            <w:r>
              <w:rPr>
                <w:color w:val="000000"/>
                <w:sz w:val="20"/>
                <w:szCs w:val="20"/>
              </w:rPr>
              <w:t>Was genotyping conducted by a blinded assessor</w:t>
            </w:r>
          </w:p>
        </w:tc>
        <w:tc>
          <w:tcPr>
            <w:tcW w:w="708" w:type="dxa"/>
            <w:tcBorders>
              <w:top w:val="nil"/>
              <w:left w:val="single" w:sz="4" w:space="0" w:color="000000" w:themeColor="text1"/>
              <w:bottom w:val="nil"/>
              <w:right w:val="single" w:sz="4" w:space="0" w:color="000000" w:themeColor="text1"/>
            </w:tcBorders>
            <w:shd w:val="clear" w:color="auto" w:fill="FFFFFF" w:themeFill="background1"/>
            <w:vAlign w:val="bottom"/>
          </w:tcPr>
          <w:p w14:paraId="67D4EA04" w14:textId="77777777" w:rsidR="00E77839" w:rsidRPr="00A3510A" w:rsidRDefault="00E77839" w:rsidP="009002E5">
            <w:pPr>
              <w:jc w:val="center"/>
              <w:rPr>
                <w:color w:val="000000"/>
                <w:sz w:val="20"/>
                <w:szCs w:val="20"/>
              </w:rPr>
            </w:pPr>
            <w:r w:rsidRPr="00A3510A">
              <w:rPr>
                <w:color w:val="000000"/>
                <w:sz w:val="20"/>
                <w:szCs w:val="20"/>
              </w:rPr>
              <w:t>--</w:t>
            </w:r>
          </w:p>
        </w:tc>
        <w:tc>
          <w:tcPr>
            <w:tcW w:w="851" w:type="dxa"/>
            <w:tcBorders>
              <w:top w:val="nil"/>
              <w:left w:val="single" w:sz="4" w:space="0" w:color="000000" w:themeColor="text1"/>
              <w:bottom w:val="nil"/>
              <w:right w:val="single" w:sz="4" w:space="0" w:color="000000" w:themeColor="text1"/>
            </w:tcBorders>
            <w:shd w:val="clear" w:color="auto" w:fill="FFFFFF" w:themeFill="background1"/>
            <w:vAlign w:val="bottom"/>
          </w:tcPr>
          <w:p w14:paraId="6E22894C" w14:textId="77777777" w:rsidR="00E77839" w:rsidRPr="00A3510A" w:rsidRDefault="00E77839" w:rsidP="009002E5">
            <w:pPr>
              <w:jc w:val="center"/>
              <w:rPr>
                <w:color w:val="000000"/>
                <w:sz w:val="20"/>
                <w:szCs w:val="20"/>
              </w:rPr>
            </w:pPr>
            <w:r w:rsidRPr="00A3510A">
              <w:rPr>
                <w:color w:val="000000"/>
                <w:sz w:val="20"/>
                <w:szCs w:val="20"/>
              </w:rPr>
              <w:t>--</w:t>
            </w:r>
          </w:p>
        </w:tc>
        <w:tc>
          <w:tcPr>
            <w:tcW w:w="850" w:type="dxa"/>
            <w:tcBorders>
              <w:top w:val="nil"/>
              <w:left w:val="single" w:sz="4" w:space="0" w:color="000000" w:themeColor="text1"/>
              <w:bottom w:val="nil"/>
              <w:right w:val="single" w:sz="4" w:space="0" w:color="000000" w:themeColor="text1"/>
            </w:tcBorders>
            <w:shd w:val="clear" w:color="auto" w:fill="FFFFFF" w:themeFill="background1"/>
            <w:vAlign w:val="bottom"/>
          </w:tcPr>
          <w:p w14:paraId="3DFA0D63" w14:textId="77777777" w:rsidR="00E77839" w:rsidRPr="00A3510A" w:rsidRDefault="00E77839" w:rsidP="009002E5">
            <w:pPr>
              <w:jc w:val="center"/>
              <w:rPr>
                <w:color w:val="000000"/>
                <w:sz w:val="20"/>
                <w:szCs w:val="20"/>
              </w:rPr>
            </w:pPr>
            <w:r>
              <w:rPr>
                <w:color w:val="000000"/>
                <w:sz w:val="20"/>
                <w:szCs w:val="20"/>
              </w:rPr>
              <w:t>--</w:t>
            </w:r>
          </w:p>
        </w:tc>
        <w:tc>
          <w:tcPr>
            <w:tcW w:w="709" w:type="dxa"/>
            <w:tcBorders>
              <w:top w:val="nil"/>
              <w:left w:val="single" w:sz="4" w:space="0" w:color="000000" w:themeColor="text1"/>
              <w:bottom w:val="nil"/>
              <w:right w:val="single" w:sz="4" w:space="0" w:color="000000" w:themeColor="text1"/>
            </w:tcBorders>
            <w:shd w:val="clear" w:color="auto" w:fill="FFFFFF" w:themeFill="background1"/>
            <w:vAlign w:val="bottom"/>
          </w:tcPr>
          <w:p w14:paraId="6B53B7A9" w14:textId="77777777" w:rsidR="00E77839" w:rsidRPr="00A3510A" w:rsidRDefault="00E77839" w:rsidP="009002E5">
            <w:pPr>
              <w:jc w:val="center"/>
              <w:rPr>
                <w:color w:val="000000"/>
                <w:sz w:val="20"/>
                <w:szCs w:val="20"/>
              </w:rPr>
            </w:pPr>
            <w:r>
              <w:rPr>
                <w:color w:val="000000"/>
                <w:sz w:val="20"/>
                <w:szCs w:val="20"/>
              </w:rPr>
              <w:t>--</w:t>
            </w:r>
          </w:p>
        </w:tc>
        <w:tc>
          <w:tcPr>
            <w:tcW w:w="709" w:type="dxa"/>
            <w:tcBorders>
              <w:top w:val="nil"/>
              <w:left w:val="single" w:sz="4" w:space="0" w:color="000000" w:themeColor="text1"/>
              <w:bottom w:val="nil"/>
              <w:right w:val="single" w:sz="4" w:space="0" w:color="000000" w:themeColor="text1"/>
            </w:tcBorders>
            <w:shd w:val="clear" w:color="auto" w:fill="FFFFFF" w:themeFill="background1"/>
            <w:vAlign w:val="bottom"/>
          </w:tcPr>
          <w:p w14:paraId="05B9AD2F" w14:textId="77777777" w:rsidR="00E77839" w:rsidRPr="00A3510A" w:rsidRDefault="00E77839" w:rsidP="009002E5">
            <w:pPr>
              <w:jc w:val="center"/>
              <w:rPr>
                <w:color w:val="000000"/>
                <w:sz w:val="20"/>
                <w:szCs w:val="20"/>
              </w:rPr>
            </w:pPr>
            <w:r w:rsidRPr="00A3510A">
              <w:rPr>
                <w:color w:val="000000"/>
                <w:sz w:val="20"/>
                <w:szCs w:val="20"/>
              </w:rPr>
              <w:t>--</w:t>
            </w:r>
          </w:p>
        </w:tc>
        <w:tc>
          <w:tcPr>
            <w:tcW w:w="850" w:type="dxa"/>
            <w:tcBorders>
              <w:top w:val="nil"/>
              <w:left w:val="single" w:sz="4" w:space="0" w:color="000000" w:themeColor="text1"/>
              <w:bottom w:val="nil"/>
              <w:right w:val="single" w:sz="4" w:space="0" w:color="000000" w:themeColor="text1"/>
            </w:tcBorders>
            <w:shd w:val="clear" w:color="auto" w:fill="FFFFFF" w:themeFill="background1"/>
            <w:vAlign w:val="bottom"/>
          </w:tcPr>
          <w:p w14:paraId="3F358F02" w14:textId="77777777" w:rsidR="00E77839" w:rsidRPr="00A3510A" w:rsidRDefault="00E77839" w:rsidP="009002E5">
            <w:pPr>
              <w:jc w:val="center"/>
              <w:rPr>
                <w:color w:val="000000"/>
                <w:sz w:val="20"/>
                <w:szCs w:val="20"/>
              </w:rPr>
            </w:pPr>
            <w:r w:rsidRPr="00A3510A">
              <w:rPr>
                <w:color w:val="000000"/>
                <w:sz w:val="20"/>
                <w:szCs w:val="20"/>
              </w:rPr>
              <w:t>--</w:t>
            </w:r>
          </w:p>
        </w:tc>
      </w:tr>
      <w:tr w:rsidR="00E77839" w:rsidRPr="00790DAC" w14:paraId="1A552B3E" w14:textId="5EAFDADC" w:rsidTr="009002E5">
        <w:trPr>
          <w:trHeight w:val="259"/>
        </w:trPr>
        <w:tc>
          <w:tcPr>
            <w:tcW w:w="8364"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3FA37C0C" w14:textId="77777777" w:rsidR="00E77839" w:rsidRDefault="00E77839" w:rsidP="009002E5">
            <w:pPr>
              <w:rPr>
                <w:color w:val="000000"/>
                <w:sz w:val="20"/>
                <w:szCs w:val="20"/>
              </w:rPr>
            </w:pPr>
            <w:r>
              <w:rPr>
                <w:color w:val="000000"/>
                <w:sz w:val="20"/>
                <w:szCs w:val="20"/>
              </w:rPr>
              <w:t>Where the results adjusted for multiple testing to avoid false positive results</w:t>
            </w:r>
          </w:p>
        </w:tc>
        <w:tc>
          <w:tcPr>
            <w:tcW w:w="708" w:type="dxa"/>
            <w:tcBorders>
              <w:top w:val="nil"/>
              <w:left w:val="single" w:sz="4" w:space="0" w:color="000000" w:themeColor="text1"/>
              <w:bottom w:val="nil"/>
              <w:right w:val="single" w:sz="4" w:space="0" w:color="000000" w:themeColor="text1"/>
            </w:tcBorders>
            <w:shd w:val="clear" w:color="auto" w:fill="FFFFFF" w:themeFill="background1"/>
            <w:vAlign w:val="bottom"/>
          </w:tcPr>
          <w:p w14:paraId="7DDAA23C" w14:textId="77777777" w:rsidR="00E77839" w:rsidRPr="00A3510A" w:rsidRDefault="00E77839" w:rsidP="009002E5">
            <w:pPr>
              <w:jc w:val="center"/>
              <w:rPr>
                <w:b/>
                <w:bCs/>
                <w:color w:val="000000"/>
                <w:sz w:val="20"/>
                <w:szCs w:val="20"/>
              </w:rPr>
            </w:pPr>
            <w:r w:rsidRPr="00A3510A">
              <w:rPr>
                <w:color w:val="000000"/>
                <w:sz w:val="20"/>
                <w:szCs w:val="20"/>
              </w:rPr>
              <w:t>□</w:t>
            </w:r>
          </w:p>
        </w:tc>
        <w:tc>
          <w:tcPr>
            <w:tcW w:w="851" w:type="dxa"/>
            <w:tcBorders>
              <w:top w:val="nil"/>
              <w:left w:val="single" w:sz="4" w:space="0" w:color="000000" w:themeColor="text1"/>
              <w:bottom w:val="nil"/>
              <w:right w:val="single" w:sz="4" w:space="0" w:color="000000" w:themeColor="text1"/>
            </w:tcBorders>
            <w:shd w:val="clear" w:color="auto" w:fill="FFFFFF" w:themeFill="background1"/>
            <w:vAlign w:val="bottom"/>
          </w:tcPr>
          <w:p w14:paraId="478EDBBF" w14:textId="77777777" w:rsidR="00E77839" w:rsidRPr="00A3510A" w:rsidRDefault="00E77839" w:rsidP="009002E5">
            <w:pPr>
              <w:jc w:val="center"/>
              <w:rPr>
                <w:color w:val="000000"/>
                <w:sz w:val="20"/>
                <w:szCs w:val="20"/>
              </w:rPr>
            </w:pPr>
            <w:r w:rsidRPr="00A3510A">
              <w:rPr>
                <w:color w:val="000000"/>
                <w:sz w:val="20"/>
                <w:szCs w:val="20"/>
              </w:rPr>
              <w:t>■</w:t>
            </w:r>
          </w:p>
        </w:tc>
        <w:tc>
          <w:tcPr>
            <w:tcW w:w="850" w:type="dxa"/>
            <w:tcBorders>
              <w:top w:val="nil"/>
              <w:left w:val="single" w:sz="4" w:space="0" w:color="000000" w:themeColor="text1"/>
              <w:bottom w:val="nil"/>
              <w:right w:val="single" w:sz="4" w:space="0" w:color="000000" w:themeColor="text1"/>
            </w:tcBorders>
            <w:shd w:val="clear" w:color="auto" w:fill="FFFFFF" w:themeFill="background1"/>
            <w:vAlign w:val="bottom"/>
          </w:tcPr>
          <w:p w14:paraId="4E910348" w14:textId="77777777" w:rsidR="00E77839" w:rsidRPr="00A3510A" w:rsidRDefault="00E77839" w:rsidP="009002E5">
            <w:pPr>
              <w:jc w:val="center"/>
              <w:rPr>
                <w:color w:val="000000"/>
                <w:sz w:val="20"/>
                <w:szCs w:val="20"/>
              </w:rPr>
            </w:pPr>
            <w:r w:rsidRPr="00A3510A">
              <w:rPr>
                <w:color w:val="000000"/>
                <w:sz w:val="20"/>
                <w:szCs w:val="20"/>
              </w:rPr>
              <w:t>□</w:t>
            </w:r>
          </w:p>
        </w:tc>
        <w:tc>
          <w:tcPr>
            <w:tcW w:w="709" w:type="dxa"/>
            <w:tcBorders>
              <w:top w:val="nil"/>
              <w:left w:val="single" w:sz="4" w:space="0" w:color="000000" w:themeColor="text1"/>
              <w:bottom w:val="nil"/>
              <w:right w:val="single" w:sz="4" w:space="0" w:color="000000" w:themeColor="text1"/>
            </w:tcBorders>
            <w:shd w:val="clear" w:color="auto" w:fill="FFFFFF" w:themeFill="background1"/>
            <w:vAlign w:val="bottom"/>
          </w:tcPr>
          <w:p w14:paraId="7DD3D5B1" w14:textId="77777777" w:rsidR="00E77839" w:rsidRPr="00A3510A" w:rsidRDefault="00E77839" w:rsidP="009002E5">
            <w:pPr>
              <w:jc w:val="center"/>
              <w:rPr>
                <w:color w:val="000000"/>
                <w:sz w:val="20"/>
                <w:szCs w:val="20"/>
              </w:rPr>
            </w:pPr>
            <w:r w:rsidRPr="00A3510A">
              <w:rPr>
                <w:color w:val="000000"/>
                <w:sz w:val="20"/>
                <w:szCs w:val="20"/>
              </w:rPr>
              <w:t>□</w:t>
            </w:r>
          </w:p>
        </w:tc>
        <w:tc>
          <w:tcPr>
            <w:tcW w:w="709" w:type="dxa"/>
            <w:tcBorders>
              <w:top w:val="nil"/>
              <w:left w:val="single" w:sz="4" w:space="0" w:color="000000" w:themeColor="text1"/>
              <w:bottom w:val="nil"/>
              <w:right w:val="single" w:sz="4" w:space="0" w:color="000000" w:themeColor="text1"/>
            </w:tcBorders>
            <w:shd w:val="clear" w:color="auto" w:fill="FFFFFF" w:themeFill="background1"/>
            <w:vAlign w:val="bottom"/>
          </w:tcPr>
          <w:p w14:paraId="42B9EAE0" w14:textId="77777777" w:rsidR="00E77839" w:rsidRPr="00A3510A" w:rsidRDefault="00E77839" w:rsidP="009002E5">
            <w:pPr>
              <w:jc w:val="center"/>
              <w:rPr>
                <w:color w:val="000000"/>
                <w:sz w:val="20"/>
                <w:szCs w:val="20"/>
              </w:rPr>
            </w:pPr>
            <w:r w:rsidRPr="00A3510A">
              <w:rPr>
                <w:color w:val="000000"/>
                <w:sz w:val="20"/>
                <w:szCs w:val="20"/>
              </w:rPr>
              <w:t>■</w:t>
            </w:r>
          </w:p>
        </w:tc>
        <w:tc>
          <w:tcPr>
            <w:tcW w:w="850" w:type="dxa"/>
            <w:tcBorders>
              <w:top w:val="nil"/>
              <w:left w:val="single" w:sz="4" w:space="0" w:color="000000" w:themeColor="text1"/>
              <w:bottom w:val="nil"/>
              <w:right w:val="single" w:sz="4" w:space="0" w:color="000000" w:themeColor="text1"/>
            </w:tcBorders>
            <w:shd w:val="clear" w:color="auto" w:fill="FFFFFF" w:themeFill="background1"/>
            <w:vAlign w:val="bottom"/>
          </w:tcPr>
          <w:p w14:paraId="71746BB6" w14:textId="77777777" w:rsidR="00E77839" w:rsidRPr="00A3510A" w:rsidRDefault="00E77839" w:rsidP="009002E5">
            <w:pPr>
              <w:jc w:val="center"/>
              <w:rPr>
                <w:color w:val="000000"/>
                <w:sz w:val="20"/>
                <w:szCs w:val="20"/>
              </w:rPr>
            </w:pPr>
            <w:r w:rsidRPr="00A3510A">
              <w:rPr>
                <w:color w:val="000000"/>
                <w:sz w:val="20"/>
                <w:szCs w:val="20"/>
              </w:rPr>
              <w:t>■</w:t>
            </w:r>
          </w:p>
        </w:tc>
      </w:tr>
      <w:tr w:rsidR="00E77839" w:rsidRPr="00790DAC" w14:paraId="55E392D8" w14:textId="77777777" w:rsidTr="009002E5">
        <w:trPr>
          <w:trHeight w:val="259"/>
        </w:trPr>
        <w:tc>
          <w:tcPr>
            <w:tcW w:w="13041" w:type="dxa"/>
            <w:gridSpan w:val="7"/>
            <w:tcBorders>
              <w:top w:val="single" w:sz="4" w:space="0" w:color="000000" w:themeColor="text1"/>
              <w:bottom w:val="single" w:sz="4" w:space="0" w:color="000000" w:themeColor="text1"/>
            </w:tcBorders>
            <w:shd w:val="clear" w:color="auto" w:fill="FFFFFF" w:themeFill="background1"/>
            <w:vAlign w:val="bottom"/>
          </w:tcPr>
          <w:p w14:paraId="0649BCFB" w14:textId="5FC4B6A7" w:rsidR="00E77839" w:rsidRPr="00A3510A" w:rsidRDefault="00E77839" w:rsidP="009002E5">
            <w:pPr>
              <w:rPr>
                <w:color w:val="000000"/>
                <w:sz w:val="20"/>
                <w:szCs w:val="20"/>
              </w:rPr>
            </w:pPr>
            <w:r w:rsidRPr="00A3510A">
              <w:rPr>
                <w:b/>
                <w:bCs/>
                <w:color w:val="000000"/>
                <w:sz w:val="20"/>
                <w:szCs w:val="20"/>
              </w:rPr>
              <w:t>Comparability</w:t>
            </w:r>
          </w:p>
        </w:tc>
      </w:tr>
      <w:tr w:rsidR="00E77839" w:rsidRPr="00790DAC" w14:paraId="40F73D41" w14:textId="1E7C4C1A" w:rsidTr="009002E5">
        <w:trPr>
          <w:trHeight w:val="259"/>
        </w:trPr>
        <w:tc>
          <w:tcPr>
            <w:tcW w:w="8364" w:type="dxa"/>
            <w:tcBorders>
              <w:top w:val="single" w:sz="4" w:space="0" w:color="000000" w:themeColor="text1"/>
              <w:bottom w:val="single" w:sz="4" w:space="0" w:color="000000" w:themeColor="text1"/>
            </w:tcBorders>
            <w:shd w:val="clear" w:color="auto" w:fill="FFFFFF" w:themeFill="background1"/>
            <w:vAlign w:val="center"/>
            <w:hideMark/>
          </w:tcPr>
          <w:p w14:paraId="7E21C637" w14:textId="77777777" w:rsidR="00E77839" w:rsidRPr="00790DAC" w:rsidRDefault="00E77839" w:rsidP="009002E5">
            <w:pPr>
              <w:rPr>
                <w:color w:val="000000"/>
                <w:sz w:val="20"/>
                <w:szCs w:val="20"/>
              </w:rPr>
            </w:pPr>
            <w:r w:rsidRPr="00790DAC">
              <w:rPr>
                <w:color w:val="000000"/>
                <w:sz w:val="20"/>
                <w:szCs w:val="20"/>
              </w:rPr>
              <w:t xml:space="preserve">Individual-level adjustment factors </w:t>
            </w:r>
          </w:p>
        </w:tc>
        <w:tc>
          <w:tcPr>
            <w:tcW w:w="708" w:type="dxa"/>
            <w:tcBorders>
              <w:top w:val="single" w:sz="4" w:space="0" w:color="000000" w:themeColor="text1"/>
              <w:bottom w:val="single" w:sz="4" w:space="0" w:color="000000" w:themeColor="text1"/>
            </w:tcBorders>
            <w:shd w:val="clear" w:color="auto" w:fill="FFFFFF" w:themeFill="background1"/>
            <w:vAlign w:val="bottom"/>
          </w:tcPr>
          <w:p w14:paraId="70BE3ACB" w14:textId="77777777" w:rsidR="00E77839" w:rsidRPr="00A3510A" w:rsidRDefault="00E77839" w:rsidP="009002E5">
            <w:pPr>
              <w:jc w:val="center"/>
              <w:rPr>
                <w:color w:val="000000"/>
                <w:sz w:val="20"/>
                <w:szCs w:val="20"/>
              </w:rPr>
            </w:pPr>
            <w:r w:rsidRPr="00A3510A">
              <w:rPr>
                <w:color w:val="000000"/>
                <w:sz w:val="20"/>
                <w:szCs w:val="20"/>
              </w:rPr>
              <w:t>□□</w:t>
            </w:r>
          </w:p>
        </w:tc>
        <w:tc>
          <w:tcPr>
            <w:tcW w:w="851" w:type="dxa"/>
            <w:tcBorders>
              <w:top w:val="single" w:sz="4" w:space="0" w:color="000000" w:themeColor="text1"/>
              <w:bottom w:val="single" w:sz="4" w:space="0" w:color="000000" w:themeColor="text1"/>
            </w:tcBorders>
            <w:shd w:val="clear" w:color="auto" w:fill="FFFFFF" w:themeFill="background1"/>
            <w:vAlign w:val="bottom"/>
          </w:tcPr>
          <w:p w14:paraId="4CE25F87" w14:textId="77777777" w:rsidR="00E77839" w:rsidRPr="00A3510A" w:rsidRDefault="00E77839" w:rsidP="009002E5">
            <w:pPr>
              <w:jc w:val="center"/>
              <w:rPr>
                <w:color w:val="000000"/>
                <w:sz w:val="20"/>
                <w:szCs w:val="20"/>
              </w:rPr>
            </w:pPr>
            <w:r w:rsidRPr="00A3510A">
              <w:rPr>
                <w:color w:val="000000"/>
                <w:sz w:val="20"/>
                <w:szCs w:val="20"/>
              </w:rPr>
              <w:t>■■</w:t>
            </w:r>
          </w:p>
        </w:tc>
        <w:tc>
          <w:tcPr>
            <w:tcW w:w="850" w:type="dxa"/>
            <w:tcBorders>
              <w:top w:val="single" w:sz="4" w:space="0" w:color="000000" w:themeColor="text1"/>
              <w:bottom w:val="single" w:sz="4" w:space="0" w:color="000000" w:themeColor="text1"/>
            </w:tcBorders>
            <w:shd w:val="clear" w:color="auto" w:fill="FFFFFF" w:themeFill="background1"/>
            <w:vAlign w:val="bottom"/>
          </w:tcPr>
          <w:p w14:paraId="23779988" w14:textId="77777777" w:rsidR="00E77839" w:rsidRPr="00A3510A" w:rsidRDefault="00E77839" w:rsidP="009002E5">
            <w:pPr>
              <w:jc w:val="center"/>
              <w:rPr>
                <w:color w:val="000000"/>
                <w:sz w:val="20"/>
                <w:szCs w:val="20"/>
              </w:rPr>
            </w:pPr>
            <w:r w:rsidRPr="00A3510A">
              <w:rPr>
                <w:color w:val="000000"/>
                <w:sz w:val="20"/>
                <w:szCs w:val="20"/>
              </w:rPr>
              <w:t>■■</w:t>
            </w:r>
          </w:p>
        </w:tc>
        <w:tc>
          <w:tcPr>
            <w:tcW w:w="709" w:type="dxa"/>
            <w:tcBorders>
              <w:top w:val="single" w:sz="4" w:space="0" w:color="000000" w:themeColor="text1"/>
              <w:bottom w:val="single" w:sz="4" w:space="0" w:color="000000" w:themeColor="text1"/>
            </w:tcBorders>
            <w:shd w:val="clear" w:color="auto" w:fill="FFFFFF" w:themeFill="background1"/>
            <w:vAlign w:val="bottom"/>
          </w:tcPr>
          <w:p w14:paraId="6225BE52" w14:textId="77777777" w:rsidR="00E77839" w:rsidRPr="00A3510A" w:rsidRDefault="00E77839" w:rsidP="009002E5">
            <w:pPr>
              <w:jc w:val="center"/>
              <w:rPr>
                <w:color w:val="000000"/>
                <w:sz w:val="20"/>
                <w:szCs w:val="20"/>
              </w:rPr>
            </w:pPr>
            <w:r w:rsidRPr="00A3510A">
              <w:rPr>
                <w:color w:val="000000"/>
                <w:sz w:val="20"/>
                <w:szCs w:val="20"/>
              </w:rPr>
              <w:t>■□</w:t>
            </w:r>
          </w:p>
        </w:tc>
        <w:tc>
          <w:tcPr>
            <w:tcW w:w="709" w:type="dxa"/>
            <w:tcBorders>
              <w:top w:val="single" w:sz="4" w:space="0" w:color="000000" w:themeColor="text1"/>
              <w:bottom w:val="single" w:sz="4" w:space="0" w:color="000000" w:themeColor="text1"/>
            </w:tcBorders>
            <w:shd w:val="clear" w:color="auto" w:fill="FFFFFF" w:themeFill="background1"/>
            <w:vAlign w:val="bottom"/>
          </w:tcPr>
          <w:p w14:paraId="5D03492C" w14:textId="77777777" w:rsidR="00E77839" w:rsidRPr="00A3510A" w:rsidRDefault="00E77839" w:rsidP="009002E5">
            <w:pPr>
              <w:jc w:val="center"/>
              <w:rPr>
                <w:color w:val="000000"/>
                <w:sz w:val="20"/>
                <w:szCs w:val="20"/>
              </w:rPr>
            </w:pPr>
            <w:r w:rsidRPr="00A3510A">
              <w:rPr>
                <w:color w:val="000000"/>
                <w:sz w:val="20"/>
                <w:szCs w:val="20"/>
              </w:rPr>
              <w:t>■■</w:t>
            </w:r>
          </w:p>
        </w:tc>
        <w:tc>
          <w:tcPr>
            <w:tcW w:w="850" w:type="dxa"/>
            <w:tcBorders>
              <w:top w:val="single" w:sz="4" w:space="0" w:color="000000" w:themeColor="text1"/>
              <w:bottom w:val="single" w:sz="4" w:space="0" w:color="000000" w:themeColor="text1"/>
            </w:tcBorders>
            <w:shd w:val="clear" w:color="auto" w:fill="FFFFFF" w:themeFill="background1"/>
            <w:vAlign w:val="bottom"/>
          </w:tcPr>
          <w:p w14:paraId="621B00B6" w14:textId="77777777" w:rsidR="00E77839" w:rsidRPr="00A3510A" w:rsidRDefault="00E77839" w:rsidP="009002E5">
            <w:pPr>
              <w:jc w:val="center"/>
              <w:rPr>
                <w:color w:val="000000"/>
                <w:sz w:val="20"/>
                <w:szCs w:val="20"/>
              </w:rPr>
            </w:pPr>
            <w:r w:rsidRPr="00A3510A">
              <w:rPr>
                <w:color w:val="000000"/>
                <w:sz w:val="20"/>
                <w:szCs w:val="20"/>
              </w:rPr>
              <w:t>■■</w:t>
            </w:r>
          </w:p>
        </w:tc>
      </w:tr>
      <w:tr w:rsidR="00E77839" w:rsidRPr="00790DAC" w14:paraId="76921EEE" w14:textId="77777777" w:rsidTr="009002E5">
        <w:trPr>
          <w:trHeight w:val="259"/>
        </w:trPr>
        <w:tc>
          <w:tcPr>
            <w:tcW w:w="13041" w:type="dxa"/>
            <w:gridSpan w:val="7"/>
            <w:tcBorders>
              <w:top w:val="single" w:sz="4" w:space="0" w:color="000000" w:themeColor="text1"/>
              <w:bottom w:val="nil"/>
            </w:tcBorders>
            <w:shd w:val="clear" w:color="auto" w:fill="FFFFFF" w:themeFill="background1"/>
            <w:noWrap/>
            <w:vAlign w:val="center"/>
          </w:tcPr>
          <w:p w14:paraId="7B57E8FD" w14:textId="7CF0502D" w:rsidR="00E77839" w:rsidRPr="00A3510A" w:rsidRDefault="00E77839" w:rsidP="009002E5">
            <w:pPr>
              <w:rPr>
                <w:color w:val="000000"/>
                <w:sz w:val="20"/>
                <w:szCs w:val="20"/>
              </w:rPr>
            </w:pPr>
            <w:r w:rsidRPr="00A3510A">
              <w:rPr>
                <w:b/>
                <w:bCs/>
                <w:color w:val="000000"/>
                <w:sz w:val="20"/>
                <w:szCs w:val="20"/>
              </w:rPr>
              <w:t>Outcome</w:t>
            </w:r>
          </w:p>
        </w:tc>
      </w:tr>
      <w:tr w:rsidR="00E77839" w:rsidRPr="00790DAC" w14:paraId="12A54891" w14:textId="52100A27" w:rsidTr="009002E5">
        <w:trPr>
          <w:trHeight w:val="259"/>
        </w:trPr>
        <w:tc>
          <w:tcPr>
            <w:tcW w:w="8364" w:type="dxa"/>
            <w:tcBorders>
              <w:top w:val="single" w:sz="4" w:space="0" w:color="000000" w:themeColor="text1"/>
              <w:bottom w:val="nil"/>
            </w:tcBorders>
            <w:shd w:val="clear" w:color="auto" w:fill="FFFFFF" w:themeFill="background1"/>
            <w:noWrap/>
            <w:vAlign w:val="center"/>
            <w:hideMark/>
          </w:tcPr>
          <w:p w14:paraId="0875C2AC" w14:textId="77777777" w:rsidR="00E77839" w:rsidRPr="00790DAC" w:rsidRDefault="00E77839" w:rsidP="009002E5">
            <w:pPr>
              <w:rPr>
                <w:color w:val="000000"/>
                <w:sz w:val="20"/>
                <w:szCs w:val="20"/>
              </w:rPr>
            </w:pPr>
            <w:r>
              <w:rPr>
                <w:color w:val="000000"/>
                <w:sz w:val="20"/>
                <w:szCs w:val="20"/>
              </w:rPr>
              <w:t>Outcome assessment</w:t>
            </w:r>
            <w:r w:rsidRPr="00B63DD5">
              <w:rPr>
                <w:color w:val="000000"/>
                <w:sz w:val="20"/>
                <w:szCs w:val="20"/>
              </w:rPr>
              <w:t xml:space="preserve"> through </w:t>
            </w:r>
            <w:r>
              <w:rPr>
                <w:color w:val="000000"/>
                <w:sz w:val="20"/>
                <w:szCs w:val="20"/>
              </w:rPr>
              <w:t>R</w:t>
            </w:r>
            <w:r w:rsidRPr="00B63DD5">
              <w:rPr>
                <w:color w:val="000000"/>
                <w:sz w:val="20"/>
                <w:szCs w:val="20"/>
              </w:rPr>
              <w:t>ecord linkage</w:t>
            </w:r>
            <w:r>
              <w:rPr>
                <w:color w:val="000000"/>
                <w:sz w:val="20"/>
                <w:szCs w:val="20"/>
              </w:rPr>
              <w:t xml:space="preserve"> [R]</w:t>
            </w:r>
            <w:r w:rsidRPr="00B63DD5">
              <w:rPr>
                <w:color w:val="000000"/>
                <w:sz w:val="20"/>
                <w:szCs w:val="20"/>
              </w:rPr>
              <w:t xml:space="preserve">, independent </w:t>
            </w:r>
            <w:r>
              <w:rPr>
                <w:color w:val="000000"/>
                <w:sz w:val="20"/>
                <w:szCs w:val="20"/>
              </w:rPr>
              <w:t>B</w:t>
            </w:r>
            <w:r w:rsidRPr="00B63DD5">
              <w:rPr>
                <w:color w:val="000000"/>
                <w:sz w:val="20"/>
                <w:szCs w:val="20"/>
              </w:rPr>
              <w:t xml:space="preserve">lind </w:t>
            </w:r>
            <w:r>
              <w:rPr>
                <w:color w:val="000000"/>
                <w:sz w:val="20"/>
                <w:szCs w:val="20"/>
              </w:rPr>
              <w:t>Assessment [BA/A]</w:t>
            </w:r>
            <w:r w:rsidRPr="00B63DD5">
              <w:rPr>
                <w:color w:val="000000"/>
                <w:sz w:val="20"/>
                <w:szCs w:val="20"/>
              </w:rPr>
              <w:t xml:space="preserve"> or self-report</w:t>
            </w:r>
            <w:r>
              <w:rPr>
                <w:color w:val="000000"/>
                <w:sz w:val="20"/>
                <w:szCs w:val="20"/>
              </w:rPr>
              <w:t xml:space="preserve"> [S]</w:t>
            </w:r>
          </w:p>
        </w:tc>
        <w:tc>
          <w:tcPr>
            <w:tcW w:w="708" w:type="dxa"/>
            <w:tcBorders>
              <w:top w:val="single" w:sz="4" w:space="0" w:color="000000" w:themeColor="text1"/>
              <w:bottom w:val="nil"/>
            </w:tcBorders>
            <w:shd w:val="clear" w:color="auto" w:fill="FFFFFF" w:themeFill="background1"/>
            <w:vAlign w:val="bottom"/>
          </w:tcPr>
          <w:p w14:paraId="28B9E9FF" w14:textId="77777777" w:rsidR="00E77839" w:rsidRPr="00A3510A" w:rsidRDefault="00E77839" w:rsidP="009002E5">
            <w:pPr>
              <w:jc w:val="center"/>
              <w:rPr>
                <w:color w:val="000000"/>
                <w:sz w:val="20"/>
                <w:szCs w:val="20"/>
              </w:rPr>
            </w:pPr>
            <w:r w:rsidRPr="00A3510A">
              <w:rPr>
                <w:color w:val="000000"/>
                <w:sz w:val="20"/>
                <w:szCs w:val="20"/>
              </w:rPr>
              <w:t>■</w:t>
            </w:r>
            <w:r>
              <w:rPr>
                <w:color w:val="000000"/>
                <w:sz w:val="20"/>
                <w:szCs w:val="20"/>
              </w:rPr>
              <w:t xml:space="preserve"> A</w:t>
            </w:r>
          </w:p>
        </w:tc>
        <w:tc>
          <w:tcPr>
            <w:tcW w:w="851" w:type="dxa"/>
            <w:tcBorders>
              <w:top w:val="single" w:sz="4" w:space="0" w:color="000000" w:themeColor="text1"/>
              <w:bottom w:val="nil"/>
            </w:tcBorders>
            <w:shd w:val="clear" w:color="auto" w:fill="FFFFFF" w:themeFill="background1"/>
            <w:vAlign w:val="bottom"/>
          </w:tcPr>
          <w:p w14:paraId="7F52A73C" w14:textId="77777777" w:rsidR="00E77839" w:rsidRPr="00A3510A" w:rsidRDefault="00E77839" w:rsidP="009002E5">
            <w:pPr>
              <w:jc w:val="center"/>
              <w:rPr>
                <w:color w:val="000000"/>
                <w:sz w:val="20"/>
                <w:szCs w:val="20"/>
              </w:rPr>
            </w:pPr>
            <w:r w:rsidRPr="00A3510A">
              <w:rPr>
                <w:color w:val="000000"/>
                <w:sz w:val="20"/>
                <w:szCs w:val="20"/>
              </w:rPr>
              <w:t>■</w:t>
            </w:r>
            <w:r>
              <w:rPr>
                <w:color w:val="000000"/>
                <w:sz w:val="20"/>
                <w:szCs w:val="20"/>
              </w:rPr>
              <w:t xml:space="preserve"> A</w:t>
            </w:r>
            <w:r w:rsidRPr="00331039">
              <w:rPr>
                <w:color w:val="000000"/>
                <w:sz w:val="16"/>
                <w:szCs w:val="16"/>
                <w:vertAlign w:val="superscript"/>
              </w:rPr>
              <w:t>(a)</w:t>
            </w:r>
            <w:r>
              <w:rPr>
                <w:color w:val="000000"/>
                <w:sz w:val="16"/>
                <w:szCs w:val="16"/>
              </w:rPr>
              <w:t xml:space="preserve"> </w:t>
            </w:r>
            <w:r w:rsidRPr="00A3510A">
              <w:rPr>
                <w:color w:val="000000"/>
                <w:sz w:val="20"/>
                <w:szCs w:val="20"/>
              </w:rPr>
              <w:t>S</w:t>
            </w:r>
          </w:p>
        </w:tc>
        <w:tc>
          <w:tcPr>
            <w:tcW w:w="850" w:type="dxa"/>
            <w:tcBorders>
              <w:top w:val="single" w:sz="4" w:space="0" w:color="000000" w:themeColor="text1"/>
              <w:bottom w:val="nil"/>
            </w:tcBorders>
            <w:shd w:val="clear" w:color="auto" w:fill="FFFFFF" w:themeFill="background1"/>
            <w:vAlign w:val="bottom"/>
          </w:tcPr>
          <w:p w14:paraId="20E6B391" w14:textId="77777777" w:rsidR="00E77839" w:rsidRPr="00A3510A" w:rsidRDefault="00E77839" w:rsidP="009002E5">
            <w:pPr>
              <w:jc w:val="center"/>
              <w:rPr>
                <w:color w:val="000000"/>
                <w:sz w:val="20"/>
                <w:szCs w:val="20"/>
              </w:rPr>
            </w:pPr>
            <w:r w:rsidRPr="00A3510A">
              <w:rPr>
                <w:color w:val="000000"/>
                <w:sz w:val="20"/>
                <w:szCs w:val="20"/>
              </w:rPr>
              <w:t>■</w:t>
            </w:r>
            <w:r>
              <w:rPr>
                <w:color w:val="000000"/>
                <w:sz w:val="20"/>
                <w:szCs w:val="20"/>
              </w:rPr>
              <w:t xml:space="preserve"> A</w:t>
            </w:r>
            <w:r w:rsidRPr="00331039">
              <w:rPr>
                <w:color w:val="000000"/>
                <w:sz w:val="16"/>
                <w:szCs w:val="16"/>
                <w:vertAlign w:val="superscript"/>
              </w:rPr>
              <w:t>(a)</w:t>
            </w:r>
            <w:r>
              <w:rPr>
                <w:color w:val="000000"/>
                <w:sz w:val="16"/>
                <w:szCs w:val="16"/>
              </w:rPr>
              <w:t xml:space="preserve"> </w:t>
            </w:r>
            <w:r w:rsidRPr="00A3510A">
              <w:rPr>
                <w:color w:val="000000"/>
                <w:sz w:val="20"/>
                <w:szCs w:val="20"/>
              </w:rPr>
              <w:t>S</w:t>
            </w:r>
          </w:p>
        </w:tc>
        <w:tc>
          <w:tcPr>
            <w:tcW w:w="709" w:type="dxa"/>
            <w:tcBorders>
              <w:top w:val="single" w:sz="4" w:space="0" w:color="000000" w:themeColor="text1"/>
              <w:bottom w:val="nil"/>
            </w:tcBorders>
            <w:shd w:val="clear" w:color="auto" w:fill="FFFFFF" w:themeFill="background1"/>
            <w:vAlign w:val="bottom"/>
          </w:tcPr>
          <w:p w14:paraId="1139E6BB" w14:textId="77777777" w:rsidR="00E77839" w:rsidRPr="00A3510A" w:rsidRDefault="00E77839" w:rsidP="009002E5">
            <w:pPr>
              <w:jc w:val="center"/>
              <w:rPr>
                <w:color w:val="000000"/>
                <w:sz w:val="20"/>
                <w:szCs w:val="20"/>
              </w:rPr>
            </w:pPr>
            <w:r w:rsidRPr="00A3510A">
              <w:rPr>
                <w:color w:val="000000"/>
                <w:sz w:val="20"/>
                <w:szCs w:val="20"/>
              </w:rPr>
              <w:t>■</w:t>
            </w:r>
            <w:r>
              <w:rPr>
                <w:color w:val="000000"/>
                <w:sz w:val="20"/>
                <w:szCs w:val="20"/>
              </w:rPr>
              <w:t xml:space="preserve"> </w:t>
            </w:r>
            <w:r w:rsidRPr="00A3510A">
              <w:rPr>
                <w:color w:val="000000"/>
                <w:sz w:val="20"/>
                <w:szCs w:val="20"/>
              </w:rPr>
              <w:t>B</w:t>
            </w:r>
            <w:r>
              <w:rPr>
                <w:color w:val="000000"/>
                <w:sz w:val="20"/>
                <w:szCs w:val="20"/>
              </w:rPr>
              <w:t>A</w:t>
            </w:r>
          </w:p>
        </w:tc>
        <w:tc>
          <w:tcPr>
            <w:tcW w:w="709" w:type="dxa"/>
            <w:tcBorders>
              <w:top w:val="single" w:sz="4" w:space="0" w:color="000000" w:themeColor="text1"/>
              <w:bottom w:val="nil"/>
            </w:tcBorders>
            <w:shd w:val="clear" w:color="auto" w:fill="FFFFFF" w:themeFill="background1"/>
            <w:vAlign w:val="bottom"/>
          </w:tcPr>
          <w:p w14:paraId="755543CF" w14:textId="77777777" w:rsidR="00E77839" w:rsidRPr="00A3510A" w:rsidRDefault="00E77839" w:rsidP="009002E5">
            <w:pPr>
              <w:jc w:val="center"/>
              <w:rPr>
                <w:color w:val="000000"/>
                <w:sz w:val="20"/>
                <w:szCs w:val="20"/>
              </w:rPr>
            </w:pPr>
            <w:r w:rsidRPr="00A3510A">
              <w:rPr>
                <w:color w:val="000000"/>
                <w:sz w:val="20"/>
                <w:szCs w:val="20"/>
              </w:rPr>
              <w:t>■</w:t>
            </w:r>
            <w:r>
              <w:rPr>
                <w:color w:val="000000"/>
                <w:sz w:val="20"/>
                <w:szCs w:val="20"/>
              </w:rPr>
              <w:t xml:space="preserve"> A</w:t>
            </w:r>
          </w:p>
        </w:tc>
        <w:tc>
          <w:tcPr>
            <w:tcW w:w="850" w:type="dxa"/>
            <w:tcBorders>
              <w:top w:val="single" w:sz="4" w:space="0" w:color="000000" w:themeColor="text1"/>
              <w:bottom w:val="nil"/>
            </w:tcBorders>
            <w:shd w:val="clear" w:color="auto" w:fill="FFFFFF" w:themeFill="background1"/>
            <w:vAlign w:val="bottom"/>
          </w:tcPr>
          <w:p w14:paraId="63175F06" w14:textId="77777777" w:rsidR="00E77839" w:rsidRPr="00A3510A" w:rsidRDefault="00E77839" w:rsidP="009002E5">
            <w:pPr>
              <w:jc w:val="center"/>
              <w:rPr>
                <w:color w:val="000000"/>
                <w:sz w:val="20"/>
                <w:szCs w:val="20"/>
              </w:rPr>
            </w:pPr>
            <w:r w:rsidRPr="00A3510A">
              <w:rPr>
                <w:color w:val="000000"/>
                <w:sz w:val="20"/>
                <w:szCs w:val="20"/>
              </w:rPr>
              <w:t>■B</w:t>
            </w:r>
          </w:p>
        </w:tc>
      </w:tr>
      <w:tr w:rsidR="00E77839" w:rsidRPr="00790DAC" w14:paraId="10AC938E" w14:textId="71A294E4" w:rsidTr="009002E5">
        <w:trPr>
          <w:trHeight w:val="259"/>
        </w:trPr>
        <w:tc>
          <w:tcPr>
            <w:tcW w:w="8364" w:type="dxa"/>
            <w:tcBorders>
              <w:top w:val="nil"/>
              <w:bottom w:val="nil"/>
            </w:tcBorders>
            <w:shd w:val="clear" w:color="auto" w:fill="FFFFFF" w:themeFill="background1"/>
            <w:vAlign w:val="center"/>
            <w:hideMark/>
          </w:tcPr>
          <w:p w14:paraId="69DD9EEA" w14:textId="77777777" w:rsidR="00E77839" w:rsidRPr="00790DAC" w:rsidRDefault="00E77839" w:rsidP="009002E5">
            <w:pPr>
              <w:rPr>
                <w:color w:val="000000"/>
                <w:sz w:val="20"/>
                <w:szCs w:val="20"/>
              </w:rPr>
            </w:pPr>
            <w:r w:rsidRPr="00790DAC">
              <w:rPr>
                <w:color w:val="000000"/>
                <w:sz w:val="20"/>
                <w:szCs w:val="20"/>
              </w:rPr>
              <w:t>Follow-up long enough for outcomes to occur</w:t>
            </w:r>
          </w:p>
        </w:tc>
        <w:tc>
          <w:tcPr>
            <w:tcW w:w="708" w:type="dxa"/>
            <w:tcBorders>
              <w:top w:val="nil"/>
              <w:bottom w:val="nil"/>
            </w:tcBorders>
            <w:shd w:val="clear" w:color="auto" w:fill="FFFFFF" w:themeFill="background1"/>
            <w:vAlign w:val="bottom"/>
          </w:tcPr>
          <w:p w14:paraId="762678B5" w14:textId="77777777" w:rsidR="00E77839" w:rsidRPr="00A3510A" w:rsidRDefault="00E77839" w:rsidP="009002E5">
            <w:pPr>
              <w:jc w:val="center"/>
              <w:rPr>
                <w:color w:val="000000"/>
                <w:sz w:val="20"/>
                <w:szCs w:val="20"/>
              </w:rPr>
            </w:pPr>
            <w:r w:rsidRPr="00A3510A">
              <w:rPr>
                <w:color w:val="000000"/>
                <w:sz w:val="20"/>
                <w:szCs w:val="20"/>
              </w:rPr>
              <w:t>■</w:t>
            </w:r>
          </w:p>
        </w:tc>
        <w:tc>
          <w:tcPr>
            <w:tcW w:w="851" w:type="dxa"/>
            <w:tcBorders>
              <w:top w:val="nil"/>
              <w:bottom w:val="nil"/>
            </w:tcBorders>
            <w:shd w:val="clear" w:color="auto" w:fill="FFFFFF" w:themeFill="background1"/>
            <w:vAlign w:val="bottom"/>
          </w:tcPr>
          <w:p w14:paraId="3CF1A1B4" w14:textId="77777777" w:rsidR="00E77839" w:rsidRPr="00A3510A" w:rsidRDefault="00E77839" w:rsidP="009002E5">
            <w:pPr>
              <w:jc w:val="center"/>
              <w:rPr>
                <w:color w:val="000000"/>
                <w:sz w:val="20"/>
                <w:szCs w:val="20"/>
              </w:rPr>
            </w:pPr>
            <w:r w:rsidRPr="00A3510A">
              <w:rPr>
                <w:color w:val="000000"/>
                <w:sz w:val="20"/>
                <w:szCs w:val="20"/>
              </w:rPr>
              <w:t>■</w:t>
            </w:r>
          </w:p>
        </w:tc>
        <w:tc>
          <w:tcPr>
            <w:tcW w:w="850" w:type="dxa"/>
            <w:tcBorders>
              <w:top w:val="nil"/>
              <w:bottom w:val="nil"/>
            </w:tcBorders>
            <w:shd w:val="clear" w:color="auto" w:fill="FFFFFF" w:themeFill="background1"/>
            <w:vAlign w:val="bottom"/>
          </w:tcPr>
          <w:p w14:paraId="1CD54A17" w14:textId="77777777" w:rsidR="00E77839" w:rsidRPr="00A3510A" w:rsidRDefault="00E77839" w:rsidP="009002E5">
            <w:pPr>
              <w:jc w:val="center"/>
              <w:rPr>
                <w:color w:val="000000"/>
                <w:sz w:val="20"/>
                <w:szCs w:val="20"/>
              </w:rPr>
            </w:pPr>
            <w:r w:rsidRPr="00A3510A">
              <w:rPr>
                <w:color w:val="000000"/>
                <w:sz w:val="20"/>
                <w:szCs w:val="20"/>
              </w:rPr>
              <w:t>■</w:t>
            </w:r>
          </w:p>
        </w:tc>
        <w:tc>
          <w:tcPr>
            <w:tcW w:w="709" w:type="dxa"/>
            <w:tcBorders>
              <w:top w:val="nil"/>
              <w:bottom w:val="nil"/>
            </w:tcBorders>
            <w:shd w:val="clear" w:color="auto" w:fill="FFFFFF" w:themeFill="background1"/>
            <w:vAlign w:val="bottom"/>
          </w:tcPr>
          <w:p w14:paraId="0B1D8F9D" w14:textId="77777777" w:rsidR="00E77839" w:rsidRPr="00A3510A" w:rsidRDefault="00E77839" w:rsidP="009002E5">
            <w:pPr>
              <w:jc w:val="center"/>
              <w:rPr>
                <w:color w:val="000000"/>
                <w:sz w:val="20"/>
                <w:szCs w:val="20"/>
              </w:rPr>
            </w:pPr>
            <w:r w:rsidRPr="00A3510A">
              <w:rPr>
                <w:color w:val="000000"/>
                <w:sz w:val="20"/>
                <w:szCs w:val="20"/>
              </w:rPr>
              <w:t>■</w:t>
            </w:r>
          </w:p>
        </w:tc>
        <w:tc>
          <w:tcPr>
            <w:tcW w:w="709" w:type="dxa"/>
            <w:tcBorders>
              <w:top w:val="nil"/>
              <w:bottom w:val="nil"/>
            </w:tcBorders>
            <w:shd w:val="clear" w:color="auto" w:fill="FFFFFF" w:themeFill="background1"/>
            <w:vAlign w:val="bottom"/>
          </w:tcPr>
          <w:p w14:paraId="081B214D" w14:textId="77777777" w:rsidR="00E77839" w:rsidRPr="00A3510A" w:rsidRDefault="00E77839" w:rsidP="009002E5">
            <w:pPr>
              <w:jc w:val="center"/>
              <w:rPr>
                <w:color w:val="000000"/>
                <w:sz w:val="20"/>
                <w:szCs w:val="20"/>
              </w:rPr>
            </w:pPr>
            <w:r w:rsidRPr="00A3510A">
              <w:rPr>
                <w:color w:val="000000"/>
                <w:sz w:val="20"/>
                <w:szCs w:val="20"/>
              </w:rPr>
              <w:t>■</w:t>
            </w:r>
          </w:p>
        </w:tc>
        <w:tc>
          <w:tcPr>
            <w:tcW w:w="850" w:type="dxa"/>
            <w:tcBorders>
              <w:top w:val="nil"/>
              <w:bottom w:val="nil"/>
            </w:tcBorders>
            <w:shd w:val="clear" w:color="auto" w:fill="FFFFFF" w:themeFill="background1"/>
            <w:vAlign w:val="bottom"/>
          </w:tcPr>
          <w:p w14:paraId="13D94158" w14:textId="77777777" w:rsidR="00E77839" w:rsidRPr="00A3510A" w:rsidRDefault="00E77839" w:rsidP="009002E5">
            <w:pPr>
              <w:jc w:val="center"/>
              <w:rPr>
                <w:color w:val="000000"/>
                <w:sz w:val="20"/>
                <w:szCs w:val="20"/>
              </w:rPr>
            </w:pPr>
            <w:r w:rsidRPr="00A3510A">
              <w:rPr>
                <w:color w:val="000000"/>
                <w:sz w:val="20"/>
                <w:szCs w:val="20"/>
              </w:rPr>
              <w:t>■</w:t>
            </w:r>
          </w:p>
        </w:tc>
      </w:tr>
      <w:tr w:rsidR="00E77839" w:rsidRPr="00790DAC" w14:paraId="29E279BB" w14:textId="23BFA2A5" w:rsidTr="009002E5">
        <w:trPr>
          <w:trHeight w:val="259"/>
        </w:trPr>
        <w:tc>
          <w:tcPr>
            <w:tcW w:w="8364" w:type="dxa"/>
            <w:tcBorders>
              <w:top w:val="nil"/>
              <w:bottom w:val="nil"/>
            </w:tcBorders>
            <w:shd w:val="clear" w:color="auto" w:fill="FFFFFF" w:themeFill="background1"/>
            <w:vAlign w:val="center"/>
            <w:hideMark/>
          </w:tcPr>
          <w:p w14:paraId="47A5661C" w14:textId="77777777" w:rsidR="00E77839" w:rsidRPr="00790DAC" w:rsidRDefault="00E77839" w:rsidP="009002E5">
            <w:pPr>
              <w:rPr>
                <w:color w:val="000000"/>
                <w:sz w:val="20"/>
                <w:szCs w:val="20"/>
              </w:rPr>
            </w:pPr>
            <w:r w:rsidRPr="00790DAC">
              <w:rPr>
                <w:color w:val="000000"/>
                <w:sz w:val="20"/>
                <w:szCs w:val="20"/>
              </w:rPr>
              <w:t>Adequate follow-up of cohorts (i.e., complete follow-up or unlikely to introduce bias)</w:t>
            </w:r>
          </w:p>
        </w:tc>
        <w:tc>
          <w:tcPr>
            <w:tcW w:w="708" w:type="dxa"/>
            <w:tcBorders>
              <w:top w:val="nil"/>
              <w:bottom w:val="nil"/>
            </w:tcBorders>
            <w:shd w:val="clear" w:color="auto" w:fill="FFFFFF" w:themeFill="background1"/>
            <w:vAlign w:val="bottom"/>
          </w:tcPr>
          <w:p w14:paraId="2F4B0A81" w14:textId="77777777" w:rsidR="00E77839" w:rsidRPr="00A3510A" w:rsidRDefault="00E77839" w:rsidP="009002E5">
            <w:pPr>
              <w:jc w:val="center"/>
              <w:rPr>
                <w:color w:val="000000"/>
                <w:sz w:val="20"/>
                <w:szCs w:val="20"/>
              </w:rPr>
            </w:pPr>
            <w:r w:rsidRPr="00A3510A">
              <w:rPr>
                <w:color w:val="000000"/>
                <w:sz w:val="20"/>
                <w:szCs w:val="20"/>
              </w:rPr>
              <w:t>--</w:t>
            </w:r>
          </w:p>
        </w:tc>
        <w:tc>
          <w:tcPr>
            <w:tcW w:w="851" w:type="dxa"/>
            <w:tcBorders>
              <w:top w:val="nil"/>
              <w:bottom w:val="nil"/>
            </w:tcBorders>
            <w:shd w:val="clear" w:color="auto" w:fill="FFFFFF" w:themeFill="background1"/>
            <w:vAlign w:val="bottom"/>
          </w:tcPr>
          <w:p w14:paraId="6CDEB188" w14:textId="77777777" w:rsidR="00E77839" w:rsidRPr="00A3510A" w:rsidRDefault="00E77839" w:rsidP="009002E5">
            <w:pPr>
              <w:jc w:val="center"/>
              <w:rPr>
                <w:color w:val="000000"/>
                <w:sz w:val="20"/>
                <w:szCs w:val="20"/>
              </w:rPr>
            </w:pPr>
            <w:r w:rsidRPr="00A3510A">
              <w:rPr>
                <w:color w:val="000000"/>
                <w:sz w:val="20"/>
                <w:szCs w:val="20"/>
              </w:rPr>
              <w:t>■</w:t>
            </w:r>
          </w:p>
        </w:tc>
        <w:tc>
          <w:tcPr>
            <w:tcW w:w="850" w:type="dxa"/>
            <w:tcBorders>
              <w:top w:val="nil"/>
              <w:bottom w:val="nil"/>
            </w:tcBorders>
            <w:shd w:val="clear" w:color="auto" w:fill="FFFFFF" w:themeFill="background1"/>
            <w:vAlign w:val="bottom"/>
          </w:tcPr>
          <w:p w14:paraId="364D90DD" w14:textId="77777777" w:rsidR="00E77839" w:rsidRPr="00A3510A" w:rsidRDefault="00E77839" w:rsidP="009002E5">
            <w:pPr>
              <w:jc w:val="center"/>
              <w:rPr>
                <w:color w:val="000000"/>
                <w:sz w:val="20"/>
                <w:szCs w:val="20"/>
              </w:rPr>
            </w:pPr>
            <w:r w:rsidRPr="00A3510A">
              <w:rPr>
                <w:color w:val="000000"/>
                <w:sz w:val="20"/>
                <w:szCs w:val="20"/>
              </w:rPr>
              <w:t>--</w:t>
            </w:r>
          </w:p>
        </w:tc>
        <w:tc>
          <w:tcPr>
            <w:tcW w:w="709" w:type="dxa"/>
            <w:tcBorders>
              <w:top w:val="nil"/>
              <w:bottom w:val="nil"/>
            </w:tcBorders>
            <w:shd w:val="clear" w:color="auto" w:fill="FFFFFF" w:themeFill="background1"/>
            <w:vAlign w:val="bottom"/>
          </w:tcPr>
          <w:p w14:paraId="3112A291" w14:textId="77777777" w:rsidR="00E77839" w:rsidRPr="00A3510A" w:rsidRDefault="00E77839" w:rsidP="009002E5">
            <w:pPr>
              <w:jc w:val="center"/>
              <w:rPr>
                <w:color w:val="000000"/>
                <w:sz w:val="20"/>
                <w:szCs w:val="20"/>
              </w:rPr>
            </w:pPr>
            <w:r w:rsidRPr="00A3510A">
              <w:rPr>
                <w:color w:val="000000"/>
                <w:sz w:val="20"/>
                <w:szCs w:val="20"/>
              </w:rPr>
              <w:t>□</w:t>
            </w:r>
          </w:p>
        </w:tc>
        <w:tc>
          <w:tcPr>
            <w:tcW w:w="709" w:type="dxa"/>
            <w:tcBorders>
              <w:top w:val="nil"/>
              <w:bottom w:val="nil"/>
            </w:tcBorders>
            <w:shd w:val="clear" w:color="auto" w:fill="FFFFFF" w:themeFill="background1"/>
            <w:vAlign w:val="bottom"/>
          </w:tcPr>
          <w:p w14:paraId="32F36992" w14:textId="77777777" w:rsidR="00E77839" w:rsidRPr="00A3510A" w:rsidRDefault="00E77839" w:rsidP="009002E5">
            <w:pPr>
              <w:jc w:val="center"/>
              <w:rPr>
                <w:color w:val="000000"/>
                <w:sz w:val="20"/>
                <w:szCs w:val="20"/>
              </w:rPr>
            </w:pPr>
            <w:r w:rsidRPr="00A3510A">
              <w:rPr>
                <w:color w:val="000000"/>
                <w:sz w:val="20"/>
                <w:szCs w:val="20"/>
              </w:rPr>
              <w:t>--</w:t>
            </w:r>
          </w:p>
        </w:tc>
        <w:tc>
          <w:tcPr>
            <w:tcW w:w="850" w:type="dxa"/>
            <w:tcBorders>
              <w:top w:val="nil"/>
              <w:bottom w:val="nil"/>
            </w:tcBorders>
            <w:shd w:val="clear" w:color="auto" w:fill="FFFFFF" w:themeFill="background1"/>
            <w:vAlign w:val="bottom"/>
          </w:tcPr>
          <w:p w14:paraId="3F25D829" w14:textId="77777777" w:rsidR="00E77839" w:rsidRPr="00A3510A" w:rsidRDefault="00E77839" w:rsidP="009002E5">
            <w:pPr>
              <w:jc w:val="center"/>
              <w:rPr>
                <w:color w:val="000000"/>
                <w:sz w:val="20"/>
                <w:szCs w:val="20"/>
              </w:rPr>
            </w:pPr>
            <w:r w:rsidRPr="00A3510A">
              <w:rPr>
                <w:color w:val="000000"/>
                <w:sz w:val="20"/>
                <w:szCs w:val="20"/>
              </w:rPr>
              <w:t>--</w:t>
            </w:r>
          </w:p>
        </w:tc>
      </w:tr>
      <w:tr w:rsidR="00E77839" w:rsidRPr="00790DAC" w14:paraId="2E631449" w14:textId="7451D33B" w:rsidTr="009002E5">
        <w:trPr>
          <w:trHeight w:val="74"/>
        </w:trPr>
        <w:tc>
          <w:tcPr>
            <w:tcW w:w="8364" w:type="dxa"/>
            <w:tcBorders>
              <w:top w:val="nil"/>
              <w:bottom w:val="nil"/>
            </w:tcBorders>
            <w:shd w:val="clear" w:color="auto" w:fill="FFFFFF" w:themeFill="background1"/>
            <w:noWrap/>
            <w:vAlign w:val="center"/>
            <w:hideMark/>
          </w:tcPr>
          <w:p w14:paraId="7064D6CB" w14:textId="77777777" w:rsidR="00E77839" w:rsidRPr="00790DAC" w:rsidRDefault="00E77839" w:rsidP="009002E5">
            <w:pPr>
              <w:rPr>
                <w:color w:val="000000"/>
                <w:sz w:val="20"/>
                <w:szCs w:val="20"/>
              </w:rPr>
            </w:pPr>
            <w:r w:rsidRPr="00790DAC">
              <w:rPr>
                <w:color w:val="000000"/>
                <w:sz w:val="20"/>
                <w:szCs w:val="20"/>
              </w:rPr>
              <w:t>Loss to follow up independent of exposure</w:t>
            </w:r>
          </w:p>
        </w:tc>
        <w:tc>
          <w:tcPr>
            <w:tcW w:w="708" w:type="dxa"/>
            <w:tcBorders>
              <w:top w:val="nil"/>
              <w:bottom w:val="nil"/>
            </w:tcBorders>
            <w:shd w:val="clear" w:color="auto" w:fill="FFFFFF" w:themeFill="background1"/>
            <w:vAlign w:val="bottom"/>
          </w:tcPr>
          <w:p w14:paraId="67911E1C" w14:textId="77777777" w:rsidR="00E77839" w:rsidRPr="00A3510A" w:rsidRDefault="00E77839" w:rsidP="009002E5">
            <w:pPr>
              <w:jc w:val="center"/>
              <w:rPr>
                <w:color w:val="000000"/>
                <w:sz w:val="20"/>
                <w:szCs w:val="20"/>
              </w:rPr>
            </w:pPr>
            <w:r w:rsidRPr="00A3510A">
              <w:rPr>
                <w:color w:val="000000"/>
                <w:sz w:val="20"/>
                <w:szCs w:val="20"/>
              </w:rPr>
              <w:t>--</w:t>
            </w:r>
          </w:p>
        </w:tc>
        <w:tc>
          <w:tcPr>
            <w:tcW w:w="851" w:type="dxa"/>
            <w:tcBorders>
              <w:top w:val="nil"/>
              <w:bottom w:val="nil"/>
            </w:tcBorders>
            <w:shd w:val="clear" w:color="auto" w:fill="FFFFFF" w:themeFill="background1"/>
            <w:vAlign w:val="bottom"/>
          </w:tcPr>
          <w:p w14:paraId="453CF575" w14:textId="77777777" w:rsidR="00E77839" w:rsidRPr="00A3510A" w:rsidRDefault="00E77839" w:rsidP="009002E5">
            <w:pPr>
              <w:jc w:val="center"/>
              <w:rPr>
                <w:color w:val="000000"/>
                <w:sz w:val="20"/>
                <w:szCs w:val="20"/>
              </w:rPr>
            </w:pPr>
            <w:r w:rsidRPr="00A3510A">
              <w:rPr>
                <w:color w:val="000000"/>
                <w:sz w:val="20"/>
                <w:szCs w:val="20"/>
              </w:rPr>
              <w:t>--</w:t>
            </w:r>
          </w:p>
        </w:tc>
        <w:tc>
          <w:tcPr>
            <w:tcW w:w="850" w:type="dxa"/>
            <w:tcBorders>
              <w:top w:val="nil"/>
              <w:bottom w:val="nil"/>
            </w:tcBorders>
            <w:shd w:val="clear" w:color="auto" w:fill="FFFFFF" w:themeFill="background1"/>
            <w:vAlign w:val="bottom"/>
          </w:tcPr>
          <w:p w14:paraId="4EA168D0" w14:textId="77777777" w:rsidR="00E77839" w:rsidRPr="00A3510A" w:rsidRDefault="00E77839" w:rsidP="009002E5">
            <w:pPr>
              <w:jc w:val="center"/>
              <w:rPr>
                <w:color w:val="000000"/>
                <w:sz w:val="20"/>
                <w:szCs w:val="20"/>
              </w:rPr>
            </w:pPr>
            <w:r w:rsidRPr="00A3510A">
              <w:rPr>
                <w:color w:val="000000"/>
                <w:sz w:val="20"/>
                <w:szCs w:val="20"/>
              </w:rPr>
              <w:t>--</w:t>
            </w:r>
          </w:p>
        </w:tc>
        <w:tc>
          <w:tcPr>
            <w:tcW w:w="709" w:type="dxa"/>
            <w:tcBorders>
              <w:top w:val="nil"/>
              <w:bottom w:val="nil"/>
            </w:tcBorders>
            <w:shd w:val="clear" w:color="auto" w:fill="FFFFFF" w:themeFill="background1"/>
            <w:vAlign w:val="bottom"/>
          </w:tcPr>
          <w:p w14:paraId="7BEC3B7A" w14:textId="77777777" w:rsidR="00E77839" w:rsidRPr="00A3510A" w:rsidRDefault="00E77839" w:rsidP="009002E5">
            <w:pPr>
              <w:jc w:val="center"/>
              <w:rPr>
                <w:color w:val="000000"/>
                <w:sz w:val="20"/>
                <w:szCs w:val="20"/>
              </w:rPr>
            </w:pPr>
            <w:r w:rsidRPr="00A3510A">
              <w:rPr>
                <w:color w:val="000000"/>
                <w:sz w:val="20"/>
                <w:szCs w:val="20"/>
              </w:rPr>
              <w:t>--</w:t>
            </w:r>
          </w:p>
        </w:tc>
        <w:tc>
          <w:tcPr>
            <w:tcW w:w="709" w:type="dxa"/>
            <w:tcBorders>
              <w:top w:val="nil"/>
              <w:bottom w:val="nil"/>
            </w:tcBorders>
            <w:shd w:val="clear" w:color="auto" w:fill="FFFFFF" w:themeFill="background1"/>
            <w:vAlign w:val="bottom"/>
          </w:tcPr>
          <w:p w14:paraId="30B2AD1C" w14:textId="77777777" w:rsidR="00E77839" w:rsidRPr="00A3510A" w:rsidRDefault="00E77839" w:rsidP="009002E5">
            <w:pPr>
              <w:jc w:val="center"/>
              <w:rPr>
                <w:color w:val="000000"/>
                <w:sz w:val="20"/>
                <w:szCs w:val="20"/>
              </w:rPr>
            </w:pPr>
            <w:r w:rsidRPr="00A3510A">
              <w:rPr>
                <w:color w:val="000000"/>
                <w:sz w:val="20"/>
                <w:szCs w:val="20"/>
              </w:rPr>
              <w:t>--</w:t>
            </w:r>
          </w:p>
        </w:tc>
        <w:tc>
          <w:tcPr>
            <w:tcW w:w="850" w:type="dxa"/>
            <w:tcBorders>
              <w:top w:val="nil"/>
              <w:bottom w:val="nil"/>
            </w:tcBorders>
            <w:shd w:val="clear" w:color="auto" w:fill="FFFFFF" w:themeFill="background1"/>
            <w:vAlign w:val="bottom"/>
          </w:tcPr>
          <w:p w14:paraId="51A7D354" w14:textId="77777777" w:rsidR="00E77839" w:rsidRPr="00A3510A" w:rsidRDefault="00E77839" w:rsidP="009002E5">
            <w:pPr>
              <w:jc w:val="center"/>
              <w:rPr>
                <w:color w:val="000000"/>
                <w:sz w:val="20"/>
                <w:szCs w:val="20"/>
              </w:rPr>
            </w:pPr>
            <w:r w:rsidRPr="00A3510A">
              <w:rPr>
                <w:color w:val="000000"/>
                <w:sz w:val="20"/>
                <w:szCs w:val="20"/>
              </w:rPr>
              <w:t>--</w:t>
            </w:r>
          </w:p>
        </w:tc>
      </w:tr>
      <w:tr w:rsidR="00E77839" w:rsidRPr="00790DAC" w14:paraId="4E9062BB" w14:textId="5B2C1791" w:rsidTr="009002E5">
        <w:trPr>
          <w:trHeight w:val="259"/>
        </w:trPr>
        <w:tc>
          <w:tcPr>
            <w:tcW w:w="8364" w:type="dxa"/>
            <w:tcBorders>
              <w:top w:val="nil"/>
              <w:bottom w:val="single" w:sz="4" w:space="0" w:color="000000" w:themeColor="text1"/>
            </w:tcBorders>
            <w:shd w:val="clear" w:color="auto" w:fill="FFFFFF" w:themeFill="background1"/>
            <w:vAlign w:val="center"/>
            <w:hideMark/>
          </w:tcPr>
          <w:p w14:paraId="2A0DF509" w14:textId="77777777" w:rsidR="00E77839" w:rsidRPr="00790DAC" w:rsidRDefault="00E77839" w:rsidP="009002E5">
            <w:pPr>
              <w:rPr>
                <w:color w:val="000000"/>
                <w:sz w:val="20"/>
                <w:szCs w:val="20"/>
              </w:rPr>
            </w:pPr>
            <w:r w:rsidRPr="00790DAC">
              <w:rPr>
                <w:color w:val="000000"/>
                <w:sz w:val="20"/>
                <w:szCs w:val="20"/>
              </w:rPr>
              <w:t>Intensity of case ascertainment independent of exposure</w:t>
            </w:r>
          </w:p>
        </w:tc>
        <w:tc>
          <w:tcPr>
            <w:tcW w:w="708" w:type="dxa"/>
            <w:tcBorders>
              <w:top w:val="nil"/>
              <w:bottom w:val="single" w:sz="4" w:space="0" w:color="000000" w:themeColor="text1"/>
            </w:tcBorders>
            <w:shd w:val="clear" w:color="auto" w:fill="FFFFFF" w:themeFill="background1"/>
            <w:vAlign w:val="bottom"/>
          </w:tcPr>
          <w:p w14:paraId="747E1CCE" w14:textId="77777777" w:rsidR="00E77839" w:rsidRPr="00A3510A" w:rsidRDefault="00E77839" w:rsidP="009002E5">
            <w:pPr>
              <w:jc w:val="center"/>
              <w:rPr>
                <w:color w:val="000000"/>
                <w:sz w:val="20"/>
                <w:szCs w:val="20"/>
              </w:rPr>
            </w:pPr>
            <w:r w:rsidRPr="00A3510A">
              <w:rPr>
                <w:color w:val="000000"/>
                <w:sz w:val="20"/>
                <w:szCs w:val="20"/>
              </w:rPr>
              <w:t>■</w:t>
            </w:r>
          </w:p>
        </w:tc>
        <w:tc>
          <w:tcPr>
            <w:tcW w:w="851" w:type="dxa"/>
            <w:tcBorders>
              <w:top w:val="nil"/>
              <w:bottom w:val="single" w:sz="4" w:space="0" w:color="000000" w:themeColor="text1"/>
            </w:tcBorders>
            <w:shd w:val="clear" w:color="auto" w:fill="FFFFFF" w:themeFill="background1"/>
            <w:vAlign w:val="bottom"/>
          </w:tcPr>
          <w:p w14:paraId="2523F011" w14:textId="77777777" w:rsidR="00E77839" w:rsidRPr="00A3510A" w:rsidRDefault="00E77839" w:rsidP="009002E5">
            <w:pPr>
              <w:jc w:val="center"/>
              <w:rPr>
                <w:color w:val="000000"/>
                <w:sz w:val="20"/>
                <w:szCs w:val="20"/>
              </w:rPr>
            </w:pPr>
            <w:r w:rsidRPr="00A3510A">
              <w:rPr>
                <w:color w:val="000000"/>
                <w:sz w:val="20"/>
                <w:szCs w:val="20"/>
              </w:rPr>
              <w:t>■</w:t>
            </w:r>
          </w:p>
        </w:tc>
        <w:tc>
          <w:tcPr>
            <w:tcW w:w="850" w:type="dxa"/>
            <w:tcBorders>
              <w:top w:val="nil"/>
              <w:bottom w:val="single" w:sz="4" w:space="0" w:color="000000" w:themeColor="text1"/>
            </w:tcBorders>
            <w:shd w:val="clear" w:color="auto" w:fill="FFFFFF" w:themeFill="background1"/>
            <w:vAlign w:val="bottom"/>
          </w:tcPr>
          <w:p w14:paraId="6EBD7EEF" w14:textId="77777777" w:rsidR="00E77839" w:rsidRPr="00A3510A" w:rsidRDefault="00E77839" w:rsidP="009002E5">
            <w:pPr>
              <w:jc w:val="center"/>
              <w:rPr>
                <w:color w:val="000000"/>
                <w:sz w:val="20"/>
                <w:szCs w:val="20"/>
              </w:rPr>
            </w:pPr>
            <w:r w:rsidRPr="00A3510A">
              <w:rPr>
                <w:color w:val="000000"/>
                <w:sz w:val="20"/>
                <w:szCs w:val="20"/>
              </w:rPr>
              <w:t>■</w:t>
            </w:r>
          </w:p>
        </w:tc>
        <w:tc>
          <w:tcPr>
            <w:tcW w:w="709" w:type="dxa"/>
            <w:tcBorders>
              <w:top w:val="nil"/>
              <w:bottom w:val="single" w:sz="4" w:space="0" w:color="000000" w:themeColor="text1"/>
            </w:tcBorders>
            <w:shd w:val="clear" w:color="auto" w:fill="FFFFFF" w:themeFill="background1"/>
            <w:vAlign w:val="bottom"/>
          </w:tcPr>
          <w:p w14:paraId="7977262E" w14:textId="77777777" w:rsidR="00E77839" w:rsidRPr="00A3510A" w:rsidRDefault="00E77839" w:rsidP="009002E5">
            <w:pPr>
              <w:jc w:val="center"/>
              <w:rPr>
                <w:color w:val="000000"/>
                <w:sz w:val="20"/>
                <w:szCs w:val="20"/>
              </w:rPr>
            </w:pPr>
            <w:r w:rsidRPr="00A3510A">
              <w:rPr>
                <w:color w:val="000000"/>
                <w:sz w:val="20"/>
                <w:szCs w:val="20"/>
              </w:rPr>
              <w:t>■</w:t>
            </w:r>
          </w:p>
        </w:tc>
        <w:tc>
          <w:tcPr>
            <w:tcW w:w="709" w:type="dxa"/>
            <w:tcBorders>
              <w:top w:val="nil"/>
              <w:bottom w:val="single" w:sz="4" w:space="0" w:color="000000" w:themeColor="text1"/>
            </w:tcBorders>
            <w:shd w:val="clear" w:color="auto" w:fill="FFFFFF" w:themeFill="background1"/>
            <w:vAlign w:val="bottom"/>
          </w:tcPr>
          <w:p w14:paraId="6B00B16A" w14:textId="77777777" w:rsidR="00E77839" w:rsidRPr="00A3510A" w:rsidRDefault="00E77839" w:rsidP="009002E5">
            <w:pPr>
              <w:jc w:val="center"/>
              <w:rPr>
                <w:color w:val="000000"/>
                <w:sz w:val="20"/>
                <w:szCs w:val="20"/>
              </w:rPr>
            </w:pPr>
            <w:r w:rsidRPr="00A3510A">
              <w:rPr>
                <w:color w:val="000000"/>
                <w:sz w:val="20"/>
                <w:szCs w:val="20"/>
              </w:rPr>
              <w:t>■</w:t>
            </w:r>
          </w:p>
        </w:tc>
        <w:tc>
          <w:tcPr>
            <w:tcW w:w="850" w:type="dxa"/>
            <w:tcBorders>
              <w:top w:val="nil"/>
              <w:bottom w:val="single" w:sz="4" w:space="0" w:color="000000" w:themeColor="text1"/>
            </w:tcBorders>
            <w:shd w:val="clear" w:color="auto" w:fill="FFFFFF" w:themeFill="background1"/>
            <w:vAlign w:val="bottom"/>
          </w:tcPr>
          <w:p w14:paraId="14A30F58" w14:textId="77777777" w:rsidR="00E77839" w:rsidRPr="00A3510A" w:rsidRDefault="00E77839" w:rsidP="009002E5">
            <w:pPr>
              <w:jc w:val="center"/>
              <w:rPr>
                <w:color w:val="000000"/>
                <w:sz w:val="20"/>
                <w:szCs w:val="20"/>
              </w:rPr>
            </w:pPr>
            <w:r w:rsidRPr="00A3510A">
              <w:rPr>
                <w:color w:val="000000"/>
                <w:sz w:val="20"/>
                <w:szCs w:val="20"/>
              </w:rPr>
              <w:t>■</w:t>
            </w:r>
          </w:p>
        </w:tc>
      </w:tr>
    </w:tbl>
    <w:p w14:paraId="14288FE1" w14:textId="77777777" w:rsidR="00E330CD" w:rsidRDefault="00E330CD" w:rsidP="00E330CD">
      <w:pPr>
        <w:jc w:val="both"/>
        <w:rPr>
          <w:b/>
          <w:bCs/>
          <w:i/>
          <w:iCs/>
          <w:color w:val="000000"/>
          <w:sz w:val="20"/>
          <w:szCs w:val="20"/>
        </w:rPr>
      </w:pPr>
      <w:r w:rsidRPr="00802137">
        <w:rPr>
          <w:b/>
          <w:bCs/>
          <w:i/>
          <w:iCs/>
          <w:color w:val="000000"/>
          <w:sz w:val="20"/>
          <w:szCs w:val="20"/>
        </w:rPr>
        <w:t xml:space="preserve"> </w:t>
      </w:r>
      <w:r>
        <w:rPr>
          <w:b/>
          <w:bCs/>
          <w:i/>
          <w:iCs/>
          <w:color w:val="000000"/>
          <w:sz w:val="20"/>
          <w:szCs w:val="20"/>
        </w:rPr>
        <w:t xml:space="preserve">See notes below. </w:t>
      </w:r>
    </w:p>
    <w:p w14:paraId="73246C73" w14:textId="77777777" w:rsidR="00E330CD" w:rsidRDefault="00E330CD" w:rsidP="00E330CD">
      <w:pPr>
        <w:jc w:val="both"/>
        <w:rPr>
          <w:b/>
          <w:bCs/>
          <w:i/>
          <w:iCs/>
          <w:color w:val="000000"/>
          <w:sz w:val="20"/>
          <w:szCs w:val="20"/>
        </w:rPr>
      </w:pPr>
    </w:p>
    <w:p w14:paraId="57615D14" w14:textId="77777777" w:rsidR="00E330CD" w:rsidRDefault="00E330CD" w:rsidP="00E330CD">
      <w:pPr>
        <w:jc w:val="both"/>
        <w:rPr>
          <w:b/>
          <w:bCs/>
          <w:i/>
          <w:iCs/>
          <w:color w:val="000000"/>
          <w:sz w:val="20"/>
          <w:szCs w:val="20"/>
        </w:rPr>
      </w:pPr>
    </w:p>
    <w:p w14:paraId="4D3CB848" w14:textId="0530AA7A" w:rsidR="00E330CD" w:rsidRPr="00CD139B" w:rsidRDefault="00E330CD" w:rsidP="00E330CD">
      <w:pPr>
        <w:spacing w:line="360" w:lineRule="auto"/>
        <w:jc w:val="both"/>
        <w:rPr>
          <w:b/>
          <w:bCs/>
          <w:i/>
          <w:iCs/>
          <w:color w:val="000000"/>
          <w:sz w:val="20"/>
          <w:szCs w:val="20"/>
        </w:rPr>
      </w:pPr>
      <w:r w:rsidRPr="00CD139B">
        <w:rPr>
          <w:b/>
          <w:bCs/>
          <w:i/>
          <w:iCs/>
          <w:color w:val="000000"/>
          <w:sz w:val="20"/>
          <w:szCs w:val="20"/>
        </w:rPr>
        <w:t xml:space="preserve">Notes: </w:t>
      </w:r>
      <w:r w:rsidRPr="00CD139B">
        <w:rPr>
          <w:sz w:val="20"/>
          <w:szCs w:val="20"/>
        </w:rPr>
        <w:t xml:space="preserve"> To allow for the incorporation of the environment-gene-disease interaction in individual study quality assessment, methodological quality was assessed using study-design specific (cohort, </w:t>
      </w:r>
      <w:r w:rsidRPr="00CD139B">
        <w:rPr>
          <w:sz w:val="20"/>
          <w:szCs w:val="20"/>
        </w:rPr>
        <w:lastRenderedPageBreak/>
        <w:t xml:space="preserve">case-control, cross-sectional) adapted versions of a combination between the quality assessment tool developed by Moon </w:t>
      </w:r>
      <w:r w:rsidRPr="00CD139B">
        <w:rPr>
          <w:i/>
          <w:iCs/>
          <w:sz w:val="20"/>
          <w:szCs w:val="20"/>
        </w:rPr>
        <w:t>et al.</w:t>
      </w:r>
      <w:r w:rsidRPr="00CD139B">
        <w:rPr>
          <w:sz w:val="20"/>
          <w:szCs w:val="20"/>
        </w:rPr>
        <w:t xml:space="preserve"> 2017</w:t>
      </w:r>
      <w:r w:rsidRPr="00CD139B">
        <w:rPr>
          <w:sz w:val="20"/>
          <w:szCs w:val="20"/>
        </w:rPr>
        <w:fldChar w:fldCharType="begin" w:fldLock="1"/>
      </w:r>
      <w:r w:rsidR="009002E5">
        <w:rPr>
          <w:sz w:val="20"/>
          <w:szCs w:val="20"/>
        </w:rPr>
        <w:instrText>ADDIN CSL_CITATION {"citationItems":[{"id":"ITEM-1","itemData":{"DOI":"10.1093/ije/dyx202","ISSN":"0300-5771","author":[{"dropping-particle":"","family":"Moon","given":"Katherine A","non-dropping-particle":"","parse-names":false,"suffix":""},{"dropping-particle":"","family":"Oberoi","given":"Shilpi","non-dropping-particle":"","parse-names":false,"suffix":""},{"dropping-particle":"","family":"Barchowsky","given":"Aaron","non-dropping-particle":"","parse-names":false,"suffix":""},{"dropping-particle":"","family":"Chen","given":"Yu","non-dropping-particle":"","parse-names":false,"suffix":""},{"dropping-particle":"","family":"Guallar","given":"Eliseo","non-dropping-particle":"","parse-names":false,"suffix":""},{"dropping-particle":"","family":"Nachman","given":"Keeve E","non-dropping-particle":"","parse-names":false,"suffix":""},{"dropping-particle":"","family":"Rahman","given":"Mahfuzar","non-dropping-particle":"","parse-names":false,"suffix":""},{"dropping-particle":"","family":"Sohel","given":"Nazmul","non-dropping-particle":"","parse-names":false,"suffix":""},{"dropping-particle":"","family":"D’Ippoliti","given":"Daniela","non-dropping-particle":"","parse-names":false,"suffix":""},{"dropping-particle":"","family":"Wade","given":"Timothy J","non-dropping-particle":"","parse-names":false,"suffix":""},{"dropping-particle":"","family":"James","given":"Katherine A","non-dropping-particle":"","parse-names":false,"suffix":""},{"dropping-particle":"","family":"Farzan","given":"Shohreh F","non-dropping-particle":"","parse-names":false,"suffix":""},{"dropping-particle":"","family":"Karagas","given":"Margaret R","non-dropping-particle":"","parse-names":false,"suffix":""},{"dropping-particle":"","family":"Ahsan","given":"Habibul","non-dropping-particle":"","parse-names":false,"suffix":""},{"dropping-particle":"","family":"Navas-Acien","given":"Ana","non-dropping-particle":"","parse-names":false,"suffix":""}],"container-title":"International Journal of Epidemiology","id":"ITEM-1","issue":"6","issued":{"date-parts":[["2017","12","1"]]},"page":"1924-1939","publisher":"Narnia","title":"A dose-response meta-analysis of chronic arsenic exposure and incident cardiovascular disease","type":"article-journal","volume":"46"},"uris":["http://www.mendeley.com/documents/?uuid=17bca778-5217-3426-a435-117300709024"]}],"mendeley":{"formattedCitation":"&lt;sup&gt;7&lt;/sup&gt;","plainTextFormattedCitation":"7","previouslyFormattedCitation":"&lt;sup&gt;10&lt;/sup&gt;"},"properties":{"noteIndex":0},"schema":"https://github.com/citation-style-language/schema/raw/master/csl-citation.json"}</w:instrText>
      </w:r>
      <w:r w:rsidRPr="00CD139B">
        <w:rPr>
          <w:sz w:val="20"/>
          <w:szCs w:val="20"/>
        </w:rPr>
        <w:fldChar w:fldCharType="separate"/>
      </w:r>
      <w:r w:rsidR="009002E5" w:rsidRPr="009002E5">
        <w:rPr>
          <w:noProof/>
          <w:sz w:val="20"/>
          <w:szCs w:val="20"/>
          <w:vertAlign w:val="superscript"/>
        </w:rPr>
        <w:t>7</w:t>
      </w:r>
      <w:r w:rsidRPr="00CD139B">
        <w:rPr>
          <w:sz w:val="20"/>
          <w:szCs w:val="20"/>
        </w:rPr>
        <w:fldChar w:fldCharType="end"/>
      </w:r>
      <w:r w:rsidRPr="00CD139B">
        <w:rPr>
          <w:sz w:val="20"/>
          <w:szCs w:val="20"/>
        </w:rPr>
        <w:t xml:space="preserve"> - based on the </w:t>
      </w:r>
      <w:r w:rsidRPr="00CD139B">
        <w:rPr>
          <w:rFonts w:eastAsia="Calibri"/>
          <w:color w:val="000000" w:themeColor="text1"/>
          <w:sz w:val="20"/>
          <w:szCs w:val="20"/>
        </w:rPr>
        <w:t>Newcastle-Ottawa scale (NOS)</w:t>
      </w:r>
      <w:r w:rsidRPr="00CD139B">
        <w:rPr>
          <w:rFonts w:eastAsia="Calibri"/>
          <w:color w:val="000000" w:themeColor="text1"/>
          <w:sz w:val="20"/>
          <w:szCs w:val="20"/>
        </w:rPr>
        <w:fldChar w:fldCharType="begin" w:fldLock="1"/>
      </w:r>
      <w:r w:rsidR="009002E5">
        <w:rPr>
          <w:rFonts w:eastAsia="Calibri"/>
          <w:color w:val="000000" w:themeColor="text1"/>
          <w:sz w:val="20"/>
          <w:szCs w:val="20"/>
        </w:rPr>
        <w:instrText>ADDIN CSL_CITATION {"citationItems":[{"id":"ITEM-1","itemData":{"author":[{"dropping-particle":"","family":"Wells","given":"GA","non-dropping-particle":"","parse-names":false,"suffix":""},{"dropping-particle":"","family":"Shea","given":"B","non-dropping-particle":"","parse-names":false,"suffix":""},{"dropping-particle":"","family":"O'Connell","given":"D","non-dropping-particle":"","parse-names":false,"suffix":""},{"dropping-particle":"","family":"Peterson","given":"J","non-dropping-particle":"","parse-names":false,"suffix":""},{"dropping-particle":"","family":"Welch","given":"V","non-dropping-particle":"","parse-names":false,"suffix":""},{"dropping-particle":"","family":"Losos","given":"M","non-dropping-particle":"","parse-names":false,"suffix":""},{"dropping-particle":"","family":"Tugwell","given":"P","non-dropping-particle":"","parse-names":false,"suffix":""}],"container-title":"OHRI","id":"ITEM-1","issued":{"date-parts":[["0"]]},"title":"The Newcastle-Ottawa Scale (NOS) for assessing the quality of nonrandomised studies in meta-analyses","type":"article-journal"},"uris":["http://www.mendeley.com/documents/?uuid=d5217e1d-c198-33d1-a65f-723c6baf54c1"]}],"mendeley":{"formattedCitation":"&lt;sup&gt;8&lt;/sup&gt;","plainTextFormattedCitation":"8","previouslyFormattedCitation":"&lt;sup&gt;11&lt;/sup&gt;"},"properties":{"noteIndex":0},"schema":"https://github.com/citation-style-language/schema/raw/master/csl-citation.json"}</w:instrText>
      </w:r>
      <w:r w:rsidRPr="00CD139B">
        <w:rPr>
          <w:rFonts w:eastAsia="Calibri"/>
          <w:color w:val="000000" w:themeColor="text1"/>
          <w:sz w:val="20"/>
          <w:szCs w:val="20"/>
        </w:rPr>
        <w:fldChar w:fldCharType="separate"/>
      </w:r>
      <w:r w:rsidR="009002E5" w:rsidRPr="009002E5">
        <w:rPr>
          <w:rFonts w:eastAsia="Calibri"/>
          <w:noProof/>
          <w:color w:val="000000" w:themeColor="text1"/>
          <w:sz w:val="20"/>
          <w:szCs w:val="20"/>
          <w:vertAlign w:val="superscript"/>
        </w:rPr>
        <w:t>8</w:t>
      </w:r>
      <w:r w:rsidRPr="00CD139B">
        <w:rPr>
          <w:rFonts w:eastAsia="Calibri"/>
          <w:color w:val="000000" w:themeColor="text1"/>
          <w:sz w:val="20"/>
          <w:szCs w:val="20"/>
        </w:rPr>
        <w:fldChar w:fldCharType="end"/>
      </w:r>
      <w:r w:rsidRPr="00CD139B">
        <w:rPr>
          <w:rFonts w:eastAsia="Calibri"/>
          <w:color w:val="000000" w:themeColor="text1"/>
          <w:sz w:val="20"/>
          <w:szCs w:val="20"/>
        </w:rPr>
        <w:t xml:space="preserve"> – and the Q-genie tool for the quality assessment of genetic association studies.</w:t>
      </w:r>
      <w:r w:rsidRPr="00CD139B">
        <w:rPr>
          <w:rFonts w:eastAsia="Calibri"/>
          <w:color w:val="000000" w:themeColor="text1"/>
          <w:sz w:val="20"/>
          <w:szCs w:val="20"/>
        </w:rPr>
        <w:fldChar w:fldCharType="begin" w:fldLock="1"/>
      </w:r>
      <w:r w:rsidR="009002E5">
        <w:rPr>
          <w:rFonts w:eastAsia="Calibri"/>
          <w:color w:val="000000" w:themeColor="text1"/>
          <w:sz w:val="20"/>
          <w:szCs w:val="20"/>
        </w:rPr>
        <w:instrText>ADDIN CSL_CITATION {"citationItems":[{"id":"ITEM-1","itemData":{"DOI":"10.1186/S12863-015-0211-2","ISSN":"14712156","PMID":"25975208","abstract":"Background: Advances in genomics technology have led to a dramatic increase in the number of published genetic association studies. Systematic reviews and meta-analyses are a common method of synthesizing findings and providing reliable estimates of the effect of a genetic variant on a trait of interest. However, summary estimates are subject to bias due to the varying methodological quality of individual studies. We embarked on an effort to develop and evaluate a tool that assesses the quality of published genetic association studies. Performance characteristics (i.e. validity, reliability, and item discrimination) were evaluated using a sample of thirty studies randomly selected from a previously conducted systematic review. Results: The tool demonstrates excellent psychometric properties and generates a quality score for each study with corresponding ratings of 'low', 'moderate', or 'high' quality. We applied our tool to a published systematic review to exclude studies of low quality, and found a decrease in heterogeneity and an increase in precision of summary estimates. Conclusion: This tool can be used in systematic reviews to inform the selection of studies for inclusion, to conduct sensitivity analyses, and to perform meta-regressions.","author":[{"dropping-particle":"","family":"Sohani","given":"Zahra N.","non-dropping-particle":"","parse-names":false,"suffix":""},{"dropping-particle":"","family":"Meyre","given":"David","non-dropping-particle":"","parse-names":false,"suffix":""},{"dropping-particle":"","family":"Souza","given":"Russell J.","non-dropping-particle":"de","parse-names":false,"suffix":""},{"dropping-particle":"","family":"Joseph","given":"Philip G.","non-dropping-particle":"","parse-names":false,"suffix":""},{"dropping-particle":"","family":"Gandhi","given":"Mandark","non-dropping-particle":"","parse-names":false,"suffix":""},{"dropping-particle":"","family":"Dennis","given":"Brittany B.","non-dropping-particle":"","parse-names":false,"suffix":""},{"dropping-particle":"","family":"Norman","given":"Geoff","non-dropping-particle":"","parse-names":false,"suffix":""},{"dropping-particle":"","family":"Anand","given":"Sonia S.","non-dropping-particle":"","parse-names":false,"suffix":""}],"container-title":"BMC Genetics","id":"ITEM-1","issue":"1","issued":{"date-parts":[["2015","5","15"]]},"publisher":"BioMed Central","title":"Assessing the quality of published genetic association studies in meta-analyses: the quality of genetic studies (Q-Genie) tool","type":"article-journal","volume":"16"},"uris":["http://www.mendeley.com/documents/?uuid=4c83c7b4-6062-3a2a-8180-d82d67173eaf"]}],"mendeley":{"formattedCitation":"&lt;sup&gt;9&lt;/sup&gt;","plainTextFormattedCitation":"9","previouslyFormattedCitation":"&lt;sup&gt;12&lt;/sup&gt;"},"properties":{"noteIndex":0},"schema":"https://github.com/citation-style-language/schema/raw/master/csl-citation.json"}</w:instrText>
      </w:r>
      <w:r w:rsidRPr="00CD139B">
        <w:rPr>
          <w:rFonts w:eastAsia="Calibri"/>
          <w:color w:val="000000" w:themeColor="text1"/>
          <w:sz w:val="20"/>
          <w:szCs w:val="20"/>
        </w:rPr>
        <w:fldChar w:fldCharType="separate"/>
      </w:r>
      <w:r w:rsidR="009002E5" w:rsidRPr="009002E5">
        <w:rPr>
          <w:rFonts w:eastAsia="Calibri"/>
          <w:noProof/>
          <w:color w:val="000000" w:themeColor="text1"/>
          <w:sz w:val="20"/>
          <w:szCs w:val="20"/>
          <w:vertAlign w:val="superscript"/>
        </w:rPr>
        <w:t>9</w:t>
      </w:r>
      <w:r w:rsidRPr="00CD139B">
        <w:rPr>
          <w:rFonts w:eastAsia="Calibri"/>
          <w:color w:val="000000" w:themeColor="text1"/>
          <w:sz w:val="20"/>
          <w:szCs w:val="20"/>
        </w:rPr>
        <w:fldChar w:fldCharType="end"/>
      </w:r>
      <w:r w:rsidRPr="00CD139B">
        <w:rPr>
          <w:b/>
          <w:bCs/>
          <w:i/>
          <w:iCs/>
          <w:color w:val="000000"/>
          <w:sz w:val="20"/>
          <w:szCs w:val="20"/>
        </w:rPr>
        <w:t xml:space="preserve"> </w:t>
      </w:r>
    </w:p>
    <w:p w14:paraId="2D769134" w14:textId="77777777" w:rsidR="00E330CD" w:rsidRPr="00CD139B" w:rsidRDefault="00E330CD" w:rsidP="00E330CD">
      <w:pPr>
        <w:spacing w:line="360" w:lineRule="auto"/>
        <w:jc w:val="both"/>
        <w:rPr>
          <w:b/>
          <w:bCs/>
          <w:i/>
          <w:iCs/>
          <w:color w:val="000000"/>
          <w:sz w:val="20"/>
          <w:szCs w:val="20"/>
        </w:rPr>
      </w:pPr>
    </w:p>
    <w:p w14:paraId="447CF03C" w14:textId="77777777" w:rsidR="00E330CD" w:rsidRDefault="00E330CD" w:rsidP="00E330CD">
      <w:pPr>
        <w:spacing w:line="360" w:lineRule="auto"/>
        <w:jc w:val="both"/>
        <w:rPr>
          <w:b/>
          <w:bCs/>
          <w:i/>
          <w:iCs/>
          <w:color w:val="000000"/>
          <w:sz w:val="20"/>
          <w:szCs w:val="20"/>
        </w:rPr>
      </w:pPr>
      <w:r w:rsidRPr="00CD139B">
        <w:rPr>
          <w:color w:val="000000"/>
          <w:sz w:val="20"/>
          <w:szCs w:val="20"/>
        </w:rPr>
        <w:t xml:space="preserve">■ Indicates that the study fulfilled the corresponding quality criterion. □ Indicates that the study did not fulfil the corresponding quality criterion. </w:t>
      </w:r>
      <w:r w:rsidRPr="00CD139B">
        <w:rPr>
          <w:b/>
          <w:bCs/>
          <w:i/>
          <w:iCs/>
          <w:color w:val="000000"/>
          <w:sz w:val="20"/>
          <w:szCs w:val="20"/>
        </w:rPr>
        <w:t xml:space="preserve"> </w:t>
      </w:r>
      <w:r w:rsidRPr="00CD139B">
        <w:rPr>
          <w:color w:val="000000"/>
          <w:sz w:val="20"/>
          <w:szCs w:val="20"/>
        </w:rPr>
        <w:t>-- Indicates that information on the corresponding quality criterion is not clearly reported in the study.</w:t>
      </w:r>
      <w:r w:rsidRPr="00CD139B">
        <w:rPr>
          <w:b/>
          <w:bCs/>
          <w:i/>
          <w:iCs/>
          <w:color w:val="000000"/>
          <w:sz w:val="20"/>
          <w:szCs w:val="20"/>
        </w:rPr>
        <w:t xml:space="preserve"> </w:t>
      </w:r>
    </w:p>
    <w:p w14:paraId="41B45BFE" w14:textId="77777777" w:rsidR="00E330CD" w:rsidRDefault="00E330CD" w:rsidP="00E330CD">
      <w:pPr>
        <w:spacing w:line="360" w:lineRule="auto"/>
        <w:jc w:val="both"/>
        <w:rPr>
          <w:b/>
          <w:bCs/>
          <w:i/>
          <w:iCs/>
          <w:color w:val="000000"/>
          <w:sz w:val="20"/>
          <w:szCs w:val="20"/>
        </w:rPr>
      </w:pPr>
    </w:p>
    <w:p w14:paraId="16E688F7" w14:textId="4B2989CF" w:rsidR="00E330CD" w:rsidRPr="00E330CD" w:rsidRDefault="00E330CD" w:rsidP="00E330CD">
      <w:pPr>
        <w:spacing w:line="360" w:lineRule="auto"/>
        <w:jc w:val="both"/>
        <w:rPr>
          <w:color w:val="000000"/>
          <w:sz w:val="20"/>
          <w:szCs w:val="20"/>
        </w:rPr>
      </w:pPr>
      <w:r w:rsidRPr="00CD139B">
        <w:rPr>
          <w:color w:val="000000"/>
          <w:sz w:val="20"/>
          <w:szCs w:val="20"/>
        </w:rPr>
        <w:t>Except for the “</w:t>
      </w:r>
      <w:r w:rsidRPr="00CD139B">
        <w:rPr>
          <w:i/>
          <w:iCs/>
          <w:color w:val="000000"/>
          <w:sz w:val="20"/>
          <w:szCs w:val="20"/>
        </w:rPr>
        <w:t>comparability</w:t>
      </w:r>
      <w:r w:rsidRPr="00CD139B">
        <w:rPr>
          <w:color w:val="000000"/>
          <w:sz w:val="20"/>
          <w:szCs w:val="20"/>
        </w:rPr>
        <w:t>” section where studies could receive two squares, a maximum of a single square could be obtained per quality criterion.</w:t>
      </w:r>
      <w:r w:rsidRPr="00CD139B">
        <w:rPr>
          <w:sz w:val="20"/>
          <w:szCs w:val="20"/>
        </w:rPr>
        <w:fldChar w:fldCharType="begin" w:fldLock="1"/>
      </w:r>
      <w:r w:rsidR="009002E5">
        <w:rPr>
          <w:sz w:val="20"/>
          <w:szCs w:val="20"/>
        </w:rPr>
        <w:instrText>ADDIN CSL_CITATION {"citationItems":[{"id":"ITEM-1","itemData":{"DOI":"10.1093/ije/dyx202","ISSN":"0300-5771","author":[{"dropping-particle":"","family":"Moon","given":"Katherine A","non-dropping-particle":"","parse-names":false,"suffix":""},{"dropping-particle":"","family":"Oberoi","given":"Shilpi","non-dropping-particle":"","parse-names":false,"suffix":""},{"dropping-particle":"","family":"Barchowsky","given":"Aaron","non-dropping-particle":"","parse-names":false,"suffix":""},{"dropping-particle":"","family":"Chen","given":"Yu","non-dropping-particle":"","parse-names":false,"suffix":""},{"dropping-particle":"","family":"Guallar","given":"Eliseo","non-dropping-particle":"","parse-names":false,"suffix":""},{"dropping-particle":"","family":"Nachman","given":"Keeve E","non-dropping-particle":"","parse-names":false,"suffix":""},{"dropping-particle":"","family":"Rahman","given":"Mahfuzar","non-dropping-particle":"","parse-names":false,"suffix":""},{"dropping-particle":"","family":"Sohel","given":"Nazmul","non-dropping-particle":"","parse-names":false,"suffix":""},{"dropping-particle":"","family":"D’Ippoliti","given":"Daniela","non-dropping-particle":"","parse-names":false,"suffix":""},{"dropping-particle":"","family":"Wade","given":"Timothy J","non-dropping-particle":"","parse-names":false,"suffix":""},{"dropping-particle":"","family":"James","given":"Katherine A","non-dropping-particle":"","parse-names":false,"suffix":""},{"dropping-particle":"","family":"Farzan","given":"Shohreh F","non-dropping-particle":"","parse-names":false,"suffix":""},{"dropping-particle":"","family":"Karagas","given":"Margaret R","non-dropping-particle":"","parse-names":false,"suffix":""},{"dropping-particle":"","family":"Ahsan","given":"Habibul","non-dropping-particle":"","parse-names":false,"suffix":""},{"dropping-particle":"","family":"Navas-Acien","given":"Ana","non-dropping-particle":"","parse-names":false,"suffix":""}],"container-title":"International Journal of Epidemiology","id":"ITEM-1","issue":"6","issued":{"date-parts":[["2017","12","1"]]},"page":"1924-1939","publisher":"Narnia","title":"A dose-response meta-analysis of chronic arsenic exposure and incident cardiovascular disease","type":"article-journal","volume":"46"},"uris":["http://www.mendeley.com/documents/?uuid=17bca778-5217-3426-a435-117300709024"]}],"mendeley":{"formattedCitation":"&lt;sup&gt;7&lt;/sup&gt;","plainTextFormattedCitation":"7","previouslyFormattedCitation":"&lt;sup&gt;10&lt;/sup&gt;"},"properties":{"noteIndex":0},"schema":"https://github.com/citation-style-language/schema/raw/master/csl-citation.json"}</w:instrText>
      </w:r>
      <w:r w:rsidRPr="00CD139B">
        <w:rPr>
          <w:sz w:val="20"/>
          <w:szCs w:val="20"/>
        </w:rPr>
        <w:fldChar w:fldCharType="separate"/>
      </w:r>
      <w:r w:rsidR="009002E5" w:rsidRPr="009002E5">
        <w:rPr>
          <w:noProof/>
          <w:sz w:val="20"/>
          <w:szCs w:val="20"/>
          <w:vertAlign w:val="superscript"/>
        </w:rPr>
        <w:t>7</w:t>
      </w:r>
      <w:r w:rsidRPr="00CD139B">
        <w:rPr>
          <w:sz w:val="20"/>
          <w:szCs w:val="20"/>
        </w:rPr>
        <w:fldChar w:fldCharType="end"/>
      </w:r>
      <w:r w:rsidRPr="00CD139B">
        <w:rPr>
          <w:color w:val="000000"/>
          <w:sz w:val="20"/>
          <w:szCs w:val="20"/>
        </w:rPr>
        <w:t>In the “</w:t>
      </w:r>
      <w:r w:rsidRPr="00CD139B">
        <w:rPr>
          <w:i/>
          <w:iCs/>
          <w:color w:val="000000"/>
          <w:sz w:val="20"/>
          <w:szCs w:val="20"/>
        </w:rPr>
        <w:t>comparability</w:t>
      </w:r>
      <w:r w:rsidRPr="00CD139B">
        <w:rPr>
          <w:color w:val="000000"/>
          <w:sz w:val="20"/>
          <w:szCs w:val="20"/>
        </w:rPr>
        <w:t xml:space="preserve">” section one square is assigned when adjusting for age, sex, and education or socio-economic status. Two squares are assigned if the study further adjusted for socio-demographic, and lifestyle factors (i.e., smoking, BMI). </w:t>
      </w:r>
      <w:r w:rsidRPr="00CD139B">
        <w:rPr>
          <w:sz w:val="20"/>
          <w:szCs w:val="20"/>
        </w:rPr>
        <w:t xml:space="preserve">Note, when sample collection to assess arsenic exposure and health examination occurred at the same moment in time, physicians were considered inherently blinded to the exposure status of the individuals. </w:t>
      </w:r>
    </w:p>
    <w:p w14:paraId="2521384F" w14:textId="77777777" w:rsidR="00E330CD" w:rsidRPr="00CD139B" w:rsidRDefault="00E330CD" w:rsidP="00E330CD">
      <w:pPr>
        <w:spacing w:line="360" w:lineRule="auto"/>
        <w:jc w:val="both"/>
        <w:rPr>
          <w:sz w:val="20"/>
          <w:szCs w:val="20"/>
        </w:rPr>
      </w:pPr>
    </w:p>
    <w:p w14:paraId="75C0338F" w14:textId="479A3174" w:rsidR="00E330CD" w:rsidRDefault="00E330CD" w:rsidP="00624C25">
      <w:pPr>
        <w:spacing w:line="360" w:lineRule="auto"/>
        <w:jc w:val="both"/>
        <w:rPr>
          <w:sz w:val="20"/>
          <w:szCs w:val="20"/>
        </w:rPr>
      </w:pPr>
      <w:r w:rsidRPr="00CD139B">
        <w:rPr>
          <w:sz w:val="20"/>
          <w:szCs w:val="20"/>
        </w:rPr>
        <w:t>When the original cohort study was described elsewhere, this was used to answer some of the quality questions.</w:t>
      </w:r>
      <w:r w:rsidRPr="00624C25">
        <w:rPr>
          <w:sz w:val="20"/>
          <w:szCs w:val="20"/>
          <w:vertAlign w:val="superscript"/>
        </w:rPr>
        <w:t xml:space="preserve"> (a)</w:t>
      </w:r>
      <w:r w:rsidRPr="00CD139B">
        <w:rPr>
          <w:sz w:val="20"/>
          <w:szCs w:val="20"/>
        </w:rPr>
        <w:t xml:space="preserve"> Unclear whether the independent assessor was blinded or not. </w:t>
      </w:r>
    </w:p>
    <w:p w14:paraId="6986F094" w14:textId="77777777" w:rsidR="00E330CD" w:rsidRPr="00CD139B" w:rsidRDefault="00E330CD" w:rsidP="00E330CD">
      <w:pPr>
        <w:rPr>
          <w:sz w:val="20"/>
          <w:szCs w:val="20"/>
        </w:rPr>
      </w:pPr>
    </w:p>
    <w:tbl>
      <w:tblPr>
        <w:tblpPr w:leftFromText="180" w:rightFromText="180" w:vertAnchor="text" w:tblpY="1"/>
        <w:tblOverlap w:val="never"/>
        <w:tblW w:w="12759" w:type="dxa"/>
        <w:tblBorders>
          <w:top w:val="single" w:sz="4" w:space="0" w:color="auto"/>
          <w:left w:val="single" w:sz="2"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236"/>
        <w:gridCol w:w="7180"/>
        <w:gridCol w:w="1137"/>
        <w:gridCol w:w="945"/>
        <w:gridCol w:w="1039"/>
        <w:gridCol w:w="993"/>
        <w:gridCol w:w="993"/>
      </w:tblGrid>
      <w:tr w:rsidR="00E77839" w:rsidRPr="00B63DD5" w14:paraId="483D4574" w14:textId="77777777" w:rsidTr="009002E5">
        <w:trPr>
          <w:cantSplit/>
          <w:trHeight w:val="271"/>
          <w:tblHeader/>
        </w:trPr>
        <w:tc>
          <w:tcPr>
            <w:tcW w:w="236" w:type="dxa"/>
            <w:tcBorders>
              <w:top w:val="nil"/>
              <w:left w:val="nil"/>
              <w:bottom w:val="single" w:sz="4" w:space="0" w:color="000000" w:themeColor="text1"/>
              <w:right w:val="nil"/>
            </w:tcBorders>
          </w:tcPr>
          <w:p w14:paraId="71B1CF77" w14:textId="77777777" w:rsidR="00E77839" w:rsidRPr="0099775C" w:rsidRDefault="00E77839" w:rsidP="009002E5">
            <w:pPr>
              <w:rPr>
                <w:b/>
                <w:color w:val="000000"/>
                <w:sz w:val="22"/>
                <w:szCs w:val="22"/>
              </w:rPr>
            </w:pPr>
          </w:p>
        </w:tc>
        <w:tc>
          <w:tcPr>
            <w:tcW w:w="236" w:type="dxa"/>
            <w:tcBorders>
              <w:top w:val="nil"/>
              <w:left w:val="nil"/>
              <w:bottom w:val="single" w:sz="4" w:space="0" w:color="000000" w:themeColor="text1"/>
              <w:right w:val="nil"/>
            </w:tcBorders>
          </w:tcPr>
          <w:p w14:paraId="4D71055C" w14:textId="77777777" w:rsidR="00E77839" w:rsidRPr="0099775C" w:rsidRDefault="00E77839" w:rsidP="009002E5">
            <w:pPr>
              <w:rPr>
                <w:b/>
                <w:color w:val="000000"/>
                <w:sz w:val="22"/>
                <w:szCs w:val="22"/>
              </w:rPr>
            </w:pPr>
          </w:p>
        </w:tc>
        <w:tc>
          <w:tcPr>
            <w:tcW w:w="11294" w:type="dxa"/>
            <w:gridSpan w:val="5"/>
            <w:tcBorders>
              <w:top w:val="nil"/>
              <w:left w:val="nil"/>
              <w:bottom w:val="single" w:sz="4" w:space="0" w:color="000000" w:themeColor="text1"/>
              <w:right w:val="nil"/>
            </w:tcBorders>
            <w:shd w:val="clear" w:color="auto" w:fill="auto"/>
            <w:vAlign w:val="center"/>
          </w:tcPr>
          <w:p w14:paraId="03E7814D" w14:textId="2C5882D5" w:rsidR="00E77839" w:rsidRPr="009214C7" w:rsidRDefault="00E77839" w:rsidP="009002E5">
            <w:pPr>
              <w:rPr>
                <w:sz w:val="17"/>
                <w:szCs w:val="17"/>
              </w:rPr>
            </w:pPr>
            <w:r w:rsidRPr="0099775C">
              <w:rPr>
                <w:b/>
                <w:color w:val="000000"/>
                <w:sz w:val="22"/>
                <w:szCs w:val="22"/>
              </w:rPr>
              <w:t xml:space="preserve">Supplement Table </w:t>
            </w:r>
            <w:r w:rsidR="0030321B">
              <w:rPr>
                <w:b/>
                <w:color w:val="000000"/>
                <w:sz w:val="22"/>
                <w:szCs w:val="22"/>
              </w:rPr>
              <w:t>7</w:t>
            </w:r>
            <w:r w:rsidRPr="0099775C">
              <w:rPr>
                <w:b/>
                <w:color w:val="000000"/>
                <w:sz w:val="22"/>
                <w:szCs w:val="22"/>
              </w:rPr>
              <w:t xml:space="preserve"> </w:t>
            </w:r>
            <w:r>
              <w:rPr>
                <w:b/>
                <w:color w:val="000000"/>
                <w:sz w:val="20"/>
                <w:szCs w:val="20"/>
              </w:rPr>
              <w:t xml:space="preserve">Quality assessment of included (nested) case-control studies </w:t>
            </w:r>
            <w:r w:rsidRPr="004431E1">
              <w:rPr>
                <w:b/>
                <w:color w:val="000000"/>
                <w:sz w:val="20"/>
                <w:szCs w:val="20"/>
              </w:rPr>
              <w:t>(n=</w:t>
            </w:r>
            <w:r>
              <w:rPr>
                <w:b/>
                <w:color w:val="000000"/>
                <w:sz w:val="20"/>
                <w:szCs w:val="20"/>
              </w:rPr>
              <w:t>5</w:t>
            </w:r>
            <w:r w:rsidRPr="004431E1">
              <w:rPr>
                <w:b/>
                <w:color w:val="000000"/>
                <w:sz w:val="20"/>
                <w:szCs w:val="20"/>
              </w:rPr>
              <w:t>).</w:t>
            </w:r>
          </w:p>
        </w:tc>
        <w:tc>
          <w:tcPr>
            <w:tcW w:w="993" w:type="dxa"/>
            <w:tcBorders>
              <w:top w:val="nil"/>
              <w:left w:val="nil"/>
              <w:bottom w:val="single" w:sz="4" w:space="0" w:color="000000" w:themeColor="text1"/>
              <w:right w:val="nil"/>
            </w:tcBorders>
          </w:tcPr>
          <w:p w14:paraId="63582982" w14:textId="77777777" w:rsidR="00E77839" w:rsidRPr="0099775C" w:rsidRDefault="00E77839" w:rsidP="009002E5">
            <w:pPr>
              <w:rPr>
                <w:b/>
                <w:color w:val="000000"/>
                <w:sz w:val="22"/>
                <w:szCs w:val="22"/>
              </w:rPr>
            </w:pPr>
          </w:p>
        </w:tc>
      </w:tr>
      <w:tr w:rsidR="00E77839" w:rsidRPr="00B63DD5" w14:paraId="0550B37C" w14:textId="77777777" w:rsidTr="009002E5">
        <w:trPr>
          <w:cantSplit/>
          <w:trHeight w:val="580"/>
          <w:tblHeader/>
        </w:trPr>
        <w:tc>
          <w:tcPr>
            <w:tcW w:w="7652" w:type="dxa"/>
            <w:gridSpan w:val="3"/>
            <w:tcBorders>
              <w:top w:val="single" w:sz="4" w:space="0" w:color="000000" w:themeColor="text1"/>
              <w:bottom w:val="single" w:sz="4" w:space="0" w:color="auto"/>
            </w:tcBorders>
            <w:shd w:val="clear" w:color="auto" w:fill="auto"/>
            <w:vAlign w:val="center"/>
            <w:hideMark/>
          </w:tcPr>
          <w:p w14:paraId="719E5C30" w14:textId="77777777" w:rsidR="00E77839" w:rsidRPr="00B63DD5" w:rsidRDefault="00E77839" w:rsidP="009002E5">
            <w:pPr>
              <w:jc w:val="both"/>
              <w:rPr>
                <w:b/>
                <w:color w:val="000000"/>
                <w:sz w:val="20"/>
                <w:szCs w:val="20"/>
              </w:rPr>
            </w:pPr>
            <w:r>
              <w:rPr>
                <w:b/>
                <w:color w:val="000000"/>
                <w:sz w:val="20"/>
                <w:szCs w:val="20"/>
              </w:rPr>
              <w:t>Quality criteria</w:t>
            </w:r>
          </w:p>
        </w:tc>
        <w:tc>
          <w:tcPr>
            <w:tcW w:w="1137" w:type="dxa"/>
            <w:tcBorders>
              <w:top w:val="single" w:sz="4" w:space="0" w:color="000000" w:themeColor="text1"/>
              <w:bottom w:val="single" w:sz="4" w:space="0" w:color="auto"/>
              <w:right w:val="single" w:sz="4" w:space="0" w:color="000000" w:themeColor="text1"/>
            </w:tcBorders>
            <w:shd w:val="clear" w:color="auto" w:fill="FFFFFF" w:themeFill="background1"/>
          </w:tcPr>
          <w:p w14:paraId="6343909A" w14:textId="1B8F2A5C" w:rsidR="00E77839" w:rsidRPr="00E05156" w:rsidRDefault="00E77839" w:rsidP="009002E5">
            <w:pPr>
              <w:jc w:val="center"/>
              <w:rPr>
                <w:color w:val="000000"/>
                <w:sz w:val="19"/>
                <w:szCs w:val="19"/>
              </w:rPr>
            </w:pPr>
            <w:r w:rsidRPr="00E05156">
              <w:rPr>
                <w:sz w:val="19"/>
                <w:szCs w:val="19"/>
              </w:rPr>
              <w:t xml:space="preserve">Fan </w:t>
            </w:r>
            <w:r w:rsidRPr="00E05156">
              <w:rPr>
                <w:i/>
                <w:iCs/>
                <w:sz w:val="19"/>
                <w:szCs w:val="19"/>
              </w:rPr>
              <w:t>et al.</w:t>
            </w:r>
            <w:r w:rsidRPr="00E05156">
              <w:rPr>
                <w:sz w:val="19"/>
                <w:szCs w:val="19"/>
              </w:rPr>
              <w:t xml:space="preserve"> 2022</w:t>
            </w:r>
            <w:r w:rsidRPr="00E05156">
              <w:rPr>
                <w:sz w:val="19"/>
                <w:szCs w:val="19"/>
              </w:rPr>
              <w:fldChar w:fldCharType="begin" w:fldLock="1"/>
            </w:r>
            <w:r w:rsidR="009002E5">
              <w:rPr>
                <w:sz w:val="19"/>
                <w:szCs w:val="19"/>
              </w:rPr>
              <w:instrText>ADDIN CSL_CITATION {"citationItems":[{"id":"ITEM-1","itemData":{"DOI":"10.1007/S00204-022-03279-1/TABLES/5","ISSN":"14320738","PMID":"35420349","abstract":"Type 2 diabetes mellitus (T2DM) is one of the major public health problems worldwide; both genetic and environmental factors are its risk factors. Arsenic, an environmental pollutant, might be a risk factor for T2DM, but the association of low-to-moderate level arsenic exposure with the risk of T2DM is still inconsistent. Single nucleotide polymorphisms (SNPs) can affect the development of T2DM, but the study on KEAP1 rs11545829 (G&gt;A) SNP is few. In this paper, we explored the effect of KEAP1 rs11545829 (G&gt;A) SNP and low-to-moderate level arsenic exposure on risk of T2DM in a cross-sectional case–control study conducted in Shanxi, China. Total of 938 participants, including 318 T2DM cases and 618 controls, were enrolled. Blood glycosylated haemoglobin (HbA1c) was detected by Automatic Biochemical Analyzer, and participants with HbA1c</w:instrText>
            </w:r>
            <w:r w:rsidR="009002E5">
              <w:rPr>
                <w:rFonts w:ascii="Cambria Math" w:hAnsi="Cambria Math" w:cs="Cambria Math"/>
                <w:sz w:val="19"/>
                <w:szCs w:val="19"/>
              </w:rPr>
              <w:instrText>≧</w:instrText>
            </w:r>
            <w:r w:rsidR="009002E5">
              <w:rPr>
                <w:sz w:val="19"/>
                <w:szCs w:val="19"/>
              </w:rPr>
              <w:instrText>6.5% were diagnosed as T2DM. Urinary total arsenic (tAs, mg/L), as the indicator of arsenic exposure, was detected by liquid chromatography–atomic fluorescence spectrometry (LC–AFS). Genomic DNA was extracted and the genotypes of KEAP1 rs11545829 SNP were examined by multiplex polymerase chain reaction (PCR). The urinary tAs concentration in recruited participants was 0.075 (0.03–0.15) mg/L, and was associated with an increased risk of T2DM (OR = 8.45, 95% CI 2.63–27.17); rs11545829 mutation homozygote AA genotype had a protective effect on risk of T2DM (OR = 0.42, 95 % CI 0.25–0.73). Although this protective effect of AA genotype was found in participants with higher urinary tAs level (&gt;0.032 mg/L) (OR = 0.48, 95% CI 0.26–0.86), there was no interaction effect for arsenic exposure and rs11545829 SNP on risk of T2DM. In addition, BMI modified the association between rs11545829 SNP and the risk of T2DM (RERI = −1.11, 95% CI −2.18–0.04). The present study suggest that low-to-moderate level arsenic exposure may be a risk factor, while KEAP1 rs11545829 SNP mutation homozygote AA genotype may be a protective factor for risk of T2DM, especially for T2DM patients with urinary tAs level&gt;0.032 mg/L.","author":[{"dropping-particle":"","family":"Fan","given":"Chenlu","non-dropping-particle":"","parse-names":false,"suffix":""},{"dropping-particle":"","family":"Zhan","given":"Zaihong","non-dropping-particle":"","parse-names":false,"suffix":""},{"dropping-particle":"","family":"Zhang","given":"Xin","non-dropping-particle":"","parse-names":false,"suffix":""},{"dropping-particle":"","family":"Lou","given":"Qun","non-dropping-particle":"","parse-names":false,"suffix":""},{"dropping-particle":"","family":"Guo","given":"Ning","non-dropping-particle":"","parse-names":false,"suffix":""},{"dropping-particle":"","family":"Su","given":"Mengyao","non-dropping-particle":"","parse-names":false,"suffix":""},{"dropping-particle":"","family":"Gao","given":"Yue","non-dropping-particle":"","parse-names":false,"suffix":""},{"dropping-particle":"","family":"Qin","given":"Ming","non-dropping-particle":"","parse-names":false,"suffix":""},{"dropping-particle":"","family":"Wu","given":"Liaowei","non-dropping-particle":"","parse-names":false,"suffix":""},{"dropping-particle":"","family":"Huang","given":"Wei","non-dropping-particle":"","parse-names":false,"suffix":""},{"dropping-particle":"","family":"Zhang","given":"Meichen","non-dropping-particle":"","parse-names":false,"suffix":""},{"dropping-particle":"","family":"Yin","given":"Fanshuo","non-dropping-particle":"","parse-names":false,"suffix":""},{"dropping-particle":"","family":"Wu","given":"Yanhui","non-dropping-particle":"","parse-names":false,"suffix":""},{"dropping-particle":"","family":"Pi","given":"Jingbo","non-dropping-particle":"","parse-names":false,"suffix":""},{"dropping-particle":"","family":"Xu","given":"Yuanyuan","non-dropping-particle":"","parse-names":false,"suffix":""},{"dropping-particle":"","family":"Yang","given":"Yanmei","non-dropping-particle":"","parse-names":false,"suffix":""},{"dropping-particle":"","family":"Gao","given":"Yanhui","non-dropping-particle":"","parse-names":false,"suffix":""}],"container-title":"Archives of Toxicology","id":"ITEM-1","issue":"6","issued":{"date-parts":[["2022","6","1"]]},"page":"1673-1683","publisher":"Springer Science and Business Media Deutschland GmbH","title":"Research for type 2 diabetes mellitus in endemic arsenism areas in central China: role of low level of arsenic exposure and KEAP1 rs11545829 polymorphism","type":"article-journal","volume":"96"},"uris":["http://www.mendeley.com/documents/?uuid=d434ff54-18e1-3e14-8346-19416562adcc"]}],"mendeley":{"formattedCitation":"&lt;sup&gt;10&lt;/sup&gt;","plainTextFormattedCitation":"10","previouslyFormattedCitation":"&lt;sup&gt;13&lt;/sup&gt;"},"properties":{"noteIndex":0},"schema":"https://github.com/citation-style-language/schema/raw/master/csl-citation.json"}</w:instrText>
            </w:r>
            <w:r w:rsidRPr="00E05156">
              <w:rPr>
                <w:sz w:val="19"/>
                <w:szCs w:val="19"/>
              </w:rPr>
              <w:fldChar w:fldCharType="separate"/>
            </w:r>
            <w:r w:rsidR="009002E5" w:rsidRPr="009002E5">
              <w:rPr>
                <w:noProof/>
                <w:sz w:val="19"/>
                <w:szCs w:val="19"/>
                <w:vertAlign w:val="superscript"/>
              </w:rPr>
              <w:t>10</w:t>
            </w:r>
            <w:r w:rsidRPr="00E05156">
              <w:rPr>
                <w:sz w:val="19"/>
                <w:szCs w:val="19"/>
              </w:rPr>
              <w:fldChar w:fldCharType="end"/>
            </w:r>
          </w:p>
        </w:tc>
        <w:tc>
          <w:tcPr>
            <w:tcW w:w="945" w:type="dxa"/>
            <w:tcBorders>
              <w:top w:val="single" w:sz="4" w:space="0" w:color="000000" w:themeColor="text1"/>
              <w:left w:val="single" w:sz="4" w:space="0" w:color="000000" w:themeColor="text1"/>
              <w:bottom w:val="single" w:sz="4" w:space="0" w:color="auto"/>
              <w:right w:val="single" w:sz="4" w:space="0" w:color="auto"/>
            </w:tcBorders>
            <w:shd w:val="clear" w:color="auto" w:fill="FFFFFF" w:themeFill="background1"/>
          </w:tcPr>
          <w:p w14:paraId="320F44D4" w14:textId="0FC11CCB" w:rsidR="00E77839" w:rsidRPr="00E05156" w:rsidRDefault="00E77839" w:rsidP="009002E5">
            <w:pPr>
              <w:jc w:val="center"/>
              <w:rPr>
                <w:color w:val="000000"/>
                <w:sz w:val="19"/>
                <w:szCs w:val="19"/>
              </w:rPr>
            </w:pPr>
            <w:r w:rsidRPr="00E05156">
              <w:rPr>
                <w:sz w:val="19"/>
                <w:szCs w:val="19"/>
              </w:rPr>
              <w:t xml:space="preserve">Hsieh </w:t>
            </w:r>
            <w:r w:rsidRPr="00E05156">
              <w:rPr>
                <w:i/>
                <w:iCs/>
                <w:sz w:val="19"/>
                <w:szCs w:val="19"/>
              </w:rPr>
              <w:t xml:space="preserve">et al. </w:t>
            </w:r>
            <w:r w:rsidRPr="00E05156">
              <w:rPr>
                <w:sz w:val="19"/>
                <w:szCs w:val="19"/>
              </w:rPr>
              <w:t>2007</w:t>
            </w:r>
            <w:r w:rsidRPr="00E05156">
              <w:rPr>
                <w:sz w:val="19"/>
                <w:szCs w:val="19"/>
              </w:rPr>
              <w:fldChar w:fldCharType="begin" w:fldLock="1"/>
            </w:r>
            <w:r w:rsidR="009002E5">
              <w:rPr>
                <w:sz w:val="19"/>
                <w:szCs w:val="19"/>
              </w:rPr>
              <w:instrText>ADDIN CSL_CITATION {"citationItems":[{"id":"ITEM-1","itemData":{"DOI":"10.1016/j.taap.2007.10.013","abstract":"Arsenic had been reported to be associated with carotid atherosclerosis. However, there were few studies to evaluate the association between the susceptible gene of lipid metabolism and inflammation and carotid atherosclerosis among arsenic exposure residents. The aim of the study was to investigate the associations between the genetic polymorphisms of APOE and MCP-1 and the risk of carotid atherosclerosis among residents of Lanyang Basin in Taiwan which was a newly confirmed arsenic-endemic area. In total, 479 residents who had been genotyped of these two genes and examined the severity of carotid atherosclerosis were included in this study. The study subjects with carotid intima media thickness (IMT) ≥ 1.0 mm or with the observable plaque in the extracranial carotid artery were diagnosed as carotid atherosclerosis. A significantly age-and gender-adjusted odds ratio of 2.0 for the development of carotid atherosclerosis was observed in study subjects with ε4 allele of APOE than those without ε4 allele. Compared with study subjects who carried wild genotypes of APOE and MCP-1, those with both risk genotypes of APOE and MCP-1 had 2.5-fold risk of carotid atherosclerosis after adjustment for age and gender, revealing a significant dose-response relationship between number of risk genotypes of these genes and risk of carotid atherosclerosis. Additionally, study subjects with two risk genotypes of APOE and MCP-1 and either had ingested well water contained arsenic level N 10 μg/L or had arsenic exposure N 0.22 mg/L-year would have strikingly highest risk of 10.3-fold and 15.7-fold, respectively, for the development carotid atherosclerosis, showing significant joint effect of arsenic exposure and risk genotypes of APOE and MCP-1.","author":[{"dropping-particle":"","family":"Hsieh","given":"Yi-Chen","non-dropping-particle":"","parse-names":false,"suffix":""},{"dropping-particle":"","family":"Hsieh","given":"Fang-I","non-dropping-particle":"","parse-names":false,"suffix":""},{"dropping-particle":"","family":"Lien","given":"Li-Ming","non-dropping-particle":"","parse-names":false,"suffix":""},{"dropping-particle":"","family":"Chou","given":"Yi-Li","non-dropping-particle":"","parse-names":false,"suffix":""},{"dropping-particle":"","family":"Chiou","given":"Hung-Yi","non-dropping-particle":"","parse-names":false,"suffix":""},{"dropping-particle":"","family":"Chen","given":"Chien-Jen","non-dropping-particle":"","parse-names":false,"suffix":""}],"id":"ITEM-1","issued":{"date-parts":[["2007"]]},"title":"Risk of carotid atherosclerosis associated with genetic polymorphisms of apolipoprotein E and inflammatory genes among arsenic exposed residents in Taiwan","type":"article-journal"},"uris":["http://www.mendeley.com/documents/?uuid=26e3fedb-4199-38c9-8e10-e5eb66616930"]}],"mendeley":{"formattedCitation":"&lt;sup&gt;11&lt;/sup&gt;","plainTextFormattedCitation":"11","previouslyFormattedCitation":"&lt;sup&gt;4&lt;/sup&gt;"},"properties":{"noteIndex":0},"schema":"https://github.com/citation-style-language/schema/raw/master/csl-citation.json"}</w:instrText>
            </w:r>
            <w:r w:rsidRPr="00E05156">
              <w:rPr>
                <w:sz w:val="19"/>
                <w:szCs w:val="19"/>
              </w:rPr>
              <w:fldChar w:fldCharType="separate"/>
            </w:r>
            <w:r w:rsidR="009002E5" w:rsidRPr="009002E5">
              <w:rPr>
                <w:noProof/>
                <w:sz w:val="19"/>
                <w:szCs w:val="19"/>
                <w:vertAlign w:val="superscript"/>
              </w:rPr>
              <w:t>11</w:t>
            </w:r>
            <w:r w:rsidRPr="00E05156">
              <w:rPr>
                <w:sz w:val="19"/>
                <w:szCs w:val="19"/>
              </w:rPr>
              <w:fldChar w:fldCharType="end"/>
            </w:r>
          </w:p>
        </w:tc>
        <w:tc>
          <w:tcPr>
            <w:tcW w:w="1039" w:type="dxa"/>
            <w:tcBorders>
              <w:top w:val="single" w:sz="4" w:space="0" w:color="000000" w:themeColor="text1"/>
              <w:left w:val="single" w:sz="4" w:space="0" w:color="auto"/>
              <w:bottom w:val="single" w:sz="4" w:space="0" w:color="auto"/>
              <w:right w:val="single" w:sz="4" w:space="0" w:color="auto"/>
            </w:tcBorders>
            <w:shd w:val="clear" w:color="auto" w:fill="FFFFFF" w:themeFill="background1"/>
          </w:tcPr>
          <w:p w14:paraId="0ED04D8A" w14:textId="52F4AB2B" w:rsidR="00E77839" w:rsidRPr="00E05156" w:rsidRDefault="00E77839" w:rsidP="009002E5">
            <w:pPr>
              <w:jc w:val="center"/>
              <w:rPr>
                <w:sz w:val="19"/>
                <w:szCs w:val="19"/>
              </w:rPr>
            </w:pPr>
            <w:r w:rsidRPr="00E05156">
              <w:rPr>
                <w:sz w:val="19"/>
                <w:szCs w:val="19"/>
              </w:rPr>
              <w:t xml:space="preserve">Hsieh </w:t>
            </w:r>
            <w:r w:rsidRPr="00E05156">
              <w:rPr>
                <w:i/>
                <w:iCs/>
                <w:sz w:val="19"/>
                <w:szCs w:val="19"/>
              </w:rPr>
              <w:t xml:space="preserve">et al. </w:t>
            </w:r>
            <w:r w:rsidRPr="00E05156">
              <w:rPr>
                <w:sz w:val="19"/>
                <w:szCs w:val="19"/>
              </w:rPr>
              <w:t>2011</w:t>
            </w:r>
            <w:r w:rsidRPr="00E05156">
              <w:rPr>
                <w:sz w:val="19"/>
                <w:szCs w:val="19"/>
              </w:rPr>
              <w:fldChar w:fldCharType="begin" w:fldLock="1"/>
            </w:r>
            <w:r w:rsidR="009002E5">
              <w:rPr>
                <w:sz w:val="19"/>
                <w:szCs w:val="19"/>
              </w:rPr>
              <w:instrText>ADDIN CSL_CITATION {"citationItems":[{"id":"ITEM-1","itemData":{"DOI":"10.1016/J.ENVRES.2011.05.003","ISSN":"0013-9351","PMID":"21605854","abstract":"Individual susceptibility to arsenic-induced carotid atherosclerosis might be associated with genetic variations in arsenic metabolism. The purpose of this study is to explore the interaction effect on risk of carotid atherosclerosis between arsenic exposure and risk genotypes of purine nucleoside phosphorylase (PNP), arsenic (+3) methyltransferase (As3MT), and glutathione S-transferase omega 1 (GSTO1) and omega 2 (GSTO2). A community-based case-control study was conducted in northeastern Taiwan to investigate the arsenic metabolic-related genetic susceptibility to carotid atherosclerosis. In total, 863 subjects, who had been genotyped and for whom the severity of carotid atherosclerosis had been determined, were included in the present study. Individual well water was collected and arsenic concentration determined using hydride generation combined with flame atomic absorption spectrometry. The result showed that a significant dose-response trend (P=0.04) of carotid atherosclerosis risk associated with increasing arsenic concentration. Non-significant association between genetic polymorphisms of PNP Gly51Ser, Pro57Pro, As3MT Met287Thr, GSTO1 Ala140Asp, and GSTO2 A-183G and the risk for development of carotid atherosclerosis were observed. However, the significant interaction effect on carotid atherosclerosis risk was found for arsenic exposure (&gt;50 γg/l) and the haplotypes of PNP (p=0.0115). A marked elevated risk of carotid atherosclerosis was observed in subjects with arsenic exposure of &gt;50 γg/l in drinking water and those who carried the PNP A-T haplotype and at least either of the As3MT risk polymorphism or GSTO risk haplotypes (OR, 6.43; 95% CI, 1.79-23.19). In conclusion, arsenic metabolic genes, PNP, As3MT, and GSTO, may exacerbate the formation of atherosclerosis in individuals with high levels of arsenic concentration in well water (&gt;50 γg/l). © 2011 Elsevier Inc.","author":[{"dropping-particle":"","family":"Hsieh","given":"Yi Chen","non-dropping-particle":"","parse-names":false,"suffix":""},{"dropping-particle":"","family":"Lien","given":"Li Ming","non-dropping-particle":"","parse-names":false,"suffix":""},{"dropping-particle":"","family":"Chung","given":"Wen Ting","non-dropping-particle":"","parse-names":false,"suffix":""},{"dropping-particle":"","family":"Hsieh","given":"Fang I.","non-dropping-particle":"","parse-names":false,"suffix":""},{"dropping-particle":"","family":"Hsieh","given":"Pei Fan","non-dropping-particle":"","parse-names":false,"suffix":""},{"dropping-particle":"","family":"Wu","given":"Meei Maan","non-dropping-particle":"","parse-names":false,"suffix":""},{"dropping-particle":"","family":"Tseng","given":"Hung Pin","non-dropping-particle":"","parse-names":false,"suffix":""},{"dropping-particle":"","family":"Chiou","given":"Hung Yi","non-dropping-particle":"","parse-names":false,"suffix":""},{"dropping-particle":"","family":"Chen","given":"Chien Jen","non-dropping-particle":"","parse-names":false,"suffix":""}],"container-title":"Environmental Research","id":"ITEM-1","issue":"6","issued":{"date-parts":[["2011","8","1"]]},"page":"804-810","publisher":"Academic Press","title":"Significantly increased risk of carotid atherosclerosis with arsenic exposure and polymorphisms in arsenic metabolism genes","type":"article-journal","volume":"111"},"uris":["http://www.mendeley.com/documents/?uuid=ee155760-3db4-397a-a5a1-4a1357bfc7b7"]}],"mendeley":{"formattedCitation":"&lt;sup&gt;12&lt;/sup&gt;","plainTextFormattedCitation":"12","previouslyFormattedCitation":"&lt;sup&gt;5&lt;/sup&gt;"},"properties":{"noteIndex":0},"schema":"https://github.com/citation-style-language/schema/raw/master/csl-citation.json"}</w:instrText>
            </w:r>
            <w:r w:rsidRPr="00E05156">
              <w:rPr>
                <w:sz w:val="19"/>
                <w:szCs w:val="19"/>
              </w:rPr>
              <w:fldChar w:fldCharType="separate"/>
            </w:r>
            <w:r w:rsidR="009002E5" w:rsidRPr="009002E5">
              <w:rPr>
                <w:noProof/>
                <w:sz w:val="19"/>
                <w:szCs w:val="19"/>
                <w:vertAlign w:val="superscript"/>
              </w:rPr>
              <w:t>12</w:t>
            </w:r>
            <w:r w:rsidRPr="00E05156">
              <w:rPr>
                <w:sz w:val="19"/>
                <w:szCs w:val="19"/>
              </w:rPr>
              <w:fldChar w:fldCharType="end"/>
            </w:r>
          </w:p>
        </w:tc>
        <w:tc>
          <w:tcPr>
            <w:tcW w:w="993" w:type="dxa"/>
            <w:tcBorders>
              <w:top w:val="single" w:sz="4" w:space="0" w:color="000000" w:themeColor="text1"/>
              <w:left w:val="single" w:sz="4" w:space="0" w:color="auto"/>
              <w:bottom w:val="single" w:sz="4" w:space="0" w:color="auto"/>
            </w:tcBorders>
            <w:shd w:val="clear" w:color="auto" w:fill="auto"/>
          </w:tcPr>
          <w:p w14:paraId="683B5669" w14:textId="5CECDFE7" w:rsidR="00E77839" w:rsidRPr="00E05156" w:rsidRDefault="00E77839" w:rsidP="009002E5">
            <w:pPr>
              <w:jc w:val="center"/>
              <w:rPr>
                <w:sz w:val="19"/>
                <w:szCs w:val="19"/>
              </w:rPr>
            </w:pPr>
            <w:r w:rsidRPr="00E05156">
              <w:rPr>
                <w:sz w:val="19"/>
                <w:szCs w:val="19"/>
              </w:rPr>
              <w:t xml:space="preserve">Hsueh </w:t>
            </w:r>
            <w:r w:rsidRPr="00E05156">
              <w:rPr>
                <w:i/>
                <w:iCs/>
                <w:sz w:val="19"/>
                <w:szCs w:val="19"/>
              </w:rPr>
              <w:t>et al.</w:t>
            </w:r>
            <w:r w:rsidRPr="00E05156">
              <w:rPr>
                <w:sz w:val="19"/>
                <w:szCs w:val="19"/>
              </w:rPr>
              <w:t xml:space="preserve"> 2005</w:t>
            </w:r>
            <w:r w:rsidRPr="00E05156">
              <w:rPr>
                <w:sz w:val="19"/>
                <w:szCs w:val="19"/>
              </w:rPr>
              <w:fldChar w:fldCharType="begin" w:fldLock="1"/>
            </w:r>
            <w:r w:rsidR="009002E5">
              <w:rPr>
                <w:sz w:val="19"/>
                <w:szCs w:val="19"/>
              </w:rPr>
              <w:instrText>ADDIN CSL_CITATION {"citationItems":[{"id":"ITEM-1","itemData":{"DOI":"http://dx.doi.org/10.1080/15287390590967414","ISSN":"1528-7394","abstract":"The association of 4 genetic polymorphisms, NAD(P)H oxidase, manganese superoxide dismutase (MnSOD), catalase, and endothelial nitric oxide synthase (e-NOS), was assessed with arsenic-related hypertension risk among 79 hypertensive cases and 213 controls in an arseniasis-hyperendemic area of Taiwan. Overall, MnSOD polymorphism significantly increased the risk of hypertension regardless of arsenic exposure. NADPH oxidase and eNOS polymorphisms were significantly associated with hypertension risk in the high arsenic exposure group; however, catalase polymorphism was not associated with hypertension. Groups were further stratified by triglyceride levels to evaluate whether the cumulative arsenic exposure combined the three polymorphisms together. The adjusted adds ratios (ORs) of at least two risk factors of the cumulative arsenic exposure and MnSOD, NADPH oxidase, and eNOS three-polymorphism combination versus any one risk factor of them were 0.8 (95% CI 0.3-2.3) for individuals with low triglyceride levels (&lt; 110 mg/dl) and 2.5 (95% CI 1.0-6.01) for high-triglyceride groups (&gt; 110 mg/dl), respectively. These results suggested that the NADPH oxidase, MnSOD, and e-NOS polymorphisms, but not catalase, might play a role in the development of arsenic-related hypertension, especially in subjects with high triglyceride levels. Copyright© Taylor &amp; Francis Inc.","author":[{"dropping-particle":"","family":"Hsueh","given":"Y M","non-dropping-particle":"","parse-names":false,"suffix":""},{"dropping-particle":"","family":"Lin","given":"P P","non-dropping-particle":"","parse-names":false,"suffix":""},{"dropping-particle":"","family":"Chen","given":"H W","non-dropping-particle":"","parse-names":false,"suffix":""},{"dropping-particle":"","family":"Shiue","given":"H S","non-dropping-particle":"","parse-names":false,"suffix":""},{"dropping-particle":"","family":"Chung","given":"C J","non-dropping-particle":"","parse-names":false,"suffix":""},{"dropping-particle":"","family":"Tsai","given":"C T","non-dropping-particle":"","parse-names":false,"suffix":""},{"dropping-particle":"","family":"Huang","given":"Y K","non-dropping-particle":"","parse-names":false,"suffix":""},{"dropping-particle":"","family":"Chiou","given":"H Y","non-dropping-particle":"","parse-names":false,"suffix":""},{"dropping-particle":"","family":"Chen","given":"C J","non-dropping-particle":"","parse-names":false,"suffix":""},{"dropping-particle":"","family":"Y.-M.","given":"Hsueh","non-dropping-particle":"","parse-names":false,"suffix":""},{"dropping-particle":"","family":"P.","given":"Lin","non-dropping-particle":"","parse-names":false,"suffix":""},{"dropping-particle":"","family":"H.-W.","given":"Chen","non-dropping-particle":"","parse-names":false,"suffix":""},{"dropping-particle":"","family":"H.-S.","given":"Shiue","non-dropping-particle":"","parse-names":false,"suffix":""},{"dropping-particle":"","family":"C.-J.","given":"Chung","non-dropping-particle":"","parse-names":false,"suffix":""},{"dropping-particle":"","family":"C.-T.","given":"Tsai","non-dropping-particle":"","parse-names":false,"suffix":""},{"dropping-particle":"","family":"Y.-K.","given":"Huang","non-dropping-particle":"","parse-names":false,"suffix":""},{"dropping-particle":"","family":"H.-Y.","given":"Chiou","non-dropping-particle":"","parse-names":false,"suffix":""}],"container-title":"Journal of Toxicology and Environmental Health - Part A","id":"ITEM-1","issue":"17-18","issued":{"date-parts":[["2005","9"]]},"page":"1471-1484","publisher":"Taylor and Francis Inc. (325 Chestnut St, Suite 800, Philadelphia PA 19106, United States)","publisher-place":"Y.-M. Hsueh, Department of Public Health, School of Medicine, Taipei Medical University, Taipei, No. 250 Wu-Hsin Street, Taipei, 110, Taiwan (Republic of China). E-mail: ymhsueh@tmu.edu.tw","title":"Genetic polymorphisms of oxidative and antioxidant enzymes and arsenic-related hypertension","type":"article-journal","volume":"68"},"uris":["http://www.mendeley.com/documents/?uuid=59ae7974-f73d-4d31-8315-67b830bb5e2d"]}],"mendeley":{"formattedCitation":"&lt;sup&gt;13&lt;/sup&gt;","plainTextFormattedCitation":"13","previouslyFormattedCitation":"&lt;sup&gt;6&lt;/sup&gt;"},"properties":{"noteIndex":0},"schema":"https://github.com/citation-style-language/schema/raw/master/csl-citation.json"}</w:instrText>
            </w:r>
            <w:r w:rsidRPr="00E05156">
              <w:rPr>
                <w:sz w:val="19"/>
                <w:szCs w:val="19"/>
              </w:rPr>
              <w:fldChar w:fldCharType="separate"/>
            </w:r>
            <w:r w:rsidR="009002E5" w:rsidRPr="009002E5">
              <w:rPr>
                <w:noProof/>
                <w:sz w:val="19"/>
                <w:szCs w:val="19"/>
                <w:vertAlign w:val="superscript"/>
              </w:rPr>
              <w:t>13</w:t>
            </w:r>
            <w:r w:rsidRPr="00E05156">
              <w:rPr>
                <w:sz w:val="19"/>
                <w:szCs w:val="19"/>
              </w:rPr>
              <w:fldChar w:fldCharType="end"/>
            </w:r>
          </w:p>
        </w:tc>
        <w:tc>
          <w:tcPr>
            <w:tcW w:w="993" w:type="dxa"/>
            <w:tcBorders>
              <w:top w:val="single" w:sz="4" w:space="0" w:color="000000" w:themeColor="text1"/>
              <w:left w:val="single" w:sz="4" w:space="0" w:color="auto"/>
              <w:bottom w:val="single" w:sz="4" w:space="0" w:color="auto"/>
            </w:tcBorders>
          </w:tcPr>
          <w:p w14:paraId="476EEB96" w14:textId="5CDBB904" w:rsidR="00E77839" w:rsidRPr="00E05156" w:rsidRDefault="00E77839" w:rsidP="009002E5">
            <w:pPr>
              <w:jc w:val="center"/>
              <w:rPr>
                <w:sz w:val="19"/>
                <w:szCs w:val="19"/>
              </w:rPr>
            </w:pPr>
            <w:r w:rsidRPr="00E05156">
              <w:rPr>
                <w:sz w:val="19"/>
                <w:szCs w:val="19"/>
              </w:rPr>
              <w:t xml:space="preserve">Wang </w:t>
            </w:r>
            <w:r w:rsidRPr="00E05156">
              <w:rPr>
                <w:i/>
                <w:iCs/>
                <w:sz w:val="19"/>
                <w:szCs w:val="19"/>
              </w:rPr>
              <w:t>et al</w:t>
            </w:r>
            <w:r w:rsidRPr="00E05156">
              <w:rPr>
                <w:sz w:val="19"/>
                <w:szCs w:val="19"/>
              </w:rPr>
              <w:t>. 2007</w:t>
            </w:r>
            <w:r w:rsidRPr="00E05156">
              <w:rPr>
                <w:sz w:val="19"/>
                <w:szCs w:val="19"/>
              </w:rPr>
              <w:fldChar w:fldCharType="begin" w:fldLock="1"/>
            </w:r>
            <w:r w:rsidR="009002E5">
              <w:rPr>
                <w:sz w:val="19"/>
                <w:szCs w:val="19"/>
              </w:rPr>
              <w:instrText>ADDIN CSL_CITATION {"citationItems":[{"id":"ITEM-1","itemData":{"DOI":"10.1016/j.atherosclerosis.2006.07.029","ISSN":"0021-9150","abstract":"To evaluate the joint effects between genetic polymorphisms of\nglutathione S-transferase M1, T1, P1, and p53, and arsenic exposure\nthrough drinking well water on the risk of carotid atherosclerosis, 605\nresidents including 289 men and 316 women were recruited from a\nnortheastern area of Taiwan. Carotid atherosclerosis was diagnosed by\neither a carotid artery intima-media thickness (IMT) of &gt; 1.0 turn, a\nplaque score of &gt;= 1, or stenosis of &gt; 50%. A significant age- and\ngender-adjusted odds ratio of 3.3 for the development of carotid\natherosclerosis was observed among the high-arsenic exposure group who\ndrank well water containing arsenic at levels &gt; 50 mu g/L. The\nhigh-arsenic exposure group with GSTP1 variant genotypes of Ile/Val and\nVal/Val, and with the p53 variant genotypes of Arg/Pro and Pro/Pro had\n6.0- and 3.1-fold higher risks of carotid atherosclerosis, respectively.\nIn addition, the high-arsenic exposure group with one or two variant\ngenotypes of GSTP1 and p53 had 2.8- and 6.1-fold higher risks of carotid\natherosclerosis, respectively, and showed a dose-dependent relationship.\nA multivariate-adjusted odds ratio of 3.4 for the risk of carotid\natherosclerosis among study subjects with the two variant genotypes of\nGSTP1 and p53 was also found. Our study showed the joint effects on the\nrisk of carotid atherosclerosis between the genetic polymorphisms of\nGSTP1 and p53, and arsenic exposure. (c) 2006 Elsevier Ireland Ltd. All\nrights reserved.","author":[{"dropping-particle":"","family":"Wang","given":"Yuan-Hung","non-dropping-particle":"","parse-names":false,"suffix":""},{"dropping-particle":"","family":"Wu","given":"Meei-Maan","non-dropping-particle":"","parse-names":false,"suffix":""},{"dropping-particle":"","family":"Hong","given":"Chi-Tzong","non-dropping-particle":"","parse-names":false,"suffix":""},{"dropping-particle":"","family":"Lien","given":"Li-Ming","non-dropping-particle":"","parse-names":false,"suffix":""},{"dropping-particle":"","family":"Hsieh","given":"Yi-Chen","non-dropping-particle":"","parse-names":false,"suffix":""},{"dropping-particle":"","family":"Tseng","given":"Hung-Pin","non-dropping-particle":"","parse-names":false,"suffix":""},{"dropping-particle":"","family":"Chang","given":"Shu-Feng","non-dropping-particle":"","parse-names":false,"suffix":""},{"dropping-particle":"","family":"Su","given":"Che-Long","non-dropping-particle":"","parse-names":false,"suffix":""},{"dropping-particle":"","family":"Chiou","given":"Hung-Yi","non-dropping-particle":"","parse-names":false,"suffix":""},{"dropping-particle":"","family":"Chen","given":"Chien-Jen","non-dropping-particle":"","parse-names":false,"suffix":""}],"container-title":"ATHEROSCLEROSIS","id":"ITEM-1","issue":"2","issued":{"date-parts":[["2007","6"]]},"page":"305-312","title":"Effects of arsenic exposure and genetic polymorphisms of p53, glutathione S-transferase M1, T1, and P1 on the risk of carotid atherosclerosis in Taiwan","type":"article-journal","volume":"192"},"uris":["http://www.mendeley.com/documents/?uuid=3037564d-9df0-45c1-a64e-854f89a4b403"]}],"mendeley":{"formattedCitation":"&lt;sup&gt;14&lt;/sup&gt;","plainTextFormattedCitation":"14","previouslyFormattedCitation":"&lt;sup&gt;14&lt;/sup&gt;"},"properties":{"noteIndex":0},"schema":"https://github.com/citation-style-language/schema/raw/master/csl-citation.json"}</w:instrText>
            </w:r>
            <w:r w:rsidRPr="00E05156">
              <w:rPr>
                <w:sz w:val="19"/>
                <w:szCs w:val="19"/>
              </w:rPr>
              <w:fldChar w:fldCharType="separate"/>
            </w:r>
            <w:r w:rsidRPr="00D90436">
              <w:rPr>
                <w:noProof/>
                <w:sz w:val="19"/>
                <w:szCs w:val="19"/>
                <w:vertAlign w:val="superscript"/>
              </w:rPr>
              <w:t>14</w:t>
            </w:r>
            <w:r w:rsidRPr="00E05156">
              <w:rPr>
                <w:sz w:val="19"/>
                <w:szCs w:val="19"/>
              </w:rPr>
              <w:fldChar w:fldCharType="end"/>
            </w:r>
          </w:p>
        </w:tc>
      </w:tr>
      <w:tr w:rsidR="00E77839" w:rsidRPr="00B63DD5" w14:paraId="688EEF64" w14:textId="77777777" w:rsidTr="009002E5">
        <w:trPr>
          <w:trHeight w:val="259"/>
        </w:trPr>
        <w:tc>
          <w:tcPr>
            <w:tcW w:w="12759" w:type="dxa"/>
            <w:gridSpan w:val="8"/>
            <w:tcBorders>
              <w:top w:val="single" w:sz="4" w:space="0" w:color="000000" w:themeColor="text1"/>
              <w:left w:val="single" w:sz="4" w:space="0" w:color="000000" w:themeColor="text1"/>
              <w:bottom w:val="nil"/>
              <w:right w:val="single" w:sz="4" w:space="0" w:color="000000" w:themeColor="text1"/>
            </w:tcBorders>
            <w:shd w:val="clear" w:color="auto" w:fill="F2F2F2" w:themeFill="background1" w:themeFillShade="F2"/>
          </w:tcPr>
          <w:p w14:paraId="0402554C" w14:textId="77777777" w:rsidR="00E77839" w:rsidRPr="00591FA8" w:rsidRDefault="00E77839" w:rsidP="009002E5">
            <w:pPr>
              <w:rPr>
                <w:b/>
                <w:bCs/>
                <w:color w:val="000000"/>
                <w:sz w:val="20"/>
                <w:szCs w:val="20"/>
              </w:rPr>
            </w:pPr>
            <w:r w:rsidRPr="00591FA8">
              <w:rPr>
                <w:b/>
                <w:bCs/>
                <w:color w:val="000000"/>
                <w:sz w:val="20"/>
                <w:szCs w:val="20"/>
              </w:rPr>
              <w:t>Selection</w:t>
            </w:r>
          </w:p>
        </w:tc>
      </w:tr>
      <w:tr w:rsidR="00E77839" w:rsidRPr="00B63DD5" w14:paraId="1A1EF622" w14:textId="77777777" w:rsidTr="009002E5">
        <w:trPr>
          <w:trHeight w:val="259"/>
        </w:trPr>
        <w:tc>
          <w:tcPr>
            <w:tcW w:w="7652" w:type="dxa"/>
            <w:gridSpan w:val="3"/>
            <w:tcBorders>
              <w:top w:val="single" w:sz="4" w:space="0" w:color="000000" w:themeColor="text1"/>
              <w:left w:val="single" w:sz="4" w:space="0" w:color="000000" w:themeColor="text1"/>
              <w:bottom w:val="nil"/>
              <w:right w:val="single" w:sz="4" w:space="0" w:color="000000" w:themeColor="text1"/>
            </w:tcBorders>
            <w:shd w:val="clear" w:color="auto" w:fill="auto"/>
            <w:vAlign w:val="center"/>
            <w:hideMark/>
          </w:tcPr>
          <w:p w14:paraId="4E82C4AA" w14:textId="77777777" w:rsidR="00E77839" w:rsidRPr="00B63DD5" w:rsidRDefault="00E77839" w:rsidP="009002E5">
            <w:pPr>
              <w:spacing w:line="276" w:lineRule="auto"/>
              <w:jc w:val="both"/>
              <w:rPr>
                <w:color w:val="000000"/>
                <w:sz w:val="20"/>
                <w:szCs w:val="20"/>
              </w:rPr>
            </w:pPr>
            <w:r w:rsidRPr="00B63DD5">
              <w:rPr>
                <w:color w:val="000000"/>
                <w:sz w:val="20"/>
                <w:szCs w:val="20"/>
              </w:rPr>
              <w:t xml:space="preserve">Consecutive or obvious representative cases </w:t>
            </w:r>
          </w:p>
        </w:tc>
        <w:tc>
          <w:tcPr>
            <w:tcW w:w="1137" w:type="dxa"/>
            <w:tcBorders>
              <w:top w:val="single" w:sz="4" w:space="0" w:color="000000" w:themeColor="text1"/>
              <w:left w:val="single" w:sz="4" w:space="0" w:color="000000" w:themeColor="text1"/>
              <w:bottom w:val="nil"/>
              <w:right w:val="single" w:sz="4" w:space="0" w:color="000000" w:themeColor="text1"/>
            </w:tcBorders>
          </w:tcPr>
          <w:p w14:paraId="09BF98D5" w14:textId="77777777" w:rsidR="00E77839" w:rsidRPr="00B63DD5" w:rsidRDefault="00E77839" w:rsidP="009002E5">
            <w:pPr>
              <w:jc w:val="center"/>
              <w:rPr>
                <w:color w:val="000000"/>
                <w:sz w:val="20"/>
                <w:szCs w:val="20"/>
              </w:rPr>
            </w:pPr>
            <w:r w:rsidRPr="0044561E">
              <w:rPr>
                <w:color w:val="000000"/>
                <w:sz w:val="20"/>
                <w:szCs w:val="20"/>
              </w:rPr>
              <w:t>■</w:t>
            </w:r>
          </w:p>
        </w:tc>
        <w:tc>
          <w:tcPr>
            <w:tcW w:w="945" w:type="dxa"/>
            <w:tcBorders>
              <w:top w:val="single" w:sz="4" w:space="0" w:color="000000" w:themeColor="text1"/>
              <w:left w:val="single" w:sz="4" w:space="0" w:color="000000" w:themeColor="text1"/>
              <w:bottom w:val="nil"/>
              <w:right w:val="single" w:sz="4" w:space="0" w:color="auto"/>
            </w:tcBorders>
          </w:tcPr>
          <w:p w14:paraId="1656EC83" w14:textId="77777777" w:rsidR="00E77839" w:rsidRPr="00B63DD5" w:rsidRDefault="00E77839" w:rsidP="009002E5">
            <w:pPr>
              <w:jc w:val="center"/>
              <w:rPr>
                <w:color w:val="000000"/>
                <w:sz w:val="20"/>
                <w:szCs w:val="20"/>
              </w:rPr>
            </w:pPr>
            <w:r w:rsidRPr="0044561E">
              <w:rPr>
                <w:color w:val="000000"/>
                <w:sz w:val="20"/>
                <w:szCs w:val="20"/>
              </w:rPr>
              <w:t>■</w:t>
            </w:r>
          </w:p>
        </w:tc>
        <w:tc>
          <w:tcPr>
            <w:tcW w:w="1039" w:type="dxa"/>
            <w:tcBorders>
              <w:top w:val="single" w:sz="4" w:space="0" w:color="000000" w:themeColor="text1"/>
              <w:left w:val="single" w:sz="4" w:space="0" w:color="auto"/>
              <w:bottom w:val="nil"/>
              <w:right w:val="single" w:sz="4" w:space="0" w:color="auto"/>
            </w:tcBorders>
          </w:tcPr>
          <w:p w14:paraId="1FBC1BDC" w14:textId="77777777" w:rsidR="00E77839" w:rsidRPr="00B63DD5" w:rsidRDefault="00E77839" w:rsidP="009002E5">
            <w:pPr>
              <w:jc w:val="center"/>
              <w:rPr>
                <w:color w:val="000000"/>
                <w:sz w:val="20"/>
                <w:szCs w:val="20"/>
              </w:rPr>
            </w:pPr>
            <w:r w:rsidRPr="0044561E">
              <w:rPr>
                <w:color w:val="000000"/>
                <w:sz w:val="20"/>
                <w:szCs w:val="20"/>
              </w:rPr>
              <w:t>■</w:t>
            </w:r>
          </w:p>
        </w:tc>
        <w:tc>
          <w:tcPr>
            <w:tcW w:w="993" w:type="dxa"/>
            <w:tcBorders>
              <w:top w:val="single" w:sz="4" w:space="0" w:color="000000" w:themeColor="text1"/>
              <w:left w:val="single" w:sz="4" w:space="0" w:color="auto"/>
              <w:bottom w:val="nil"/>
              <w:right w:val="single" w:sz="4" w:space="0" w:color="000000" w:themeColor="text1"/>
            </w:tcBorders>
            <w:vAlign w:val="center"/>
          </w:tcPr>
          <w:p w14:paraId="0E85783A" w14:textId="77777777" w:rsidR="00E77839" w:rsidRPr="00B63DD5" w:rsidRDefault="00E77839" w:rsidP="009002E5">
            <w:pPr>
              <w:jc w:val="center"/>
              <w:rPr>
                <w:color w:val="000000"/>
                <w:sz w:val="20"/>
                <w:szCs w:val="20"/>
              </w:rPr>
            </w:pPr>
            <w:r w:rsidRPr="0044561E">
              <w:rPr>
                <w:color w:val="000000"/>
                <w:sz w:val="20"/>
                <w:szCs w:val="20"/>
              </w:rPr>
              <w:t>■</w:t>
            </w:r>
          </w:p>
        </w:tc>
        <w:tc>
          <w:tcPr>
            <w:tcW w:w="993" w:type="dxa"/>
            <w:tcBorders>
              <w:top w:val="single" w:sz="4" w:space="0" w:color="000000" w:themeColor="text1"/>
              <w:left w:val="single" w:sz="4" w:space="0" w:color="auto"/>
              <w:bottom w:val="nil"/>
              <w:right w:val="single" w:sz="4" w:space="0" w:color="000000" w:themeColor="text1"/>
            </w:tcBorders>
            <w:vAlign w:val="center"/>
          </w:tcPr>
          <w:p w14:paraId="3162107A" w14:textId="77777777" w:rsidR="00E77839" w:rsidRPr="00B63DD5" w:rsidRDefault="00E77839" w:rsidP="009002E5">
            <w:pPr>
              <w:jc w:val="center"/>
              <w:rPr>
                <w:color w:val="000000"/>
                <w:sz w:val="20"/>
                <w:szCs w:val="20"/>
              </w:rPr>
            </w:pPr>
            <w:r w:rsidRPr="0044561E">
              <w:rPr>
                <w:color w:val="000000"/>
                <w:sz w:val="20"/>
                <w:szCs w:val="20"/>
              </w:rPr>
              <w:t>■</w:t>
            </w:r>
          </w:p>
        </w:tc>
      </w:tr>
      <w:tr w:rsidR="00E77839" w:rsidRPr="00B63DD5" w14:paraId="3E3FCEE6" w14:textId="77777777" w:rsidTr="009002E5">
        <w:trPr>
          <w:trHeight w:val="259"/>
        </w:trPr>
        <w:tc>
          <w:tcPr>
            <w:tcW w:w="7652" w:type="dxa"/>
            <w:gridSpan w:val="3"/>
            <w:tcBorders>
              <w:top w:val="nil"/>
              <w:left w:val="single" w:sz="4" w:space="0" w:color="000000" w:themeColor="text1"/>
              <w:bottom w:val="nil"/>
              <w:right w:val="single" w:sz="4" w:space="0" w:color="000000" w:themeColor="text1"/>
            </w:tcBorders>
            <w:shd w:val="clear" w:color="auto" w:fill="auto"/>
            <w:vAlign w:val="center"/>
          </w:tcPr>
          <w:p w14:paraId="30D539B7" w14:textId="77777777" w:rsidR="00E77839" w:rsidRPr="00B63DD5" w:rsidRDefault="00E77839" w:rsidP="009002E5">
            <w:pPr>
              <w:spacing w:line="276" w:lineRule="auto"/>
              <w:jc w:val="both"/>
              <w:rPr>
                <w:color w:val="000000"/>
                <w:sz w:val="20"/>
                <w:szCs w:val="20"/>
              </w:rPr>
            </w:pPr>
            <w:r w:rsidRPr="00B63DD5">
              <w:rPr>
                <w:color w:val="000000"/>
                <w:sz w:val="20"/>
                <w:szCs w:val="20"/>
              </w:rPr>
              <w:t>Case definition with independent validation</w:t>
            </w:r>
          </w:p>
        </w:tc>
        <w:tc>
          <w:tcPr>
            <w:tcW w:w="1137" w:type="dxa"/>
            <w:tcBorders>
              <w:top w:val="nil"/>
              <w:left w:val="single" w:sz="4" w:space="0" w:color="000000" w:themeColor="text1"/>
              <w:bottom w:val="nil"/>
              <w:right w:val="single" w:sz="4" w:space="0" w:color="000000" w:themeColor="text1"/>
            </w:tcBorders>
          </w:tcPr>
          <w:p w14:paraId="7F13E044" w14:textId="77777777" w:rsidR="00E77839" w:rsidRPr="00B63DD5" w:rsidRDefault="00E77839" w:rsidP="009002E5">
            <w:pPr>
              <w:jc w:val="center"/>
              <w:rPr>
                <w:color w:val="000000"/>
                <w:sz w:val="20"/>
                <w:szCs w:val="20"/>
              </w:rPr>
            </w:pPr>
            <w:r w:rsidRPr="0044561E">
              <w:rPr>
                <w:color w:val="000000"/>
                <w:sz w:val="20"/>
                <w:szCs w:val="20"/>
              </w:rPr>
              <w:t>■</w:t>
            </w:r>
          </w:p>
        </w:tc>
        <w:tc>
          <w:tcPr>
            <w:tcW w:w="945" w:type="dxa"/>
            <w:tcBorders>
              <w:top w:val="nil"/>
              <w:left w:val="single" w:sz="4" w:space="0" w:color="000000" w:themeColor="text1"/>
              <w:bottom w:val="nil"/>
              <w:right w:val="single" w:sz="4" w:space="0" w:color="auto"/>
            </w:tcBorders>
          </w:tcPr>
          <w:p w14:paraId="388F9926" w14:textId="77777777" w:rsidR="00E77839" w:rsidRPr="00B63DD5" w:rsidRDefault="00E77839" w:rsidP="009002E5">
            <w:pPr>
              <w:jc w:val="center"/>
              <w:rPr>
                <w:color w:val="000000"/>
                <w:sz w:val="20"/>
                <w:szCs w:val="20"/>
              </w:rPr>
            </w:pPr>
            <w:r>
              <w:rPr>
                <w:color w:val="000000"/>
                <w:sz w:val="20"/>
                <w:szCs w:val="20"/>
              </w:rPr>
              <w:t>--</w:t>
            </w:r>
          </w:p>
        </w:tc>
        <w:tc>
          <w:tcPr>
            <w:tcW w:w="1039" w:type="dxa"/>
            <w:tcBorders>
              <w:top w:val="nil"/>
              <w:left w:val="single" w:sz="4" w:space="0" w:color="auto"/>
              <w:bottom w:val="nil"/>
              <w:right w:val="single" w:sz="4" w:space="0" w:color="auto"/>
            </w:tcBorders>
          </w:tcPr>
          <w:p w14:paraId="77F317CD" w14:textId="77777777" w:rsidR="00E77839" w:rsidRPr="00B63DD5" w:rsidRDefault="00E77839" w:rsidP="009002E5">
            <w:pPr>
              <w:jc w:val="center"/>
              <w:rPr>
                <w:color w:val="000000"/>
                <w:sz w:val="20"/>
                <w:szCs w:val="20"/>
              </w:rPr>
            </w:pPr>
            <w:r>
              <w:rPr>
                <w:color w:val="000000"/>
                <w:sz w:val="20"/>
                <w:szCs w:val="20"/>
              </w:rPr>
              <w:t>--</w:t>
            </w:r>
          </w:p>
        </w:tc>
        <w:tc>
          <w:tcPr>
            <w:tcW w:w="993" w:type="dxa"/>
            <w:tcBorders>
              <w:top w:val="nil"/>
              <w:left w:val="single" w:sz="4" w:space="0" w:color="auto"/>
              <w:bottom w:val="nil"/>
              <w:right w:val="single" w:sz="4" w:space="0" w:color="000000" w:themeColor="text1"/>
            </w:tcBorders>
            <w:vAlign w:val="center"/>
          </w:tcPr>
          <w:p w14:paraId="43E4FAE0" w14:textId="77777777" w:rsidR="00E77839" w:rsidRPr="00B63DD5" w:rsidRDefault="00E77839" w:rsidP="009002E5">
            <w:pPr>
              <w:jc w:val="center"/>
              <w:rPr>
                <w:color w:val="000000"/>
                <w:sz w:val="20"/>
                <w:szCs w:val="20"/>
              </w:rPr>
            </w:pPr>
            <w:r>
              <w:rPr>
                <w:color w:val="000000"/>
                <w:sz w:val="20"/>
                <w:szCs w:val="20"/>
              </w:rPr>
              <w:t>--</w:t>
            </w:r>
          </w:p>
        </w:tc>
        <w:tc>
          <w:tcPr>
            <w:tcW w:w="993" w:type="dxa"/>
            <w:tcBorders>
              <w:top w:val="nil"/>
              <w:left w:val="single" w:sz="4" w:space="0" w:color="auto"/>
              <w:bottom w:val="nil"/>
              <w:right w:val="single" w:sz="4" w:space="0" w:color="000000" w:themeColor="text1"/>
            </w:tcBorders>
            <w:vAlign w:val="center"/>
          </w:tcPr>
          <w:p w14:paraId="42793054" w14:textId="77777777" w:rsidR="00E77839" w:rsidRPr="00B63DD5" w:rsidRDefault="00E77839" w:rsidP="009002E5">
            <w:pPr>
              <w:jc w:val="center"/>
              <w:rPr>
                <w:color w:val="000000"/>
                <w:sz w:val="20"/>
                <w:szCs w:val="20"/>
              </w:rPr>
            </w:pPr>
            <w:r>
              <w:rPr>
                <w:color w:val="000000"/>
                <w:sz w:val="20"/>
                <w:szCs w:val="20"/>
              </w:rPr>
              <w:t>--</w:t>
            </w:r>
          </w:p>
        </w:tc>
      </w:tr>
      <w:tr w:rsidR="00E77839" w:rsidRPr="00B63DD5" w14:paraId="1AA546CA" w14:textId="77777777" w:rsidTr="009002E5">
        <w:trPr>
          <w:trHeight w:val="259"/>
        </w:trPr>
        <w:tc>
          <w:tcPr>
            <w:tcW w:w="7652" w:type="dxa"/>
            <w:gridSpan w:val="3"/>
            <w:tcBorders>
              <w:top w:val="nil"/>
              <w:left w:val="single" w:sz="4" w:space="0" w:color="000000" w:themeColor="text1"/>
              <w:bottom w:val="nil"/>
              <w:right w:val="single" w:sz="4" w:space="0" w:color="000000" w:themeColor="text1"/>
            </w:tcBorders>
            <w:shd w:val="clear" w:color="auto" w:fill="auto"/>
            <w:vAlign w:val="center"/>
          </w:tcPr>
          <w:p w14:paraId="30F112DD" w14:textId="77777777" w:rsidR="00E77839" w:rsidRPr="00B63DD5" w:rsidRDefault="00E77839" w:rsidP="009002E5">
            <w:pPr>
              <w:spacing w:line="276" w:lineRule="auto"/>
              <w:jc w:val="both"/>
              <w:rPr>
                <w:color w:val="000000"/>
                <w:sz w:val="20"/>
                <w:szCs w:val="20"/>
              </w:rPr>
            </w:pPr>
            <w:r w:rsidRPr="00B63DD5">
              <w:rPr>
                <w:color w:val="000000"/>
                <w:sz w:val="20"/>
                <w:szCs w:val="20"/>
              </w:rPr>
              <w:t xml:space="preserve">Cases are interviewed within 6 months of diagnosis </w:t>
            </w:r>
          </w:p>
        </w:tc>
        <w:tc>
          <w:tcPr>
            <w:tcW w:w="1137" w:type="dxa"/>
            <w:tcBorders>
              <w:top w:val="nil"/>
              <w:left w:val="single" w:sz="4" w:space="0" w:color="000000" w:themeColor="text1"/>
              <w:bottom w:val="nil"/>
              <w:right w:val="single" w:sz="4" w:space="0" w:color="000000" w:themeColor="text1"/>
            </w:tcBorders>
          </w:tcPr>
          <w:p w14:paraId="2B6D82CD" w14:textId="77777777" w:rsidR="00E77839" w:rsidRPr="00B63DD5" w:rsidRDefault="00E77839" w:rsidP="009002E5">
            <w:pPr>
              <w:jc w:val="center"/>
              <w:rPr>
                <w:color w:val="000000"/>
                <w:sz w:val="20"/>
                <w:szCs w:val="20"/>
              </w:rPr>
            </w:pPr>
            <w:r>
              <w:rPr>
                <w:color w:val="000000"/>
                <w:sz w:val="20"/>
                <w:szCs w:val="20"/>
              </w:rPr>
              <w:t xml:space="preserve">-- </w:t>
            </w:r>
          </w:p>
        </w:tc>
        <w:tc>
          <w:tcPr>
            <w:tcW w:w="945" w:type="dxa"/>
            <w:tcBorders>
              <w:top w:val="nil"/>
              <w:left w:val="single" w:sz="4" w:space="0" w:color="000000" w:themeColor="text1"/>
              <w:bottom w:val="nil"/>
              <w:right w:val="single" w:sz="4" w:space="0" w:color="auto"/>
            </w:tcBorders>
          </w:tcPr>
          <w:p w14:paraId="233FB623" w14:textId="77777777" w:rsidR="00E77839" w:rsidRPr="00B63DD5" w:rsidRDefault="00E77839" w:rsidP="009002E5">
            <w:pPr>
              <w:jc w:val="center"/>
              <w:rPr>
                <w:color w:val="000000"/>
                <w:sz w:val="20"/>
                <w:szCs w:val="20"/>
              </w:rPr>
            </w:pPr>
            <w:r>
              <w:rPr>
                <w:color w:val="000000"/>
                <w:sz w:val="20"/>
                <w:szCs w:val="20"/>
              </w:rPr>
              <w:t>--</w:t>
            </w:r>
          </w:p>
        </w:tc>
        <w:tc>
          <w:tcPr>
            <w:tcW w:w="1039" w:type="dxa"/>
            <w:tcBorders>
              <w:top w:val="nil"/>
              <w:left w:val="single" w:sz="4" w:space="0" w:color="auto"/>
              <w:bottom w:val="nil"/>
              <w:right w:val="single" w:sz="4" w:space="0" w:color="auto"/>
            </w:tcBorders>
          </w:tcPr>
          <w:p w14:paraId="5E3B1103" w14:textId="77777777" w:rsidR="00E77839" w:rsidRPr="00B63DD5" w:rsidRDefault="00E77839" w:rsidP="009002E5">
            <w:pPr>
              <w:jc w:val="center"/>
              <w:rPr>
                <w:color w:val="000000"/>
                <w:sz w:val="20"/>
                <w:szCs w:val="20"/>
              </w:rPr>
            </w:pPr>
            <w:r>
              <w:rPr>
                <w:color w:val="000000"/>
                <w:sz w:val="20"/>
                <w:szCs w:val="20"/>
              </w:rPr>
              <w:t>--</w:t>
            </w:r>
          </w:p>
        </w:tc>
        <w:tc>
          <w:tcPr>
            <w:tcW w:w="993" w:type="dxa"/>
            <w:tcBorders>
              <w:top w:val="nil"/>
              <w:left w:val="single" w:sz="4" w:space="0" w:color="auto"/>
              <w:bottom w:val="nil"/>
              <w:right w:val="single" w:sz="4" w:space="0" w:color="000000" w:themeColor="text1"/>
            </w:tcBorders>
            <w:vAlign w:val="center"/>
          </w:tcPr>
          <w:p w14:paraId="1B08980D" w14:textId="77777777" w:rsidR="00E77839" w:rsidRPr="00B63DD5" w:rsidRDefault="00E77839" w:rsidP="009002E5">
            <w:pPr>
              <w:jc w:val="center"/>
              <w:rPr>
                <w:color w:val="000000"/>
                <w:sz w:val="20"/>
                <w:szCs w:val="20"/>
              </w:rPr>
            </w:pPr>
            <w:r>
              <w:rPr>
                <w:color w:val="000000"/>
                <w:sz w:val="20"/>
                <w:szCs w:val="20"/>
              </w:rPr>
              <w:t>--</w:t>
            </w:r>
          </w:p>
        </w:tc>
        <w:tc>
          <w:tcPr>
            <w:tcW w:w="993" w:type="dxa"/>
            <w:tcBorders>
              <w:top w:val="nil"/>
              <w:left w:val="single" w:sz="4" w:space="0" w:color="auto"/>
              <w:bottom w:val="nil"/>
              <w:right w:val="single" w:sz="4" w:space="0" w:color="000000" w:themeColor="text1"/>
            </w:tcBorders>
            <w:vAlign w:val="center"/>
          </w:tcPr>
          <w:p w14:paraId="33BDFD25" w14:textId="77777777" w:rsidR="00E77839" w:rsidRPr="00B63DD5" w:rsidRDefault="00E77839" w:rsidP="009002E5">
            <w:pPr>
              <w:jc w:val="center"/>
              <w:rPr>
                <w:color w:val="000000"/>
                <w:sz w:val="20"/>
                <w:szCs w:val="20"/>
              </w:rPr>
            </w:pPr>
            <w:r>
              <w:rPr>
                <w:color w:val="000000"/>
                <w:sz w:val="20"/>
                <w:szCs w:val="20"/>
              </w:rPr>
              <w:t>--</w:t>
            </w:r>
          </w:p>
        </w:tc>
      </w:tr>
      <w:tr w:rsidR="00E77839" w:rsidRPr="00B63DD5" w14:paraId="66884500" w14:textId="77777777" w:rsidTr="009002E5">
        <w:trPr>
          <w:trHeight w:val="259"/>
        </w:trPr>
        <w:tc>
          <w:tcPr>
            <w:tcW w:w="7652" w:type="dxa"/>
            <w:gridSpan w:val="3"/>
            <w:tcBorders>
              <w:top w:val="nil"/>
              <w:left w:val="single" w:sz="4" w:space="0" w:color="000000" w:themeColor="text1"/>
              <w:bottom w:val="nil"/>
              <w:right w:val="single" w:sz="4" w:space="0" w:color="000000" w:themeColor="text1"/>
            </w:tcBorders>
            <w:shd w:val="clear" w:color="auto" w:fill="auto"/>
            <w:vAlign w:val="center"/>
          </w:tcPr>
          <w:p w14:paraId="51997EC3" w14:textId="77777777" w:rsidR="00E77839" w:rsidRPr="00B63DD5" w:rsidRDefault="00E77839" w:rsidP="009002E5">
            <w:pPr>
              <w:spacing w:line="276" w:lineRule="auto"/>
              <w:jc w:val="both"/>
              <w:rPr>
                <w:color w:val="000000"/>
                <w:sz w:val="20"/>
                <w:szCs w:val="20"/>
              </w:rPr>
            </w:pPr>
            <w:r w:rsidRPr="00B63DD5">
              <w:rPr>
                <w:color w:val="000000"/>
                <w:sz w:val="20"/>
                <w:szCs w:val="20"/>
              </w:rPr>
              <w:t xml:space="preserve">Use of community controls </w:t>
            </w:r>
          </w:p>
        </w:tc>
        <w:tc>
          <w:tcPr>
            <w:tcW w:w="1137" w:type="dxa"/>
            <w:tcBorders>
              <w:top w:val="nil"/>
              <w:left w:val="single" w:sz="4" w:space="0" w:color="000000" w:themeColor="text1"/>
              <w:bottom w:val="nil"/>
              <w:right w:val="single" w:sz="4" w:space="0" w:color="000000" w:themeColor="text1"/>
            </w:tcBorders>
          </w:tcPr>
          <w:p w14:paraId="08A0CE58" w14:textId="77777777" w:rsidR="00E77839" w:rsidRPr="00B63DD5" w:rsidRDefault="00E77839" w:rsidP="009002E5">
            <w:pPr>
              <w:jc w:val="center"/>
              <w:rPr>
                <w:color w:val="000000"/>
                <w:sz w:val="20"/>
                <w:szCs w:val="20"/>
              </w:rPr>
            </w:pPr>
            <w:r w:rsidRPr="0044561E">
              <w:rPr>
                <w:color w:val="000000"/>
                <w:sz w:val="20"/>
                <w:szCs w:val="20"/>
              </w:rPr>
              <w:t>■</w:t>
            </w:r>
          </w:p>
        </w:tc>
        <w:tc>
          <w:tcPr>
            <w:tcW w:w="945" w:type="dxa"/>
            <w:tcBorders>
              <w:top w:val="nil"/>
              <w:left w:val="single" w:sz="4" w:space="0" w:color="000000" w:themeColor="text1"/>
              <w:bottom w:val="nil"/>
              <w:right w:val="single" w:sz="4" w:space="0" w:color="auto"/>
            </w:tcBorders>
          </w:tcPr>
          <w:p w14:paraId="1C18AEBB" w14:textId="77777777" w:rsidR="00E77839" w:rsidRPr="00B63DD5" w:rsidRDefault="00E77839" w:rsidP="009002E5">
            <w:pPr>
              <w:jc w:val="center"/>
              <w:rPr>
                <w:color w:val="000000"/>
                <w:sz w:val="20"/>
                <w:szCs w:val="20"/>
              </w:rPr>
            </w:pPr>
            <w:r w:rsidRPr="0044561E">
              <w:rPr>
                <w:color w:val="000000"/>
                <w:sz w:val="20"/>
                <w:szCs w:val="20"/>
              </w:rPr>
              <w:t>■</w:t>
            </w:r>
          </w:p>
        </w:tc>
        <w:tc>
          <w:tcPr>
            <w:tcW w:w="1039" w:type="dxa"/>
            <w:tcBorders>
              <w:top w:val="nil"/>
              <w:left w:val="single" w:sz="4" w:space="0" w:color="auto"/>
              <w:bottom w:val="nil"/>
              <w:right w:val="single" w:sz="4" w:space="0" w:color="auto"/>
            </w:tcBorders>
          </w:tcPr>
          <w:p w14:paraId="79F40E94" w14:textId="77777777" w:rsidR="00E77839" w:rsidRPr="00B63DD5" w:rsidRDefault="00E77839" w:rsidP="009002E5">
            <w:pPr>
              <w:jc w:val="center"/>
              <w:rPr>
                <w:color w:val="000000"/>
                <w:sz w:val="20"/>
                <w:szCs w:val="20"/>
              </w:rPr>
            </w:pPr>
            <w:r w:rsidRPr="0044561E">
              <w:rPr>
                <w:color w:val="000000"/>
                <w:sz w:val="20"/>
                <w:szCs w:val="20"/>
              </w:rPr>
              <w:t>■</w:t>
            </w:r>
          </w:p>
        </w:tc>
        <w:tc>
          <w:tcPr>
            <w:tcW w:w="993" w:type="dxa"/>
            <w:tcBorders>
              <w:top w:val="nil"/>
              <w:left w:val="single" w:sz="4" w:space="0" w:color="auto"/>
              <w:bottom w:val="nil"/>
              <w:right w:val="single" w:sz="4" w:space="0" w:color="000000" w:themeColor="text1"/>
            </w:tcBorders>
            <w:vAlign w:val="center"/>
          </w:tcPr>
          <w:p w14:paraId="22E02B05" w14:textId="77777777" w:rsidR="00E77839" w:rsidRPr="00B63DD5" w:rsidRDefault="00E77839" w:rsidP="009002E5">
            <w:pPr>
              <w:jc w:val="center"/>
              <w:rPr>
                <w:color w:val="000000"/>
                <w:sz w:val="20"/>
                <w:szCs w:val="20"/>
              </w:rPr>
            </w:pPr>
            <w:r w:rsidRPr="0044561E">
              <w:rPr>
                <w:color w:val="000000"/>
                <w:sz w:val="20"/>
                <w:szCs w:val="20"/>
              </w:rPr>
              <w:t>■</w:t>
            </w:r>
          </w:p>
        </w:tc>
        <w:tc>
          <w:tcPr>
            <w:tcW w:w="993" w:type="dxa"/>
            <w:tcBorders>
              <w:top w:val="nil"/>
              <w:left w:val="single" w:sz="4" w:space="0" w:color="auto"/>
              <w:bottom w:val="nil"/>
              <w:right w:val="single" w:sz="4" w:space="0" w:color="000000" w:themeColor="text1"/>
            </w:tcBorders>
            <w:vAlign w:val="center"/>
          </w:tcPr>
          <w:p w14:paraId="0CDF1DD6" w14:textId="77777777" w:rsidR="00E77839" w:rsidRPr="00B63DD5" w:rsidRDefault="00E77839" w:rsidP="009002E5">
            <w:pPr>
              <w:jc w:val="center"/>
              <w:rPr>
                <w:color w:val="000000"/>
                <w:sz w:val="20"/>
                <w:szCs w:val="20"/>
              </w:rPr>
            </w:pPr>
            <w:r w:rsidRPr="0044561E">
              <w:rPr>
                <w:color w:val="000000"/>
                <w:sz w:val="20"/>
                <w:szCs w:val="20"/>
              </w:rPr>
              <w:t>■</w:t>
            </w:r>
          </w:p>
        </w:tc>
      </w:tr>
      <w:tr w:rsidR="00E77839" w:rsidRPr="00B63DD5" w14:paraId="5A061ABC" w14:textId="77777777" w:rsidTr="009002E5">
        <w:trPr>
          <w:trHeight w:val="259"/>
        </w:trPr>
        <w:tc>
          <w:tcPr>
            <w:tcW w:w="7652" w:type="dxa"/>
            <w:gridSpan w:val="3"/>
            <w:tcBorders>
              <w:top w:val="nil"/>
              <w:left w:val="single" w:sz="4" w:space="0" w:color="000000" w:themeColor="text1"/>
              <w:bottom w:val="nil"/>
              <w:right w:val="single" w:sz="4" w:space="0" w:color="000000" w:themeColor="text1"/>
            </w:tcBorders>
            <w:shd w:val="clear" w:color="auto" w:fill="auto"/>
            <w:vAlign w:val="center"/>
          </w:tcPr>
          <w:p w14:paraId="14CBFBED" w14:textId="77777777" w:rsidR="00E77839" w:rsidRPr="00B63DD5" w:rsidRDefault="00E77839" w:rsidP="009002E5">
            <w:pPr>
              <w:spacing w:line="276" w:lineRule="auto"/>
              <w:jc w:val="both"/>
              <w:rPr>
                <w:color w:val="000000"/>
                <w:sz w:val="20"/>
                <w:szCs w:val="20"/>
              </w:rPr>
            </w:pPr>
            <w:r w:rsidRPr="00B63DD5">
              <w:rPr>
                <w:color w:val="000000"/>
                <w:sz w:val="20"/>
                <w:szCs w:val="20"/>
              </w:rPr>
              <w:t>If hospital-based controls, condition not related to exposure</w:t>
            </w:r>
          </w:p>
        </w:tc>
        <w:tc>
          <w:tcPr>
            <w:tcW w:w="1137" w:type="dxa"/>
            <w:tcBorders>
              <w:top w:val="nil"/>
              <w:left w:val="single" w:sz="4" w:space="0" w:color="000000" w:themeColor="text1"/>
              <w:bottom w:val="nil"/>
              <w:right w:val="single" w:sz="4" w:space="0" w:color="000000" w:themeColor="text1"/>
            </w:tcBorders>
          </w:tcPr>
          <w:p w14:paraId="708C6E4A" w14:textId="77777777" w:rsidR="00E77839" w:rsidRPr="00B63DD5" w:rsidRDefault="00E77839" w:rsidP="009002E5">
            <w:pPr>
              <w:jc w:val="center"/>
              <w:rPr>
                <w:color w:val="000000"/>
                <w:sz w:val="20"/>
                <w:szCs w:val="20"/>
              </w:rPr>
            </w:pPr>
            <w:r>
              <w:rPr>
                <w:color w:val="000000"/>
                <w:sz w:val="20"/>
                <w:szCs w:val="20"/>
              </w:rPr>
              <w:t>NA</w:t>
            </w:r>
          </w:p>
        </w:tc>
        <w:tc>
          <w:tcPr>
            <w:tcW w:w="945" w:type="dxa"/>
            <w:tcBorders>
              <w:top w:val="nil"/>
              <w:left w:val="single" w:sz="4" w:space="0" w:color="000000" w:themeColor="text1"/>
              <w:bottom w:val="nil"/>
              <w:right w:val="single" w:sz="4" w:space="0" w:color="auto"/>
            </w:tcBorders>
          </w:tcPr>
          <w:p w14:paraId="566FF9C1" w14:textId="77777777" w:rsidR="00E77839" w:rsidRPr="00B63DD5" w:rsidRDefault="00E77839" w:rsidP="009002E5">
            <w:pPr>
              <w:jc w:val="center"/>
              <w:rPr>
                <w:color w:val="000000"/>
                <w:sz w:val="20"/>
                <w:szCs w:val="20"/>
              </w:rPr>
            </w:pPr>
            <w:r>
              <w:rPr>
                <w:color w:val="000000"/>
                <w:sz w:val="20"/>
                <w:szCs w:val="20"/>
              </w:rPr>
              <w:t>NA</w:t>
            </w:r>
          </w:p>
        </w:tc>
        <w:tc>
          <w:tcPr>
            <w:tcW w:w="1039" w:type="dxa"/>
            <w:tcBorders>
              <w:top w:val="nil"/>
              <w:left w:val="single" w:sz="4" w:space="0" w:color="auto"/>
              <w:bottom w:val="nil"/>
              <w:right w:val="single" w:sz="4" w:space="0" w:color="auto"/>
            </w:tcBorders>
          </w:tcPr>
          <w:p w14:paraId="20CD381B" w14:textId="77777777" w:rsidR="00E77839" w:rsidRPr="00B63DD5" w:rsidRDefault="00E77839" w:rsidP="009002E5">
            <w:pPr>
              <w:jc w:val="center"/>
              <w:rPr>
                <w:color w:val="000000"/>
                <w:sz w:val="20"/>
                <w:szCs w:val="20"/>
              </w:rPr>
            </w:pPr>
            <w:r>
              <w:rPr>
                <w:color w:val="000000"/>
                <w:sz w:val="20"/>
                <w:szCs w:val="20"/>
              </w:rPr>
              <w:t>NA</w:t>
            </w:r>
          </w:p>
        </w:tc>
        <w:tc>
          <w:tcPr>
            <w:tcW w:w="993" w:type="dxa"/>
            <w:tcBorders>
              <w:top w:val="nil"/>
              <w:left w:val="single" w:sz="4" w:space="0" w:color="auto"/>
              <w:bottom w:val="nil"/>
              <w:right w:val="single" w:sz="4" w:space="0" w:color="000000" w:themeColor="text1"/>
            </w:tcBorders>
          </w:tcPr>
          <w:p w14:paraId="7BEE3939" w14:textId="77777777" w:rsidR="00E77839" w:rsidRPr="00B63DD5" w:rsidRDefault="00E77839" w:rsidP="009002E5">
            <w:pPr>
              <w:jc w:val="center"/>
              <w:rPr>
                <w:color w:val="000000"/>
                <w:sz w:val="20"/>
                <w:szCs w:val="20"/>
              </w:rPr>
            </w:pPr>
            <w:r>
              <w:rPr>
                <w:color w:val="000000"/>
                <w:sz w:val="20"/>
                <w:szCs w:val="20"/>
              </w:rPr>
              <w:t>NA</w:t>
            </w:r>
          </w:p>
        </w:tc>
        <w:tc>
          <w:tcPr>
            <w:tcW w:w="993" w:type="dxa"/>
            <w:tcBorders>
              <w:top w:val="nil"/>
              <w:left w:val="single" w:sz="4" w:space="0" w:color="auto"/>
              <w:bottom w:val="nil"/>
              <w:right w:val="single" w:sz="4" w:space="0" w:color="000000" w:themeColor="text1"/>
            </w:tcBorders>
            <w:vAlign w:val="center"/>
          </w:tcPr>
          <w:p w14:paraId="7D16429A" w14:textId="77777777" w:rsidR="00E77839" w:rsidRPr="00B63DD5" w:rsidRDefault="00E77839" w:rsidP="009002E5">
            <w:pPr>
              <w:jc w:val="center"/>
              <w:rPr>
                <w:color w:val="000000"/>
                <w:sz w:val="20"/>
                <w:szCs w:val="20"/>
              </w:rPr>
            </w:pPr>
            <w:r>
              <w:rPr>
                <w:color w:val="000000"/>
                <w:sz w:val="20"/>
                <w:szCs w:val="20"/>
              </w:rPr>
              <w:t>NA</w:t>
            </w:r>
          </w:p>
        </w:tc>
      </w:tr>
      <w:tr w:rsidR="00E77839" w:rsidRPr="00B63DD5" w14:paraId="012B4BC3" w14:textId="77777777" w:rsidTr="009002E5">
        <w:trPr>
          <w:trHeight w:val="259"/>
        </w:trPr>
        <w:tc>
          <w:tcPr>
            <w:tcW w:w="7652" w:type="dxa"/>
            <w:gridSpan w:val="3"/>
            <w:tcBorders>
              <w:top w:val="nil"/>
              <w:left w:val="single" w:sz="4" w:space="0" w:color="000000" w:themeColor="text1"/>
              <w:bottom w:val="nil"/>
              <w:right w:val="single" w:sz="4" w:space="0" w:color="000000" w:themeColor="text1"/>
            </w:tcBorders>
            <w:shd w:val="clear" w:color="auto" w:fill="auto"/>
            <w:vAlign w:val="center"/>
            <w:hideMark/>
          </w:tcPr>
          <w:p w14:paraId="373C83D3" w14:textId="77777777" w:rsidR="00E77839" w:rsidRPr="00B63DD5" w:rsidRDefault="00E77839" w:rsidP="009002E5">
            <w:pPr>
              <w:spacing w:line="276" w:lineRule="auto"/>
              <w:jc w:val="both"/>
              <w:rPr>
                <w:color w:val="000000"/>
                <w:sz w:val="20"/>
                <w:szCs w:val="20"/>
              </w:rPr>
            </w:pPr>
            <w:r w:rsidRPr="00B63DD5">
              <w:rPr>
                <w:color w:val="000000"/>
                <w:sz w:val="20"/>
                <w:szCs w:val="20"/>
              </w:rPr>
              <w:t>If hospital-based controls, similar referral pattern as cases</w:t>
            </w:r>
          </w:p>
        </w:tc>
        <w:tc>
          <w:tcPr>
            <w:tcW w:w="1137" w:type="dxa"/>
            <w:tcBorders>
              <w:top w:val="nil"/>
              <w:left w:val="single" w:sz="4" w:space="0" w:color="000000" w:themeColor="text1"/>
              <w:bottom w:val="nil"/>
              <w:right w:val="single" w:sz="4" w:space="0" w:color="000000" w:themeColor="text1"/>
            </w:tcBorders>
          </w:tcPr>
          <w:p w14:paraId="279A1437" w14:textId="77777777" w:rsidR="00E77839" w:rsidRPr="00B63DD5" w:rsidRDefault="00E77839" w:rsidP="009002E5">
            <w:pPr>
              <w:jc w:val="center"/>
              <w:rPr>
                <w:color w:val="000000"/>
                <w:sz w:val="20"/>
                <w:szCs w:val="20"/>
              </w:rPr>
            </w:pPr>
            <w:r>
              <w:rPr>
                <w:color w:val="000000"/>
                <w:sz w:val="20"/>
                <w:szCs w:val="20"/>
              </w:rPr>
              <w:t>NA</w:t>
            </w:r>
          </w:p>
        </w:tc>
        <w:tc>
          <w:tcPr>
            <w:tcW w:w="945" w:type="dxa"/>
            <w:tcBorders>
              <w:top w:val="nil"/>
              <w:left w:val="single" w:sz="4" w:space="0" w:color="000000" w:themeColor="text1"/>
              <w:bottom w:val="nil"/>
              <w:right w:val="single" w:sz="4" w:space="0" w:color="auto"/>
            </w:tcBorders>
          </w:tcPr>
          <w:p w14:paraId="5D063E4C" w14:textId="77777777" w:rsidR="00E77839" w:rsidRPr="00B63DD5" w:rsidRDefault="00E77839" w:rsidP="009002E5">
            <w:pPr>
              <w:jc w:val="center"/>
              <w:rPr>
                <w:color w:val="000000"/>
                <w:sz w:val="20"/>
                <w:szCs w:val="20"/>
              </w:rPr>
            </w:pPr>
            <w:r>
              <w:rPr>
                <w:color w:val="000000"/>
                <w:sz w:val="20"/>
                <w:szCs w:val="20"/>
              </w:rPr>
              <w:t>NA</w:t>
            </w:r>
          </w:p>
        </w:tc>
        <w:tc>
          <w:tcPr>
            <w:tcW w:w="1039" w:type="dxa"/>
            <w:tcBorders>
              <w:top w:val="nil"/>
              <w:left w:val="single" w:sz="4" w:space="0" w:color="auto"/>
              <w:bottom w:val="nil"/>
              <w:right w:val="single" w:sz="4" w:space="0" w:color="auto"/>
            </w:tcBorders>
          </w:tcPr>
          <w:p w14:paraId="5390CBEA" w14:textId="77777777" w:rsidR="00E77839" w:rsidRPr="00B63DD5" w:rsidRDefault="00E77839" w:rsidP="009002E5">
            <w:pPr>
              <w:jc w:val="center"/>
              <w:rPr>
                <w:color w:val="000000"/>
                <w:sz w:val="20"/>
                <w:szCs w:val="20"/>
              </w:rPr>
            </w:pPr>
            <w:r>
              <w:rPr>
                <w:color w:val="000000"/>
                <w:sz w:val="20"/>
                <w:szCs w:val="20"/>
              </w:rPr>
              <w:t>NA</w:t>
            </w:r>
          </w:p>
        </w:tc>
        <w:tc>
          <w:tcPr>
            <w:tcW w:w="993" w:type="dxa"/>
            <w:tcBorders>
              <w:top w:val="nil"/>
              <w:left w:val="single" w:sz="4" w:space="0" w:color="auto"/>
              <w:bottom w:val="nil"/>
              <w:right w:val="single" w:sz="4" w:space="0" w:color="000000" w:themeColor="text1"/>
            </w:tcBorders>
          </w:tcPr>
          <w:p w14:paraId="74EBB5D5" w14:textId="77777777" w:rsidR="00E77839" w:rsidRPr="00B63DD5" w:rsidRDefault="00E77839" w:rsidP="009002E5">
            <w:pPr>
              <w:jc w:val="center"/>
              <w:rPr>
                <w:color w:val="000000"/>
                <w:sz w:val="20"/>
                <w:szCs w:val="20"/>
              </w:rPr>
            </w:pPr>
            <w:r>
              <w:rPr>
                <w:color w:val="000000"/>
                <w:sz w:val="20"/>
                <w:szCs w:val="20"/>
              </w:rPr>
              <w:t>NA</w:t>
            </w:r>
          </w:p>
        </w:tc>
        <w:tc>
          <w:tcPr>
            <w:tcW w:w="993" w:type="dxa"/>
            <w:tcBorders>
              <w:top w:val="nil"/>
              <w:left w:val="single" w:sz="4" w:space="0" w:color="auto"/>
              <w:bottom w:val="nil"/>
              <w:right w:val="single" w:sz="4" w:space="0" w:color="000000" w:themeColor="text1"/>
            </w:tcBorders>
            <w:vAlign w:val="center"/>
          </w:tcPr>
          <w:p w14:paraId="11ABA6D1" w14:textId="77777777" w:rsidR="00E77839" w:rsidRPr="00B63DD5" w:rsidRDefault="00E77839" w:rsidP="009002E5">
            <w:pPr>
              <w:jc w:val="center"/>
              <w:rPr>
                <w:color w:val="000000"/>
                <w:sz w:val="20"/>
                <w:szCs w:val="20"/>
              </w:rPr>
            </w:pPr>
            <w:r>
              <w:rPr>
                <w:color w:val="000000"/>
                <w:sz w:val="20"/>
                <w:szCs w:val="20"/>
              </w:rPr>
              <w:t>NA</w:t>
            </w:r>
          </w:p>
        </w:tc>
      </w:tr>
      <w:tr w:rsidR="00E77839" w:rsidRPr="00B63DD5" w14:paraId="119C9F28" w14:textId="77777777" w:rsidTr="009002E5">
        <w:trPr>
          <w:trHeight w:val="259"/>
        </w:trPr>
        <w:tc>
          <w:tcPr>
            <w:tcW w:w="7652" w:type="dxa"/>
            <w:gridSpan w:val="3"/>
            <w:tcBorders>
              <w:top w:val="nil"/>
              <w:left w:val="single" w:sz="4" w:space="0" w:color="000000" w:themeColor="text1"/>
              <w:bottom w:val="nil"/>
              <w:right w:val="single" w:sz="4" w:space="0" w:color="000000" w:themeColor="text1"/>
            </w:tcBorders>
            <w:shd w:val="clear" w:color="auto" w:fill="auto"/>
            <w:vAlign w:val="center"/>
          </w:tcPr>
          <w:p w14:paraId="75063547" w14:textId="77777777" w:rsidR="00E77839" w:rsidRPr="00B63DD5" w:rsidRDefault="00E77839" w:rsidP="009002E5">
            <w:pPr>
              <w:spacing w:line="276" w:lineRule="auto"/>
              <w:jc w:val="both"/>
              <w:rPr>
                <w:color w:val="000000"/>
                <w:sz w:val="20"/>
                <w:szCs w:val="20"/>
              </w:rPr>
            </w:pPr>
            <w:r w:rsidRPr="00B63DD5">
              <w:rPr>
                <w:color w:val="000000"/>
                <w:sz w:val="20"/>
                <w:szCs w:val="20"/>
              </w:rPr>
              <w:t xml:space="preserve">Controls selected without history of </w:t>
            </w:r>
            <w:r>
              <w:rPr>
                <w:color w:val="000000"/>
                <w:sz w:val="20"/>
                <w:szCs w:val="20"/>
              </w:rPr>
              <w:t>the outcome</w:t>
            </w:r>
          </w:p>
        </w:tc>
        <w:tc>
          <w:tcPr>
            <w:tcW w:w="1137" w:type="dxa"/>
            <w:tcBorders>
              <w:top w:val="nil"/>
              <w:left w:val="single" w:sz="4" w:space="0" w:color="000000" w:themeColor="text1"/>
              <w:bottom w:val="nil"/>
              <w:right w:val="single" w:sz="4" w:space="0" w:color="000000" w:themeColor="text1"/>
            </w:tcBorders>
          </w:tcPr>
          <w:p w14:paraId="0A36E2E7" w14:textId="77777777" w:rsidR="00E77839" w:rsidRPr="00B63DD5" w:rsidRDefault="00E77839" w:rsidP="009002E5">
            <w:pPr>
              <w:jc w:val="center"/>
              <w:rPr>
                <w:color w:val="000000"/>
                <w:sz w:val="20"/>
                <w:szCs w:val="20"/>
              </w:rPr>
            </w:pPr>
            <w:r>
              <w:rPr>
                <w:color w:val="000000"/>
                <w:sz w:val="20"/>
                <w:szCs w:val="20"/>
              </w:rPr>
              <w:t>--</w:t>
            </w:r>
          </w:p>
        </w:tc>
        <w:tc>
          <w:tcPr>
            <w:tcW w:w="945" w:type="dxa"/>
            <w:tcBorders>
              <w:top w:val="nil"/>
              <w:left w:val="single" w:sz="4" w:space="0" w:color="000000" w:themeColor="text1"/>
              <w:bottom w:val="nil"/>
              <w:right w:val="single" w:sz="4" w:space="0" w:color="auto"/>
            </w:tcBorders>
          </w:tcPr>
          <w:p w14:paraId="76AB6B64" w14:textId="77777777" w:rsidR="00E77839" w:rsidRPr="00B63DD5" w:rsidRDefault="00E77839" w:rsidP="009002E5">
            <w:pPr>
              <w:jc w:val="center"/>
              <w:rPr>
                <w:color w:val="000000"/>
                <w:sz w:val="20"/>
                <w:szCs w:val="20"/>
              </w:rPr>
            </w:pPr>
            <w:r w:rsidRPr="0044561E">
              <w:rPr>
                <w:color w:val="000000"/>
                <w:sz w:val="20"/>
                <w:szCs w:val="20"/>
              </w:rPr>
              <w:t>■</w:t>
            </w:r>
          </w:p>
        </w:tc>
        <w:tc>
          <w:tcPr>
            <w:tcW w:w="1039" w:type="dxa"/>
            <w:tcBorders>
              <w:top w:val="nil"/>
              <w:left w:val="single" w:sz="4" w:space="0" w:color="auto"/>
              <w:bottom w:val="nil"/>
              <w:right w:val="single" w:sz="4" w:space="0" w:color="auto"/>
            </w:tcBorders>
          </w:tcPr>
          <w:p w14:paraId="2943D35D" w14:textId="77777777" w:rsidR="00E77839" w:rsidRPr="00B63DD5" w:rsidRDefault="00E77839" w:rsidP="009002E5">
            <w:pPr>
              <w:jc w:val="center"/>
              <w:rPr>
                <w:color w:val="000000"/>
                <w:sz w:val="20"/>
                <w:szCs w:val="20"/>
              </w:rPr>
            </w:pPr>
            <w:r w:rsidRPr="0044561E">
              <w:rPr>
                <w:color w:val="000000"/>
                <w:sz w:val="20"/>
                <w:szCs w:val="20"/>
              </w:rPr>
              <w:t>■</w:t>
            </w:r>
          </w:p>
        </w:tc>
        <w:tc>
          <w:tcPr>
            <w:tcW w:w="993" w:type="dxa"/>
            <w:tcBorders>
              <w:top w:val="nil"/>
              <w:left w:val="single" w:sz="4" w:space="0" w:color="auto"/>
              <w:bottom w:val="nil"/>
              <w:right w:val="single" w:sz="4" w:space="0" w:color="000000" w:themeColor="text1"/>
            </w:tcBorders>
            <w:vAlign w:val="center"/>
          </w:tcPr>
          <w:p w14:paraId="2A10702D" w14:textId="77777777" w:rsidR="00E77839" w:rsidRPr="00B63DD5" w:rsidRDefault="00E77839" w:rsidP="009002E5">
            <w:pPr>
              <w:jc w:val="center"/>
              <w:rPr>
                <w:color w:val="000000"/>
                <w:sz w:val="20"/>
                <w:szCs w:val="20"/>
              </w:rPr>
            </w:pPr>
            <w:r w:rsidRPr="0044561E">
              <w:rPr>
                <w:color w:val="000000"/>
                <w:sz w:val="20"/>
                <w:szCs w:val="20"/>
              </w:rPr>
              <w:t>■</w:t>
            </w:r>
          </w:p>
        </w:tc>
        <w:tc>
          <w:tcPr>
            <w:tcW w:w="993" w:type="dxa"/>
            <w:tcBorders>
              <w:top w:val="nil"/>
              <w:left w:val="single" w:sz="4" w:space="0" w:color="auto"/>
              <w:bottom w:val="nil"/>
              <w:right w:val="single" w:sz="4" w:space="0" w:color="000000" w:themeColor="text1"/>
            </w:tcBorders>
            <w:vAlign w:val="center"/>
          </w:tcPr>
          <w:p w14:paraId="53AC3C92" w14:textId="77777777" w:rsidR="00E77839" w:rsidRPr="00B63DD5" w:rsidRDefault="00E77839" w:rsidP="009002E5">
            <w:pPr>
              <w:jc w:val="center"/>
              <w:rPr>
                <w:color w:val="000000"/>
                <w:sz w:val="20"/>
                <w:szCs w:val="20"/>
              </w:rPr>
            </w:pPr>
            <w:r w:rsidRPr="0044561E">
              <w:rPr>
                <w:color w:val="000000"/>
                <w:sz w:val="20"/>
                <w:szCs w:val="20"/>
              </w:rPr>
              <w:t>■</w:t>
            </w:r>
          </w:p>
        </w:tc>
      </w:tr>
      <w:tr w:rsidR="00E77839" w:rsidRPr="00B63DD5" w14:paraId="12BD87F4" w14:textId="77777777" w:rsidTr="009002E5">
        <w:trPr>
          <w:trHeight w:val="259"/>
        </w:trPr>
        <w:tc>
          <w:tcPr>
            <w:tcW w:w="7652" w:type="dxa"/>
            <w:gridSpan w:val="3"/>
            <w:tcBorders>
              <w:top w:val="nil"/>
              <w:bottom w:val="nil"/>
              <w:right w:val="single" w:sz="4" w:space="0" w:color="000000" w:themeColor="text1"/>
            </w:tcBorders>
            <w:shd w:val="clear" w:color="auto" w:fill="auto"/>
            <w:vAlign w:val="center"/>
            <w:hideMark/>
          </w:tcPr>
          <w:p w14:paraId="40928D82" w14:textId="77777777" w:rsidR="00E77839" w:rsidRPr="00B63DD5" w:rsidRDefault="00E77839" w:rsidP="009002E5">
            <w:pPr>
              <w:spacing w:line="276" w:lineRule="auto"/>
              <w:jc w:val="both"/>
              <w:rPr>
                <w:color w:val="000000"/>
                <w:sz w:val="20"/>
                <w:szCs w:val="20"/>
              </w:rPr>
            </w:pPr>
            <w:r w:rsidRPr="00B63DD5">
              <w:rPr>
                <w:color w:val="000000"/>
                <w:sz w:val="20"/>
                <w:szCs w:val="20"/>
              </w:rPr>
              <w:t xml:space="preserve">Controls who developed the disease would be cases </w:t>
            </w:r>
          </w:p>
        </w:tc>
        <w:tc>
          <w:tcPr>
            <w:tcW w:w="1137" w:type="dxa"/>
            <w:tcBorders>
              <w:top w:val="nil"/>
              <w:left w:val="single" w:sz="4" w:space="0" w:color="000000" w:themeColor="text1"/>
              <w:bottom w:val="nil"/>
              <w:right w:val="single" w:sz="4" w:space="0" w:color="000000" w:themeColor="text1"/>
            </w:tcBorders>
          </w:tcPr>
          <w:p w14:paraId="514B951C" w14:textId="77777777" w:rsidR="00E77839" w:rsidRPr="00B63DD5" w:rsidRDefault="00E77839" w:rsidP="009002E5">
            <w:pPr>
              <w:jc w:val="center"/>
              <w:rPr>
                <w:color w:val="000000"/>
                <w:sz w:val="20"/>
                <w:szCs w:val="20"/>
              </w:rPr>
            </w:pPr>
            <w:r w:rsidRPr="0044561E">
              <w:rPr>
                <w:color w:val="000000"/>
                <w:sz w:val="20"/>
                <w:szCs w:val="20"/>
              </w:rPr>
              <w:t>■</w:t>
            </w:r>
          </w:p>
        </w:tc>
        <w:tc>
          <w:tcPr>
            <w:tcW w:w="945" w:type="dxa"/>
            <w:tcBorders>
              <w:top w:val="nil"/>
              <w:left w:val="single" w:sz="4" w:space="0" w:color="000000" w:themeColor="text1"/>
              <w:bottom w:val="nil"/>
              <w:right w:val="single" w:sz="4" w:space="0" w:color="auto"/>
            </w:tcBorders>
          </w:tcPr>
          <w:p w14:paraId="5BA427B1" w14:textId="77777777" w:rsidR="00E77839" w:rsidRPr="00B63DD5" w:rsidRDefault="00E77839" w:rsidP="009002E5">
            <w:pPr>
              <w:jc w:val="center"/>
              <w:rPr>
                <w:color w:val="000000"/>
                <w:sz w:val="20"/>
                <w:szCs w:val="20"/>
              </w:rPr>
            </w:pPr>
            <w:r w:rsidRPr="0044561E">
              <w:rPr>
                <w:color w:val="000000"/>
                <w:sz w:val="20"/>
                <w:szCs w:val="20"/>
              </w:rPr>
              <w:t>■</w:t>
            </w:r>
          </w:p>
        </w:tc>
        <w:tc>
          <w:tcPr>
            <w:tcW w:w="1039" w:type="dxa"/>
            <w:tcBorders>
              <w:top w:val="nil"/>
              <w:left w:val="single" w:sz="4" w:space="0" w:color="auto"/>
              <w:bottom w:val="nil"/>
              <w:right w:val="single" w:sz="4" w:space="0" w:color="auto"/>
            </w:tcBorders>
          </w:tcPr>
          <w:p w14:paraId="439386F2" w14:textId="77777777" w:rsidR="00E77839" w:rsidRPr="00B63DD5" w:rsidRDefault="00E77839" w:rsidP="009002E5">
            <w:pPr>
              <w:jc w:val="center"/>
              <w:rPr>
                <w:color w:val="000000"/>
                <w:sz w:val="20"/>
                <w:szCs w:val="20"/>
              </w:rPr>
            </w:pPr>
            <w:r w:rsidRPr="0044561E">
              <w:rPr>
                <w:color w:val="000000"/>
                <w:sz w:val="20"/>
                <w:szCs w:val="20"/>
              </w:rPr>
              <w:t>■</w:t>
            </w:r>
          </w:p>
        </w:tc>
        <w:tc>
          <w:tcPr>
            <w:tcW w:w="993" w:type="dxa"/>
            <w:tcBorders>
              <w:top w:val="nil"/>
              <w:left w:val="single" w:sz="4" w:space="0" w:color="auto"/>
              <w:bottom w:val="nil"/>
              <w:right w:val="single" w:sz="4" w:space="0" w:color="000000" w:themeColor="text1"/>
            </w:tcBorders>
            <w:vAlign w:val="center"/>
          </w:tcPr>
          <w:p w14:paraId="0DACBCFF" w14:textId="77777777" w:rsidR="00E77839" w:rsidRPr="00B63DD5" w:rsidRDefault="00E77839" w:rsidP="009002E5">
            <w:pPr>
              <w:jc w:val="center"/>
              <w:rPr>
                <w:color w:val="000000"/>
                <w:sz w:val="20"/>
                <w:szCs w:val="20"/>
              </w:rPr>
            </w:pPr>
            <w:r w:rsidRPr="0044561E">
              <w:rPr>
                <w:color w:val="000000"/>
                <w:sz w:val="20"/>
                <w:szCs w:val="20"/>
              </w:rPr>
              <w:t>■</w:t>
            </w:r>
          </w:p>
        </w:tc>
        <w:tc>
          <w:tcPr>
            <w:tcW w:w="993" w:type="dxa"/>
            <w:tcBorders>
              <w:top w:val="nil"/>
              <w:left w:val="single" w:sz="4" w:space="0" w:color="auto"/>
              <w:bottom w:val="nil"/>
              <w:right w:val="single" w:sz="4" w:space="0" w:color="000000" w:themeColor="text1"/>
            </w:tcBorders>
            <w:vAlign w:val="center"/>
          </w:tcPr>
          <w:p w14:paraId="36DB3643" w14:textId="77777777" w:rsidR="00E77839" w:rsidRPr="00B63DD5" w:rsidRDefault="00E77839" w:rsidP="009002E5">
            <w:pPr>
              <w:jc w:val="center"/>
              <w:rPr>
                <w:color w:val="000000"/>
                <w:sz w:val="20"/>
                <w:szCs w:val="20"/>
              </w:rPr>
            </w:pPr>
            <w:r w:rsidRPr="0044561E">
              <w:rPr>
                <w:color w:val="000000"/>
                <w:sz w:val="20"/>
                <w:szCs w:val="20"/>
              </w:rPr>
              <w:t>■</w:t>
            </w:r>
          </w:p>
        </w:tc>
      </w:tr>
      <w:tr w:rsidR="00E77839" w:rsidRPr="00B63DD5" w14:paraId="675F1042" w14:textId="77777777" w:rsidTr="009002E5">
        <w:trPr>
          <w:trHeight w:val="63"/>
        </w:trPr>
        <w:tc>
          <w:tcPr>
            <w:tcW w:w="7652" w:type="dxa"/>
            <w:gridSpan w:val="3"/>
            <w:tcBorders>
              <w:top w:val="nil"/>
              <w:bottom w:val="nil"/>
              <w:right w:val="single" w:sz="4" w:space="0" w:color="000000" w:themeColor="text1"/>
            </w:tcBorders>
            <w:shd w:val="clear" w:color="auto" w:fill="auto"/>
            <w:vAlign w:val="center"/>
          </w:tcPr>
          <w:p w14:paraId="0C15466E" w14:textId="77777777" w:rsidR="00E77839" w:rsidRPr="00B63DD5" w:rsidRDefault="00E77839" w:rsidP="009002E5">
            <w:pPr>
              <w:spacing w:line="276" w:lineRule="auto"/>
              <w:jc w:val="both"/>
              <w:rPr>
                <w:color w:val="000000"/>
                <w:sz w:val="20"/>
                <w:szCs w:val="20"/>
              </w:rPr>
            </w:pPr>
            <w:r w:rsidRPr="00B63DD5">
              <w:rPr>
                <w:color w:val="000000"/>
                <w:sz w:val="20"/>
                <w:szCs w:val="20"/>
              </w:rPr>
              <w:t>Same exclusion criteria are applied to all cases and controls</w:t>
            </w:r>
          </w:p>
        </w:tc>
        <w:tc>
          <w:tcPr>
            <w:tcW w:w="1137" w:type="dxa"/>
            <w:tcBorders>
              <w:top w:val="nil"/>
              <w:left w:val="single" w:sz="4" w:space="0" w:color="000000" w:themeColor="text1"/>
              <w:bottom w:val="single" w:sz="4" w:space="0" w:color="000000" w:themeColor="text1"/>
              <w:right w:val="single" w:sz="4" w:space="0" w:color="000000" w:themeColor="text1"/>
            </w:tcBorders>
          </w:tcPr>
          <w:p w14:paraId="273B9293" w14:textId="77777777" w:rsidR="00E77839" w:rsidRPr="00B63DD5" w:rsidRDefault="00E77839" w:rsidP="009002E5">
            <w:pPr>
              <w:jc w:val="center"/>
              <w:rPr>
                <w:color w:val="000000"/>
                <w:sz w:val="20"/>
                <w:szCs w:val="20"/>
              </w:rPr>
            </w:pPr>
            <w:r w:rsidRPr="0044561E">
              <w:rPr>
                <w:color w:val="000000"/>
                <w:sz w:val="20"/>
                <w:szCs w:val="20"/>
              </w:rPr>
              <w:t>■</w:t>
            </w:r>
          </w:p>
        </w:tc>
        <w:tc>
          <w:tcPr>
            <w:tcW w:w="945" w:type="dxa"/>
            <w:tcBorders>
              <w:top w:val="nil"/>
              <w:left w:val="single" w:sz="4" w:space="0" w:color="000000" w:themeColor="text1"/>
              <w:bottom w:val="single" w:sz="4" w:space="0" w:color="000000" w:themeColor="text1"/>
              <w:right w:val="single" w:sz="4" w:space="0" w:color="auto"/>
            </w:tcBorders>
          </w:tcPr>
          <w:p w14:paraId="3372D61D" w14:textId="77777777" w:rsidR="00E77839" w:rsidRPr="00B63DD5" w:rsidRDefault="00E77839" w:rsidP="009002E5">
            <w:pPr>
              <w:jc w:val="center"/>
              <w:rPr>
                <w:color w:val="000000"/>
                <w:sz w:val="20"/>
                <w:szCs w:val="20"/>
              </w:rPr>
            </w:pPr>
            <w:r w:rsidRPr="0044561E">
              <w:rPr>
                <w:color w:val="000000"/>
                <w:sz w:val="20"/>
                <w:szCs w:val="20"/>
              </w:rPr>
              <w:t>■</w:t>
            </w:r>
          </w:p>
        </w:tc>
        <w:tc>
          <w:tcPr>
            <w:tcW w:w="1039" w:type="dxa"/>
            <w:tcBorders>
              <w:top w:val="nil"/>
              <w:left w:val="single" w:sz="4" w:space="0" w:color="auto"/>
              <w:bottom w:val="single" w:sz="4" w:space="0" w:color="000000" w:themeColor="text1"/>
              <w:right w:val="single" w:sz="4" w:space="0" w:color="auto"/>
            </w:tcBorders>
          </w:tcPr>
          <w:p w14:paraId="578CDFAA" w14:textId="77777777" w:rsidR="00E77839" w:rsidRPr="00B63DD5" w:rsidRDefault="00E77839" w:rsidP="009002E5">
            <w:pPr>
              <w:jc w:val="center"/>
              <w:rPr>
                <w:color w:val="000000"/>
                <w:sz w:val="20"/>
                <w:szCs w:val="20"/>
              </w:rPr>
            </w:pPr>
            <w:r w:rsidRPr="0044561E">
              <w:rPr>
                <w:color w:val="000000"/>
                <w:sz w:val="20"/>
                <w:szCs w:val="20"/>
              </w:rPr>
              <w:t>■</w:t>
            </w:r>
          </w:p>
        </w:tc>
        <w:tc>
          <w:tcPr>
            <w:tcW w:w="993" w:type="dxa"/>
            <w:tcBorders>
              <w:top w:val="nil"/>
              <w:left w:val="single" w:sz="4" w:space="0" w:color="auto"/>
              <w:bottom w:val="single" w:sz="4" w:space="0" w:color="000000" w:themeColor="text1"/>
              <w:right w:val="single" w:sz="4" w:space="0" w:color="000000" w:themeColor="text1"/>
            </w:tcBorders>
            <w:vAlign w:val="center"/>
          </w:tcPr>
          <w:p w14:paraId="526D6163" w14:textId="77777777" w:rsidR="00E77839" w:rsidRPr="00B63DD5" w:rsidRDefault="00E77839" w:rsidP="009002E5">
            <w:pPr>
              <w:jc w:val="center"/>
              <w:rPr>
                <w:color w:val="000000"/>
                <w:sz w:val="20"/>
                <w:szCs w:val="20"/>
              </w:rPr>
            </w:pPr>
            <w:r w:rsidRPr="0044561E">
              <w:rPr>
                <w:color w:val="000000"/>
                <w:sz w:val="20"/>
                <w:szCs w:val="20"/>
              </w:rPr>
              <w:t>■</w:t>
            </w:r>
          </w:p>
        </w:tc>
        <w:tc>
          <w:tcPr>
            <w:tcW w:w="993" w:type="dxa"/>
            <w:tcBorders>
              <w:top w:val="nil"/>
              <w:left w:val="single" w:sz="4" w:space="0" w:color="auto"/>
              <w:bottom w:val="single" w:sz="4" w:space="0" w:color="000000" w:themeColor="text1"/>
              <w:right w:val="single" w:sz="4" w:space="0" w:color="000000" w:themeColor="text1"/>
            </w:tcBorders>
            <w:vAlign w:val="center"/>
          </w:tcPr>
          <w:p w14:paraId="493DEAA1" w14:textId="77777777" w:rsidR="00E77839" w:rsidRPr="00B63DD5" w:rsidRDefault="00E77839" w:rsidP="009002E5">
            <w:pPr>
              <w:jc w:val="center"/>
              <w:rPr>
                <w:color w:val="000000"/>
                <w:sz w:val="20"/>
                <w:szCs w:val="20"/>
              </w:rPr>
            </w:pPr>
            <w:r w:rsidRPr="0044561E">
              <w:rPr>
                <w:color w:val="000000"/>
                <w:sz w:val="20"/>
                <w:szCs w:val="20"/>
              </w:rPr>
              <w:t>■</w:t>
            </w:r>
          </w:p>
        </w:tc>
      </w:tr>
      <w:tr w:rsidR="00E77839" w:rsidRPr="00B63DD5" w14:paraId="1B88B5BF" w14:textId="77777777" w:rsidTr="009002E5">
        <w:trPr>
          <w:trHeight w:val="259"/>
        </w:trPr>
        <w:tc>
          <w:tcPr>
            <w:tcW w:w="12759" w:type="dxa"/>
            <w:gridSpan w:val="8"/>
            <w:tcBorders>
              <w:top w:val="single" w:sz="4" w:space="0" w:color="auto"/>
              <w:left w:val="single" w:sz="4" w:space="0" w:color="auto"/>
              <w:bottom w:val="nil"/>
              <w:right w:val="single" w:sz="4" w:space="0" w:color="000000" w:themeColor="text1"/>
            </w:tcBorders>
            <w:shd w:val="clear" w:color="auto" w:fill="F2F2F2" w:themeFill="background1" w:themeFillShade="F2"/>
          </w:tcPr>
          <w:p w14:paraId="44FF91C9" w14:textId="77777777" w:rsidR="00E77839" w:rsidRPr="00591FA8" w:rsidRDefault="00E77839" w:rsidP="009002E5">
            <w:pPr>
              <w:rPr>
                <w:b/>
                <w:bCs/>
                <w:color w:val="000000"/>
                <w:sz w:val="20"/>
                <w:szCs w:val="20"/>
              </w:rPr>
            </w:pPr>
            <w:r w:rsidRPr="00591FA8">
              <w:rPr>
                <w:b/>
                <w:bCs/>
                <w:color w:val="000000"/>
                <w:sz w:val="20"/>
                <w:szCs w:val="20"/>
              </w:rPr>
              <w:t>Environmental exposure</w:t>
            </w:r>
          </w:p>
        </w:tc>
      </w:tr>
      <w:tr w:rsidR="00E77839" w:rsidRPr="00B63DD5" w14:paraId="1A4FE027" w14:textId="77777777" w:rsidTr="009002E5">
        <w:trPr>
          <w:trHeight w:val="259"/>
        </w:trPr>
        <w:tc>
          <w:tcPr>
            <w:tcW w:w="7652" w:type="dxa"/>
            <w:gridSpan w:val="3"/>
            <w:tcBorders>
              <w:top w:val="single" w:sz="4" w:space="0" w:color="auto"/>
              <w:bottom w:val="nil"/>
              <w:right w:val="single" w:sz="4" w:space="0" w:color="000000" w:themeColor="text1"/>
            </w:tcBorders>
            <w:shd w:val="clear" w:color="auto" w:fill="auto"/>
            <w:vAlign w:val="center"/>
            <w:hideMark/>
          </w:tcPr>
          <w:p w14:paraId="66B11F2D" w14:textId="77777777" w:rsidR="00E77839" w:rsidRPr="00B63DD5" w:rsidRDefault="00E77839" w:rsidP="009002E5">
            <w:pPr>
              <w:spacing w:line="276" w:lineRule="auto"/>
              <w:jc w:val="both"/>
              <w:rPr>
                <w:color w:val="000000"/>
                <w:sz w:val="20"/>
                <w:szCs w:val="20"/>
              </w:rPr>
            </w:pPr>
            <w:r w:rsidRPr="00B63DD5">
              <w:rPr>
                <w:color w:val="000000"/>
                <w:sz w:val="20"/>
                <w:szCs w:val="20"/>
              </w:rPr>
              <w:t>Measured at individual or household level</w:t>
            </w:r>
          </w:p>
        </w:tc>
        <w:tc>
          <w:tcPr>
            <w:tcW w:w="1137" w:type="dxa"/>
            <w:tcBorders>
              <w:top w:val="single" w:sz="4" w:space="0" w:color="000000" w:themeColor="text1"/>
              <w:left w:val="single" w:sz="4" w:space="0" w:color="000000" w:themeColor="text1"/>
              <w:bottom w:val="nil"/>
              <w:right w:val="single" w:sz="4" w:space="0" w:color="000000" w:themeColor="text1"/>
            </w:tcBorders>
          </w:tcPr>
          <w:p w14:paraId="3405E36E" w14:textId="77777777" w:rsidR="00E77839" w:rsidRPr="00B63DD5" w:rsidRDefault="00E77839" w:rsidP="009002E5">
            <w:pPr>
              <w:jc w:val="center"/>
              <w:rPr>
                <w:color w:val="000000"/>
                <w:sz w:val="20"/>
                <w:szCs w:val="20"/>
              </w:rPr>
            </w:pPr>
            <w:r w:rsidRPr="0044561E">
              <w:rPr>
                <w:color w:val="000000"/>
                <w:sz w:val="20"/>
                <w:szCs w:val="20"/>
              </w:rPr>
              <w:t>■</w:t>
            </w:r>
          </w:p>
        </w:tc>
        <w:tc>
          <w:tcPr>
            <w:tcW w:w="945" w:type="dxa"/>
            <w:tcBorders>
              <w:top w:val="single" w:sz="4" w:space="0" w:color="000000" w:themeColor="text1"/>
              <w:left w:val="single" w:sz="4" w:space="0" w:color="000000" w:themeColor="text1"/>
              <w:bottom w:val="nil"/>
              <w:right w:val="single" w:sz="4" w:space="0" w:color="auto"/>
            </w:tcBorders>
            <w:vAlign w:val="bottom"/>
          </w:tcPr>
          <w:p w14:paraId="60F2C3E2" w14:textId="77777777" w:rsidR="00E77839" w:rsidRPr="00B63DD5" w:rsidRDefault="00E77839" w:rsidP="009002E5">
            <w:pPr>
              <w:jc w:val="center"/>
              <w:rPr>
                <w:color w:val="000000"/>
                <w:sz w:val="20"/>
                <w:szCs w:val="20"/>
              </w:rPr>
            </w:pPr>
            <w:r w:rsidRPr="00A3510A">
              <w:rPr>
                <w:color w:val="000000"/>
                <w:sz w:val="20"/>
                <w:szCs w:val="20"/>
              </w:rPr>
              <w:t>■</w:t>
            </w:r>
          </w:p>
        </w:tc>
        <w:tc>
          <w:tcPr>
            <w:tcW w:w="1039" w:type="dxa"/>
            <w:tcBorders>
              <w:top w:val="single" w:sz="4" w:space="0" w:color="000000" w:themeColor="text1"/>
              <w:left w:val="single" w:sz="4" w:space="0" w:color="auto"/>
              <w:bottom w:val="nil"/>
              <w:right w:val="single" w:sz="4" w:space="0" w:color="auto"/>
            </w:tcBorders>
            <w:vAlign w:val="bottom"/>
          </w:tcPr>
          <w:p w14:paraId="5C519588" w14:textId="77777777" w:rsidR="00E77839" w:rsidRPr="00B63DD5" w:rsidRDefault="00E77839" w:rsidP="009002E5">
            <w:pPr>
              <w:jc w:val="center"/>
              <w:rPr>
                <w:color w:val="000000"/>
                <w:sz w:val="20"/>
                <w:szCs w:val="20"/>
              </w:rPr>
            </w:pPr>
            <w:r w:rsidRPr="00A3510A">
              <w:rPr>
                <w:color w:val="000000"/>
                <w:sz w:val="20"/>
                <w:szCs w:val="20"/>
              </w:rPr>
              <w:t>■</w:t>
            </w:r>
          </w:p>
        </w:tc>
        <w:tc>
          <w:tcPr>
            <w:tcW w:w="993" w:type="dxa"/>
            <w:tcBorders>
              <w:top w:val="single" w:sz="4" w:space="0" w:color="000000" w:themeColor="text1"/>
              <w:left w:val="single" w:sz="4" w:space="0" w:color="auto"/>
              <w:bottom w:val="nil"/>
              <w:right w:val="single" w:sz="4" w:space="0" w:color="000000" w:themeColor="text1"/>
            </w:tcBorders>
            <w:vAlign w:val="bottom"/>
          </w:tcPr>
          <w:p w14:paraId="40E279D8" w14:textId="77777777" w:rsidR="00E77839" w:rsidRPr="00B63DD5" w:rsidRDefault="00E77839" w:rsidP="009002E5">
            <w:pPr>
              <w:jc w:val="center"/>
              <w:rPr>
                <w:color w:val="000000"/>
                <w:sz w:val="20"/>
                <w:szCs w:val="20"/>
              </w:rPr>
            </w:pPr>
            <w:r w:rsidRPr="00A3510A">
              <w:rPr>
                <w:color w:val="000000"/>
                <w:sz w:val="20"/>
                <w:szCs w:val="20"/>
              </w:rPr>
              <w:t>■</w:t>
            </w:r>
          </w:p>
        </w:tc>
        <w:tc>
          <w:tcPr>
            <w:tcW w:w="993" w:type="dxa"/>
            <w:tcBorders>
              <w:top w:val="single" w:sz="4" w:space="0" w:color="000000" w:themeColor="text1"/>
              <w:left w:val="single" w:sz="4" w:space="0" w:color="auto"/>
              <w:bottom w:val="nil"/>
              <w:right w:val="single" w:sz="4" w:space="0" w:color="000000" w:themeColor="text1"/>
            </w:tcBorders>
          </w:tcPr>
          <w:p w14:paraId="4B691B79" w14:textId="77777777" w:rsidR="00E77839" w:rsidRPr="00A3510A" w:rsidRDefault="00E77839" w:rsidP="009002E5">
            <w:pPr>
              <w:jc w:val="center"/>
              <w:rPr>
                <w:color w:val="000000"/>
                <w:sz w:val="20"/>
                <w:szCs w:val="20"/>
              </w:rPr>
            </w:pPr>
            <w:r w:rsidRPr="0044561E">
              <w:rPr>
                <w:color w:val="000000"/>
                <w:sz w:val="20"/>
                <w:szCs w:val="20"/>
              </w:rPr>
              <w:t>■</w:t>
            </w:r>
          </w:p>
        </w:tc>
      </w:tr>
      <w:tr w:rsidR="00E77839" w:rsidRPr="00B63DD5" w14:paraId="47D0976D" w14:textId="77777777" w:rsidTr="009002E5">
        <w:trPr>
          <w:trHeight w:val="259"/>
        </w:trPr>
        <w:tc>
          <w:tcPr>
            <w:tcW w:w="7652" w:type="dxa"/>
            <w:gridSpan w:val="3"/>
            <w:tcBorders>
              <w:top w:val="nil"/>
              <w:bottom w:val="nil"/>
              <w:right w:val="single" w:sz="4" w:space="0" w:color="000000" w:themeColor="text1"/>
            </w:tcBorders>
            <w:shd w:val="clear" w:color="auto" w:fill="auto"/>
            <w:vAlign w:val="center"/>
            <w:hideMark/>
          </w:tcPr>
          <w:p w14:paraId="055700ED" w14:textId="77777777" w:rsidR="00E77839" w:rsidRPr="00B63DD5" w:rsidRDefault="00E77839" w:rsidP="009002E5">
            <w:pPr>
              <w:spacing w:line="276" w:lineRule="auto"/>
              <w:jc w:val="both"/>
              <w:rPr>
                <w:color w:val="000000"/>
                <w:sz w:val="20"/>
                <w:szCs w:val="20"/>
              </w:rPr>
            </w:pPr>
            <w:r w:rsidRPr="00B63DD5">
              <w:rPr>
                <w:color w:val="000000"/>
                <w:sz w:val="20"/>
                <w:szCs w:val="20"/>
              </w:rPr>
              <w:lastRenderedPageBreak/>
              <w:t>Use of biomarker (internal dose)</w:t>
            </w:r>
          </w:p>
        </w:tc>
        <w:tc>
          <w:tcPr>
            <w:tcW w:w="1137" w:type="dxa"/>
            <w:tcBorders>
              <w:top w:val="nil"/>
              <w:left w:val="single" w:sz="4" w:space="0" w:color="000000" w:themeColor="text1"/>
              <w:bottom w:val="nil"/>
              <w:right w:val="single" w:sz="4" w:space="0" w:color="000000" w:themeColor="text1"/>
            </w:tcBorders>
          </w:tcPr>
          <w:p w14:paraId="75CB45E2" w14:textId="77777777" w:rsidR="00E77839" w:rsidRPr="00B63DD5" w:rsidRDefault="00E77839" w:rsidP="009002E5">
            <w:pPr>
              <w:jc w:val="center"/>
              <w:rPr>
                <w:color w:val="000000"/>
                <w:sz w:val="20"/>
                <w:szCs w:val="20"/>
              </w:rPr>
            </w:pPr>
            <w:r w:rsidRPr="0044561E">
              <w:rPr>
                <w:color w:val="000000"/>
                <w:sz w:val="20"/>
                <w:szCs w:val="20"/>
              </w:rPr>
              <w:t>■</w:t>
            </w:r>
          </w:p>
        </w:tc>
        <w:tc>
          <w:tcPr>
            <w:tcW w:w="945" w:type="dxa"/>
            <w:tcBorders>
              <w:top w:val="nil"/>
              <w:left w:val="single" w:sz="4" w:space="0" w:color="000000" w:themeColor="text1"/>
              <w:bottom w:val="nil"/>
              <w:right w:val="single" w:sz="4" w:space="0" w:color="auto"/>
            </w:tcBorders>
            <w:vAlign w:val="bottom"/>
          </w:tcPr>
          <w:p w14:paraId="1244DB60" w14:textId="77777777" w:rsidR="00E77839" w:rsidRPr="00B63DD5" w:rsidRDefault="00E77839" w:rsidP="009002E5">
            <w:pPr>
              <w:jc w:val="center"/>
              <w:rPr>
                <w:color w:val="000000"/>
                <w:sz w:val="20"/>
                <w:szCs w:val="20"/>
              </w:rPr>
            </w:pPr>
            <w:r w:rsidRPr="00A3510A">
              <w:rPr>
                <w:color w:val="000000"/>
                <w:sz w:val="20"/>
                <w:szCs w:val="20"/>
              </w:rPr>
              <w:t>□</w:t>
            </w:r>
          </w:p>
        </w:tc>
        <w:tc>
          <w:tcPr>
            <w:tcW w:w="1039" w:type="dxa"/>
            <w:tcBorders>
              <w:top w:val="nil"/>
              <w:left w:val="single" w:sz="4" w:space="0" w:color="auto"/>
              <w:bottom w:val="nil"/>
              <w:right w:val="single" w:sz="4" w:space="0" w:color="auto"/>
            </w:tcBorders>
            <w:vAlign w:val="bottom"/>
          </w:tcPr>
          <w:p w14:paraId="76A0B77B" w14:textId="77777777" w:rsidR="00E77839" w:rsidRPr="00B63DD5" w:rsidRDefault="00E77839" w:rsidP="009002E5">
            <w:pPr>
              <w:jc w:val="center"/>
              <w:rPr>
                <w:color w:val="000000"/>
                <w:sz w:val="20"/>
                <w:szCs w:val="20"/>
              </w:rPr>
            </w:pPr>
            <w:r w:rsidRPr="00A3510A">
              <w:rPr>
                <w:color w:val="000000"/>
                <w:sz w:val="20"/>
                <w:szCs w:val="20"/>
              </w:rPr>
              <w:t>■</w:t>
            </w:r>
          </w:p>
        </w:tc>
        <w:tc>
          <w:tcPr>
            <w:tcW w:w="993" w:type="dxa"/>
            <w:tcBorders>
              <w:top w:val="nil"/>
              <w:left w:val="single" w:sz="4" w:space="0" w:color="auto"/>
              <w:bottom w:val="nil"/>
              <w:right w:val="single" w:sz="4" w:space="0" w:color="000000" w:themeColor="text1"/>
            </w:tcBorders>
            <w:vAlign w:val="bottom"/>
          </w:tcPr>
          <w:p w14:paraId="0EABE013" w14:textId="77777777" w:rsidR="00E77839" w:rsidRPr="00B63DD5" w:rsidRDefault="00E77839" w:rsidP="009002E5">
            <w:pPr>
              <w:jc w:val="center"/>
              <w:rPr>
                <w:color w:val="000000"/>
                <w:sz w:val="20"/>
                <w:szCs w:val="20"/>
              </w:rPr>
            </w:pPr>
            <w:r w:rsidRPr="00A3510A">
              <w:rPr>
                <w:color w:val="000000"/>
                <w:sz w:val="20"/>
                <w:szCs w:val="20"/>
              </w:rPr>
              <w:t>□</w:t>
            </w:r>
          </w:p>
        </w:tc>
        <w:tc>
          <w:tcPr>
            <w:tcW w:w="993" w:type="dxa"/>
            <w:tcBorders>
              <w:top w:val="nil"/>
              <w:left w:val="single" w:sz="4" w:space="0" w:color="auto"/>
              <w:bottom w:val="nil"/>
              <w:right w:val="single" w:sz="4" w:space="0" w:color="000000" w:themeColor="text1"/>
            </w:tcBorders>
          </w:tcPr>
          <w:p w14:paraId="72BFEC13" w14:textId="77777777" w:rsidR="00E77839" w:rsidRPr="00A3510A" w:rsidRDefault="00E77839" w:rsidP="009002E5">
            <w:pPr>
              <w:jc w:val="center"/>
              <w:rPr>
                <w:color w:val="000000"/>
                <w:sz w:val="20"/>
                <w:szCs w:val="20"/>
              </w:rPr>
            </w:pPr>
            <w:r w:rsidRPr="0044561E">
              <w:rPr>
                <w:color w:val="000000"/>
                <w:sz w:val="20"/>
                <w:szCs w:val="20"/>
              </w:rPr>
              <w:t>□</w:t>
            </w:r>
          </w:p>
        </w:tc>
      </w:tr>
      <w:tr w:rsidR="00E77839" w:rsidRPr="00B63DD5" w14:paraId="1375AE3D" w14:textId="77777777" w:rsidTr="009002E5">
        <w:trPr>
          <w:trHeight w:val="63"/>
        </w:trPr>
        <w:tc>
          <w:tcPr>
            <w:tcW w:w="7652" w:type="dxa"/>
            <w:gridSpan w:val="3"/>
            <w:tcBorders>
              <w:top w:val="nil"/>
              <w:bottom w:val="nil"/>
              <w:right w:val="single" w:sz="4" w:space="0" w:color="000000" w:themeColor="text1"/>
            </w:tcBorders>
            <w:shd w:val="clear" w:color="auto" w:fill="auto"/>
            <w:vAlign w:val="center"/>
            <w:hideMark/>
          </w:tcPr>
          <w:p w14:paraId="284E1A79" w14:textId="77777777" w:rsidR="00E77839" w:rsidRPr="00B63DD5" w:rsidRDefault="00E77839" w:rsidP="009002E5">
            <w:pPr>
              <w:spacing w:line="276" w:lineRule="auto"/>
              <w:jc w:val="both"/>
              <w:rPr>
                <w:color w:val="000000"/>
                <w:sz w:val="20"/>
                <w:szCs w:val="20"/>
              </w:rPr>
            </w:pPr>
            <w:r w:rsidRPr="00B63DD5">
              <w:rPr>
                <w:color w:val="000000"/>
                <w:sz w:val="20"/>
                <w:szCs w:val="20"/>
              </w:rPr>
              <w:t>Media (Urine [U], Toenail [T], Water [W]</w:t>
            </w:r>
            <w:r>
              <w:rPr>
                <w:color w:val="000000"/>
                <w:sz w:val="20"/>
                <w:szCs w:val="20"/>
              </w:rPr>
              <w:t>, Blood [B])</w:t>
            </w:r>
          </w:p>
        </w:tc>
        <w:tc>
          <w:tcPr>
            <w:tcW w:w="1137" w:type="dxa"/>
            <w:tcBorders>
              <w:top w:val="nil"/>
              <w:left w:val="single" w:sz="4" w:space="0" w:color="000000" w:themeColor="text1"/>
              <w:bottom w:val="nil"/>
              <w:right w:val="single" w:sz="4" w:space="0" w:color="000000" w:themeColor="text1"/>
            </w:tcBorders>
          </w:tcPr>
          <w:p w14:paraId="575A60AF" w14:textId="77777777" w:rsidR="00E77839" w:rsidRPr="00B63DD5" w:rsidRDefault="00E77839" w:rsidP="009002E5">
            <w:pPr>
              <w:jc w:val="center"/>
              <w:rPr>
                <w:color w:val="000000"/>
                <w:sz w:val="20"/>
                <w:szCs w:val="20"/>
              </w:rPr>
            </w:pPr>
            <w:r>
              <w:rPr>
                <w:color w:val="000000"/>
                <w:sz w:val="20"/>
                <w:szCs w:val="20"/>
              </w:rPr>
              <w:t>U</w:t>
            </w:r>
          </w:p>
        </w:tc>
        <w:tc>
          <w:tcPr>
            <w:tcW w:w="945" w:type="dxa"/>
            <w:tcBorders>
              <w:top w:val="nil"/>
              <w:left w:val="single" w:sz="4" w:space="0" w:color="000000" w:themeColor="text1"/>
              <w:bottom w:val="nil"/>
              <w:right w:val="single" w:sz="4" w:space="0" w:color="auto"/>
            </w:tcBorders>
            <w:vAlign w:val="bottom"/>
          </w:tcPr>
          <w:p w14:paraId="413BF36A" w14:textId="77777777" w:rsidR="00E77839" w:rsidRPr="00B63DD5" w:rsidRDefault="00E77839" w:rsidP="009002E5">
            <w:pPr>
              <w:jc w:val="center"/>
              <w:rPr>
                <w:color w:val="000000"/>
                <w:sz w:val="20"/>
                <w:szCs w:val="20"/>
              </w:rPr>
            </w:pPr>
            <w:r>
              <w:rPr>
                <w:color w:val="000000"/>
                <w:sz w:val="20"/>
                <w:szCs w:val="20"/>
              </w:rPr>
              <w:t>W</w:t>
            </w:r>
          </w:p>
        </w:tc>
        <w:tc>
          <w:tcPr>
            <w:tcW w:w="1039" w:type="dxa"/>
            <w:tcBorders>
              <w:top w:val="nil"/>
              <w:left w:val="single" w:sz="4" w:space="0" w:color="auto"/>
              <w:bottom w:val="nil"/>
              <w:right w:val="single" w:sz="4" w:space="0" w:color="auto"/>
            </w:tcBorders>
            <w:vAlign w:val="bottom"/>
          </w:tcPr>
          <w:p w14:paraId="33F5FB2E" w14:textId="77777777" w:rsidR="00E77839" w:rsidRPr="00B63DD5" w:rsidRDefault="00E77839" w:rsidP="009002E5">
            <w:pPr>
              <w:jc w:val="center"/>
              <w:rPr>
                <w:color w:val="000000"/>
                <w:sz w:val="20"/>
                <w:szCs w:val="20"/>
              </w:rPr>
            </w:pPr>
            <w:r w:rsidRPr="00A3510A">
              <w:rPr>
                <w:color w:val="000000"/>
                <w:sz w:val="20"/>
                <w:szCs w:val="20"/>
              </w:rPr>
              <w:t>U</w:t>
            </w:r>
          </w:p>
        </w:tc>
        <w:tc>
          <w:tcPr>
            <w:tcW w:w="993" w:type="dxa"/>
            <w:tcBorders>
              <w:top w:val="nil"/>
              <w:left w:val="single" w:sz="4" w:space="0" w:color="auto"/>
              <w:bottom w:val="nil"/>
              <w:right w:val="single" w:sz="4" w:space="0" w:color="000000" w:themeColor="text1"/>
            </w:tcBorders>
            <w:vAlign w:val="bottom"/>
          </w:tcPr>
          <w:p w14:paraId="7EB1ED19" w14:textId="77777777" w:rsidR="00E77839" w:rsidRPr="00B63DD5" w:rsidRDefault="00E77839" w:rsidP="009002E5">
            <w:pPr>
              <w:jc w:val="center"/>
              <w:rPr>
                <w:color w:val="000000"/>
                <w:sz w:val="20"/>
                <w:szCs w:val="20"/>
              </w:rPr>
            </w:pPr>
            <w:r w:rsidRPr="00A3510A">
              <w:rPr>
                <w:color w:val="000000"/>
                <w:sz w:val="20"/>
                <w:szCs w:val="20"/>
              </w:rPr>
              <w:t>W</w:t>
            </w:r>
          </w:p>
        </w:tc>
        <w:tc>
          <w:tcPr>
            <w:tcW w:w="993" w:type="dxa"/>
            <w:tcBorders>
              <w:top w:val="nil"/>
              <w:left w:val="single" w:sz="4" w:space="0" w:color="auto"/>
              <w:bottom w:val="nil"/>
              <w:right w:val="single" w:sz="4" w:space="0" w:color="000000" w:themeColor="text1"/>
            </w:tcBorders>
          </w:tcPr>
          <w:p w14:paraId="0AE1CCAD" w14:textId="77777777" w:rsidR="00E77839" w:rsidRPr="00A3510A" w:rsidRDefault="00E77839" w:rsidP="009002E5">
            <w:pPr>
              <w:jc w:val="center"/>
              <w:rPr>
                <w:color w:val="000000"/>
                <w:sz w:val="20"/>
                <w:szCs w:val="20"/>
              </w:rPr>
            </w:pPr>
            <w:r w:rsidRPr="0044561E">
              <w:rPr>
                <w:color w:val="000000"/>
                <w:sz w:val="20"/>
                <w:szCs w:val="20"/>
              </w:rPr>
              <w:t>W</w:t>
            </w:r>
          </w:p>
        </w:tc>
      </w:tr>
      <w:tr w:rsidR="00E77839" w:rsidRPr="00B63DD5" w14:paraId="1CB33FAC" w14:textId="77777777" w:rsidTr="009002E5">
        <w:trPr>
          <w:trHeight w:val="259"/>
        </w:trPr>
        <w:tc>
          <w:tcPr>
            <w:tcW w:w="7652" w:type="dxa"/>
            <w:gridSpan w:val="3"/>
            <w:tcBorders>
              <w:top w:val="nil"/>
              <w:bottom w:val="nil"/>
              <w:right w:val="single" w:sz="4" w:space="0" w:color="000000" w:themeColor="text1"/>
            </w:tcBorders>
            <w:shd w:val="clear" w:color="auto" w:fill="auto"/>
            <w:noWrap/>
            <w:vAlign w:val="center"/>
          </w:tcPr>
          <w:p w14:paraId="24AA2624" w14:textId="77777777" w:rsidR="00E77839" w:rsidRPr="00B63DD5" w:rsidRDefault="00E77839" w:rsidP="009002E5">
            <w:pPr>
              <w:spacing w:line="276" w:lineRule="auto"/>
              <w:jc w:val="both"/>
              <w:rPr>
                <w:color w:val="000000"/>
                <w:sz w:val="20"/>
                <w:szCs w:val="20"/>
              </w:rPr>
            </w:pPr>
            <w:r w:rsidRPr="00B63DD5">
              <w:rPr>
                <w:color w:val="000000"/>
                <w:sz w:val="20"/>
                <w:szCs w:val="20"/>
              </w:rPr>
              <w:t xml:space="preserve">Measurement of chronic exposure (i.e., single [S], average of multiple [M], cumulative [C]) </w:t>
            </w:r>
          </w:p>
        </w:tc>
        <w:tc>
          <w:tcPr>
            <w:tcW w:w="1137" w:type="dxa"/>
            <w:tcBorders>
              <w:top w:val="nil"/>
              <w:left w:val="single" w:sz="4" w:space="0" w:color="000000" w:themeColor="text1"/>
              <w:bottom w:val="nil"/>
              <w:right w:val="single" w:sz="4" w:space="0" w:color="000000" w:themeColor="text1"/>
            </w:tcBorders>
          </w:tcPr>
          <w:p w14:paraId="2E85ED99" w14:textId="77777777" w:rsidR="00E77839" w:rsidRPr="00B63DD5" w:rsidRDefault="00E77839" w:rsidP="009002E5">
            <w:pPr>
              <w:jc w:val="center"/>
              <w:rPr>
                <w:color w:val="000000"/>
                <w:sz w:val="20"/>
                <w:szCs w:val="20"/>
              </w:rPr>
            </w:pPr>
            <w:r>
              <w:rPr>
                <w:color w:val="000000"/>
                <w:sz w:val="20"/>
                <w:szCs w:val="20"/>
              </w:rPr>
              <w:t>S</w:t>
            </w:r>
          </w:p>
        </w:tc>
        <w:tc>
          <w:tcPr>
            <w:tcW w:w="945" w:type="dxa"/>
            <w:tcBorders>
              <w:top w:val="nil"/>
              <w:left w:val="single" w:sz="4" w:space="0" w:color="000000" w:themeColor="text1"/>
              <w:bottom w:val="nil"/>
              <w:right w:val="single" w:sz="4" w:space="0" w:color="auto"/>
            </w:tcBorders>
            <w:vAlign w:val="bottom"/>
          </w:tcPr>
          <w:p w14:paraId="62F8DB19" w14:textId="77777777" w:rsidR="00E77839" w:rsidRPr="00B63DD5" w:rsidRDefault="00E77839" w:rsidP="009002E5">
            <w:pPr>
              <w:jc w:val="center"/>
              <w:rPr>
                <w:color w:val="000000"/>
                <w:sz w:val="20"/>
                <w:szCs w:val="20"/>
              </w:rPr>
            </w:pPr>
            <w:r>
              <w:rPr>
                <w:color w:val="000000"/>
                <w:sz w:val="20"/>
                <w:szCs w:val="20"/>
              </w:rPr>
              <w:t>S</w:t>
            </w:r>
          </w:p>
        </w:tc>
        <w:tc>
          <w:tcPr>
            <w:tcW w:w="1039" w:type="dxa"/>
            <w:tcBorders>
              <w:top w:val="nil"/>
              <w:left w:val="single" w:sz="4" w:space="0" w:color="auto"/>
              <w:bottom w:val="nil"/>
              <w:right w:val="single" w:sz="4" w:space="0" w:color="auto"/>
            </w:tcBorders>
            <w:vAlign w:val="bottom"/>
          </w:tcPr>
          <w:p w14:paraId="7FFA4A16" w14:textId="77777777" w:rsidR="00E77839" w:rsidRPr="00B63DD5" w:rsidRDefault="00E77839" w:rsidP="009002E5">
            <w:pPr>
              <w:jc w:val="center"/>
              <w:rPr>
                <w:color w:val="000000"/>
                <w:sz w:val="20"/>
                <w:szCs w:val="20"/>
              </w:rPr>
            </w:pPr>
            <w:r w:rsidRPr="00A3510A">
              <w:rPr>
                <w:color w:val="000000"/>
                <w:sz w:val="20"/>
                <w:szCs w:val="20"/>
              </w:rPr>
              <w:t>S</w:t>
            </w:r>
          </w:p>
        </w:tc>
        <w:tc>
          <w:tcPr>
            <w:tcW w:w="993" w:type="dxa"/>
            <w:tcBorders>
              <w:top w:val="nil"/>
              <w:left w:val="single" w:sz="4" w:space="0" w:color="auto"/>
              <w:bottom w:val="nil"/>
              <w:right w:val="single" w:sz="4" w:space="0" w:color="000000" w:themeColor="text1"/>
            </w:tcBorders>
            <w:vAlign w:val="bottom"/>
          </w:tcPr>
          <w:p w14:paraId="3FF91F6F" w14:textId="77777777" w:rsidR="00E77839" w:rsidRPr="00B63DD5" w:rsidRDefault="00E77839" w:rsidP="009002E5">
            <w:pPr>
              <w:jc w:val="center"/>
              <w:rPr>
                <w:color w:val="000000"/>
                <w:sz w:val="20"/>
                <w:szCs w:val="20"/>
              </w:rPr>
            </w:pPr>
            <w:r>
              <w:rPr>
                <w:color w:val="000000"/>
                <w:sz w:val="20"/>
                <w:szCs w:val="20"/>
              </w:rPr>
              <w:t>M, C</w:t>
            </w:r>
          </w:p>
        </w:tc>
        <w:tc>
          <w:tcPr>
            <w:tcW w:w="993" w:type="dxa"/>
            <w:tcBorders>
              <w:top w:val="nil"/>
              <w:left w:val="single" w:sz="4" w:space="0" w:color="auto"/>
              <w:bottom w:val="nil"/>
              <w:right w:val="single" w:sz="4" w:space="0" w:color="000000" w:themeColor="text1"/>
            </w:tcBorders>
          </w:tcPr>
          <w:p w14:paraId="5337BF50" w14:textId="77777777" w:rsidR="00E77839" w:rsidRDefault="00E77839" w:rsidP="009002E5">
            <w:pPr>
              <w:jc w:val="center"/>
              <w:rPr>
                <w:color w:val="000000"/>
                <w:sz w:val="20"/>
                <w:szCs w:val="20"/>
              </w:rPr>
            </w:pPr>
            <w:r>
              <w:rPr>
                <w:color w:val="000000"/>
                <w:sz w:val="20"/>
                <w:szCs w:val="20"/>
              </w:rPr>
              <w:t>S</w:t>
            </w:r>
          </w:p>
        </w:tc>
      </w:tr>
      <w:tr w:rsidR="00E77839" w:rsidRPr="00B63DD5" w14:paraId="09B95071" w14:textId="77777777" w:rsidTr="009002E5">
        <w:trPr>
          <w:trHeight w:val="259"/>
        </w:trPr>
        <w:tc>
          <w:tcPr>
            <w:tcW w:w="7652" w:type="dxa"/>
            <w:gridSpan w:val="3"/>
            <w:tcBorders>
              <w:top w:val="nil"/>
              <w:bottom w:val="nil"/>
              <w:right w:val="single" w:sz="4" w:space="0" w:color="000000" w:themeColor="text1"/>
            </w:tcBorders>
            <w:shd w:val="clear" w:color="auto" w:fill="auto"/>
            <w:noWrap/>
            <w:vAlign w:val="center"/>
            <w:hideMark/>
          </w:tcPr>
          <w:p w14:paraId="239E7AA2" w14:textId="77777777" w:rsidR="00E77839" w:rsidRPr="00B63DD5" w:rsidRDefault="00E77839" w:rsidP="009002E5">
            <w:pPr>
              <w:spacing w:line="276" w:lineRule="auto"/>
              <w:jc w:val="both"/>
              <w:rPr>
                <w:color w:val="000000"/>
                <w:sz w:val="20"/>
                <w:szCs w:val="20"/>
              </w:rPr>
            </w:pPr>
            <w:r w:rsidRPr="00B63DD5">
              <w:rPr>
                <w:color w:val="000000"/>
                <w:sz w:val="20"/>
                <w:szCs w:val="20"/>
              </w:rPr>
              <w:t xml:space="preserve">Same exposure ascertainment for cases and controls </w:t>
            </w:r>
          </w:p>
        </w:tc>
        <w:tc>
          <w:tcPr>
            <w:tcW w:w="1137" w:type="dxa"/>
            <w:tcBorders>
              <w:top w:val="nil"/>
              <w:left w:val="single" w:sz="4" w:space="0" w:color="000000" w:themeColor="text1"/>
              <w:bottom w:val="nil"/>
              <w:right w:val="single" w:sz="4" w:space="0" w:color="000000" w:themeColor="text1"/>
            </w:tcBorders>
          </w:tcPr>
          <w:p w14:paraId="11D367D4" w14:textId="77777777" w:rsidR="00E77839" w:rsidRPr="00B63DD5" w:rsidRDefault="00E77839" w:rsidP="009002E5">
            <w:pPr>
              <w:jc w:val="center"/>
              <w:rPr>
                <w:color w:val="000000"/>
                <w:sz w:val="20"/>
                <w:szCs w:val="20"/>
              </w:rPr>
            </w:pPr>
            <w:r w:rsidRPr="0044561E">
              <w:rPr>
                <w:color w:val="000000"/>
                <w:sz w:val="20"/>
                <w:szCs w:val="20"/>
              </w:rPr>
              <w:t>■</w:t>
            </w:r>
          </w:p>
        </w:tc>
        <w:tc>
          <w:tcPr>
            <w:tcW w:w="945" w:type="dxa"/>
            <w:tcBorders>
              <w:top w:val="nil"/>
              <w:left w:val="single" w:sz="4" w:space="0" w:color="000000" w:themeColor="text1"/>
              <w:bottom w:val="nil"/>
              <w:right w:val="single" w:sz="4" w:space="0" w:color="auto"/>
            </w:tcBorders>
            <w:vAlign w:val="bottom"/>
          </w:tcPr>
          <w:p w14:paraId="7642F4B9" w14:textId="77777777" w:rsidR="00E77839" w:rsidRPr="00B63DD5" w:rsidRDefault="00E77839" w:rsidP="009002E5">
            <w:pPr>
              <w:jc w:val="center"/>
              <w:rPr>
                <w:color w:val="000000"/>
                <w:sz w:val="20"/>
                <w:szCs w:val="20"/>
              </w:rPr>
            </w:pPr>
            <w:r w:rsidRPr="00A3510A">
              <w:rPr>
                <w:color w:val="000000"/>
                <w:sz w:val="20"/>
                <w:szCs w:val="20"/>
              </w:rPr>
              <w:t>■</w:t>
            </w:r>
          </w:p>
        </w:tc>
        <w:tc>
          <w:tcPr>
            <w:tcW w:w="1039" w:type="dxa"/>
            <w:tcBorders>
              <w:top w:val="nil"/>
              <w:left w:val="single" w:sz="4" w:space="0" w:color="auto"/>
              <w:bottom w:val="nil"/>
              <w:right w:val="single" w:sz="4" w:space="0" w:color="auto"/>
            </w:tcBorders>
            <w:vAlign w:val="bottom"/>
          </w:tcPr>
          <w:p w14:paraId="01B34CB4" w14:textId="77777777" w:rsidR="00E77839" w:rsidRPr="00B63DD5" w:rsidRDefault="00E77839" w:rsidP="009002E5">
            <w:pPr>
              <w:jc w:val="center"/>
              <w:rPr>
                <w:color w:val="000000"/>
                <w:sz w:val="20"/>
                <w:szCs w:val="20"/>
              </w:rPr>
            </w:pPr>
            <w:r w:rsidRPr="00A3510A">
              <w:rPr>
                <w:color w:val="000000"/>
                <w:sz w:val="20"/>
                <w:szCs w:val="20"/>
              </w:rPr>
              <w:t>■</w:t>
            </w:r>
          </w:p>
        </w:tc>
        <w:tc>
          <w:tcPr>
            <w:tcW w:w="993" w:type="dxa"/>
            <w:tcBorders>
              <w:top w:val="nil"/>
              <w:left w:val="single" w:sz="4" w:space="0" w:color="auto"/>
              <w:bottom w:val="nil"/>
              <w:right w:val="single" w:sz="4" w:space="0" w:color="000000" w:themeColor="text1"/>
            </w:tcBorders>
            <w:vAlign w:val="bottom"/>
          </w:tcPr>
          <w:p w14:paraId="569253A8" w14:textId="77777777" w:rsidR="00E77839" w:rsidRPr="00B63DD5" w:rsidRDefault="00E77839" w:rsidP="009002E5">
            <w:pPr>
              <w:jc w:val="center"/>
              <w:rPr>
                <w:color w:val="000000"/>
                <w:sz w:val="20"/>
                <w:szCs w:val="20"/>
              </w:rPr>
            </w:pPr>
            <w:r w:rsidRPr="00A3510A">
              <w:rPr>
                <w:color w:val="000000"/>
                <w:sz w:val="20"/>
                <w:szCs w:val="20"/>
              </w:rPr>
              <w:t>■</w:t>
            </w:r>
          </w:p>
        </w:tc>
        <w:tc>
          <w:tcPr>
            <w:tcW w:w="993" w:type="dxa"/>
            <w:tcBorders>
              <w:top w:val="nil"/>
              <w:left w:val="single" w:sz="4" w:space="0" w:color="auto"/>
              <w:bottom w:val="nil"/>
              <w:right w:val="single" w:sz="4" w:space="0" w:color="000000" w:themeColor="text1"/>
            </w:tcBorders>
          </w:tcPr>
          <w:p w14:paraId="46A02BB3" w14:textId="77777777" w:rsidR="00E77839" w:rsidRPr="00A3510A" w:rsidRDefault="00E77839" w:rsidP="009002E5">
            <w:pPr>
              <w:jc w:val="center"/>
              <w:rPr>
                <w:color w:val="000000"/>
                <w:sz w:val="20"/>
                <w:szCs w:val="20"/>
              </w:rPr>
            </w:pPr>
            <w:r w:rsidRPr="0044561E">
              <w:rPr>
                <w:color w:val="000000"/>
                <w:sz w:val="20"/>
                <w:szCs w:val="20"/>
              </w:rPr>
              <w:t>■</w:t>
            </w:r>
          </w:p>
        </w:tc>
      </w:tr>
      <w:tr w:rsidR="00E77839" w:rsidRPr="00B63DD5" w14:paraId="3B05058E" w14:textId="77777777" w:rsidTr="009002E5">
        <w:trPr>
          <w:trHeight w:val="259"/>
        </w:trPr>
        <w:tc>
          <w:tcPr>
            <w:tcW w:w="7652" w:type="dxa"/>
            <w:gridSpan w:val="3"/>
            <w:tcBorders>
              <w:top w:val="nil"/>
              <w:bottom w:val="nil"/>
              <w:right w:val="single" w:sz="4" w:space="0" w:color="000000" w:themeColor="text1"/>
            </w:tcBorders>
            <w:shd w:val="clear" w:color="auto" w:fill="auto"/>
            <w:noWrap/>
            <w:vAlign w:val="center"/>
          </w:tcPr>
          <w:p w14:paraId="254FAD6F" w14:textId="77777777" w:rsidR="00E77839" w:rsidRPr="00B63DD5" w:rsidRDefault="00E77839" w:rsidP="009002E5">
            <w:pPr>
              <w:spacing w:line="276" w:lineRule="auto"/>
              <w:jc w:val="both"/>
              <w:rPr>
                <w:color w:val="000000"/>
                <w:sz w:val="20"/>
                <w:szCs w:val="20"/>
              </w:rPr>
            </w:pPr>
            <w:r w:rsidRPr="00B63DD5">
              <w:rPr>
                <w:color w:val="000000"/>
                <w:sz w:val="20"/>
                <w:szCs w:val="20"/>
              </w:rPr>
              <w:t xml:space="preserve">Time of data collection same for cases and controls </w:t>
            </w:r>
          </w:p>
        </w:tc>
        <w:tc>
          <w:tcPr>
            <w:tcW w:w="1137" w:type="dxa"/>
            <w:tcBorders>
              <w:top w:val="nil"/>
              <w:left w:val="single" w:sz="4" w:space="0" w:color="000000" w:themeColor="text1"/>
              <w:bottom w:val="nil"/>
              <w:right w:val="single" w:sz="4" w:space="0" w:color="000000" w:themeColor="text1"/>
            </w:tcBorders>
          </w:tcPr>
          <w:p w14:paraId="7CBD3F81" w14:textId="77777777" w:rsidR="00E77839" w:rsidRPr="00B63DD5" w:rsidRDefault="00E77839" w:rsidP="009002E5">
            <w:pPr>
              <w:jc w:val="center"/>
              <w:rPr>
                <w:color w:val="000000"/>
                <w:sz w:val="20"/>
                <w:szCs w:val="20"/>
              </w:rPr>
            </w:pPr>
            <w:r w:rsidRPr="0044561E">
              <w:rPr>
                <w:color w:val="000000"/>
                <w:sz w:val="20"/>
                <w:szCs w:val="20"/>
              </w:rPr>
              <w:t>■</w:t>
            </w:r>
          </w:p>
        </w:tc>
        <w:tc>
          <w:tcPr>
            <w:tcW w:w="945" w:type="dxa"/>
            <w:tcBorders>
              <w:top w:val="nil"/>
              <w:left w:val="single" w:sz="4" w:space="0" w:color="000000" w:themeColor="text1"/>
              <w:bottom w:val="nil"/>
              <w:right w:val="single" w:sz="4" w:space="0" w:color="auto"/>
            </w:tcBorders>
          </w:tcPr>
          <w:p w14:paraId="033A434F" w14:textId="77777777" w:rsidR="00E77839" w:rsidRPr="00B63DD5" w:rsidRDefault="00E77839" w:rsidP="009002E5">
            <w:pPr>
              <w:jc w:val="center"/>
              <w:rPr>
                <w:color w:val="000000"/>
                <w:sz w:val="20"/>
                <w:szCs w:val="20"/>
              </w:rPr>
            </w:pPr>
            <w:r>
              <w:rPr>
                <w:color w:val="000000"/>
                <w:sz w:val="20"/>
                <w:szCs w:val="20"/>
              </w:rPr>
              <w:t>--</w:t>
            </w:r>
          </w:p>
        </w:tc>
        <w:tc>
          <w:tcPr>
            <w:tcW w:w="1039" w:type="dxa"/>
            <w:tcBorders>
              <w:top w:val="nil"/>
              <w:left w:val="single" w:sz="4" w:space="0" w:color="auto"/>
              <w:bottom w:val="nil"/>
              <w:right w:val="single" w:sz="4" w:space="0" w:color="auto"/>
            </w:tcBorders>
          </w:tcPr>
          <w:p w14:paraId="6D34E285" w14:textId="77777777" w:rsidR="00E77839" w:rsidRPr="00B63DD5" w:rsidRDefault="00E77839" w:rsidP="009002E5">
            <w:pPr>
              <w:jc w:val="center"/>
              <w:rPr>
                <w:color w:val="000000"/>
                <w:sz w:val="20"/>
                <w:szCs w:val="20"/>
              </w:rPr>
            </w:pPr>
            <w:r>
              <w:rPr>
                <w:color w:val="000000"/>
                <w:sz w:val="20"/>
                <w:szCs w:val="20"/>
              </w:rPr>
              <w:t>--</w:t>
            </w:r>
          </w:p>
        </w:tc>
        <w:tc>
          <w:tcPr>
            <w:tcW w:w="993" w:type="dxa"/>
            <w:tcBorders>
              <w:top w:val="nil"/>
              <w:left w:val="single" w:sz="4" w:space="0" w:color="auto"/>
              <w:bottom w:val="nil"/>
              <w:right w:val="single" w:sz="4" w:space="0" w:color="000000" w:themeColor="text1"/>
            </w:tcBorders>
            <w:vAlign w:val="center"/>
          </w:tcPr>
          <w:p w14:paraId="20E30AB2" w14:textId="77777777" w:rsidR="00E77839" w:rsidRPr="00B63DD5" w:rsidRDefault="00E77839" w:rsidP="009002E5">
            <w:pPr>
              <w:jc w:val="center"/>
              <w:rPr>
                <w:color w:val="000000"/>
                <w:sz w:val="20"/>
                <w:szCs w:val="20"/>
              </w:rPr>
            </w:pPr>
            <w:r>
              <w:rPr>
                <w:color w:val="000000"/>
                <w:sz w:val="20"/>
                <w:szCs w:val="20"/>
              </w:rPr>
              <w:t>--</w:t>
            </w:r>
          </w:p>
        </w:tc>
        <w:tc>
          <w:tcPr>
            <w:tcW w:w="993" w:type="dxa"/>
            <w:tcBorders>
              <w:top w:val="nil"/>
              <w:left w:val="single" w:sz="4" w:space="0" w:color="auto"/>
              <w:bottom w:val="nil"/>
              <w:right w:val="single" w:sz="4" w:space="0" w:color="000000" w:themeColor="text1"/>
            </w:tcBorders>
          </w:tcPr>
          <w:p w14:paraId="411E1B2B" w14:textId="77777777" w:rsidR="00E77839" w:rsidRPr="00B63DD5" w:rsidRDefault="00E77839" w:rsidP="009002E5">
            <w:pPr>
              <w:jc w:val="center"/>
              <w:rPr>
                <w:color w:val="000000"/>
                <w:sz w:val="20"/>
                <w:szCs w:val="20"/>
              </w:rPr>
            </w:pPr>
            <w:r w:rsidRPr="00AB7A9F">
              <w:rPr>
                <w:color w:val="000000"/>
                <w:sz w:val="20"/>
                <w:szCs w:val="20"/>
              </w:rPr>
              <w:t>■</w:t>
            </w:r>
          </w:p>
        </w:tc>
      </w:tr>
      <w:tr w:rsidR="00E77839" w:rsidRPr="00B63DD5" w14:paraId="17704D8B" w14:textId="77777777" w:rsidTr="009002E5">
        <w:trPr>
          <w:trHeight w:val="259"/>
        </w:trPr>
        <w:tc>
          <w:tcPr>
            <w:tcW w:w="7652" w:type="dxa"/>
            <w:gridSpan w:val="3"/>
            <w:tcBorders>
              <w:top w:val="nil"/>
              <w:bottom w:val="nil"/>
              <w:right w:val="single" w:sz="4" w:space="0" w:color="000000" w:themeColor="text1"/>
            </w:tcBorders>
            <w:shd w:val="clear" w:color="auto" w:fill="auto"/>
            <w:noWrap/>
            <w:vAlign w:val="center"/>
          </w:tcPr>
          <w:p w14:paraId="4AB2F69F" w14:textId="77777777" w:rsidR="00E77839" w:rsidRPr="00B63DD5" w:rsidRDefault="00E77839" w:rsidP="009002E5">
            <w:pPr>
              <w:spacing w:line="276" w:lineRule="auto"/>
              <w:jc w:val="both"/>
              <w:rPr>
                <w:color w:val="000000"/>
                <w:sz w:val="20"/>
                <w:szCs w:val="20"/>
              </w:rPr>
            </w:pPr>
            <w:r w:rsidRPr="00B63DD5">
              <w:rPr>
                <w:color w:val="000000"/>
                <w:sz w:val="20"/>
                <w:szCs w:val="20"/>
              </w:rPr>
              <w:t xml:space="preserve">Exposure is measured blind to case/control status </w:t>
            </w:r>
          </w:p>
        </w:tc>
        <w:tc>
          <w:tcPr>
            <w:tcW w:w="1137" w:type="dxa"/>
            <w:tcBorders>
              <w:top w:val="nil"/>
              <w:left w:val="single" w:sz="4" w:space="0" w:color="000000" w:themeColor="text1"/>
              <w:bottom w:val="nil"/>
              <w:right w:val="single" w:sz="4" w:space="0" w:color="000000" w:themeColor="text1"/>
            </w:tcBorders>
          </w:tcPr>
          <w:p w14:paraId="4EAC0A07" w14:textId="77777777" w:rsidR="00E77839" w:rsidRPr="00B63DD5" w:rsidRDefault="00E77839" w:rsidP="009002E5">
            <w:pPr>
              <w:jc w:val="center"/>
              <w:rPr>
                <w:color w:val="000000"/>
                <w:sz w:val="20"/>
                <w:szCs w:val="20"/>
              </w:rPr>
            </w:pPr>
            <w:r>
              <w:rPr>
                <w:color w:val="000000"/>
                <w:sz w:val="20"/>
                <w:szCs w:val="20"/>
              </w:rPr>
              <w:t>--</w:t>
            </w:r>
          </w:p>
        </w:tc>
        <w:tc>
          <w:tcPr>
            <w:tcW w:w="945" w:type="dxa"/>
            <w:tcBorders>
              <w:top w:val="nil"/>
              <w:left w:val="single" w:sz="4" w:space="0" w:color="000000" w:themeColor="text1"/>
              <w:bottom w:val="nil"/>
              <w:right w:val="single" w:sz="4" w:space="0" w:color="auto"/>
            </w:tcBorders>
          </w:tcPr>
          <w:p w14:paraId="39098755" w14:textId="77777777" w:rsidR="00E77839" w:rsidRPr="00B63DD5" w:rsidRDefault="00E77839" w:rsidP="009002E5">
            <w:pPr>
              <w:jc w:val="center"/>
              <w:rPr>
                <w:color w:val="000000"/>
                <w:sz w:val="20"/>
                <w:szCs w:val="20"/>
              </w:rPr>
            </w:pPr>
            <w:r w:rsidRPr="00A3510A">
              <w:rPr>
                <w:color w:val="000000"/>
                <w:sz w:val="20"/>
                <w:szCs w:val="20"/>
              </w:rPr>
              <w:t>■</w:t>
            </w:r>
          </w:p>
        </w:tc>
        <w:tc>
          <w:tcPr>
            <w:tcW w:w="1039" w:type="dxa"/>
            <w:tcBorders>
              <w:top w:val="nil"/>
              <w:left w:val="single" w:sz="4" w:space="0" w:color="auto"/>
              <w:bottom w:val="nil"/>
              <w:right w:val="single" w:sz="4" w:space="0" w:color="auto"/>
            </w:tcBorders>
          </w:tcPr>
          <w:p w14:paraId="3D99AB16" w14:textId="77777777" w:rsidR="00E77839" w:rsidRPr="00B63DD5" w:rsidRDefault="00E77839" w:rsidP="009002E5">
            <w:pPr>
              <w:jc w:val="center"/>
              <w:rPr>
                <w:color w:val="000000"/>
                <w:sz w:val="20"/>
                <w:szCs w:val="20"/>
              </w:rPr>
            </w:pPr>
            <w:r w:rsidRPr="00A3510A">
              <w:rPr>
                <w:color w:val="000000"/>
                <w:sz w:val="20"/>
                <w:szCs w:val="20"/>
              </w:rPr>
              <w:t>■</w:t>
            </w:r>
          </w:p>
        </w:tc>
        <w:tc>
          <w:tcPr>
            <w:tcW w:w="993" w:type="dxa"/>
            <w:tcBorders>
              <w:top w:val="nil"/>
              <w:left w:val="single" w:sz="4" w:space="0" w:color="auto"/>
              <w:bottom w:val="nil"/>
              <w:right w:val="single" w:sz="4" w:space="0" w:color="000000" w:themeColor="text1"/>
            </w:tcBorders>
            <w:vAlign w:val="center"/>
          </w:tcPr>
          <w:p w14:paraId="4B453159" w14:textId="77777777" w:rsidR="00E77839" w:rsidRPr="00B63DD5" w:rsidRDefault="00E77839" w:rsidP="009002E5">
            <w:pPr>
              <w:jc w:val="center"/>
              <w:rPr>
                <w:color w:val="000000"/>
                <w:sz w:val="20"/>
                <w:szCs w:val="20"/>
              </w:rPr>
            </w:pPr>
            <w:r w:rsidRPr="00A3510A">
              <w:rPr>
                <w:color w:val="000000"/>
                <w:sz w:val="20"/>
                <w:szCs w:val="20"/>
              </w:rPr>
              <w:t>■</w:t>
            </w:r>
          </w:p>
        </w:tc>
        <w:tc>
          <w:tcPr>
            <w:tcW w:w="993" w:type="dxa"/>
            <w:tcBorders>
              <w:top w:val="nil"/>
              <w:left w:val="single" w:sz="4" w:space="0" w:color="auto"/>
              <w:bottom w:val="nil"/>
              <w:right w:val="single" w:sz="4" w:space="0" w:color="000000" w:themeColor="text1"/>
            </w:tcBorders>
          </w:tcPr>
          <w:p w14:paraId="388312AD" w14:textId="77777777" w:rsidR="00E77839" w:rsidRPr="00B63DD5" w:rsidRDefault="00E77839" w:rsidP="009002E5">
            <w:pPr>
              <w:jc w:val="center"/>
              <w:rPr>
                <w:color w:val="000000"/>
                <w:sz w:val="20"/>
                <w:szCs w:val="20"/>
              </w:rPr>
            </w:pPr>
            <w:r w:rsidRPr="00AB7A9F">
              <w:rPr>
                <w:color w:val="000000"/>
                <w:sz w:val="20"/>
                <w:szCs w:val="20"/>
              </w:rPr>
              <w:t>■</w:t>
            </w:r>
          </w:p>
        </w:tc>
      </w:tr>
      <w:tr w:rsidR="00E77839" w:rsidRPr="00B63DD5" w14:paraId="267ABD13" w14:textId="77777777" w:rsidTr="009002E5">
        <w:trPr>
          <w:trHeight w:val="259"/>
        </w:trPr>
        <w:tc>
          <w:tcPr>
            <w:tcW w:w="7652" w:type="dxa"/>
            <w:gridSpan w:val="3"/>
            <w:tcBorders>
              <w:top w:val="nil"/>
              <w:bottom w:val="single" w:sz="4" w:space="0" w:color="000000" w:themeColor="text1"/>
              <w:right w:val="single" w:sz="4" w:space="0" w:color="000000" w:themeColor="text1"/>
            </w:tcBorders>
            <w:shd w:val="clear" w:color="auto" w:fill="auto"/>
            <w:noWrap/>
            <w:vAlign w:val="center"/>
          </w:tcPr>
          <w:p w14:paraId="4A5B870A" w14:textId="77777777" w:rsidR="00E77839" w:rsidRPr="00B63DD5" w:rsidRDefault="00E77839" w:rsidP="009002E5">
            <w:pPr>
              <w:spacing w:line="276" w:lineRule="auto"/>
              <w:jc w:val="both"/>
              <w:rPr>
                <w:color w:val="000000"/>
                <w:sz w:val="20"/>
                <w:szCs w:val="20"/>
              </w:rPr>
            </w:pPr>
            <w:r w:rsidRPr="00B63DD5">
              <w:rPr>
                <w:color w:val="000000"/>
                <w:sz w:val="20"/>
                <w:szCs w:val="20"/>
              </w:rPr>
              <w:t xml:space="preserve">Non-response rate is </w:t>
            </w:r>
            <w:proofErr w:type="gramStart"/>
            <w:r w:rsidRPr="00B63DD5">
              <w:rPr>
                <w:color w:val="000000"/>
                <w:sz w:val="20"/>
                <w:szCs w:val="20"/>
              </w:rPr>
              <w:t>similar to</w:t>
            </w:r>
            <w:proofErr w:type="gramEnd"/>
            <w:r w:rsidRPr="00B63DD5">
              <w:rPr>
                <w:color w:val="000000"/>
                <w:sz w:val="20"/>
                <w:szCs w:val="20"/>
              </w:rPr>
              <w:t xml:space="preserve"> both groups </w:t>
            </w:r>
          </w:p>
        </w:tc>
        <w:tc>
          <w:tcPr>
            <w:tcW w:w="1137" w:type="dxa"/>
            <w:tcBorders>
              <w:top w:val="nil"/>
              <w:left w:val="single" w:sz="4" w:space="0" w:color="000000" w:themeColor="text1"/>
              <w:bottom w:val="single" w:sz="4" w:space="0" w:color="000000" w:themeColor="text1"/>
              <w:right w:val="single" w:sz="4" w:space="0" w:color="000000" w:themeColor="text1"/>
            </w:tcBorders>
          </w:tcPr>
          <w:p w14:paraId="345877A8" w14:textId="77777777" w:rsidR="00E77839" w:rsidRPr="00B63DD5" w:rsidRDefault="00E77839" w:rsidP="009002E5">
            <w:pPr>
              <w:jc w:val="center"/>
              <w:rPr>
                <w:color w:val="000000"/>
                <w:sz w:val="20"/>
                <w:szCs w:val="20"/>
              </w:rPr>
            </w:pPr>
            <w:r>
              <w:rPr>
                <w:color w:val="000000"/>
                <w:sz w:val="20"/>
                <w:szCs w:val="20"/>
              </w:rPr>
              <w:t>--</w:t>
            </w:r>
          </w:p>
        </w:tc>
        <w:tc>
          <w:tcPr>
            <w:tcW w:w="945" w:type="dxa"/>
            <w:tcBorders>
              <w:top w:val="nil"/>
              <w:left w:val="single" w:sz="4" w:space="0" w:color="000000" w:themeColor="text1"/>
              <w:bottom w:val="single" w:sz="4" w:space="0" w:color="000000" w:themeColor="text1"/>
              <w:right w:val="single" w:sz="4" w:space="0" w:color="auto"/>
            </w:tcBorders>
          </w:tcPr>
          <w:p w14:paraId="40F32686" w14:textId="77777777" w:rsidR="00E77839" w:rsidRPr="00B63DD5" w:rsidRDefault="00E77839" w:rsidP="009002E5">
            <w:pPr>
              <w:jc w:val="center"/>
              <w:rPr>
                <w:color w:val="000000"/>
                <w:sz w:val="20"/>
                <w:szCs w:val="20"/>
              </w:rPr>
            </w:pPr>
            <w:r>
              <w:rPr>
                <w:color w:val="000000"/>
                <w:sz w:val="20"/>
                <w:szCs w:val="20"/>
              </w:rPr>
              <w:t>--</w:t>
            </w:r>
          </w:p>
        </w:tc>
        <w:tc>
          <w:tcPr>
            <w:tcW w:w="1039" w:type="dxa"/>
            <w:tcBorders>
              <w:top w:val="nil"/>
              <w:left w:val="single" w:sz="4" w:space="0" w:color="auto"/>
              <w:bottom w:val="single" w:sz="4" w:space="0" w:color="000000" w:themeColor="text1"/>
              <w:right w:val="single" w:sz="4" w:space="0" w:color="auto"/>
            </w:tcBorders>
          </w:tcPr>
          <w:p w14:paraId="4B19A8E3" w14:textId="77777777" w:rsidR="00E77839" w:rsidRPr="00B63DD5" w:rsidRDefault="00E77839" w:rsidP="009002E5">
            <w:pPr>
              <w:jc w:val="center"/>
              <w:rPr>
                <w:color w:val="000000"/>
                <w:sz w:val="20"/>
                <w:szCs w:val="20"/>
              </w:rPr>
            </w:pPr>
            <w:r>
              <w:rPr>
                <w:color w:val="000000"/>
                <w:sz w:val="20"/>
                <w:szCs w:val="20"/>
              </w:rPr>
              <w:t>--</w:t>
            </w:r>
          </w:p>
        </w:tc>
        <w:tc>
          <w:tcPr>
            <w:tcW w:w="993" w:type="dxa"/>
            <w:tcBorders>
              <w:top w:val="nil"/>
              <w:left w:val="single" w:sz="4" w:space="0" w:color="auto"/>
              <w:bottom w:val="single" w:sz="4" w:space="0" w:color="000000" w:themeColor="text1"/>
              <w:right w:val="single" w:sz="4" w:space="0" w:color="000000" w:themeColor="text1"/>
            </w:tcBorders>
            <w:vAlign w:val="center"/>
          </w:tcPr>
          <w:p w14:paraId="3270EDDF" w14:textId="77777777" w:rsidR="00E77839" w:rsidRPr="00B63DD5" w:rsidRDefault="00E77839" w:rsidP="009002E5">
            <w:pPr>
              <w:jc w:val="center"/>
              <w:rPr>
                <w:color w:val="000000"/>
                <w:sz w:val="20"/>
                <w:szCs w:val="20"/>
              </w:rPr>
            </w:pPr>
            <w:r>
              <w:rPr>
                <w:color w:val="000000"/>
                <w:sz w:val="20"/>
                <w:szCs w:val="20"/>
              </w:rPr>
              <w:t>--</w:t>
            </w:r>
          </w:p>
        </w:tc>
        <w:tc>
          <w:tcPr>
            <w:tcW w:w="993" w:type="dxa"/>
            <w:tcBorders>
              <w:top w:val="nil"/>
              <w:left w:val="single" w:sz="4" w:space="0" w:color="auto"/>
              <w:bottom w:val="single" w:sz="4" w:space="0" w:color="000000" w:themeColor="text1"/>
              <w:right w:val="single" w:sz="4" w:space="0" w:color="000000" w:themeColor="text1"/>
            </w:tcBorders>
            <w:vAlign w:val="center"/>
          </w:tcPr>
          <w:p w14:paraId="316262F2" w14:textId="77777777" w:rsidR="00E77839" w:rsidRPr="00B63DD5" w:rsidRDefault="00E77839" w:rsidP="009002E5">
            <w:pPr>
              <w:jc w:val="center"/>
              <w:rPr>
                <w:color w:val="000000"/>
                <w:sz w:val="20"/>
                <w:szCs w:val="20"/>
              </w:rPr>
            </w:pPr>
            <w:r w:rsidRPr="0044561E">
              <w:rPr>
                <w:color w:val="000000"/>
                <w:sz w:val="20"/>
                <w:szCs w:val="20"/>
              </w:rPr>
              <w:t>■</w:t>
            </w:r>
          </w:p>
        </w:tc>
      </w:tr>
      <w:tr w:rsidR="00E77839" w:rsidRPr="00B63DD5" w14:paraId="195EAEA6" w14:textId="77777777" w:rsidTr="009002E5">
        <w:trPr>
          <w:trHeight w:val="259"/>
        </w:trPr>
        <w:tc>
          <w:tcPr>
            <w:tcW w:w="12759" w:type="dxa"/>
            <w:gridSpan w:val="8"/>
            <w:tcBorders>
              <w:top w:val="nil"/>
              <w:left w:val="single" w:sz="4" w:space="0" w:color="auto"/>
              <w:bottom w:val="single" w:sz="4" w:space="0" w:color="000000" w:themeColor="text1"/>
              <w:right w:val="single" w:sz="4" w:space="0" w:color="000000" w:themeColor="text1"/>
            </w:tcBorders>
            <w:shd w:val="clear" w:color="auto" w:fill="F2F2F2" w:themeFill="background1" w:themeFillShade="F2"/>
          </w:tcPr>
          <w:p w14:paraId="4DB44F9A" w14:textId="77777777" w:rsidR="00E77839" w:rsidRPr="00790DAC" w:rsidRDefault="00E77839" w:rsidP="009002E5">
            <w:pPr>
              <w:rPr>
                <w:b/>
                <w:bCs/>
                <w:color w:val="000000"/>
                <w:sz w:val="20"/>
                <w:szCs w:val="20"/>
              </w:rPr>
            </w:pPr>
            <w:r w:rsidRPr="00790DAC">
              <w:rPr>
                <w:b/>
                <w:bCs/>
                <w:color w:val="000000"/>
                <w:sz w:val="20"/>
                <w:szCs w:val="20"/>
              </w:rPr>
              <w:t xml:space="preserve">Genetic </w:t>
            </w:r>
            <w:r>
              <w:rPr>
                <w:b/>
                <w:bCs/>
                <w:color w:val="000000"/>
                <w:sz w:val="20"/>
                <w:szCs w:val="20"/>
              </w:rPr>
              <w:t>exposure</w:t>
            </w:r>
          </w:p>
        </w:tc>
      </w:tr>
      <w:tr w:rsidR="00E77839" w:rsidRPr="00B63DD5" w14:paraId="76255BAA" w14:textId="77777777" w:rsidTr="009002E5">
        <w:trPr>
          <w:trHeight w:val="259"/>
        </w:trPr>
        <w:tc>
          <w:tcPr>
            <w:tcW w:w="7652" w:type="dxa"/>
            <w:gridSpan w:val="3"/>
            <w:tcBorders>
              <w:top w:val="single" w:sz="4" w:space="0" w:color="000000" w:themeColor="text1"/>
              <w:left w:val="single" w:sz="4" w:space="0" w:color="000000" w:themeColor="text1"/>
              <w:bottom w:val="nil"/>
              <w:right w:val="single" w:sz="4" w:space="0" w:color="000000" w:themeColor="text1"/>
            </w:tcBorders>
            <w:shd w:val="clear" w:color="auto" w:fill="auto"/>
            <w:noWrap/>
            <w:vAlign w:val="center"/>
          </w:tcPr>
          <w:p w14:paraId="605ED8C4" w14:textId="77777777" w:rsidR="00E77839" w:rsidRPr="00B63DD5" w:rsidRDefault="00E77839" w:rsidP="009002E5">
            <w:pPr>
              <w:spacing w:line="276" w:lineRule="auto"/>
              <w:jc w:val="both"/>
              <w:rPr>
                <w:color w:val="000000"/>
                <w:sz w:val="20"/>
                <w:szCs w:val="20"/>
              </w:rPr>
            </w:pPr>
            <w:r>
              <w:rPr>
                <w:color w:val="000000"/>
                <w:sz w:val="20"/>
                <w:szCs w:val="20"/>
              </w:rPr>
              <w:t xml:space="preserve">Appropriate rationale for chosen candidate genes </w:t>
            </w:r>
          </w:p>
        </w:tc>
        <w:tc>
          <w:tcPr>
            <w:tcW w:w="1137" w:type="dxa"/>
            <w:tcBorders>
              <w:top w:val="single" w:sz="4" w:space="0" w:color="000000" w:themeColor="text1"/>
              <w:left w:val="single" w:sz="4" w:space="0" w:color="000000" w:themeColor="text1"/>
              <w:bottom w:val="nil"/>
              <w:right w:val="single" w:sz="4" w:space="0" w:color="000000" w:themeColor="text1"/>
            </w:tcBorders>
          </w:tcPr>
          <w:p w14:paraId="31AEB577" w14:textId="77777777" w:rsidR="00E77839" w:rsidRPr="00B63DD5" w:rsidRDefault="00E77839" w:rsidP="009002E5">
            <w:pPr>
              <w:jc w:val="center"/>
              <w:rPr>
                <w:color w:val="000000"/>
                <w:sz w:val="20"/>
                <w:szCs w:val="20"/>
              </w:rPr>
            </w:pPr>
            <w:r w:rsidRPr="0044561E">
              <w:rPr>
                <w:color w:val="000000"/>
                <w:sz w:val="20"/>
                <w:szCs w:val="20"/>
              </w:rPr>
              <w:t>■</w:t>
            </w:r>
          </w:p>
        </w:tc>
        <w:tc>
          <w:tcPr>
            <w:tcW w:w="945" w:type="dxa"/>
            <w:tcBorders>
              <w:top w:val="single" w:sz="4" w:space="0" w:color="000000" w:themeColor="text1"/>
              <w:left w:val="single" w:sz="4" w:space="0" w:color="000000" w:themeColor="text1"/>
              <w:bottom w:val="nil"/>
              <w:right w:val="single" w:sz="4" w:space="0" w:color="auto"/>
            </w:tcBorders>
            <w:vAlign w:val="bottom"/>
          </w:tcPr>
          <w:p w14:paraId="16745D0A" w14:textId="77777777" w:rsidR="00E77839" w:rsidRPr="00B63DD5" w:rsidRDefault="00E77839" w:rsidP="009002E5">
            <w:pPr>
              <w:jc w:val="center"/>
              <w:rPr>
                <w:color w:val="000000"/>
                <w:sz w:val="20"/>
                <w:szCs w:val="20"/>
              </w:rPr>
            </w:pPr>
            <w:r w:rsidRPr="00A3510A">
              <w:rPr>
                <w:color w:val="000000"/>
                <w:sz w:val="20"/>
                <w:szCs w:val="20"/>
              </w:rPr>
              <w:t>■</w:t>
            </w:r>
          </w:p>
        </w:tc>
        <w:tc>
          <w:tcPr>
            <w:tcW w:w="1039" w:type="dxa"/>
            <w:tcBorders>
              <w:top w:val="single" w:sz="4" w:space="0" w:color="000000" w:themeColor="text1"/>
              <w:left w:val="single" w:sz="4" w:space="0" w:color="auto"/>
              <w:bottom w:val="nil"/>
              <w:right w:val="single" w:sz="4" w:space="0" w:color="auto"/>
            </w:tcBorders>
            <w:vAlign w:val="bottom"/>
          </w:tcPr>
          <w:p w14:paraId="09221510" w14:textId="77777777" w:rsidR="00E77839" w:rsidRPr="00B63DD5" w:rsidRDefault="00E77839" w:rsidP="009002E5">
            <w:pPr>
              <w:jc w:val="center"/>
              <w:rPr>
                <w:color w:val="000000"/>
                <w:sz w:val="20"/>
                <w:szCs w:val="20"/>
              </w:rPr>
            </w:pPr>
            <w:r w:rsidRPr="00A3510A">
              <w:rPr>
                <w:color w:val="000000"/>
                <w:sz w:val="20"/>
                <w:szCs w:val="20"/>
              </w:rPr>
              <w:t>■</w:t>
            </w:r>
          </w:p>
        </w:tc>
        <w:tc>
          <w:tcPr>
            <w:tcW w:w="993" w:type="dxa"/>
            <w:tcBorders>
              <w:top w:val="single" w:sz="4" w:space="0" w:color="000000" w:themeColor="text1"/>
              <w:left w:val="single" w:sz="4" w:space="0" w:color="auto"/>
              <w:bottom w:val="nil"/>
              <w:right w:val="single" w:sz="4" w:space="0" w:color="000000" w:themeColor="text1"/>
            </w:tcBorders>
            <w:vAlign w:val="bottom"/>
          </w:tcPr>
          <w:p w14:paraId="7B8EC4C6" w14:textId="77777777" w:rsidR="00E77839" w:rsidRPr="00B63DD5" w:rsidRDefault="00E77839" w:rsidP="009002E5">
            <w:pPr>
              <w:jc w:val="center"/>
              <w:rPr>
                <w:color w:val="000000"/>
                <w:sz w:val="20"/>
                <w:szCs w:val="20"/>
              </w:rPr>
            </w:pPr>
            <w:r w:rsidRPr="00A3510A">
              <w:rPr>
                <w:color w:val="000000"/>
                <w:sz w:val="20"/>
                <w:szCs w:val="20"/>
              </w:rPr>
              <w:t>■</w:t>
            </w:r>
          </w:p>
        </w:tc>
        <w:tc>
          <w:tcPr>
            <w:tcW w:w="993" w:type="dxa"/>
            <w:tcBorders>
              <w:top w:val="single" w:sz="4" w:space="0" w:color="000000" w:themeColor="text1"/>
              <w:left w:val="single" w:sz="4" w:space="0" w:color="auto"/>
              <w:bottom w:val="nil"/>
              <w:right w:val="single" w:sz="4" w:space="0" w:color="000000" w:themeColor="text1"/>
            </w:tcBorders>
            <w:vAlign w:val="center"/>
          </w:tcPr>
          <w:p w14:paraId="2F1FE873" w14:textId="77777777" w:rsidR="00E77839" w:rsidRPr="00A3510A" w:rsidRDefault="00E77839" w:rsidP="009002E5">
            <w:pPr>
              <w:jc w:val="center"/>
              <w:rPr>
                <w:color w:val="000000"/>
                <w:sz w:val="20"/>
                <w:szCs w:val="20"/>
              </w:rPr>
            </w:pPr>
            <w:r w:rsidRPr="0044561E">
              <w:rPr>
                <w:color w:val="000000"/>
                <w:sz w:val="20"/>
                <w:szCs w:val="20"/>
              </w:rPr>
              <w:t>■</w:t>
            </w:r>
          </w:p>
        </w:tc>
      </w:tr>
      <w:tr w:rsidR="00E77839" w:rsidRPr="00B63DD5" w14:paraId="104D0D5F" w14:textId="77777777" w:rsidTr="009002E5">
        <w:trPr>
          <w:trHeight w:val="259"/>
        </w:trPr>
        <w:tc>
          <w:tcPr>
            <w:tcW w:w="7652" w:type="dxa"/>
            <w:gridSpan w:val="3"/>
            <w:tcBorders>
              <w:top w:val="nil"/>
              <w:left w:val="single" w:sz="4" w:space="0" w:color="000000" w:themeColor="text1"/>
              <w:bottom w:val="nil"/>
              <w:right w:val="single" w:sz="4" w:space="0" w:color="000000" w:themeColor="text1"/>
            </w:tcBorders>
            <w:shd w:val="clear" w:color="auto" w:fill="auto"/>
            <w:noWrap/>
            <w:vAlign w:val="center"/>
          </w:tcPr>
          <w:p w14:paraId="123A8B70" w14:textId="77777777" w:rsidR="00E77839" w:rsidRPr="00B63DD5" w:rsidRDefault="00E77839" w:rsidP="009002E5">
            <w:pPr>
              <w:spacing w:line="276" w:lineRule="auto"/>
              <w:jc w:val="both"/>
              <w:rPr>
                <w:color w:val="000000"/>
                <w:sz w:val="20"/>
                <w:szCs w:val="20"/>
              </w:rPr>
            </w:pPr>
            <w:r>
              <w:rPr>
                <w:color w:val="000000"/>
                <w:sz w:val="20"/>
                <w:szCs w:val="20"/>
              </w:rPr>
              <w:t xml:space="preserve">Genotyping platform and allele-calling algorithm appropriate </w:t>
            </w:r>
          </w:p>
        </w:tc>
        <w:tc>
          <w:tcPr>
            <w:tcW w:w="1137" w:type="dxa"/>
            <w:tcBorders>
              <w:top w:val="nil"/>
              <w:left w:val="single" w:sz="4" w:space="0" w:color="000000" w:themeColor="text1"/>
              <w:bottom w:val="nil"/>
              <w:right w:val="single" w:sz="4" w:space="0" w:color="000000" w:themeColor="text1"/>
            </w:tcBorders>
          </w:tcPr>
          <w:p w14:paraId="6B03F2C5" w14:textId="77777777" w:rsidR="00E77839" w:rsidRPr="00B63DD5" w:rsidRDefault="00E77839" w:rsidP="009002E5">
            <w:pPr>
              <w:jc w:val="center"/>
              <w:rPr>
                <w:color w:val="000000"/>
                <w:sz w:val="20"/>
                <w:szCs w:val="20"/>
              </w:rPr>
            </w:pPr>
            <w:r w:rsidRPr="0044561E">
              <w:rPr>
                <w:color w:val="000000"/>
                <w:sz w:val="20"/>
                <w:szCs w:val="20"/>
              </w:rPr>
              <w:t>■</w:t>
            </w:r>
          </w:p>
        </w:tc>
        <w:tc>
          <w:tcPr>
            <w:tcW w:w="945" w:type="dxa"/>
            <w:tcBorders>
              <w:top w:val="nil"/>
              <w:left w:val="single" w:sz="4" w:space="0" w:color="000000" w:themeColor="text1"/>
              <w:bottom w:val="nil"/>
              <w:right w:val="single" w:sz="4" w:space="0" w:color="auto"/>
            </w:tcBorders>
            <w:vAlign w:val="bottom"/>
          </w:tcPr>
          <w:p w14:paraId="11855A6B" w14:textId="77777777" w:rsidR="00E77839" w:rsidRPr="00B63DD5" w:rsidRDefault="00E77839" w:rsidP="009002E5">
            <w:pPr>
              <w:jc w:val="center"/>
              <w:rPr>
                <w:color w:val="000000"/>
                <w:sz w:val="20"/>
                <w:szCs w:val="20"/>
              </w:rPr>
            </w:pPr>
            <w:r w:rsidRPr="00A3510A">
              <w:rPr>
                <w:color w:val="000000"/>
                <w:sz w:val="20"/>
                <w:szCs w:val="20"/>
              </w:rPr>
              <w:t>■</w:t>
            </w:r>
          </w:p>
        </w:tc>
        <w:tc>
          <w:tcPr>
            <w:tcW w:w="1039" w:type="dxa"/>
            <w:tcBorders>
              <w:top w:val="nil"/>
              <w:left w:val="single" w:sz="4" w:space="0" w:color="auto"/>
              <w:bottom w:val="nil"/>
              <w:right w:val="single" w:sz="4" w:space="0" w:color="auto"/>
            </w:tcBorders>
            <w:vAlign w:val="bottom"/>
          </w:tcPr>
          <w:p w14:paraId="43EA6F19" w14:textId="77777777" w:rsidR="00E77839" w:rsidRPr="00B63DD5" w:rsidRDefault="00E77839" w:rsidP="009002E5">
            <w:pPr>
              <w:jc w:val="center"/>
              <w:rPr>
                <w:color w:val="000000"/>
                <w:sz w:val="20"/>
                <w:szCs w:val="20"/>
              </w:rPr>
            </w:pPr>
            <w:r w:rsidRPr="00A3510A">
              <w:rPr>
                <w:color w:val="000000"/>
                <w:sz w:val="20"/>
                <w:szCs w:val="20"/>
              </w:rPr>
              <w:t>■</w:t>
            </w:r>
          </w:p>
        </w:tc>
        <w:tc>
          <w:tcPr>
            <w:tcW w:w="993" w:type="dxa"/>
            <w:tcBorders>
              <w:top w:val="nil"/>
              <w:left w:val="single" w:sz="4" w:space="0" w:color="auto"/>
              <w:bottom w:val="nil"/>
              <w:right w:val="single" w:sz="4" w:space="0" w:color="000000" w:themeColor="text1"/>
            </w:tcBorders>
            <w:vAlign w:val="bottom"/>
          </w:tcPr>
          <w:p w14:paraId="13B4DCB7" w14:textId="77777777" w:rsidR="00E77839" w:rsidRPr="00B63DD5" w:rsidRDefault="00E77839" w:rsidP="009002E5">
            <w:pPr>
              <w:jc w:val="center"/>
              <w:rPr>
                <w:color w:val="000000"/>
                <w:sz w:val="20"/>
                <w:szCs w:val="20"/>
              </w:rPr>
            </w:pPr>
            <w:r w:rsidRPr="00A3510A">
              <w:rPr>
                <w:color w:val="000000"/>
                <w:sz w:val="20"/>
                <w:szCs w:val="20"/>
              </w:rPr>
              <w:t>■</w:t>
            </w:r>
          </w:p>
        </w:tc>
        <w:tc>
          <w:tcPr>
            <w:tcW w:w="993" w:type="dxa"/>
            <w:tcBorders>
              <w:top w:val="nil"/>
              <w:left w:val="single" w:sz="4" w:space="0" w:color="auto"/>
              <w:bottom w:val="nil"/>
              <w:right w:val="single" w:sz="4" w:space="0" w:color="000000" w:themeColor="text1"/>
            </w:tcBorders>
            <w:vAlign w:val="center"/>
          </w:tcPr>
          <w:p w14:paraId="1C8408A9" w14:textId="77777777" w:rsidR="00E77839" w:rsidRPr="00A3510A" w:rsidRDefault="00E77839" w:rsidP="009002E5">
            <w:pPr>
              <w:jc w:val="center"/>
              <w:rPr>
                <w:color w:val="000000"/>
                <w:sz w:val="20"/>
                <w:szCs w:val="20"/>
              </w:rPr>
            </w:pPr>
            <w:r w:rsidRPr="0044561E">
              <w:rPr>
                <w:color w:val="000000"/>
                <w:sz w:val="20"/>
                <w:szCs w:val="20"/>
              </w:rPr>
              <w:t>■</w:t>
            </w:r>
          </w:p>
        </w:tc>
      </w:tr>
      <w:tr w:rsidR="00E77839" w:rsidRPr="00B63DD5" w14:paraId="6A628266" w14:textId="77777777" w:rsidTr="009002E5">
        <w:trPr>
          <w:trHeight w:val="259"/>
        </w:trPr>
        <w:tc>
          <w:tcPr>
            <w:tcW w:w="7652" w:type="dxa"/>
            <w:gridSpan w:val="3"/>
            <w:tcBorders>
              <w:top w:val="nil"/>
              <w:left w:val="single" w:sz="4" w:space="0" w:color="000000" w:themeColor="text1"/>
              <w:bottom w:val="nil"/>
              <w:right w:val="single" w:sz="4" w:space="0" w:color="000000" w:themeColor="text1"/>
            </w:tcBorders>
            <w:shd w:val="clear" w:color="auto" w:fill="auto"/>
            <w:noWrap/>
            <w:vAlign w:val="center"/>
          </w:tcPr>
          <w:p w14:paraId="77069E0B" w14:textId="77777777" w:rsidR="00E77839" w:rsidRPr="00B63DD5" w:rsidRDefault="00E77839" w:rsidP="009002E5">
            <w:pPr>
              <w:spacing w:line="276" w:lineRule="auto"/>
              <w:jc w:val="both"/>
              <w:rPr>
                <w:color w:val="000000"/>
                <w:sz w:val="20"/>
                <w:szCs w:val="20"/>
              </w:rPr>
            </w:pPr>
            <w:r>
              <w:rPr>
                <w:color w:val="000000"/>
                <w:sz w:val="20"/>
                <w:szCs w:val="20"/>
              </w:rPr>
              <w:t>Genotyping error and call rates appropriate (&lt;95% poor genotyping)</w:t>
            </w:r>
          </w:p>
        </w:tc>
        <w:tc>
          <w:tcPr>
            <w:tcW w:w="1137" w:type="dxa"/>
            <w:tcBorders>
              <w:top w:val="nil"/>
              <w:left w:val="single" w:sz="4" w:space="0" w:color="000000" w:themeColor="text1"/>
              <w:bottom w:val="nil"/>
              <w:right w:val="single" w:sz="4" w:space="0" w:color="000000" w:themeColor="text1"/>
            </w:tcBorders>
          </w:tcPr>
          <w:p w14:paraId="53EA1676" w14:textId="77777777" w:rsidR="00E77839" w:rsidRPr="00B63DD5" w:rsidRDefault="00E77839" w:rsidP="009002E5">
            <w:pPr>
              <w:jc w:val="center"/>
              <w:rPr>
                <w:color w:val="000000"/>
                <w:sz w:val="20"/>
                <w:szCs w:val="20"/>
              </w:rPr>
            </w:pPr>
            <w:r>
              <w:rPr>
                <w:color w:val="000000"/>
                <w:sz w:val="20"/>
                <w:szCs w:val="20"/>
              </w:rPr>
              <w:t>--</w:t>
            </w:r>
          </w:p>
        </w:tc>
        <w:tc>
          <w:tcPr>
            <w:tcW w:w="945" w:type="dxa"/>
            <w:tcBorders>
              <w:top w:val="nil"/>
              <w:left w:val="single" w:sz="4" w:space="0" w:color="000000" w:themeColor="text1"/>
              <w:bottom w:val="nil"/>
              <w:right w:val="single" w:sz="4" w:space="0" w:color="auto"/>
            </w:tcBorders>
            <w:vAlign w:val="bottom"/>
          </w:tcPr>
          <w:p w14:paraId="566CA07B" w14:textId="77777777" w:rsidR="00E77839" w:rsidRPr="00B63DD5" w:rsidRDefault="00E77839" w:rsidP="009002E5">
            <w:pPr>
              <w:jc w:val="center"/>
              <w:rPr>
                <w:color w:val="000000"/>
                <w:sz w:val="20"/>
                <w:szCs w:val="20"/>
              </w:rPr>
            </w:pPr>
            <w:r>
              <w:rPr>
                <w:color w:val="000000"/>
                <w:sz w:val="20"/>
                <w:szCs w:val="20"/>
              </w:rPr>
              <w:t>--</w:t>
            </w:r>
          </w:p>
        </w:tc>
        <w:tc>
          <w:tcPr>
            <w:tcW w:w="1039" w:type="dxa"/>
            <w:tcBorders>
              <w:top w:val="nil"/>
              <w:left w:val="single" w:sz="4" w:space="0" w:color="auto"/>
              <w:bottom w:val="nil"/>
              <w:right w:val="single" w:sz="4" w:space="0" w:color="auto"/>
            </w:tcBorders>
            <w:vAlign w:val="bottom"/>
          </w:tcPr>
          <w:p w14:paraId="205572F1" w14:textId="77777777" w:rsidR="00E77839" w:rsidRPr="00B63DD5" w:rsidRDefault="00E77839" w:rsidP="009002E5">
            <w:pPr>
              <w:jc w:val="center"/>
              <w:rPr>
                <w:color w:val="000000"/>
                <w:sz w:val="20"/>
                <w:szCs w:val="20"/>
              </w:rPr>
            </w:pPr>
            <w:r w:rsidRPr="00A3510A">
              <w:rPr>
                <w:color w:val="000000"/>
                <w:sz w:val="20"/>
                <w:szCs w:val="20"/>
              </w:rPr>
              <w:t>■</w:t>
            </w:r>
          </w:p>
        </w:tc>
        <w:tc>
          <w:tcPr>
            <w:tcW w:w="993" w:type="dxa"/>
            <w:tcBorders>
              <w:top w:val="nil"/>
              <w:left w:val="single" w:sz="4" w:space="0" w:color="auto"/>
              <w:bottom w:val="nil"/>
              <w:right w:val="single" w:sz="4" w:space="0" w:color="000000" w:themeColor="text1"/>
            </w:tcBorders>
            <w:vAlign w:val="bottom"/>
          </w:tcPr>
          <w:p w14:paraId="09273C61" w14:textId="77777777" w:rsidR="00E77839" w:rsidRPr="00B63DD5" w:rsidRDefault="00E77839" w:rsidP="009002E5">
            <w:pPr>
              <w:jc w:val="center"/>
              <w:rPr>
                <w:color w:val="000000"/>
                <w:sz w:val="20"/>
                <w:szCs w:val="20"/>
              </w:rPr>
            </w:pPr>
            <w:r w:rsidRPr="00A3510A">
              <w:rPr>
                <w:color w:val="000000"/>
                <w:sz w:val="20"/>
                <w:szCs w:val="20"/>
              </w:rPr>
              <w:t>■</w:t>
            </w:r>
          </w:p>
        </w:tc>
        <w:tc>
          <w:tcPr>
            <w:tcW w:w="993" w:type="dxa"/>
            <w:tcBorders>
              <w:top w:val="nil"/>
              <w:left w:val="single" w:sz="4" w:space="0" w:color="auto"/>
              <w:bottom w:val="nil"/>
              <w:right w:val="single" w:sz="4" w:space="0" w:color="000000" w:themeColor="text1"/>
            </w:tcBorders>
            <w:vAlign w:val="center"/>
          </w:tcPr>
          <w:p w14:paraId="41440AE3" w14:textId="77777777" w:rsidR="00E77839" w:rsidRPr="00A3510A" w:rsidRDefault="00E77839" w:rsidP="009002E5">
            <w:pPr>
              <w:jc w:val="center"/>
              <w:rPr>
                <w:color w:val="000000"/>
                <w:sz w:val="20"/>
                <w:szCs w:val="20"/>
              </w:rPr>
            </w:pPr>
            <w:r w:rsidRPr="0044561E">
              <w:rPr>
                <w:color w:val="000000"/>
                <w:sz w:val="20"/>
                <w:szCs w:val="20"/>
              </w:rPr>
              <w:t>■</w:t>
            </w:r>
          </w:p>
        </w:tc>
      </w:tr>
      <w:tr w:rsidR="00E77839" w:rsidRPr="00B63DD5" w14:paraId="5453AFA6" w14:textId="77777777" w:rsidTr="009002E5">
        <w:trPr>
          <w:trHeight w:val="259"/>
        </w:trPr>
        <w:tc>
          <w:tcPr>
            <w:tcW w:w="7652" w:type="dxa"/>
            <w:gridSpan w:val="3"/>
            <w:tcBorders>
              <w:top w:val="nil"/>
              <w:left w:val="single" w:sz="4" w:space="0" w:color="000000" w:themeColor="text1"/>
              <w:bottom w:val="nil"/>
              <w:right w:val="single" w:sz="4" w:space="0" w:color="000000" w:themeColor="text1"/>
            </w:tcBorders>
            <w:shd w:val="clear" w:color="auto" w:fill="auto"/>
            <w:noWrap/>
            <w:vAlign w:val="center"/>
          </w:tcPr>
          <w:p w14:paraId="60317E63" w14:textId="77777777" w:rsidR="00E77839" w:rsidRPr="00B63DD5" w:rsidRDefault="00E77839" w:rsidP="009002E5">
            <w:pPr>
              <w:spacing w:line="276" w:lineRule="auto"/>
              <w:jc w:val="both"/>
              <w:rPr>
                <w:color w:val="000000"/>
                <w:sz w:val="20"/>
                <w:szCs w:val="20"/>
              </w:rPr>
            </w:pPr>
            <w:r>
              <w:rPr>
                <w:color w:val="000000"/>
                <w:sz w:val="20"/>
                <w:szCs w:val="20"/>
              </w:rPr>
              <w:t xml:space="preserve">Agreement with Hardy Weinberg equilibrium tested in controls </w:t>
            </w:r>
          </w:p>
        </w:tc>
        <w:tc>
          <w:tcPr>
            <w:tcW w:w="1137" w:type="dxa"/>
            <w:tcBorders>
              <w:top w:val="nil"/>
              <w:left w:val="single" w:sz="4" w:space="0" w:color="000000" w:themeColor="text1"/>
              <w:bottom w:val="nil"/>
              <w:right w:val="single" w:sz="4" w:space="0" w:color="000000" w:themeColor="text1"/>
            </w:tcBorders>
          </w:tcPr>
          <w:p w14:paraId="65CA750D" w14:textId="77777777" w:rsidR="00E77839" w:rsidRPr="00B63DD5" w:rsidRDefault="00E77839" w:rsidP="009002E5">
            <w:pPr>
              <w:jc w:val="center"/>
              <w:rPr>
                <w:color w:val="000000"/>
                <w:sz w:val="20"/>
                <w:szCs w:val="20"/>
              </w:rPr>
            </w:pPr>
            <w:r w:rsidRPr="0044561E">
              <w:rPr>
                <w:color w:val="000000"/>
                <w:sz w:val="20"/>
                <w:szCs w:val="20"/>
              </w:rPr>
              <w:t>■</w:t>
            </w:r>
          </w:p>
        </w:tc>
        <w:tc>
          <w:tcPr>
            <w:tcW w:w="945" w:type="dxa"/>
            <w:tcBorders>
              <w:top w:val="nil"/>
              <w:left w:val="single" w:sz="4" w:space="0" w:color="000000" w:themeColor="text1"/>
              <w:bottom w:val="nil"/>
              <w:right w:val="single" w:sz="4" w:space="0" w:color="auto"/>
            </w:tcBorders>
            <w:vAlign w:val="bottom"/>
          </w:tcPr>
          <w:p w14:paraId="22F972CE" w14:textId="77777777" w:rsidR="00E77839" w:rsidRPr="00B63DD5" w:rsidRDefault="00E77839" w:rsidP="009002E5">
            <w:pPr>
              <w:jc w:val="center"/>
              <w:rPr>
                <w:color w:val="000000"/>
                <w:sz w:val="20"/>
                <w:szCs w:val="20"/>
              </w:rPr>
            </w:pPr>
            <w:r>
              <w:rPr>
                <w:color w:val="000000"/>
                <w:sz w:val="20"/>
                <w:szCs w:val="20"/>
              </w:rPr>
              <w:t>--</w:t>
            </w:r>
          </w:p>
        </w:tc>
        <w:tc>
          <w:tcPr>
            <w:tcW w:w="1039" w:type="dxa"/>
            <w:tcBorders>
              <w:top w:val="nil"/>
              <w:left w:val="single" w:sz="4" w:space="0" w:color="auto"/>
              <w:bottom w:val="nil"/>
              <w:right w:val="single" w:sz="4" w:space="0" w:color="auto"/>
            </w:tcBorders>
            <w:vAlign w:val="bottom"/>
          </w:tcPr>
          <w:p w14:paraId="56B5FEB5" w14:textId="77777777" w:rsidR="00E77839" w:rsidRPr="00B63DD5" w:rsidRDefault="00E77839" w:rsidP="009002E5">
            <w:pPr>
              <w:jc w:val="center"/>
              <w:rPr>
                <w:color w:val="000000"/>
                <w:sz w:val="20"/>
                <w:szCs w:val="20"/>
              </w:rPr>
            </w:pPr>
            <w:r w:rsidRPr="00A3510A">
              <w:rPr>
                <w:color w:val="000000"/>
                <w:sz w:val="20"/>
                <w:szCs w:val="20"/>
              </w:rPr>
              <w:t>■</w:t>
            </w:r>
          </w:p>
        </w:tc>
        <w:tc>
          <w:tcPr>
            <w:tcW w:w="993" w:type="dxa"/>
            <w:tcBorders>
              <w:top w:val="nil"/>
              <w:left w:val="single" w:sz="4" w:space="0" w:color="auto"/>
              <w:bottom w:val="nil"/>
              <w:right w:val="single" w:sz="4" w:space="0" w:color="000000" w:themeColor="text1"/>
            </w:tcBorders>
            <w:vAlign w:val="bottom"/>
          </w:tcPr>
          <w:p w14:paraId="1EF95699" w14:textId="77777777" w:rsidR="00E77839" w:rsidRPr="00B63DD5" w:rsidRDefault="00E77839" w:rsidP="009002E5">
            <w:pPr>
              <w:jc w:val="center"/>
              <w:rPr>
                <w:color w:val="000000"/>
                <w:sz w:val="20"/>
                <w:szCs w:val="20"/>
              </w:rPr>
            </w:pPr>
            <w:r>
              <w:rPr>
                <w:color w:val="000000"/>
                <w:sz w:val="20"/>
                <w:szCs w:val="20"/>
              </w:rPr>
              <w:t>--</w:t>
            </w:r>
          </w:p>
        </w:tc>
        <w:tc>
          <w:tcPr>
            <w:tcW w:w="993" w:type="dxa"/>
            <w:tcBorders>
              <w:top w:val="nil"/>
              <w:left w:val="single" w:sz="4" w:space="0" w:color="auto"/>
              <w:bottom w:val="nil"/>
              <w:right w:val="single" w:sz="4" w:space="0" w:color="000000" w:themeColor="text1"/>
            </w:tcBorders>
            <w:vAlign w:val="center"/>
          </w:tcPr>
          <w:p w14:paraId="5E7BF430" w14:textId="77777777" w:rsidR="00E77839" w:rsidRDefault="00E77839" w:rsidP="009002E5">
            <w:pPr>
              <w:jc w:val="center"/>
              <w:rPr>
                <w:color w:val="000000"/>
                <w:sz w:val="20"/>
                <w:szCs w:val="20"/>
              </w:rPr>
            </w:pPr>
            <w:r w:rsidRPr="0044561E">
              <w:rPr>
                <w:color w:val="000000"/>
                <w:sz w:val="20"/>
                <w:szCs w:val="20"/>
              </w:rPr>
              <w:t>■</w:t>
            </w:r>
          </w:p>
        </w:tc>
      </w:tr>
      <w:tr w:rsidR="00E77839" w:rsidRPr="00B63DD5" w14:paraId="11B5B7CB" w14:textId="77777777" w:rsidTr="009002E5">
        <w:trPr>
          <w:trHeight w:val="259"/>
        </w:trPr>
        <w:tc>
          <w:tcPr>
            <w:tcW w:w="7652" w:type="dxa"/>
            <w:gridSpan w:val="3"/>
            <w:tcBorders>
              <w:top w:val="nil"/>
              <w:left w:val="single" w:sz="4" w:space="0" w:color="000000" w:themeColor="text1"/>
              <w:bottom w:val="nil"/>
              <w:right w:val="single" w:sz="4" w:space="0" w:color="000000" w:themeColor="text1"/>
            </w:tcBorders>
            <w:shd w:val="clear" w:color="auto" w:fill="auto"/>
            <w:noWrap/>
            <w:vAlign w:val="center"/>
          </w:tcPr>
          <w:p w14:paraId="298667D2" w14:textId="77777777" w:rsidR="00E77839" w:rsidRPr="00B63DD5" w:rsidRDefault="00E77839" w:rsidP="009002E5">
            <w:pPr>
              <w:spacing w:line="276" w:lineRule="auto"/>
              <w:jc w:val="both"/>
              <w:rPr>
                <w:color w:val="000000"/>
                <w:sz w:val="20"/>
                <w:szCs w:val="20"/>
              </w:rPr>
            </w:pPr>
            <w:r>
              <w:rPr>
                <w:color w:val="000000"/>
                <w:sz w:val="20"/>
                <w:szCs w:val="20"/>
              </w:rPr>
              <w:t>Was genotyping conducted by a blinded assessor</w:t>
            </w:r>
          </w:p>
        </w:tc>
        <w:tc>
          <w:tcPr>
            <w:tcW w:w="1137" w:type="dxa"/>
            <w:tcBorders>
              <w:top w:val="nil"/>
              <w:left w:val="single" w:sz="4" w:space="0" w:color="000000" w:themeColor="text1"/>
              <w:bottom w:val="nil"/>
              <w:right w:val="single" w:sz="4" w:space="0" w:color="000000" w:themeColor="text1"/>
            </w:tcBorders>
          </w:tcPr>
          <w:p w14:paraId="2449A813" w14:textId="77777777" w:rsidR="00E77839" w:rsidRPr="00B63DD5" w:rsidRDefault="00E77839" w:rsidP="009002E5">
            <w:pPr>
              <w:jc w:val="center"/>
              <w:rPr>
                <w:color w:val="000000"/>
                <w:sz w:val="20"/>
                <w:szCs w:val="20"/>
              </w:rPr>
            </w:pPr>
            <w:r>
              <w:rPr>
                <w:color w:val="000000"/>
                <w:sz w:val="20"/>
                <w:szCs w:val="20"/>
              </w:rPr>
              <w:t>--</w:t>
            </w:r>
          </w:p>
        </w:tc>
        <w:tc>
          <w:tcPr>
            <w:tcW w:w="945" w:type="dxa"/>
            <w:tcBorders>
              <w:top w:val="nil"/>
              <w:left w:val="single" w:sz="4" w:space="0" w:color="000000" w:themeColor="text1"/>
              <w:bottom w:val="nil"/>
              <w:right w:val="single" w:sz="4" w:space="0" w:color="auto"/>
            </w:tcBorders>
            <w:vAlign w:val="bottom"/>
          </w:tcPr>
          <w:p w14:paraId="38C1B100" w14:textId="77777777" w:rsidR="00E77839" w:rsidRPr="00B63DD5" w:rsidRDefault="00E77839" w:rsidP="009002E5">
            <w:pPr>
              <w:jc w:val="center"/>
              <w:rPr>
                <w:color w:val="000000"/>
                <w:sz w:val="20"/>
                <w:szCs w:val="20"/>
              </w:rPr>
            </w:pPr>
            <w:r w:rsidRPr="00A3510A">
              <w:rPr>
                <w:color w:val="000000"/>
                <w:sz w:val="20"/>
                <w:szCs w:val="20"/>
              </w:rPr>
              <w:t>■</w:t>
            </w:r>
          </w:p>
        </w:tc>
        <w:tc>
          <w:tcPr>
            <w:tcW w:w="1039" w:type="dxa"/>
            <w:tcBorders>
              <w:top w:val="nil"/>
              <w:left w:val="single" w:sz="4" w:space="0" w:color="auto"/>
              <w:bottom w:val="nil"/>
              <w:right w:val="single" w:sz="4" w:space="0" w:color="auto"/>
            </w:tcBorders>
            <w:vAlign w:val="bottom"/>
          </w:tcPr>
          <w:p w14:paraId="79B02D81" w14:textId="77777777" w:rsidR="00E77839" w:rsidRPr="00B63DD5" w:rsidRDefault="00E77839" w:rsidP="009002E5">
            <w:pPr>
              <w:jc w:val="center"/>
              <w:rPr>
                <w:color w:val="000000"/>
                <w:sz w:val="20"/>
                <w:szCs w:val="20"/>
              </w:rPr>
            </w:pPr>
            <w:r>
              <w:rPr>
                <w:color w:val="000000"/>
                <w:sz w:val="20"/>
                <w:szCs w:val="20"/>
              </w:rPr>
              <w:t>--</w:t>
            </w:r>
          </w:p>
        </w:tc>
        <w:tc>
          <w:tcPr>
            <w:tcW w:w="993" w:type="dxa"/>
            <w:tcBorders>
              <w:top w:val="nil"/>
              <w:left w:val="single" w:sz="4" w:space="0" w:color="auto"/>
              <w:bottom w:val="nil"/>
              <w:right w:val="single" w:sz="4" w:space="0" w:color="000000" w:themeColor="text1"/>
            </w:tcBorders>
            <w:vAlign w:val="bottom"/>
          </w:tcPr>
          <w:p w14:paraId="76CEAC44" w14:textId="77777777" w:rsidR="00E77839" w:rsidRPr="00B63DD5" w:rsidRDefault="00E77839" w:rsidP="009002E5">
            <w:pPr>
              <w:jc w:val="center"/>
              <w:rPr>
                <w:color w:val="000000"/>
                <w:sz w:val="20"/>
                <w:szCs w:val="20"/>
              </w:rPr>
            </w:pPr>
            <w:r w:rsidRPr="00A3510A">
              <w:rPr>
                <w:color w:val="000000"/>
                <w:sz w:val="20"/>
                <w:szCs w:val="20"/>
              </w:rPr>
              <w:t>■</w:t>
            </w:r>
          </w:p>
        </w:tc>
        <w:tc>
          <w:tcPr>
            <w:tcW w:w="993" w:type="dxa"/>
            <w:tcBorders>
              <w:top w:val="nil"/>
              <w:left w:val="single" w:sz="4" w:space="0" w:color="auto"/>
              <w:bottom w:val="nil"/>
              <w:right w:val="single" w:sz="4" w:space="0" w:color="000000" w:themeColor="text1"/>
            </w:tcBorders>
            <w:vAlign w:val="center"/>
          </w:tcPr>
          <w:p w14:paraId="71B39706" w14:textId="77777777" w:rsidR="00E77839" w:rsidRPr="00A3510A" w:rsidRDefault="00E77839" w:rsidP="009002E5">
            <w:pPr>
              <w:jc w:val="center"/>
              <w:rPr>
                <w:color w:val="000000"/>
                <w:sz w:val="20"/>
                <w:szCs w:val="20"/>
              </w:rPr>
            </w:pPr>
            <w:r>
              <w:rPr>
                <w:color w:val="000000"/>
                <w:sz w:val="20"/>
                <w:szCs w:val="20"/>
              </w:rPr>
              <w:t>--</w:t>
            </w:r>
          </w:p>
        </w:tc>
      </w:tr>
      <w:tr w:rsidR="00E77839" w:rsidRPr="00B63DD5" w14:paraId="2C5A2C68" w14:textId="77777777" w:rsidTr="009002E5">
        <w:trPr>
          <w:trHeight w:val="259"/>
        </w:trPr>
        <w:tc>
          <w:tcPr>
            <w:tcW w:w="7652" w:type="dxa"/>
            <w:gridSpan w:val="3"/>
            <w:tcBorders>
              <w:top w:val="nil"/>
              <w:left w:val="single" w:sz="4" w:space="0" w:color="000000" w:themeColor="text1"/>
              <w:bottom w:val="single" w:sz="4" w:space="0" w:color="000000" w:themeColor="text1"/>
              <w:right w:val="single" w:sz="4" w:space="0" w:color="000000" w:themeColor="text1"/>
            </w:tcBorders>
            <w:shd w:val="clear" w:color="auto" w:fill="auto"/>
            <w:noWrap/>
            <w:vAlign w:val="center"/>
          </w:tcPr>
          <w:p w14:paraId="0358AEE8" w14:textId="77777777" w:rsidR="00E77839" w:rsidRDefault="00E77839" w:rsidP="009002E5">
            <w:pPr>
              <w:spacing w:line="276" w:lineRule="auto"/>
              <w:jc w:val="both"/>
              <w:rPr>
                <w:color w:val="000000"/>
                <w:sz w:val="20"/>
                <w:szCs w:val="20"/>
              </w:rPr>
            </w:pPr>
            <w:r>
              <w:rPr>
                <w:color w:val="000000"/>
                <w:sz w:val="20"/>
                <w:szCs w:val="20"/>
              </w:rPr>
              <w:t>Where the results adjusted for multiple testing to avoid false positive results</w:t>
            </w:r>
          </w:p>
        </w:tc>
        <w:tc>
          <w:tcPr>
            <w:tcW w:w="1137" w:type="dxa"/>
            <w:tcBorders>
              <w:top w:val="nil"/>
              <w:left w:val="single" w:sz="4" w:space="0" w:color="000000" w:themeColor="text1"/>
              <w:bottom w:val="single" w:sz="4" w:space="0" w:color="000000" w:themeColor="text1"/>
              <w:right w:val="single" w:sz="4" w:space="0" w:color="000000" w:themeColor="text1"/>
            </w:tcBorders>
          </w:tcPr>
          <w:p w14:paraId="7C3AAAAE" w14:textId="77777777" w:rsidR="00E77839" w:rsidRPr="00B63DD5" w:rsidRDefault="00E77839" w:rsidP="009002E5">
            <w:pPr>
              <w:jc w:val="center"/>
              <w:rPr>
                <w:color w:val="000000"/>
                <w:sz w:val="20"/>
                <w:szCs w:val="20"/>
              </w:rPr>
            </w:pPr>
            <w:r>
              <w:rPr>
                <w:color w:val="000000"/>
                <w:sz w:val="20"/>
                <w:szCs w:val="20"/>
              </w:rPr>
              <w:t>--</w:t>
            </w:r>
          </w:p>
        </w:tc>
        <w:tc>
          <w:tcPr>
            <w:tcW w:w="945" w:type="dxa"/>
            <w:tcBorders>
              <w:top w:val="nil"/>
              <w:left w:val="single" w:sz="4" w:space="0" w:color="000000" w:themeColor="text1"/>
              <w:bottom w:val="single" w:sz="4" w:space="0" w:color="000000" w:themeColor="text1"/>
              <w:right w:val="single" w:sz="4" w:space="0" w:color="auto"/>
            </w:tcBorders>
            <w:vAlign w:val="bottom"/>
          </w:tcPr>
          <w:p w14:paraId="71B2E273" w14:textId="77777777" w:rsidR="00E77839" w:rsidRPr="00B63DD5" w:rsidRDefault="00E77839" w:rsidP="009002E5">
            <w:pPr>
              <w:jc w:val="center"/>
              <w:rPr>
                <w:color w:val="000000"/>
                <w:sz w:val="20"/>
                <w:szCs w:val="20"/>
              </w:rPr>
            </w:pPr>
            <w:r w:rsidRPr="00A3510A">
              <w:rPr>
                <w:color w:val="000000"/>
                <w:sz w:val="20"/>
                <w:szCs w:val="20"/>
              </w:rPr>
              <w:t>■</w:t>
            </w:r>
          </w:p>
        </w:tc>
        <w:tc>
          <w:tcPr>
            <w:tcW w:w="1039" w:type="dxa"/>
            <w:tcBorders>
              <w:top w:val="nil"/>
              <w:left w:val="single" w:sz="4" w:space="0" w:color="auto"/>
              <w:bottom w:val="single" w:sz="4" w:space="0" w:color="000000" w:themeColor="text1"/>
              <w:right w:val="single" w:sz="4" w:space="0" w:color="auto"/>
            </w:tcBorders>
            <w:vAlign w:val="bottom"/>
          </w:tcPr>
          <w:p w14:paraId="76A63EC0" w14:textId="77777777" w:rsidR="00E77839" w:rsidRPr="00B63DD5" w:rsidRDefault="00E77839" w:rsidP="009002E5">
            <w:pPr>
              <w:jc w:val="center"/>
              <w:rPr>
                <w:color w:val="000000"/>
                <w:sz w:val="20"/>
                <w:szCs w:val="20"/>
              </w:rPr>
            </w:pPr>
            <w:r w:rsidRPr="00A3510A">
              <w:rPr>
                <w:color w:val="000000"/>
                <w:sz w:val="20"/>
                <w:szCs w:val="20"/>
              </w:rPr>
              <w:t>□</w:t>
            </w:r>
          </w:p>
        </w:tc>
        <w:tc>
          <w:tcPr>
            <w:tcW w:w="993" w:type="dxa"/>
            <w:tcBorders>
              <w:top w:val="nil"/>
              <w:left w:val="single" w:sz="4" w:space="0" w:color="auto"/>
              <w:bottom w:val="single" w:sz="4" w:space="0" w:color="000000" w:themeColor="text1"/>
              <w:right w:val="single" w:sz="4" w:space="0" w:color="000000" w:themeColor="text1"/>
            </w:tcBorders>
            <w:vAlign w:val="bottom"/>
          </w:tcPr>
          <w:p w14:paraId="62C23805" w14:textId="77777777" w:rsidR="00E77839" w:rsidRPr="00B63DD5" w:rsidRDefault="00E77839" w:rsidP="009002E5">
            <w:pPr>
              <w:jc w:val="center"/>
              <w:rPr>
                <w:color w:val="000000"/>
                <w:sz w:val="20"/>
                <w:szCs w:val="20"/>
              </w:rPr>
            </w:pPr>
            <w:r w:rsidRPr="00A3510A">
              <w:rPr>
                <w:color w:val="000000"/>
                <w:sz w:val="20"/>
                <w:szCs w:val="20"/>
              </w:rPr>
              <w:t>□</w:t>
            </w:r>
          </w:p>
        </w:tc>
        <w:tc>
          <w:tcPr>
            <w:tcW w:w="993" w:type="dxa"/>
            <w:tcBorders>
              <w:top w:val="nil"/>
              <w:left w:val="single" w:sz="4" w:space="0" w:color="auto"/>
              <w:bottom w:val="single" w:sz="4" w:space="0" w:color="000000" w:themeColor="text1"/>
              <w:right w:val="single" w:sz="4" w:space="0" w:color="000000" w:themeColor="text1"/>
            </w:tcBorders>
            <w:vAlign w:val="center"/>
          </w:tcPr>
          <w:p w14:paraId="4FEC03CA" w14:textId="77777777" w:rsidR="00E77839" w:rsidRPr="00A3510A" w:rsidRDefault="00E77839" w:rsidP="009002E5">
            <w:pPr>
              <w:jc w:val="center"/>
              <w:rPr>
                <w:color w:val="000000"/>
                <w:sz w:val="20"/>
                <w:szCs w:val="20"/>
              </w:rPr>
            </w:pPr>
            <w:r w:rsidRPr="0044561E">
              <w:rPr>
                <w:color w:val="000000"/>
                <w:sz w:val="20"/>
                <w:szCs w:val="20"/>
              </w:rPr>
              <w:t>□</w:t>
            </w:r>
          </w:p>
        </w:tc>
      </w:tr>
      <w:tr w:rsidR="00E77839" w:rsidRPr="00B63DD5" w14:paraId="663004F3" w14:textId="77777777" w:rsidTr="009002E5">
        <w:trPr>
          <w:trHeight w:val="259"/>
        </w:trPr>
        <w:tc>
          <w:tcPr>
            <w:tcW w:w="12759" w:type="dxa"/>
            <w:gridSpan w:val="8"/>
            <w:tcBorders>
              <w:top w:val="single" w:sz="4" w:space="0" w:color="000000" w:themeColor="text1"/>
              <w:left w:val="single" w:sz="4" w:space="0" w:color="auto"/>
              <w:bottom w:val="single" w:sz="4" w:space="0" w:color="000000" w:themeColor="text1"/>
            </w:tcBorders>
            <w:shd w:val="clear" w:color="auto" w:fill="F2F2F2" w:themeFill="background1" w:themeFillShade="F2"/>
          </w:tcPr>
          <w:p w14:paraId="1A666B53" w14:textId="77777777" w:rsidR="00E77839" w:rsidRDefault="00E77839" w:rsidP="009002E5">
            <w:pPr>
              <w:rPr>
                <w:b/>
                <w:bCs/>
                <w:color w:val="000000"/>
                <w:sz w:val="20"/>
                <w:szCs w:val="20"/>
              </w:rPr>
            </w:pPr>
            <w:r>
              <w:rPr>
                <w:b/>
                <w:bCs/>
                <w:color w:val="000000"/>
                <w:sz w:val="20"/>
                <w:szCs w:val="20"/>
              </w:rPr>
              <w:t>Comparability</w:t>
            </w:r>
          </w:p>
        </w:tc>
      </w:tr>
      <w:tr w:rsidR="00E77839" w:rsidRPr="00B63DD5" w14:paraId="2EA8BE53" w14:textId="77777777" w:rsidTr="009002E5">
        <w:trPr>
          <w:trHeight w:val="259"/>
        </w:trPr>
        <w:tc>
          <w:tcPr>
            <w:tcW w:w="7652" w:type="dxa"/>
            <w:gridSpan w:val="3"/>
            <w:tcBorders>
              <w:top w:val="single" w:sz="4" w:space="0" w:color="000000" w:themeColor="text1"/>
              <w:bottom w:val="single" w:sz="4" w:space="0" w:color="000000" w:themeColor="text1"/>
            </w:tcBorders>
            <w:shd w:val="clear" w:color="auto" w:fill="auto"/>
            <w:vAlign w:val="center"/>
            <w:hideMark/>
          </w:tcPr>
          <w:p w14:paraId="5B3AC826" w14:textId="77777777" w:rsidR="00E77839" w:rsidRPr="00B63DD5" w:rsidRDefault="00E77839" w:rsidP="009002E5">
            <w:pPr>
              <w:spacing w:line="276" w:lineRule="auto"/>
              <w:jc w:val="both"/>
              <w:rPr>
                <w:color w:val="000000"/>
                <w:sz w:val="20"/>
                <w:szCs w:val="20"/>
              </w:rPr>
            </w:pPr>
            <w:r w:rsidRPr="00B63DD5">
              <w:rPr>
                <w:color w:val="000000"/>
                <w:sz w:val="20"/>
                <w:szCs w:val="20"/>
              </w:rPr>
              <w:t xml:space="preserve">Individual-level adjustment factors </w:t>
            </w:r>
          </w:p>
        </w:tc>
        <w:tc>
          <w:tcPr>
            <w:tcW w:w="1137" w:type="dxa"/>
            <w:tcBorders>
              <w:top w:val="single" w:sz="4" w:space="0" w:color="000000" w:themeColor="text1"/>
              <w:bottom w:val="single" w:sz="4" w:space="0" w:color="000000" w:themeColor="text1"/>
              <w:right w:val="single" w:sz="4" w:space="0" w:color="000000" w:themeColor="text1"/>
            </w:tcBorders>
            <w:vAlign w:val="center"/>
          </w:tcPr>
          <w:p w14:paraId="791D4CE4" w14:textId="77777777" w:rsidR="00E77839" w:rsidRPr="00B63DD5" w:rsidRDefault="00E77839" w:rsidP="009002E5">
            <w:pPr>
              <w:jc w:val="center"/>
              <w:rPr>
                <w:color w:val="000000"/>
                <w:sz w:val="20"/>
                <w:szCs w:val="20"/>
              </w:rPr>
            </w:pPr>
            <w:r w:rsidRPr="00BA4AC8">
              <w:rPr>
                <w:color w:val="000000"/>
                <w:sz w:val="20"/>
                <w:szCs w:val="20"/>
              </w:rPr>
              <w:t>■</w:t>
            </w:r>
            <w:r w:rsidRPr="0044561E">
              <w:rPr>
                <w:color w:val="000000"/>
                <w:sz w:val="20"/>
                <w:szCs w:val="20"/>
              </w:rPr>
              <w:t>□</w:t>
            </w:r>
          </w:p>
        </w:tc>
        <w:tc>
          <w:tcPr>
            <w:tcW w:w="945" w:type="dxa"/>
            <w:tcBorders>
              <w:top w:val="single" w:sz="4" w:space="0" w:color="000000" w:themeColor="text1"/>
              <w:left w:val="single" w:sz="4" w:space="0" w:color="000000" w:themeColor="text1"/>
              <w:bottom w:val="single" w:sz="4" w:space="0" w:color="000000" w:themeColor="text1"/>
              <w:right w:val="single" w:sz="4" w:space="0" w:color="auto"/>
            </w:tcBorders>
          </w:tcPr>
          <w:p w14:paraId="741BC707" w14:textId="77777777" w:rsidR="00E77839" w:rsidRPr="00B63DD5" w:rsidRDefault="00E77839" w:rsidP="009002E5">
            <w:pPr>
              <w:jc w:val="center"/>
              <w:rPr>
                <w:color w:val="000000"/>
                <w:sz w:val="20"/>
                <w:szCs w:val="20"/>
              </w:rPr>
            </w:pPr>
            <w:r w:rsidRPr="00BA4AC8">
              <w:rPr>
                <w:color w:val="000000"/>
                <w:sz w:val="20"/>
                <w:szCs w:val="20"/>
              </w:rPr>
              <w:t>■</w:t>
            </w:r>
            <w:r w:rsidRPr="0044561E">
              <w:rPr>
                <w:color w:val="000000"/>
                <w:sz w:val="20"/>
                <w:szCs w:val="20"/>
              </w:rPr>
              <w:t>□</w:t>
            </w:r>
          </w:p>
        </w:tc>
        <w:tc>
          <w:tcPr>
            <w:tcW w:w="1039" w:type="dxa"/>
            <w:tcBorders>
              <w:top w:val="single" w:sz="4" w:space="0" w:color="000000" w:themeColor="text1"/>
              <w:left w:val="single" w:sz="4" w:space="0" w:color="auto"/>
              <w:bottom w:val="single" w:sz="4" w:space="0" w:color="000000" w:themeColor="text1"/>
              <w:right w:val="single" w:sz="4" w:space="0" w:color="auto"/>
            </w:tcBorders>
          </w:tcPr>
          <w:p w14:paraId="68AF4FA7" w14:textId="77777777" w:rsidR="00E77839" w:rsidRPr="00B63DD5" w:rsidRDefault="00E77839" w:rsidP="009002E5">
            <w:pPr>
              <w:jc w:val="center"/>
              <w:rPr>
                <w:color w:val="000000"/>
                <w:sz w:val="20"/>
                <w:szCs w:val="20"/>
              </w:rPr>
            </w:pPr>
            <w:r w:rsidRPr="00A3510A">
              <w:rPr>
                <w:color w:val="000000"/>
                <w:sz w:val="20"/>
                <w:szCs w:val="20"/>
              </w:rPr>
              <w:t>■■</w:t>
            </w:r>
          </w:p>
        </w:tc>
        <w:tc>
          <w:tcPr>
            <w:tcW w:w="993" w:type="dxa"/>
            <w:tcBorders>
              <w:top w:val="single" w:sz="4" w:space="0" w:color="000000" w:themeColor="text1"/>
              <w:left w:val="single" w:sz="4" w:space="0" w:color="auto"/>
              <w:bottom w:val="single" w:sz="4" w:space="0" w:color="000000" w:themeColor="text1"/>
            </w:tcBorders>
            <w:vAlign w:val="center"/>
          </w:tcPr>
          <w:p w14:paraId="288F9A1A" w14:textId="77777777" w:rsidR="00E77839" w:rsidRPr="00B63DD5" w:rsidRDefault="00E77839" w:rsidP="009002E5">
            <w:pPr>
              <w:jc w:val="center"/>
              <w:rPr>
                <w:color w:val="000000"/>
                <w:sz w:val="20"/>
                <w:szCs w:val="20"/>
              </w:rPr>
            </w:pPr>
            <w:r w:rsidRPr="00A3510A">
              <w:rPr>
                <w:color w:val="000000"/>
                <w:sz w:val="20"/>
                <w:szCs w:val="20"/>
              </w:rPr>
              <w:t>■□</w:t>
            </w:r>
          </w:p>
        </w:tc>
        <w:tc>
          <w:tcPr>
            <w:tcW w:w="993" w:type="dxa"/>
            <w:tcBorders>
              <w:top w:val="single" w:sz="4" w:space="0" w:color="000000" w:themeColor="text1"/>
              <w:left w:val="single" w:sz="4" w:space="0" w:color="auto"/>
              <w:bottom w:val="single" w:sz="4" w:space="0" w:color="000000" w:themeColor="text1"/>
            </w:tcBorders>
          </w:tcPr>
          <w:p w14:paraId="2817A885" w14:textId="038646EE" w:rsidR="00E77839" w:rsidRPr="00A3510A" w:rsidRDefault="00E77839" w:rsidP="009002E5">
            <w:pPr>
              <w:jc w:val="center"/>
              <w:rPr>
                <w:color w:val="000000"/>
                <w:sz w:val="20"/>
                <w:szCs w:val="20"/>
              </w:rPr>
            </w:pPr>
            <w:r w:rsidRPr="0044561E">
              <w:rPr>
                <w:color w:val="000000"/>
                <w:sz w:val="20"/>
                <w:szCs w:val="20"/>
              </w:rPr>
              <w:t>□□</w:t>
            </w:r>
          </w:p>
        </w:tc>
      </w:tr>
      <w:tr w:rsidR="00E77839" w:rsidRPr="00B63DD5" w14:paraId="2A6F124E" w14:textId="77777777" w:rsidTr="009002E5">
        <w:trPr>
          <w:trHeight w:val="259"/>
        </w:trPr>
        <w:tc>
          <w:tcPr>
            <w:tcW w:w="12759" w:type="dxa"/>
            <w:gridSpan w:val="8"/>
            <w:tcBorders>
              <w:top w:val="single" w:sz="4" w:space="0" w:color="000000" w:themeColor="text1"/>
              <w:left w:val="single" w:sz="4" w:space="0" w:color="auto"/>
              <w:bottom w:val="single" w:sz="4" w:space="0" w:color="000000" w:themeColor="text1"/>
            </w:tcBorders>
            <w:shd w:val="clear" w:color="auto" w:fill="F2F2F2" w:themeFill="background1" w:themeFillShade="F2"/>
          </w:tcPr>
          <w:p w14:paraId="1A9A3EFC" w14:textId="77777777" w:rsidR="00E77839" w:rsidRDefault="00E77839" w:rsidP="009002E5">
            <w:pPr>
              <w:jc w:val="both"/>
              <w:rPr>
                <w:b/>
                <w:color w:val="000000"/>
                <w:sz w:val="20"/>
                <w:szCs w:val="20"/>
              </w:rPr>
            </w:pPr>
            <w:r>
              <w:rPr>
                <w:b/>
                <w:color w:val="000000"/>
                <w:sz w:val="20"/>
                <w:szCs w:val="20"/>
              </w:rPr>
              <w:t>O</w:t>
            </w:r>
            <w:r w:rsidRPr="00B63DD5">
              <w:rPr>
                <w:b/>
                <w:color w:val="000000"/>
                <w:sz w:val="20"/>
                <w:szCs w:val="20"/>
              </w:rPr>
              <w:t>utcome</w:t>
            </w:r>
          </w:p>
        </w:tc>
      </w:tr>
      <w:tr w:rsidR="00E77839" w:rsidRPr="00B63DD5" w14:paraId="480AAD41" w14:textId="77777777" w:rsidTr="009002E5">
        <w:trPr>
          <w:trHeight w:val="259"/>
        </w:trPr>
        <w:tc>
          <w:tcPr>
            <w:tcW w:w="7652" w:type="dxa"/>
            <w:gridSpan w:val="3"/>
            <w:tcBorders>
              <w:top w:val="nil"/>
              <w:bottom w:val="single" w:sz="4" w:space="0" w:color="auto"/>
            </w:tcBorders>
            <w:shd w:val="clear" w:color="auto" w:fill="auto"/>
            <w:noWrap/>
            <w:vAlign w:val="center"/>
            <w:hideMark/>
          </w:tcPr>
          <w:p w14:paraId="021DFC21" w14:textId="77777777" w:rsidR="00E77839" w:rsidRPr="00B63DD5" w:rsidRDefault="00E77839" w:rsidP="009002E5">
            <w:pPr>
              <w:spacing w:line="276" w:lineRule="auto"/>
              <w:jc w:val="both"/>
              <w:rPr>
                <w:color w:val="000000"/>
                <w:sz w:val="20"/>
                <w:szCs w:val="20"/>
              </w:rPr>
            </w:pPr>
            <w:r>
              <w:rPr>
                <w:color w:val="000000"/>
                <w:sz w:val="20"/>
                <w:szCs w:val="20"/>
              </w:rPr>
              <w:t>Assessment</w:t>
            </w:r>
            <w:r w:rsidRPr="00B63DD5">
              <w:rPr>
                <w:color w:val="000000"/>
                <w:sz w:val="20"/>
                <w:szCs w:val="20"/>
              </w:rPr>
              <w:t xml:space="preserve"> of outcome through </w:t>
            </w:r>
            <w:r>
              <w:rPr>
                <w:color w:val="000000"/>
                <w:sz w:val="20"/>
                <w:szCs w:val="20"/>
              </w:rPr>
              <w:t>objective tests or standard criteria</w:t>
            </w:r>
          </w:p>
        </w:tc>
        <w:tc>
          <w:tcPr>
            <w:tcW w:w="1137" w:type="dxa"/>
            <w:tcBorders>
              <w:top w:val="nil"/>
              <w:bottom w:val="single" w:sz="4" w:space="0" w:color="auto"/>
              <w:right w:val="nil"/>
            </w:tcBorders>
            <w:vAlign w:val="center"/>
          </w:tcPr>
          <w:p w14:paraId="535E1D88" w14:textId="77777777" w:rsidR="00E77839" w:rsidRPr="00B63DD5" w:rsidRDefault="00E77839" w:rsidP="009002E5">
            <w:pPr>
              <w:jc w:val="center"/>
              <w:rPr>
                <w:color w:val="000000"/>
                <w:sz w:val="20"/>
                <w:szCs w:val="20"/>
              </w:rPr>
            </w:pPr>
            <w:r w:rsidRPr="0044561E">
              <w:rPr>
                <w:color w:val="000000"/>
                <w:sz w:val="20"/>
                <w:szCs w:val="20"/>
              </w:rPr>
              <w:t>■</w:t>
            </w:r>
          </w:p>
        </w:tc>
        <w:tc>
          <w:tcPr>
            <w:tcW w:w="945" w:type="dxa"/>
            <w:tcBorders>
              <w:top w:val="nil"/>
              <w:bottom w:val="single" w:sz="4" w:space="0" w:color="auto"/>
              <w:right w:val="nil"/>
            </w:tcBorders>
          </w:tcPr>
          <w:p w14:paraId="5C9FD64E" w14:textId="77777777" w:rsidR="00E77839" w:rsidRPr="00B63DD5" w:rsidRDefault="00E77839" w:rsidP="009002E5">
            <w:pPr>
              <w:jc w:val="center"/>
              <w:rPr>
                <w:color w:val="000000"/>
                <w:sz w:val="20"/>
                <w:szCs w:val="20"/>
              </w:rPr>
            </w:pPr>
            <w:r w:rsidRPr="0044561E">
              <w:rPr>
                <w:color w:val="000000"/>
                <w:sz w:val="20"/>
                <w:szCs w:val="20"/>
              </w:rPr>
              <w:t>■</w:t>
            </w:r>
          </w:p>
        </w:tc>
        <w:tc>
          <w:tcPr>
            <w:tcW w:w="1039" w:type="dxa"/>
            <w:tcBorders>
              <w:top w:val="nil"/>
              <w:bottom w:val="single" w:sz="4" w:space="0" w:color="auto"/>
              <w:right w:val="single" w:sz="4" w:space="0" w:color="auto"/>
            </w:tcBorders>
          </w:tcPr>
          <w:p w14:paraId="7AED4E64" w14:textId="77777777" w:rsidR="00E77839" w:rsidRPr="00B63DD5" w:rsidRDefault="00E77839" w:rsidP="009002E5">
            <w:pPr>
              <w:jc w:val="center"/>
              <w:rPr>
                <w:color w:val="000000"/>
                <w:sz w:val="20"/>
                <w:szCs w:val="20"/>
              </w:rPr>
            </w:pPr>
            <w:r w:rsidRPr="0044561E">
              <w:rPr>
                <w:color w:val="000000"/>
                <w:sz w:val="20"/>
                <w:szCs w:val="20"/>
              </w:rPr>
              <w:t>■</w:t>
            </w:r>
          </w:p>
        </w:tc>
        <w:tc>
          <w:tcPr>
            <w:tcW w:w="993" w:type="dxa"/>
            <w:tcBorders>
              <w:top w:val="nil"/>
              <w:left w:val="single" w:sz="4" w:space="0" w:color="auto"/>
              <w:bottom w:val="single" w:sz="4" w:space="0" w:color="auto"/>
            </w:tcBorders>
            <w:vAlign w:val="center"/>
          </w:tcPr>
          <w:p w14:paraId="7CE54D48" w14:textId="77777777" w:rsidR="00E77839" w:rsidRPr="00B63DD5" w:rsidRDefault="00E77839" w:rsidP="009002E5">
            <w:pPr>
              <w:jc w:val="center"/>
              <w:rPr>
                <w:color w:val="000000"/>
                <w:sz w:val="20"/>
                <w:szCs w:val="20"/>
              </w:rPr>
            </w:pPr>
            <w:r w:rsidRPr="0044561E">
              <w:rPr>
                <w:color w:val="000000"/>
                <w:sz w:val="20"/>
                <w:szCs w:val="20"/>
              </w:rPr>
              <w:t>■</w:t>
            </w:r>
          </w:p>
        </w:tc>
        <w:tc>
          <w:tcPr>
            <w:tcW w:w="993" w:type="dxa"/>
            <w:tcBorders>
              <w:top w:val="nil"/>
              <w:left w:val="single" w:sz="4" w:space="0" w:color="auto"/>
              <w:bottom w:val="single" w:sz="4" w:space="0" w:color="auto"/>
            </w:tcBorders>
          </w:tcPr>
          <w:p w14:paraId="03D2C636" w14:textId="1186BC33" w:rsidR="00E77839" w:rsidRPr="00B63DD5" w:rsidRDefault="00E77839" w:rsidP="009002E5">
            <w:pPr>
              <w:jc w:val="center"/>
              <w:rPr>
                <w:color w:val="000000"/>
                <w:sz w:val="20"/>
                <w:szCs w:val="20"/>
              </w:rPr>
            </w:pPr>
            <w:r w:rsidRPr="0044561E">
              <w:rPr>
                <w:color w:val="000000"/>
                <w:sz w:val="20"/>
                <w:szCs w:val="20"/>
              </w:rPr>
              <w:t>■</w:t>
            </w:r>
          </w:p>
        </w:tc>
      </w:tr>
      <w:tr w:rsidR="00E77839" w:rsidRPr="00B63DD5" w14:paraId="719907AE" w14:textId="77777777" w:rsidTr="009002E5">
        <w:trPr>
          <w:trHeight w:val="259"/>
        </w:trPr>
        <w:tc>
          <w:tcPr>
            <w:tcW w:w="12759" w:type="dxa"/>
            <w:gridSpan w:val="8"/>
            <w:tcBorders>
              <w:top w:val="single" w:sz="4" w:space="0" w:color="auto"/>
              <w:left w:val="nil"/>
              <w:bottom w:val="nil"/>
              <w:right w:val="nil"/>
            </w:tcBorders>
            <w:shd w:val="clear" w:color="auto" w:fill="auto"/>
            <w:noWrap/>
            <w:vAlign w:val="center"/>
          </w:tcPr>
          <w:p w14:paraId="4BCF8FC7" w14:textId="77777777" w:rsidR="00E77839" w:rsidRDefault="00E77839" w:rsidP="009002E5">
            <w:pPr>
              <w:jc w:val="both"/>
              <w:rPr>
                <w:b/>
                <w:bCs/>
                <w:i/>
                <w:iCs/>
                <w:color w:val="000000"/>
                <w:sz w:val="20"/>
                <w:szCs w:val="20"/>
              </w:rPr>
            </w:pPr>
            <w:r>
              <w:rPr>
                <w:b/>
                <w:bCs/>
                <w:i/>
                <w:iCs/>
                <w:color w:val="000000"/>
                <w:sz w:val="20"/>
                <w:szCs w:val="20"/>
              </w:rPr>
              <w:t xml:space="preserve">See notes below. </w:t>
            </w:r>
          </w:p>
          <w:p w14:paraId="16F5DFD7" w14:textId="77777777" w:rsidR="00E77839" w:rsidRPr="0044561E" w:rsidRDefault="00E77839" w:rsidP="009002E5">
            <w:pPr>
              <w:jc w:val="center"/>
              <w:rPr>
                <w:color w:val="000000"/>
                <w:sz w:val="20"/>
                <w:szCs w:val="20"/>
              </w:rPr>
            </w:pPr>
          </w:p>
        </w:tc>
      </w:tr>
    </w:tbl>
    <w:p w14:paraId="6F4C60FE" w14:textId="762B2F71" w:rsidR="00E330CD" w:rsidRPr="00802137" w:rsidRDefault="00E330CD" w:rsidP="00E330CD">
      <w:pPr>
        <w:spacing w:line="360" w:lineRule="auto"/>
        <w:jc w:val="both"/>
        <w:rPr>
          <w:color w:val="000000"/>
          <w:sz w:val="22"/>
          <w:szCs w:val="22"/>
        </w:rPr>
      </w:pPr>
    </w:p>
    <w:p w14:paraId="6031D307" w14:textId="77777777" w:rsidR="00E330CD" w:rsidRPr="00802137" w:rsidRDefault="00E330CD" w:rsidP="00E330CD">
      <w:pPr>
        <w:jc w:val="both"/>
        <w:rPr>
          <w:b/>
          <w:bCs/>
          <w:i/>
          <w:iCs/>
          <w:color w:val="000000"/>
          <w:sz w:val="20"/>
          <w:szCs w:val="20"/>
        </w:rPr>
      </w:pPr>
    </w:p>
    <w:p w14:paraId="687F1655" w14:textId="77777777" w:rsidR="00E330CD" w:rsidRDefault="00E330CD" w:rsidP="00E330CD">
      <w:pPr>
        <w:rPr>
          <w:b/>
          <w:bCs/>
        </w:rPr>
      </w:pPr>
    </w:p>
    <w:p w14:paraId="7BAC3E2A" w14:textId="77777777" w:rsidR="00FC121C" w:rsidRDefault="00FC121C" w:rsidP="00E330CD">
      <w:pPr>
        <w:rPr>
          <w:b/>
          <w:bCs/>
        </w:rPr>
      </w:pPr>
    </w:p>
    <w:p w14:paraId="53C6F34E" w14:textId="77777777" w:rsidR="00FC121C" w:rsidRDefault="00FC121C" w:rsidP="00E330CD">
      <w:pPr>
        <w:rPr>
          <w:b/>
          <w:bCs/>
        </w:rPr>
      </w:pPr>
    </w:p>
    <w:p w14:paraId="0C7D23E1" w14:textId="77777777" w:rsidR="00FC121C" w:rsidRDefault="00FC121C" w:rsidP="00E330CD">
      <w:pPr>
        <w:rPr>
          <w:b/>
          <w:bCs/>
        </w:rPr>
      </w:pPr>
    </w:p>
    <w:p w14:paraId="2B16DEBC" w14:textId="77777777" w:rsidR="00FC121C" w:rsidRDefault="00FC121C" w:rsidP="00E330CD">
      <w:pPr>
        <w:rPr>
          <w:b/>
          <w:bCs/>
        </w:rPr>
      </w:pPr>
    </w:p>
    <w:p w14:paraId="65D4CD9F" w14:textId="77777777" w:rsidR="00FC121C" w:rsidRDefault="00FC121C" w:rsidP="00E330CD">
      <w:pPr>
        <w:rPr>
          <w:b/>
          <w:bCs/>
        </w:rPr>
      </w:pPr>
    </w:p>
    <w:p w14:paraId="6EFF6C2C" w14:textId="77777777" w:rsidR="00FC121C" w:rsidRDefault="00FC121C" w:rsidP="00E330CD">
      <w:pPr>
        <w:rPr>
          <w:b/>
          <w:bCs/>
        </w:rPr>
      </w:pPr>
    </w:p>
    <w:p w14:paraId="2294DA74" w14:textId="77777777" w:rsidR="00FC121C" w:rsidRDefault="00FC121C" w:rsidP="00E330CD">
      <w:pPr>
        <w:rPr>
          <w:b/>
          <w:bCs/>
        </w:rPr>
      </w:pPr>
    </w:p>
    <w:p w14:paraId="21A7800B" w14:textId="77777777" w:rsidR="00FC121C" w:rsidRDefault="00FC121C" w:rsidP="00E330CD">
      <w:pPr>
        <w:rPr>
          <w:b/>
          <w:bCs/>
        </w:rPr>
      </w:pPr>
    </w:p>
    <w:p w14:paraId="26FEE396" w14:textId="77777777" w:rsidR="00FC121C" w:rsidRDefault="00FC121C" w:rsidP="00E330CD">
      <w:pPr>
        <w:rPr>
          <w:b/>
          <w:bCs/>
        </w:rPr>
      </w:pPr>
    </w:p>
    <w:p w14:paraId="4877611F" w14:textId="77777777" w:rsidR="00E330CD" w:rsidRDefault="00E330CD" w:rsidP="00E330CD">
      <w:pPr>
        <w:jc w:val="both"/>
      </w:pPr>
      <w:r>
        <w:br w:type="page"/>
      </w:r>
    </w:p>
    <w:p w14:paraId="20A62D06" w14:textId="259A7D31" w:rsidR="00E77839" w:rsidRDefault="00E77839" w:rsidP="00E77839">
      <w:pPr>
        <w:jc w:val="both"/>
        <w:rPr>
          <w:b/>
          <w:bCs/>
          <w:i/>
          <w:iCs/>
          <w:color w:val="000000"/>
          <w:sz w:val="20"/>
          <w:szCs w:val="20"/>
        </w:rPr>
      </w:pPr>
      <w:r w:rsidRPr="00F47146">
        <w:rPr>
          <w:b/>
          <w:bCs/>
          <w:i/>
          <w:iCs/>
          <w:color w:val="000000"/>
          <w:sz w:val="20"/>
          <w:szCs w:val="20"/>
        </w:rPr>
        <w:lastRenderedPageBreak/>
        <w:t xml:space="preserve">Notes: </w:t>
      </w:r>
      <w:r w:rsidRPr="00F47146">
        <w:rPr>
          <w:sz w:val="20"/>
          <w:szCs w:val="20"/>
        </w:rPr>
        <w:t xml:space="preserve"> To allow for the incorporation of the environment-gene-disease interaction in individual study quality assessment, methodological quality was assessed using study-design specific (cohort, case-control, cross-sectional) adapted versions of a combination between the quality assessment tool developed by Moon </w:t>
      </w:r>
      <w:r w:rsidRPr="00F47146">
        <w:rPr>
          <w:i/>
          <w:iCs/>
          <w:sz w:val="20"/>
          <w:szCs w:val="20"/>
        </w:rPr>
        <w:t>et al.</w:t>
      </w:r>
      <w:r w:rsidRPr="00F47146">
        <w:rPr>
          <w:sz w:val="20"/>
          <w:szCs w:val="20"/>
        </w:rPr>
        <w:t xml:space="preserve"> 2017</w:t>
      </w:r>
      <w:r w:rsidRPr="00F47146">
        <w:rPr>
          <w:sz w:val="20"/>
          <w:szCs w:val="20"/>
        </w:rPr>
        <w:fldChar w:fldCharType="begin" w:fldLock="1"/>
      </w:r>
      <w:r w:rsidR="009002E5">
        <w:rPr>
          <w:sz w:val="20"/>
          <w:szCs w:val="20"/>
        </w:rPr>
        <w:instrText>ADDIN CSL_CITATION {"citationItems":[{"id":"ITEM-1","itemData":{"DOI":"10.1093/ije/dyx202","ISSN":"0300-5771","author":[{"dropping-particle":"","family":"Moon","given":"Katherine A","non-dropping-particle":"","parse-names":false,"suffix":""},{"dropping-particle":"","family":"Oberoi","given":"Shilpi","non-dropping-particle":"","parse-names":false,"suffix":""},{"dropping-particle":"","family":"Barchowsky","given":"Aaron","non-dropping-particle":"","parse-names":false,"suffix":""},{"dropping-particle":"","family":"Chen","given":"Yu","non-dropping-particle":"","parse-names":false,"suffix":""},{"dropping-particle":"","family":"Guallar","given":"Eliseo","non-dropping-particle":"","parse-names":false,"suffix":""},{"dropping-particle":"","family":"Nachman","given":"Keeve E","non-dropping-particle":"","parse-names":false,"suffix":""},{"dropping-particle":"","family":"Rahman","given":"Mahfuzar","non-dropping-particle":"","parse-names":false,"suffix":""},{"dropping-particle":"","family":"Sohel","given":"Nazmul","non-dropping-particle":"","parse-names":false,"suffix":""},{"dropping-particle":"","family":"D’Ippoliti","given":"Daniela","non-dropping-particle":"","parse-names":false,"suffix":""},{"dropping-particle":"","family":"Wade","given":"Timothy J","non-dropping-particle":"","parse-names":false,"suffix":""},{"dropping-particle":"","family":"James","given":"Katherine A","non-dropping-particle":"","parse-names":false,"suffix":""},{"dropping-particle":"","family":"Farzan","given":"Shohreh F","non-dropping-particle":"","parse-names":false,"suffix":""},{"dropping-particle":"","family":"Karagas","given":"Margaret R","non-dropping-particle":"","parse-names":false,"suffix":""},{"dropping-particle":"","family":"Ahsan","given":"Habibul","non-dropping-particle":"","parse-names":false,"suffix":""},{"dropping-particle":"","family":"Navas-Acien","given":"Ana","non-dropping-particle":"","parse-names":false,"suffix":""}],"container-title":"International Journal of Epidemiology","id":"ITEM-1","issue":"6","issued":{"date-parts":[["2017","12","1"]]},"page":"1924-1939","publisher":"Narnia","title":"A dose-response meta-analysis of chronic arsenic exposure and incident cardiovascular disease","type":"article-journal","volume":"46"},"uris":["http://www.mendeley.com/documents/?uuid=17bca778-5217-3426-a435-117300709024"]}],"mendeley":{"formattedCitation":"&lt;sup&gt;7&lt;/sup&gt;","plainTextFormattedCitation":"7","previouslyFormattedCitation":"&lt;sup&gt;10&lt;/sup&gt;"},"properties":{"noteIndex":0},"schema":"https://github.com/citation-style-language/schema/raw/master/csl-citation.json"}</w:instrText>
      </w:r>
      <w:r w:rsidRPr="00F47146">
        <w:rPr>
          <w:sz w:val="20"/>
          <w:szCs w:val="20"/>
        </w:rPr>
        <w:fldChar w:fldCharType="separate"/>
      </w:r>
      <w:r w:rsidR="009002E5" w:rsidRPr="009002E5">
        <w:rPr>
          <w:noProof/>
          <w:sz w:val="20"/>
          <w:szCs w:val="20"/>
          <w:vertAlign w:val="superscript"/>
        </w:rPr>
        <w:t>7</w:t>
      </w:r>
      <w:r w:rsidRPr="00F47146">
        <w:rPr>
          <w:sz w:val="20"/>
          <w:szCs w:val="20"/>
        </w:rPr>
        <w:fldChar w:fldCharType="end"/>
      </w:r>
      <w:r w:rsidRPr="00F47146">
        <w:rPr>
          <w:sz w:val="20"/>
          <w:szCs w:val="20"/>
        </w:rPr>
        <w:t xml:space="preserve"> - based on the </w:t>
      </w:r>
      <w:r w:rsidRPr="00F47146">
        <w:rPr>
          <w:rFonts w:eastAsia="Calibri"/>
          <w:color w:val="000000" w:themeColor="text1"/>
          <w:sz w:val="20"/>
          <w:szCs w:val="20"/>
        </w:rPr>
        <w:t>Newcastle-Ottawa scale (NOS)</w:t>
      </w:r>
      <w:r w:rsidRPr="00F47146">
        <w:rPr>
          <w:rFonts w:eastAsia="Calibri"/>
          <w:color w:val="000000" w:themeColor="text1"/>
          <w:sz w:val="20"/>
          <w:szCs w:val="20"/>
        </w:rPr>
        <w:fldChar w:fldCharType="begin" w:fldLock="1"/>
      </w:r>
      <w:r w:rsidR="009002E5">
        <w:rPr>
          <w:rFonts w:eastAsia="Calibri"/>
          <w:color w:val="000000" w:themeColor="text1"/>
          <w:sz w:val="20"/>
          <w:szCs w:val="20"/>
        </w:rPr>
        <w:instrText>ADDIN CSL_CITATION {"citationItems":[{"id":"ITEM-1","itemData":{"author":[{"dropping-particle":"","family":"Wells","given":"GA","non-dropping-particle":"","parse-names":false,"suffix":""},{"dropping-particle":"","family":"Shea","given":"B","non-dropping-particle":"","parse-names":false,"suffix":""},{"dropping-particle":"","family":"O'Connell","given":"D","non-dropping-particle":"","parse-names":false,"suffix":""},{"dropping-particle":"","family":"Peterson","given":"J","non-dropping-particle":"","parse-names":false,"suffix":""},{"dropping-particle":"","family":"Welch","given":"V","non-dropping-particle":"","parse-names":false,"suffix":""},{"dropping-particle":"","family":"Losos","given":"M","non-dropping-particle":"","parse-names":false,"suffix":""},{"dropping-particle":"","family":"Tugwell","given":"P","non-dropping-particle":"","parse-names":false,"suffix":""}],"container-title":"OHRI","id":"ITEM-1","issued":{"date-parts":[["0"]]},"title":"The Newcastle-Ottawa Scale (NOS) for assessing the quality of nonrandomised studies in meta-analyses","type":"article-journal"},"uris":["http://www.mendeley.com/documents/?uuid=d5217e1d-c198-33d1-a65f-723c6baf54c1"]}],"mendeley":{"formattedCitation":"&lt;sup&gt;8&lt;/sup&gt;","plainTextFormattedCitation":"8","previouslyFormattedCitation":"&lt;sup&gt;11&lt;/sup&gt;"},"properties":{"noteIndex":0},"schema":"https://github.com/citation-style-language/schema/raw/master/csl-citation.json"}</w:instrText>
      </w:r>
      <w:r w:rsidRPr="00F47146">
        <w:rPr>
          <w:rFonts w:eastAsia="Calibri"/>
          <w:color w:val="000000" w:themeColor="text1"/>
          <w:sz w:val="20"/>
          <w:szCs w:val="20"/>
        </w:rPr>
        <w:fldChar w:fldCharType="separate"/>
      </w:r>
      <w:r w:rsidR="009002E5" w:rsidRPr="009002E5">
        <w:rPr>
          <w:rFonts w:eastAsia="Calibri"/>
          <w:noProof/>
          <w:color w:val="000000" w:themeColor="text1"/>
          <w:sz w:val="20"/>
          <w:szCs w:val="20"/>
          <w:vertAlign w:val="superscript"/>
        </w:rPr>
        <w:t>8</w:t>
      </w:r>
      <w:r w:rsidRPr="00F47146">
        <w:rPr>
          <w:rFonts w:eastAsia="Calibri"/>
          <w:color w:val="000000" w:themeColor="text1"/>
          <w:sz w:val="20"/>
          <w:szCs w:val="20"/>
        </w:rPr>
        <w:fldChar w:fldCharType="end"/>
      </w:r>
      <w:r w:rsidRPr="00F47146">
        <w:rPr>
          <w:rFonts w:eastAsia="Calibri"/>
          <w:color w:val="000000" w:themeColor="text1"/>
          <w:sz w:val="20"/>
          <w:szCs w:val="20"/>
        </w:rPr>
        <w:t xml:space="preserve"> – and the Q-genie tool for the quality assessment of genetic association studies.</w:t>
      </w:r>
      <w:r w:rsidRPr="00F47146">
        <w:rPr>
          <w:rFonts w:eastAsia="Calibri"/>
          <w:color w:val="000000" w:themeColor="text1"/>
          <w:sz w:val="20"/>
          <w:szCs w:val="20"/>
        </w:rPr>
        <w:fldChar w:fldCharType="begin" w:fldLock="1"/>
      </w:r>
      <w:r w:rsidR="009002E5">
        <w:rPr>
          <w:rFonts w:eastAsia="Calibri"/>
          <w:color w:val="000000" w:themeColor="text1"/>
          <w:sz w:val="20"/>
          <w:szCs w:val="20"/>
        </w:rPr>
        <w:instrText>ADDIN CSL_CITATION {"citationItems":[{"id":"ITEM-1","itemData":{"DOI":"10.1186/S12863-015-0211-2","ISSN":"14712156","PMID":"25975208","abstract":"Background: Advances in genomics technology have led to a dramatic increase in the number of published genetic association studies. Systematic reviews and meta-analyses are a common method of synthesizing findings and providing reliable estimates of the effect of a genetic variant on a trait of interest. However, summary estimates are subject to bias due to the varying methodological quality of individual studies. We embarked on an effort to develop and evaluate a tool that assesses the quality of published genetic association studies. Performance characteristics (i.e. validity, reliability, and item discrimination) were evaluated using a sample of thirty studies randomly selected from a previously conducted systematic review. Results: The tool demonstrates excellent psychometric properties and generates a quality score for each study with corresponding ratings of 'low', 'moderate', or 'high' quality. We applied our tool to a published systematic review to exclude studies of low quality, and found a decrease in heterogeneity and an increase in precision of summary estimates. Conclusion: This tool can be used in systematic reviews to inform the selection of studies for inclusion, to conduct sensitivity analyses, and to perform meta-regressions.","author":[{"dropping-particle":"","family":"Sohani","given":"Zahra N.","non-dropping-particle":"","parse-names":false,"suffix":""},{"dropping-particle":"","family":"Meyre","given":"David","non-dropping-particle":"","parse-names":false,"suffix":""},{"dropping-particle":"","family":"Souza","given":"Russell J.","non-dropping-particle":"de","parse-names":false,"suffix":""},{"dropping-particle":"","family":"Joseph","given":"Philip G.","non-dropping-particle":"","parse-names":false,"suffix":""},{"dropping-particle":"","family":"Gandhi","given":"Mandark","non-dropping-particle":"","parse-names":false,"suffix":""},{"dropping-particle":"","family":"Dennis","given":"Brittany B.","non-dropping-particle":"","parse-names":false,"suffix":""},{"dropping-particle":"","family":"Norman","given":"Geoff","non-dropping-particle":"","parse-names":false,"suffix":""},{"dropping-particle":"","family":"Anand","given":"Sonia S.","non-dropping-particle":"","parse-names":false,"suffix":""}],"container-title":"BMC Genetics","id":"ITEM-1","issue":"1","issued":{"date-parts":[["2015","5","15"]]},"publisher":"BioMed Central","title":"Assessing the quality of published genetic association studies in meta-analyses: the quality of genetic studies (Q-Genie) tool","type":"article-journal","volume":"16"},"uris":["http://www.mendeley.com/documents/?uuid=4c83c7b4-6062-3a2a-8180-d82d67173eaf"]}],"mendeley":{"formattedCitation":"&lt;sup&gt;9&lt;/sup&gt;","plainTextFormattedCitation":"9","previouslyFormattedCitation":"&lt;sup&gt;12&lt;/sup&gt;"},"properties":{"noteIndex":0},"schema":"https://github.com/citation-style-language/schema/raw/master/csl-citation.json"}</w:instrText>
      </w:r>
      <w:r w:rsidRPr="00F47146">
        <w:rPr>
          <w:rFonts w:eastAsia="Calibri"/>
          <w:color w:val="000000" w:themeColor="text1"/>
          <w:sz w:val="20"/>
          <w:szCs w:val="20"/>
        </w:rPr>
        <w:fldChar w:fldCharType="separate"/>
      </w:r>
      <w:r w:rsidR="009002E5" w:rsidRPr="009002E5">
        <w:rPr>
          <w:rFonts w:eastAsia="Calibri"/>
          <w:noProof/>
          <w:color w:val="000000" w:themeColor="text1"/>
          <w:sz w:val="20"/>
          <w:szCs w:val="20"/>
          <w:vertAlign w:val="superscript"/>
        </w:rPr>
        <w:t>9</w:t>
      </w:r>
      <w:r w:rsidRPr="00F47146">
        <w:rPr>
          <w:rFonts w:eastAsia="Calibri"/>
          <w:color w:val="000000" w:themeColor="text1"/>
          <w:sz w:val="20"/>
          <w:szCs w:val="20"/>
        </w:rPr>
        <w:fldChar w:fldCharType="end"/>
      </w:r>
      <w:r w:rsidRPr="00F47146">
        <w:rPr>
          <w:b/>
          <w:bCs/>
          <w:i/>
          <w:iCs/>
          <w:color w:val="000000"/>
          <w:sz w:val="20"/>
          <w:szCs w:val="20"/>
        </w:rPr>
        <w:t xml:space="preserve"> </w:t>
      </w:r>
    </w:p>
    <w:p w14:paraId="221A10C7" w14:textId="77777777" w:rsidR="00E77839" w:rsidRDefault="00E77839" w:rsidP="00E77839">
      <w:pPr>
        <w:jc w:val="both"/>
        <w:rPr>
          <w:b/>
          <w:bCs/>
          <w:i/>
          <w:iCs/>
          <w:color w:val="000000"/>
          <w:sz w:val="20"/>
          <w:szCs w:val="20"/>
        </w:rPr>
      </w:pPr>
    </w:p>
    <w:p w14:paraId="5D0274B6" w14:textId="77777777" w:rsidR="00E77839" w:rsidRDefault="00E77839" w:rsidP="00E77839">
      <w:pPr>
        <w:jc w:val="both"/>
        <w:rPr>
          <w:color w:val="000000"/>
          <w:sz w:val="20"/>
          <w:szCs w:val="20"/>
        </w:rPr>
      </w:pPr>
      <w:r w:rsidRPr="00F47146">
        <w:rPr>
          <w:color w:val="000000"/>
          <w:sz w:val="20"/>
          <w:szCs w:val="20"/>
        </w:rPr>
        <w:t xml:space="preserve">■ Indicates that the study fulfilled the corresponding quality criterion. </w:t>
      </w:r>
    </w:p>
    <w:p w14:paraId="424462D4" w14:textId="77777777" w:rsidR="00E77839" w:rsidRDefault="00E77839" w:rsidP="00E77839">
      <w:pPr>
        <w:jc w:val="both"/>
        <w:rPr>
          <w:color w:val="000000"/>
          <w:sz w:val="20"/>
          <w:szCs w:val="20"/>
        </w:rPr>
      </w:pPr>
      <w:r w:rsidRPr="00F47146">
        <w:rPr>
          <w:color w:val="000000"/>
          <w:sz w:val="20"/>
          <w:szCs w:val="20"/>
        </w:rPr>
        <w:t>□ Indicates that the study did not fulfil the corresponding quality criteri</w:t>
      </w:r>
      <w:r>
        <w:rPr>
          <w:color w:val="000000"/>
          <w:sz w:val="20"/>
          <w:szCs w:val="20"/>
        </w:rPr>
        <w:t>on</w:t>
      </w:r>
      <w:r w:rsidRPr="00F47146">
        <w:rPr>
          <w:color w:val="000000"/>
          <w:sz w:val="20"/>
          <w:szCs w:val="20"/>
        </w:rPr>
        <w:t xml:space="preserve">. </w:t>
      </w:r>
    </w:p>
    <w:p w14:paraId="54902A64" w14:textId="77777777" w:rsidR="00E77839" w:rsidRDefault="00E77839" w:rsidP="00E77839">
      <w:pPr>
        <w:jc w:val="both"/>
        <w:rPr>
          <w:color w:val="000000"/>
          <w:sz w:val="20"/>
          <w:szCs w:val="20"/>
        </w:rPr>
      </w:pPr>
      <w:r w:rsidRPr="00F47146">
        <w:rPr>
          <w:color w:val="000000"/>
          <w:sz w:val="20"/>
          <w:szCs w:val="20"/>
        </w:rPr>
        <w:t>-- Indicates that information on the corresponding quality criteri</w:t>
      </w:r>
      <w:r>
        <w:rPr>
          <w:color w:val="000000"/>
          <w:sz w:val="20"/>
          <w:szCs w:val="20"/>
        </w:rPr>
        <w:t>on</w:t>
      </w:r>
      <w:r w:rsidRPr="00F47146">
        <w:rPr>
          <w:color w:val="000000"/>
          <w:sz w:val="20"/>
          <w:szCs w:val="20"/>
        </w:rPr>
        <w:t xml:space="preserve"> is not clearly reported in the study.</w:t>
      </w:r>
    </w:p>
    <w:p w14:paraId="39B73431" w14:textId="77777777" w:rsidR="00E77839" w:rsidRDefault="00E77839" w:rsidP="00E77839">
      <w:pPr>
        <w:jc w:val="both"/>
        <w:rPr>
          <w:color w:val="000000"/>
          <w:sz w:val="20"/>
          <w:szCs w:val="20"/>
        </w:rPr>
      </w:pPr>
    </w:p>
    <w:p w14:paraId="445A0AED" w14:textId="292EF8E3" w:rsidR="00E77839" w:rsidRDefault="00E77839" w:rsidP="00E77839">
      <w:pPr>
        <w:jc w:val="both"/>
        <w:rPr>
          <w:color w:val="000000"/>
          <w:sz w:val="20"/>
          <w:szCs w:val="20"/>
        </w:rPr>
      </w:pPr>
      <w:r w:rsidRPr="00F47146">
        <w:rPr>
          <w:color w:val="000000"/>
          <w:sz w:val="20"/>
          <w:szCs w:val="20"/>
        </w:rPr>
        <w:t>Except for the “</w:t>
      </w:r>
      <w:r w:rsidRPr="00F47146">
        <w:rPr>
          <w:i/>
          <w:iCs/>
          <w:color w:val="000000"/>
          <w:sz w:val="20"/>
          <w:szCs w:val="20"/>
        </w:rPr>
        <w:t>comparability</w:t>
      </w:r>
      <w:r w:rsidRPr="00F47146">
        <w:rPr>
          <w:color w:val="000000"/>
          <w:sz w:val="20"/>
          <w:szCs w:val="20"/>
        </w:rPr>
        <w:t>” section where studies could receive two squares, a maximum of a single square could be obtained per quality criterion.</w:t>
      </w:r>
      <w:r w:rsidRPr="00F47146">
        <w:rPr>
          <w:sz w:val="20"/>
          <w:szCs w:val="20"/>
        </w:rPr>
        <w:fldChar w:fldCharType="begin" w:fldLock="1"/>
      </w:r>
      <w:r w:rsidR="009002E5">
        <w:rPr>
          <w:sz w:val="20"/>
          <w:szCs w:val="20"/>
        </w:rPr>
        <w:instrText>ADDIN CSL_CITATION {"citationItems":[{"id":"ITEM-1","itemData":{"DOI":"10.1093/ije/dyx202","ISSN":"0300-5771","author":[{"dropping-particle":"","family":"Moon","given":"Katherine A","non-dropping-particle":"","parse-names":false,"suffix":""},{"dropping-particle":"","family":"Oberoi","given":"Shilpi","non-dropping-particle":"","parse-names":false,"suffix":""},{"dropping-particle":"","family":"Barchowsky","given":"Aaron","non-dropping-particle":"","parse-names":false,"suffix":""},{"dropping-particle":"","family":"Chen","given":"Yu","non-dropping-particle":"","parse-names":false,"suffix":""},{"dropping-particle":"","family":"Guallar","given":"Eliseo","non-dropping-particle":"","parse-names":false,"suffix":""},{"dropping-particle":"","family":"Nachman","given":"Keeve E","non-dropping-particle":"","parse-names":false,"suffix":""},{"dropping-particle":"","family":"Rahman","given":"Mahfuzar","non-dropping-particle":"","parse-names":false,"suffix":""},{"dropping-particle":"","family":"Sohel","given":"Nazmul","non-dropping-particle":"","parse-names":false,"suffix":""},{"dropping-particle":"","family":"D’Ippoliti","given":"Daniela","non-dropping-particle":"","parse-names":false,"suffix":""},{"dropping-particle":"","family":"Wade","given":"Timothy J","non-dropping-particle":"","parse-names":false,"suffix":""},{"dropping-particle":"","family":"James","given":"Katherine A","non-dropping-particle":"","parse-names":false,"suffix":""},{"dropping-particle":"","family":"Farzan","given":"Shohreh F","non-dropping-particle":"","parse-names":false,"suffix":""},{"dropping-particle":"","family":"Karagas","given":"Margaret R","non-dropping-particle":"","parse-names":false,"suffix":""},{"dropping-particle":"","family":"Ahsan","given":"Habibul","non-dropping-particle":"","parse-names":false,"suffix":""},{"dropping-particle":"","family":"Navas-Acien","given":"Ana","non-dropping-particle":"","parse-names":false,"suffix":""}],"container-title":"International Journal of Epidemiology","id":"ITEM-1","issue":"6","issued":{"date-parts":[["2017","12","1"]]},"page":"1924-1939","publisher":"Narnia","title":"A dose-response meta-analysis of chronic arsenic exposure and incident cardiovascular disease","type":"article-journal","volume":"46"},"uris":["http://www.mendeley.com/documents/?uuid=17bca778-5217-3426-a435-117300709024"]}],"mendeley":{"formattedCitation":"&lt;sup&gt;7&lt;/sup&gt;","plainTextFormattedCitation":"7","previouslyFormattedCitation":"&lt;sup&gt;10&lt;/sup&gt;"},"properties":{"noteIndex":0},"schema":"https://github.com/citation-style-language/schema/raw/master/csl-citation.json"}</w:instrText>
      </w:r>
      <w:r w:rsidRPr="00F47146">
        <w:rPr>
          <w:sz w:val="20"/>
          <w:szCs w:val="20"/>
        </w:rPr>
        <w:fldChar w:fldCharType="separate"/>
      </w:r>
      <w:r w:rsidR="009002E5" w:rsidRPr="009002E5">
        <w:rPr>
          <w:noProof/>
          <w:sz w:val="20"/>
          <w:szCs w:val="20"/>
          <w:vertAlign w:val="superscript"/>
        </w:rPr>
        <w:t>7</w:t>
      </w:r>
      <w:r w:rsidRPr="00F47146">
        <w:rPr>
          <w:sz w:val="20"/>
          <w:szCs w:val="20"/>
        </w:rPr>
        <w:fldChar w:fldCharType="end"/>
      </w:r>
      <w:r w:rsidRPr="00F47146">
        <w:rPr>
          <w:sz w:val="20"/>
          <w:szCs w:val="20"/>
        </w:rPr>
        <w:t xml:space="preserve"> </w:t>
      </w:r>
      <w:r w:rsidRPr="00F47146">
        <w:rPr>
          <w:color w:val="000000"/>
          <w:sz w:val="20"/>
          <w:szCs w:val="20"/>
        </w:rPr>
        <w:t xml:space="preserve"> In the “</w:t>
      </w:r>
      <w:r w:rsidRPr="00F47146">
        <w:rPr>
          <w:i/>
          <w:iCs/>
          <w:color w:val="000000"/>
          <w:sz w:val="20"/>
          <w:szCs w:val="20"/>
        </w:rPr>
        <w:t>comparability</w:t>
      </w:r>
      <w:r w:rsidRPr="00F47146">
        <w:rPr>
          <w:color w:val="000000"/>
          <w:sz w:val="20"/>
          <w:szCs w:val="20"/>
        </w:rPr>
        <w:t xml:space="preserve">” section one square is assigned when adjusting for age, sex, and education or socio-economic status. Two squares are assigned if the study further adjusted for further socio-demographic, and lifestyle factors (i.e., smoking, BMI). </w:t>
      </w:r>
      <w:r w:rsidRPr="00F47146">
        <w:rPr>
          <w:sz w:val="20"/>
          <w:szCs w:val="20"/>
        </w:rPr>
        <w:t xml:space="preserve">Note, when sample collection to assess arsenic exposure and health examination occurred at the same moment in time, physicians were considered inherently blinded to the exposure status of the individuals. </w:t>
      </w:r>
      <w:r w:rsidRPr="00F47146">
        <w:rPr>
          <w:color w:val="000000"/>
          <w:sz w:val="20"/>
          <w:szCs w:val="20"/>
        </w:rPr>
        <w:t xml:space="preserve"> </w:t>
      </w:r>
    </w:p>
    <w:p w14:paraId="36AA0877" w14:textId="341397BF" w:rsidR="00E77839" w:rsidRDefault="00E77839">
      <w:r>
        <w:br w:type="page"/>
      </w:r>
    </w:p>
    <w:tbl>
      <w:tblPr>
        <w:tblpPr w:leftFromText="180" w:rightFromText="180" w:vertAnchor="text" w:horzAnchor="margin" w:tblpXSpec="center" w:tblpY="-575"/>
        <w:tblOverlap w:val="never"/>
        <w:tblW w:w="15026" w:type="dxa"/>
        <w:tblBorders>
          <w:top w:val="single" w:sz="4" w:space="0" w:color="auto"/>
          <w:left w:val="single" w:sz="2"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7797"/>
        <w:gridCol w:w="850"/>
        <w:gridCol w:w="851"/>
        <w:gridCol w:w="850"/>
        <w:gridCol w:w="993"/>
        <w:gridCol w:w="992"/>
        <w:gridCol w:w="850"/>
        <w:gridCol w:w="851"/>
      </w:tblGrid>
      <w:tr w:rsidR="00E77839" w:rsidRPr="00B63DD5" w14:paraId="77C1BFC3" w14:textId="77777777" w:rsidTr="00E77839">
        <w:trPr>
          <w:cantSplit/>
          <w:trHeight w:val="93"/>
          <w:tblHeader/>
        </w:trPr>
        <w:tc>
          <w:tcPr>
            <w:tcW w:w="992" w:type="dxa"/>
            <w:tcBorders>
              <w:top w:val="nil"/>
              <w:left w:val="nil"/>
              <w:bottom w:val="single" w:sz="4" w:space="0" w:color="000000" w:themeColor="text1"/>
              <w:right w:val="nil"/>
            </w:tcBorders>
          </w:tcPr>
          <w:p w14:paraId="1476F8AE" w14:textId="77777777" w:rsidR="00E77839" w:rsidRDefault="00E77839" w:rsidP="00E77839">
            <w:pPr>
              <w:ind w:right="113"/>
              <w:rPr>
                <w:b/>
                <w:bCs/>
                <w:sz w:val="20"/>
                <w:szCs w:val="20"/>
              </w:rPr>
            </w:pPr>
          </w:p>
        </w:tc>
        <w:tc>
          <w:tcPr>
            <w:tcW w:w="13183" w:type="dxa"/>
            <w:gridSpan w:val="7"/>
            <w:tcBorders>
              <w:top w:val="nil"/>
              <w:left w:val="nil"/>
              <w:bottom w:val="single" w:sz="4" w:space="0" w:color="000000" w:themeColor="text1"/>
              <w:right w:val="nil"/>
            </w:tcBorders>
            <w:shd w:val="clear" w:color="auto" w:fill="auto"/>
            <w:vAlign w:val="center"/>
          </w:tcPr>
          <w:p w14:paraId="332EE030" w14:textId="77777777" w:rsidR="00E77839" w:rsidRDefault="00E77839" w:rsidP="00E77839">
            <w:pPr>
              <w:ind w:right="113"/>
              <w:rPr>
                <w:b/>
                <w:bCs/>
                <w:sz w:val="20"/>
                <w:szCs w:val="20"/>
              </w:rPr>
            </w:pPr>
          </w:p>
          <w:p w14:paraId="285B5506" w14:textId="77777777" w:rsidR="00E77839" w:rsidRDefault="00E77839" w:rsidP="00E77839">
            <w:pPr>
              <w:ind w:right="113"/>
              <w:jc w:val="center"/>
              <w:rPr>
                <w:b/>
                <w:bCs/>
                <w:sz w:val="20"/>
                <w:szCs w:val="20"/>
              </w:rPr>
            </w:pPr>
          </w:p>
          <w:p w14:paraId="52D99AE0" w14:textId="439F4097" w:rsidR="00E77839" w:rsidRPr="00E16F19" w:rsidRDefault="00E77839" w:rsidP="00E77839">
            <w:pPr>
              <w:ind w:right="113"/>
              <w:jc w:val="both"/>
              <w:rPr>
                <w:b/>
                <w:bCs/>
                <w:sz w:val="20"/>
                <w:szCs w:val="20"/>
              </w:rPr>
            </w:pPr>
            <w:r w:rsidRPr="0099775C">
              <w:rPr>
                <w:b/>
                <w:color w:val="000000"/>
                <w:sz w:val="22"/>
                <w:szCs w:val="22"/>
              </w:rPr>
              <w:t xml:space="preserve">Supplement Table </w:t>
            </w:r>
            <w:r w:rsidR="0030321B">
              <w:rPr>
                <w:b/>
                <w:color w:val="000000"/>
                <w:sz w:val="22"/>
                <w:szCs w:val="22"/>
              </w:rPr>
              <w:t>8</w:t>
            </w:r>
            <w:r w:rsidRPr="0099775C">
              <w:rPr>
                <w:b/>
                <w:color w:val="000000"/>
                <w:sz w:val="22"/>
                <w:szCs w:val="22"/>
              </w:rPr>
              <w:t xml:space="preserve"> </w:t>
            </w:r>
            <w:r w:rsidRPr="00E16F19">
              <w:rPr>
                <w:b/>
                <w:bCs/>
                <w:sz w:val="20"/>
                <w:szCs w:val="20"/>
              </w:rPr>
              <w:t xml:space="preserve">Quality assessment of included cross-sectional studies </w:t>
            </w:r>
            <w:r w:rsidRPr="00C92B09">
              <w:rPr>
                <w:b/>
                <w:bCs/>
                <w:sz w:val="20"/>
                <w:szCs w:val="20"/>
              </w:rPr>
              <w:t>(n=7).</w:t>
            </w:r>
          </w:p>
        </w:tc>
        <w:tc>
          <w:tcPr>
            <w:tcW w:w="851" w:type="dxa"/>
            <w:tcBorders>
              <w:top w:val="nil"/>
              <w:left w:val="nil"/>
              <w:bottom w:val="single" w:sz="4" w:space="0" w:color="000000" w:themeColor="text1"/>
              <w:right w:val="nil"/>
            </w:tcBorders>
          </w:tcPr>
          <w:p w14:paraId="01175919" w14:textId="77777777" w:rsidR="00E77839" w:rsidRDefault="00E77839" w:rsidP="00E77839">
            <w:pPr>
              <w:ind w:right="113"/>
              <w:jc w:val="center"/>
              <w:rPr>
                <w:b/>
                <w:bCs/>
                <w:sz w:val="20"/>
                <w:szCs w:val="20"/>
              </w:rPr>
            </w:pPr>
          </w:p>
        </w:tc>
      </w:tr>
      <w:tr w:rsidR="00E77839" w:rsidRPr="0079580F" w14:paraId="61C1A237" w14:textId="77777777" w:rsidTr="00E77839">
        <w:trPr>
          <w:cantSplit/>
          <w:trHeight w:val="1344"/>
          <w:tblHeader/>
        </w:trPr>
        <w:tc>
          <w:tcPr>
            <w:tcW w:w="8789" w:type="dxa"/>
            <w:gridSpan w:val="2"/>
            <w:tcBorders>
              <w:top w:val="single" w:sz="4" w:space="0" w:color="000000" w:themeColor="text1"/>
              <w:bottom w:val="single" w:sz="4" w:space="0" w:color="auto"/>
            </w:tcBorders>
            <w:shd w:val="clear" w:color="auto" w:fill="auto"/>
            <w:vAlign w:val="center"/>
            <w:hideMark/>
          </w:tcPr>
          <w:p w14:paraId="5EE69812" w14:textId="77777777" w:rsidR="00E77839" w:rsidRPr="00C92B09" w:rsidRDefault="00E77839" w:rsidP="00E77839">
            <w:pPr>
              <w:jc w:val="both"/>
              <w:rPr>
                <w:b/>
                <w:color w:val="000000"/>
                <w:sz w:val="20"/>
                <w:szCs w:val="20"/>
              </w:rPr>
            </w:pPr>
            <w:r w:rsidRPr="00C92B09">
              <w:rPr>
                <w:b/>
                <w:color w:val="000000"/>
                <w:sz w:val="20"/>
                <w:szCs w:val="20"/>
              </w:rPr>
              <w:t>Quality criteria</w:t>
            </w:r>
          </w:p>
        </w:tc>
        <w:tc>
          <w:tcPr>
            <w:tcW w:w="850" w:type="dxa"/>
            <w:tcBorders>
              <w:top w:val="single" w:sz="4" w:space="0" w:color="000000" w:themeColor="text1"/>
              <w:bottom w:val="single" w:sz="4" w:space="0" w:color="auto"/>
            </w:tcBorders>
            <w:shd w:val="clear" w:color="auto" w:fill="FFFFFF" w:themeFill="background1"/>
            <w:textDirection w:val="btLr"/>
            <w:vAlign w:val="center"/>
          </w:tcPr>
          <w:p w14:paraId="4F64D60F" w14:textId="77777777" w:rsidR="00E77839" w:rsidRPr="00C92B09" w:rsidRDefault="00E77839" w:rsidP="00E77839">
            <w:pPr>
              <w:ind w:left="113" w:right="113"/>
              <w:rPr>
                <w:color w:val="000000"/>
                <w:sz w:val="20"/>
                <w:szCs w:val="20"/>
                <w:vertAlign w:val="superscript"/>
              </w:rPr>
            </w:pPr>
            <w:r w:rsidRPr="00C92B09">
              <w:rPr>
                <w:sz w:val="20"/>
                <w:szCs w:val="20"/>
              </w:rPr>
              <w:t xml:space="preserve">Chen </w:t>
            </w:r>
            <w:r w:rsidRPr="00C92B09">
              <w:rPr>
                <w:i/>
                <w:iCs/>
                <w:sz w:val="20"/>
                <w:szCs w:val="20"/>
              </w:rPr>
              <w:t>et al.</w:t>
            </w:r>
            <w:r w:rsidRPr="00C92B09">
              <w:rPr>
                <w:sz w:val="20"/>
                <w:szCs w:val="20"/>
              </w:rPr>
              <w:t xml:space="preserve"> 2</w:t>
            </w:r>
            <w:r>
              <w:rPr>
                <w:sz w:val="20"/>
                <w:szCs w:val="20"/>
              </w:rPr>
              <w:t>012a</w:t>
            </w:r>
            <w:r w:rsidRPr="00C92B09">
              <w:rPr>
                <w:sz w:val="20"/>
                <w:szCs w:val="20"/>
              </w:rPr>
              <w:fldChar w:fldCharType="begin" w:fldLock="1"/>
            </w:r>
            <w:r>
              <w:rPr>
                <w:sz w:val="20"/>
                <w:szCs w:val="20"/>
              </w:rPr>
              <w:instrText>ADDIN CSL_CITATION {"citationItems":[{"id":"ITEM-1","itemData":{"DOI":"10.1007/S00204-011-0797-8","ISSN":"1432-0738","PMID":"22193621","abstract":"Heavy metals, including arsenic and lead, may lead to cellular oxidative damage that is linked to hypertension. Manganese superoxide dismutase (MnSOD) is a scavenger of reactive oxygen species, and 8-oxoguanine DNA glycosylase (OGG1) is the major glycosylase that repairs DNA lesions. Interestingly, whether there is an elevated risk of hypertension with arsenic or lead exposure in individuals with genetic variations in MnSOD or OGG1 has not yet been investigated. Questionnaires were administered to 240 Taiwanese rural residents. Blood pressure and biochemical indicators were assessed in each subject. Urinary levels of arsenic and lead were measured with atomic absorption spectrometry; and MnSOD and OGG1 genotypes were identified via polymerase chain reaction. There was a dose-response relationship between urinary arsenic levels and risk of hypertension (P = 0.021, test for trend). However, there was no association between urinary lead levels and hypertension risk. Individuals with high urinary arsenic levels and the MnSOD Val-Ala/Ala-Ala genotypes had a greater risk of hypertension than those with low urinary arsenic levels and the MnSOD Val-Val genotype (odds ratio [OR] = 4.2, 95% confidence interval [CI] = 1.7-10.3). Subjects with a high urinary arsenic level and the OGG1 Cys-Cys genotype also had a greater risk of hypertension than those with a low urinary arsenic level and the OGG1 Ser-Ser/Ser-Cys genotypes (OR = 3.4, 95% CI = 1.1-10.7). Thus, both MnSOD and OGG1 genotypes may be prone to an increased risk of hypertension associated with arsenic exposure. © Springer-Verlag 2012.","author":[{"dropping-particle":"","family":"Chen","given":"Shiuan Chih","non-dropping-particle":"","parse-names":false,"suffix":""},{"dropping-particle":"","family":"Chen","given":"Chun Chieh","non-dropping-particle":"","parse-names":false,"suffix":""},{"dropping-particle":"","family":"Kuo","given":"Chung Yih","non-dropping-particle":"","parse-names":false,"suffix":""},{"dropping-particle":"","family":"Huang","given":"Chun Huang","non-dropping-particle":"","parse-names":false,"suffix":""},{"dropping-particle":"","family":"Lin","given":"Chin Hsiu","non-dropping-particle":"","parse-names":false,"suffix":""},{"dropping-particle":"","family":"Lu","given":"Zi Yun","non-dropping-particle":"","parse-names":false,"suffix":""},{"dropping-particle":"","family":"Chen","given":"Yi Yu","non-dropping-particle":"","parse-names":false,"suffix":""},{"dropping-particle":"","family":"Lee","given":"Hong Shen","non-dropping-particle":"","parse-names":false,"suffix":""},{"dropping-particle":"","family":"Wong","given":"Ruey Hong","non-dropping-particle":"","parse-names":false,"suffix":""}],"container-title":"Archives of toxicology","id":"ITEM-1","issue":"6","issued":{"date-parts":[["2012","6"]]},"page":"869-878","publisher":"Arch Toxicol","title":"Elevated risk of hypertension induced by arsenic exposure in Taiwanese rural residents: possible effects of manganese superoxide dismutase (MnSOD) and 8-oxoguanine DNA glycosylase (OGG1) genes","type":"article-journal","volume":"86"},"uris":["http://www.mendeley.com/documents/?uuid=32bbfe33-f3ef-39dc-93f8-c80046ffbc5f"]}],"mendeley":{"formattedCitation":"&lt;sup&gt;15&lt;/sup&gt;","plainTextFormattedCitation":"15","previouslyFormattedCitation":"&lt;sup&gt;15&lt;/sup&gt;"},"properties":{"noteIndex":0},"schema":"https://github.com/citation-style-language/schema/raw/master/csl-citation.json"}</w:instrText>
            </w:r>
            <w:r w:rsidRPr="00C92B09">
              <w:rPr>
                <w:sz w:val="20"/>
                <w:szCs w:val="20"/>
              </w:rPr>
              <w:fldChar w:fldCharType="separate"/>
            </w:r>
            <w:r w:rsidRPr="00675089">
              <w:rPr>
                <w:noProof/>
                <w:sz w:val="20"/>
                <w:szCs w:val="20"/>
                <w:vertAlign w:val="superscript"/>
              </w:rPr>
              <w:t>15</w:t>
            </w:r>
            <w:r w:rsidRPr="00C92B09">
              <w:rPr>
                <w:sz w:val="20"/>
                <w:szCs w:val="20"/>
              </w:rPr>
              <w:fldChar w:fldCharType="end"/>
            </w:r>
          </w:p>
        </w:tc>
        <w:tc>
          <w:tcPr>
            <w:tcW w:w="851" w:type="dxa"/>
            <w:tcBorders>
              <w:top w:val="single" w:sz="4" w:space="0" w:color="000000" w:themeColor="text1"/>
              <w:bottom w:val="single" w:sz="4" w:space="0" w:color="auto"/>
            </w:tcBorders>
            <w:shd w:val="clear" w:color="auto" w:fill="FFFFFF" w:themeFill="background1"/>
            <w:textDirection w:val="btLr"/>
            <w:vAlign w:val="center"/>
          </w:tcPr>
          <w:p w14:paraId="6A74F063" w14:textId="77777777" w:rsidR="00E77839" w:rsidRPr="00C92B09" w:rsidRDefault="00E77839" w:rsidP="00E77839">
            <w:pPr>
              <w:ind w:left="113" w:right="113"/>
              <w:rPr>
                <w:color w:val="000000"/>
                <w:sz w:val="20"/>
                <w:szCs w:val="20"/>
              </w:rPr>
            </w:pPr>
            <w:proofErr w:type="spellStart"/>
            <w:r w:rsidRPr="00C92B09">
              <w:rPr>
                <w:sz w:val="20"/>
                <w:szCs w:val="20"/>
              </w:rPr>
              <w:t>Drobná</w:t>
            </w:r>
            <w:proofErr w:type="spellEnd"/>
            <w:r w:rsidRPr="00C92B09">
              <w:rPr>
                <w:sz w:val="20"/>
                <w:szCs w:val="20"/>
              </w:rPr>
              <w:t xml:space="preserve"> </w:t>
            </w:r>
            <w:r w:rsidRPr="00C92B09">
              <w:rPr>
                <w:i/>
                <w:iCs/>
                <w:sz w:val="20"/>
                <w:szCs w:val="20"/>
              </w:rPr>
              <w:t>et al.</w:t>
            </w:r>
            <w:r w:rsidRPr="00C92B09">
              <w:rPr>
                <w:sz w:val="20"/>
                <w:szCs w:val="20"/>
              </w:rPr>
              <w:t xml:space="preserve"> 2012</w:t>
            </w:r>
            <w:r w:rsidRPr="00C92B09">
              <w:rPr>
                <w:sz w:val="20"/>
                <w:szCs w:val="20"/>
              </w:rPr>
              <w:fldChar w:fldCharType="begin" w:fldLock="1"/>
            </w:r>
            <w:r>
              <w:rPr>
                <w:sz w:val="20"/>
                <w:szCs w:val="20"/>
              </w:rPr>
              <w:instrText>ADDIN CSL_CITATION {"citationItems":[{"id":"ITEM-1","itemData":{"DOI":"10.1038/jes.2012.103","ISBN":"1559-0631","ISSN":"1559-0631","PMID":"23093101","abstract":"Exposure to arsenic in drinking water is associated with increased prevalence of diabetes. We previously reported an association of diabetes and urinary concentration of dimethylarsinite (DMAs(III)), a toxic product of arsenic methylation by arsenic (+3 oxidation state) methyltransferase (AS3MT). Here we examine associations between AS3MT polymorphism, arsenic metabolism and diabetes. Fasting blood glucose, oral glucose tolerance and self-reported diagnoses were used to identify diabetic individuals. Inorganic arsenic and its metabolites were measured in urine. Genotyping analysis focused on six polymorphic sites of AS3MT. Individuals with M287T and G4965C polymorphisms had higher levels of urinary DMAs(III) and were more frequently diabetic than the respective wild-type carriers, although the excess was not statistically significant. Odds ratios were 11.4 (95% confidence interval (CI) 2.2-58.8) and 8.8 (95% CI 1.6-47.3) for the combined effects of arsenic exposure &gt;75th percentile and 287T and 4965C genotypes, respectively. Carriers of 287T and 4965C may produce more DMAs(III) and be more likely to develop diabetes when exposed to arsenic.","author":[{"dropping-particle":"","family":"Drobná","given":"Zuzana","non-dropping-particle":"","parse-names":false,"suffix":""},{"dropping-particle":"","family":"Razo","given":"Luz M.","non-dropping-particle":"Del","parse-names":false,"suffix":""},{"dropping-particle":"","family":"García-Vargas","given":"Gonzalo G.","non-dropping-particle":"","parse-names":false,"suffix":""},{"dropping-particle":"","family":"Sánchez-Peña","given":"Luz C.","non-dropping-particle":"","parse-names":false,"suffix":""},{"dropping-particle":"","family":"Barrera-Hernández","given":"Angel","non-dropping-particle":"","parse-names":false,"suffix":""},{"dropping-particle":"","family":"Stýblo","given":"Miroslav","non-dropping-particle":"","parse-names":false,"suffix":""},{"dropping-particle":"","family":"Loomis","given":"Dana","non-dropping-particle":"","parse-names":false,"suffix":""}],"container-title":"Journal of Exposure Science and Environmental Epidemiology","edition":"2012/10/25","id":"ITEM-1","issue":"2","issued":{"date-parts":[["2013"]]},"language":"eng","note":"From Duplicate 1 (Environmental exposure to arsenic, AS3MT polymorphism and prevalence of diabetes in Mexico - Drobna, Z; Del Razo, L M; Garcia-Vargas, G G; Sanchez-Pena, L C; Barrera-Hernandez, A; Styblo, M; Loomis, D)\n\n1559-064x\nDrobna, Zuzana\nDel Razo, Luz M\nGarcia-Vargas, Gonzalo G\nSanchez-Pena, Luz C\nBarrera-Hernandez, Angel\nStyblo, Miroslav\nLoomis, Dana\nP30 DK056350/DK/NIDDK NIH HHS/United States\nR01 ES015326/ES/NIEHS NIH HHS/United States\n5R01ES015326-02/ES/NIEHS NIH HHS/United States\nDK056350/DK/NIDDK NIH HHS/United States\nJournal Article\nResearch Support, N.I.H., Extramural\nResearch Support, Non-U.S. Gov't\nResearch Support, U.S. Gov't, Non-P.H.S.\nUnited States\nJ Expo Sci Environ Epidemiol. 2013 Mar;23(2):151-5. doi: 10.1038/jes.2012.103. Epub 2012 Oct 24.\n\nFrom Duplicate 2 (Environmental exposure to arsenic, AS3MT polymorphism and prevalence of diabetes in Mexico - Drobná, Z; Del Razo, L M; García-Vargas, G G; Sánchez-Peña, L C; Barrera-Hernández, A; Stýblo, M; Loomis, D)\n\nCited By :31\n\nExport Date: 24 July 2019","page":"151-155","publisher":"Nature Publishing Group (345 Park Avenue South, New York NY 10010-1707, United States)","publisher-place":"D. Loomis, IARC Monographs Section, IARC, WHO, 150 Cours Albert Thomas, 69372 Lyon Cedex 08, France. E-mail: loomisd@iarc.fr","title":"Environmental exposure to arsenic, AS3MT polymorphism and prevalence of diabetes in Mexico","type":"article-journal","volume":"23"},"uris":["http://www.mendeley.com/documents/?uuid=ccce705f-4f82-4547-8a91-00975bcf4148"]}],"mendeley":{"formattedCitation":"&lt;sup&gt;16&lt;/sup&gt;","plainTextFormattedCitation":"16","previouslyFormattedCitation":"&lt;sup&gt;16&lt;/sup&gt;"},"properties":{"noteIndex":0},"schema":"https://github.com/citation-style-language/schema/raw/master/csl-citation.json"}</w:instrText>
            </w:r>
            <w:r w:rsidRPr="00C92B09">
              <w:rPr>
                <w:sz w:val="20"/>
                <w:szCs w:val="20"/>
              </w:rPr>
              <w:fldChar w:fldCharType="separate"/>
            </w:r>
            <w:r w:rsidRPr="00675089">
              <w:rPr>
                <w:noProof/>
                <w:sz w:val="20"/>
                <w:szCs w:val="20"/>
                <w:vertAlign w:val="superscript"/>
              </w:rPr>
              <w:t>16</w:t>
            </w:r>
            <w:r w:rsidRPr="00C92B09">
              <w:rPr>
                <w:sz w:val="20"/>
                <w:szCs w:val="20"/>
              </w:rPr>
              <w:fldChar w:fldCharType="end"/>
            </w:r>
            <w:r>
              <w:rPr>
                <w:sz w:val="20"/>
                <w:szCs w:val="20"/>
              </w:rPr>
              <w:t xml:space="preserve"> </w:t>
            </w:r>
            <w:r w:rsidRPr="00331039">
              <w:rPr>
                <w:sz w:val="20"/>
                <w:szCs w:val="20"/>
                <w:vertAlign w:val="superscript"/>
              </w:rPr>
              <w:t>(e)</w:t>
            </w:r>
          </w:p>
        </w:tc>
        <w:tc>
          <w:tcPr>
            <w:tcW w:w="850" w:type="dxa"/>
            <w:tcBorders>
              <w:top w:val="single" w:sz="4" w:space="0" w:color="000000" w:themeColor="text1"/>
              <w:bottom w:val="single" w:sz="4" w:space="0" w:color="auto"/>
            </w:tcBorders>
            <w:shd w:val="clear" w:color="auto" w:fill="FFFFFF" w:themeFill="background1"/>
            <w:textDirection w:val="btLr"/>
            <w:vAlign w:val="center"/>
          </w:tcPr>
          <w:p w14:paraId="2336F83C" w14:textId="77777777" w:rsidR="00E77839" w:rsidRPr="00C92B09" w:rsidRDefault="00E77839" w:rsidP="00E77839">
            <w:pPr>
              <w:ind w:left="113" w:right="113"/>
              <w:rPr>
                <w:color w:val="000000"/>
                <w:sz w:val="20"/>
                <w:szCs w:val="20"/>
              </w:rPr>
            </w:pPr>
            <w:r w:rsidRPr="00C92B09">
              <w:rPr>
                <w:sz w:val="20"/>
                <w:szCs w:val="20"/>
              </w:rPr>
              <w:t xml:space="preserve">Gao </w:t>
            </w:r>
            <w:r w:rsidRPr="00C92B09">
              <w:rPr>
                <w:i/>
                <w:iCs/>
                <w:sz w:val="20"/>
                <w:szCs w:val="20"/>
              </w:rPr>
              <w:t>et al.</w:t>
            </w:r>
            <w:r w:rsidRPr="00C92B09">
              <w:rPr>
                <w:sz w:val="20"/>
                <w:szCs w:val="20"/>
              </w:rPr>
              <w:t xml:space="preserve"> 2018</w:t>
            </w:r>
            <w:r w:rsidRPr="00C92B09">
              <w:rPr>
                <w:sz w:val="20"/>
                <w:szCs w:val="20"/>
              </w:rPr>
              <w:fldChar w:fldCharType="begin" w:fldLock="1"/>
            </w:r>
            <w:r>
              <w:rPr>
                <w:sz w:val="20"/>
                <w:szCs w:val="20"/>
              </w:rPr>
              <w:instrText>ADDIN CSL_CITATION {"citationItems":[{"id":"ITEM-1","itemData":{"DOI":"10.18632/oncotarget.23518","abstract":"Epidemiologic study has suggested that arsenic exposure is positively\nrelated to increased blood pressure. However, the underlying mechanism\nconcerning interaction between genetic polymorphisms and arsenic\nexposure remains unclear. In present study, within 395 Chinese, the\neffects of interaction between arsenic exposure and CCM3 gene\npolymorphisms on elevation of blood pressure were probed by multiple\nLogistic regression models after adjusting for confounding factors.\nFirstly, we found that serum arsenic was positively associated with\nblood pressure, cholesterol, glucose and C-reactive protein. Then,\nadjusted for confounding factors of age, gender, smoking, alcohol\nconsumption, BMI and degree of education, arsenic exposure incurred the\nhazard of increased systolic pressure and diastolic pressure, with odds\nratios (ORs) being 1.725 and 1.425, respectively. Distinctly, we found\nthat interactions between rs3804610{*} rs9818496, rs6784267{*}\nrs9818496, and rs3804610{*} rs6784267 variant genotype can increase\nsignificantly risks of SBP. Additionally, interactions between\nrs9818496, rs3804610 and rs6784267 genotypic variantions and arsenic\nexposure boosted the hazard of increased systolic pressure, with ORs\nbeing 1.496, 1.496 and 1.312. In conclusion, our fingdings suggest that\nAs exposure of population can assist CCM3 polymorphism in elevating SBP.","author":[{"dropping-particle":"","family":"Gao","given":"Yanfang","non-dropping-particle":"","parse-names":false,"suffix":""},{"dropping-particle":"","family":"Zhao","given":"Zhiqiang","non-dropping-particle":"","parse-names":false,"suffix":""},{"dropping-particle":"","family":"Yang","given":"Linqing","non-dropping-particle":"","parse-names":false,"suffix":""},{"dropping-particle":"","family":"Liu","given":"Xinxia","non-dropping-particle":"","parse-names":false,"suffix":""},{"dropping-particle":"","family":"Xing","given":"Xiumei","non-dropping-particle":"","parse-names":false,"suffix":""},{"dropping-particle":"","family":"Zhang","given":"Huimin","non-dropping-particle":"","parse-names":false,"suffix":""},{"dropping-particle":"","family":"Yun","given":"Jianpei","non-dropping-particle":"","parse-names":false,"suffix":""},{"dropping-particle":"","family":"Ou","given":"Xiaoyan","non-dropping-particle":"","parse-names":false,"suffix":""},{"dropping-particle":"","family":"Su","given":"Xiaolin","non-dropping-particle":"","parse-names":false,"suffix":""},{"dropping-particle":"","family":"Lu","given":"Yao","non-dropping-particle":"","parse-names":false,"suffix":""},{"dropping-particle":"","family":"Sun","given":"Yi","non-dropping-particle":"","parse-names":false,"suffix":""},{"dropping-particle":"","family":"Yang","given":"Yarui","non-dropping-particle":"","parse-names":false,"suffix":""},{"dropping-particle":"","family":"Jiang","given":"Jun","non-dropping-particle":"","parse-names":false,"suffix":""},{"dropping-particle":"","family":"Cui","given":"Dong","non-dropping-particle":"","parse-names":false,"suffix":""},{"dropping-particle":"","family":"Zhuang","given":"Zhixiong","non-dropping-particle":"","parse-names":false,"suffix":""},{"dropping-particle":"","family":"He","given":"Yun","non-dropping-particle":"","parse-names":false,"suffix":""}],"container-title":"ONCOTARGET","id":"ITEM-1","issue":"4","issued":{"date-parts":[["2018","1"]]},"page":"4915-4923","title":"Arsenic exposure assists ccm3 genetic polymorphism in elevating blood pressure","type":"article-journal","volume":"9"},"uris":["http://www.mendeley.com/documents/?uuid=8035b893-0728-48e1-9661-434c0370e3ae"]}],"mendeley":{"formattedCitation":"&lt;sup&gt;17&lt;/sup&gt;","plainTextFormattedCitation":"17","previouslyFormattedCitation":"&lt;sup&gt;17&lt;/sup&gt;"},"properties":{"noteIndex":0},"schema":"https://github.com/citation-style-language/schema/raw/master/csl-citation.json"}</w:instrText>
            </w:r>
            <w:r w:rsidRPr="00C92B09">
              <w:rPr>
                <w:sz w:val="20"/>
                <w:szCs w:val="20"/>
              </w:rPr>
              <w:fldChar w:fldCharType="separate"/>
            </w:r>
            <w:r w:rsidRPr="00675089">
              <w:rPr>
                <w:noProof/>
                <w:sz w:val="20"/>
                <w:szCs w:val="20"/>
                <w:vertAlign w:val="superscript"/>
              </w:rPr>
              <w:t>17</w:t>
            </w:r>
            <w:r w:rsidRPr="00C92B09">
              <w:rPr>
                <w:sz w:val="20"/>
                <w:szCs w:val="20"/>
              </w:rPr>
              <w:fldChar w:fldCharType="end"/>
            </w:r>
          </w:p>
        </w:tc>
        <w:tc>
          <w:tcPr>
            <w:tcW w:w="993" w:type="dxa"/>
            <w:tcBorders>
              <w:top w:val="single" w:sz="4" w:space="0" w:color="000000" w:themeColor="text1"/>
              <w:bottom w:val="single" w:sz="4" w:space="0" w:color="auto"/>
            </w:tcBorders>
            <w:shd w:val="clear" w:color="auto" w:fill="FFFFFF" w:themeFill="background1"/>
            <w:textDirection w:val="btLr"/>
          </w:tcPr>
          <w:p w14:paraId="0EDDC95A" w14:textId="77777777" w:rsidR="00E77839" w:rsidRPr="00C92B09" w:rsidRDefault="00E77839" w:rsidP="00E77839">
            <w:pPr>
              <w:ind w:left="113" w:right="113"/>
              <w:rPr>
                <w:sz w:val="20"/>
                <w:szCs w:val="20"/>
              </w:rPr>
            </w:pPr>
            <w:r w:rsidRPr="00C92B09">
              <w:rPr>
                <w:sz w:val="20"/>
                <w:szCs w:val="20"/>
              </w:rPr>
              <w:t xml:space="preserve">Grau-Perez </w:t>
            </w:r>
            <w:r w:rsidRPr="00C92B09">
              <w:rPr>
                <w:i/>
                <w:iCs/>
                <w:sz w:val="20"/>
                <w:szCs w:val="20"/>
              </w:rPr>
              <w:t>et al.</w:t>
            </w:r>
            <w:r w:rsidRPr="00C92B09">
              <w:rPr>
                <w:sz w:val="20"/>
                <w:szCs w:val="20"/>
              </w:rPr>
              <w:t xml:space="preserve"> 2018</w:t>
            </w:r>
            <w:r w:rsidRPr="00C92B09">
              <w:rPr>
                <w:sz w:val="20"/>
                <w:szCs w:val="20"/>
              </w:rPr>
              <w:fldChar w:fldCharType="begin" w:fldLock="1"/>
            </w:r>
            <w:r>
              <w:rPr>
                <w:sz w:val="20"/>
                <w:szCs w:val="20"/>
              </w:rPr>
              <w:instrText>ADDIN CSL_CITATION {"citationItems":[{"id":"ITEM-1","itemData":{"DOI":"10.1016/j.envpol.2018.01.008","ISSN":"0269-7491","abstract":"Inorganic arsenic exposure may be associated with diabetes, but the evidence at low-moderate levels is not sufficient. Polymorphisms in diabetes-related genes have been involved in diabetes risk. We evaluated the association of inorganic arsenic exposure on diabetes in the Hortega Study, a representative sample of a general population from Valladolid, Spain. Total urine arsenic was measured in 1451 adults. Urine arsenic speciation was available in 295 randomly selected participants. To account for the confounding introduced by non-toxic seafood arsenicals, we designed a multiple imputation model to predict the missing arsenobetaine levels. The prevalence of diabetes was 8.3%. The geometric mean of total arsenic was 66.0 mu g/g. The adjusted odds ratios (95% confidence interval) for diabetes comparing the highest with the lowest tertile of total arsenic were 1.76 (1.01, 3.09) and 2.14 (1.47, 3.11) before and after arsenobetaine adjustment, respectively. Polymorphisms in several genes including IL8RA, TXN, NR3C2, COX5A and GCLC showed suggestive differential associations of urine total arsenic with diabetes. The findings support the role of arsenic on diabetes and the importance of controlling for seafood arsenicals in populations with high seafood intake. Suggestive arsenic-gene interactions require confirmation in larger studies. (C) 2018 Elsevier Ltd. All rights reserved.","author":[{"dropping-particle":"","family":"Grau-Perez","given":"Maria","non-dropping-particle":"","parse-names":false,"suffix":""},{"dropping-particle":"","family":"Navas-Acien","given":"Ana","non-dropping-particle":"","parse-names":false,"suffix":""},{"dropping-particle":"","family":"Galan-Chilet","given":"Inmaculada","non-dropping-particle":"","parse-names":false,"suffix":""},{"dropping-particle":"","family":"Briongos-Figuero","given":"Laisa S","non-dropping-particle":"","parse-names":false,"suffix":""},{"dropping-particle":"","family":"Morchon-Simon","given":"David","non-dropping-particle":"","parse-names":false,"suffix":""},{"dropping-particle":"","family":"Bermudez","given":"Jose D","non-dropping-particle":"","parse-names":false,"suffix":""},{"dropping-particle":"","family":"Crainiceanu","given":"Ciprian M","non-dropping-particle":"","parse-names":false,"suffix":""},{"dropping-particle":"","family":"Marco","given":"Griselda","non-dropping-particle":"de","parse-names":false,"suffix":""},{"dropping-particle":"","family":"Rentero-Garrido","given":"Pilar","non-dropping-particle":"","parse-names":false,"suffix":""},{"dropping-particle":"","family":"Garcia-Barrera","given":"Tamara","non-dropping-particle":"","parse-names":false,"suffix":""},{"dropping-particle":"","family":"Gomez-Ariza","given":"Jose L","non-dropping-particle":"","parse-names":false,"suffix":""},{"dropping-particle":"","family":"Casasnovas","given":"Jose A","non-dropping-particle":"","parse-names":false,"suffix":""},{"dropping-particle":"","family":"Martin-Escudero","given":"Juan C","non-dropping-particle":"","parse-names":false,"suffix":""},{"dropping-particle":"","family":"Redon","given":"Josep","non-dropping-particle":"","parse-names":false,"suffix":""},{"dropping-particle":"","family":"Javier Chaves","given":"F","non-dropping-particle":"","parse-names":false,"suffix":""},{"dropping-particle":"","family":"Tellez-Plaza","given":"Maria","non-dropping-particle":"","parse-names":false,"suffix":""}],"container-title":"Environmental Pollution","id":"ITEM-1","issued":{"date-parts":[["2018"]]},"note":"Times Cited: 1\nCasasnovas, Jose Antonio/; Bermudez, Jose/L-1147-2014; CHAVES, FELIPE J/; Tellez-Plaza, Maria/; Rentero-Garrido, Pilar/\nCasasnovas, Jose Antonio/0000-0002-9887-2629; Bermudez, Jose/0000-0003-4699-5923; CHAVES, FELIPE J/0000-0001-8009-3689; Tellez-Plaza, Maria/0000-0002-3850-1228; Rentero-Garrido, Pilar/0000-0002-6158-0104\n0\n1\n1873-6424","page":"948-955","title":"Arsenic exposure, diabetes-related genes and diabetes prevalence in a general population from Spain","type":"article-journal","volume":"235"},"uris":["http://www.mendeley.com/documents/?uuid=c68b9127-840c-4025-9706-46628349dc6c"]}],"mendeley":{"formattedCitation":"&lt;sup&gt;18&lt;/sup&gt;","plainTextFormattedCitation":"18","previouslyFormattedCitation":"&lt;sup&gt;18&lt;/sup&gt;"},"properties":{"noteIndex":0},"schema":"https://github.com/citation-style-language/schema/raw/master/csl-citation.json"}</w:instrText>
            </w:r>
            <w:r w:rsidRPr="00C92B09">
              <w:rPr>
                <w:sz w:val="20"/>
                <w:szCs w:val="20"/>
              </w:rPr>
              <w:fldChar w:fldCharType="separate"/>
            </w:r>
            <w:r w:rsidRPr="00675089">
              <w:rPr>
                <w:noProof/>
                <w:sz w:val="20"/>
                <w:szCs w:val="20"/>
                <w:vertAlign w:val="superscript"/>
              </w:rPr>
              <w:t>18</w:t>
            </w:r>
            <w:r w:rsidRPr="00C92B09">
              <w:rPr>
                <w:sz w:val="20"/>
                <w:szCs w:val="20"/>
              </w:rPr>
              <w:fldChar w:fldCharType="end"/>
            </w:r>
            <w:r>
              <w:rPr>
                <w:sz w:val="20"/>
                <w:szCs w:val="20"/>
              </w:rPr>
              <w:t xml:space="preserve"> </w:t>
            </w:r>
            <w:r w:rsidRPr="004771DB">
              <w:rPr>
                <w:sz w:val="20"/>
                <w:szCs w:val="20"/>
                <w:vertAlign w:val="superscript"/>
              </w:rPr>
              <w:t>(</w:t>
            </w:r>
            <w:r>
              <w:rPr>
                <w:sz w:val="20"/>
                <w:szCs w:val="20"/>
                <w:vertAlign w:val="superscript"/>
              </w:rPr>
              <w:t>d</w:t>
            </w:r>
            <w:r w:rsidRPr="004771DB">
              <w:rPr>
                <w:sz w:val="20"/>
                <w:szCs w:val="20"/>
                <w:vertAlign w:val="superscript"/>
              </w:rPr>
              <w:t>)</w:t>
            </w:r>
          </w:p>
        </w:tc>
        <w:tc>
          <w:tcPr>
            <w:tcW w:w="992" w:type="dxa"/>
            <w:tcBorders>
              <w:top w:val="single" w:sz="4" w:space="0" w:color="000000" w:themeColor="text1"/>
              <w:bottom w:val="single" w:sz="4" w:space="0" w:color="auto"/>
              <w:right w:val="single" w:sz="4" w:space="0" w:color="000000" w:themeColor="text1"/>
            </w:tcBorders>
            <w:shd w:val="clear" w:color="auto" w:fill="FFFFFF" w:themeFill="background1"/>
            <w:textDirection w:val="btLr"/>
            <w:vAlign w:val="center"/>
          </w:tcPr>
          <w:p w14:paraId="6D8233F8" w14:textId="77777777" w:rsidR="00E77839" w:rsidRPr="00C34400" w:rsidRDefault="00E77839" w:rsidP="00E77839">
            <w:pPr>
              <w:ind w:left="113" w:right="113"/>
              <w:rPr>
                <w:color w:val="000000"/>
                <w:sz w:val="20"/>
                <w:szCs w:val="20"/>
              </w:rPr>
            </w:pPr>
            <w:r w:rsidRPr="00C34400">
              <w:rPr>
                <w:sz w:val="20"/>
                <w:szCs w:val="20"/>
              </w:rPr>
              <w:t xml:space="preserve">Liang </w:t>
            </w:r>
            <w:r w:rsidRPr="00C34400">
              <w:rPr>
                <w:i/>
                <w:iCs/>
                <w:sz w:val="20"/>
                <w:szCs w:val="20"/>
              </w:rPr>
              <w:t>et al.</w:t>
            </w:r>
            <w:r w:rsidRPr="00C34400">
              <w:rPr>
                <w:sz w:val="20"/>
                <w:szCs w:val="20"/>
              </w:rPr>
              <w:t xml:space="preserve"> 2023</w:t>
            </w:r>
            <w:r w:rsidRPr="00C34400">
              <w:rPr>
                <w:sz w:val="20"/>
                <w:szCs w:val="20"/>
              </w:rPr>
              <w:fldChar w:fldCharType="begin" w:fldLock="1"/>
            </w:r>
            <w:r>
              <w:rPr>
                <w:sz w:val="20"/>
                <w:szCs w:val="20"/>
              </w:rPr>
              <w:instrText>ADDIN CSL_CITATION {"citationItems":[{"id":"ITEM-1","itemData":{"DOI":"10.1016/J.ENVRES.2023.115331","ISSN":"0013-9351","PMID":"36681142","abstract":"Background: Single nucleotide polymorphisms (SNPs) in N6AMT1 and AS3MT are associated with arsenic (As) metabolism, and efficient As methylation capacity has been associated with diabetes. However, little is known about the gene-As interaction on gestational diabetes mellitus (GDM). Objective: This study aimed to explore the individual and combined effects of N6AMT1 and AS3MT SNPs with As metabolism on GDM. Methods: A cross-sectional study was performed among 385 Chinese pregnant women (86 GDM and 299 Non-GDM). Four SNPs in N6AMT1 (rs1997605 and rs1003671) and AS3MT (rs1046778 and rs11191453) were genotyped. Urinary inorganic arsenic (iAs), monomethylarsonic acid (MMA), and dimethylarsinic acid (DMA) were determined, and the percentages of As species (iAs%, MMA%, and DMA%) were calculated to assess the efficiency of As metabolism. Results: Pregnant women with N6AMT1 rs1997605 AA genotype had lower iAs% (B: 2.11; 95% CI: 4.08, −0.13) and MMA% (B: 0.21; 95% CI: 0.39, −0.04) than pregnant women with GG genotype. The AS3MT rs1046778 and rs11191453 C alleles were negatively associated with iAs% and MMA% but positively associated with DMA%. Higher urinary MMA% was significantly associated with a lower risk of GDM (OR: 0.54; 95% CI: 0.30, 0.97). The A allele in N6AMT1 rs1997605 (OR: 0.46; 95% CI: 0.26, 0.79) was associated with a decreased risk of GDM. The additive interactions between N6AMT1 rs1997605 GG genotypes and lower iAs% (AP: 0.50; 95% CI: 0.01, 0.99) or higher DMA% (AP: 0.52; 95% CI: 0.04, 0.99) were statistically significant. Similar additive interactions were also found between N6AMT1 rs1003671 GG genotypes and lower iAs% or higher DMA%. Conclusions: Genetic variants in N6AMT1 and efficient As metabolism (indicated by lower iAs% and higher DMA%) can interact to influence GDM occurrence synergistically in Chinese pregnant women.","author":[{"dropping-particle":"","family":"Liang","given":"Xiaoshan","non-dropping-particle":"","parse-names":false,"suffix":""},{"dropping-particle":"","family":"Guo","given":"Guanshuai","non-dropping-particle":"","parse-names":false,"suffix":""},{"dropping-particle":"","family":"Wang","given":"Yiyun","non-dropping-particle":"","parse-names":false,"suffix":""},{"dropping-particle":"","family":"Wang","given":"Meng","non-dropping-particle":"","parse-names":false,"suffix":""},{"dropping-particle":"","family":"Chen","given":"Xi","non-dropping-particle":"","parse-names":false,"suffix":""},{"dropping-particle":"","family":"Zhang","given":"Jingran","non-dropping-particle":"","parse-names":false,"suffix":""},{"dropping-particle":"","family":"Li","given":"Shuying","non-dropping-particle":"","parse-names":false,"suffix":""},{"dropping-particle":"","family":"Liu","given":"Liangpo","non-dropping-particle":"","parse-names":false,"suffix":""},{"dropping-particle":"","family":"Huang","given":"Qingyu","non-dropping-particle":"","parse-names":false,"suffix":""},{"dropping-particle":"","family":"Cui","given":"Bo","non-dropping-particle":"","parse-names":false,"suffix":""},{"dropping-particle":"","family":"Zhang","given":"Ming","non-dropping-particle":"","parse-names":false,"suffix":""},{"dropping-particle":"","family":"Sun","given":"Guifan","non-dropping-particle":"","parse-names":false,"suffix":""},{"dropping-particle":"","family":"Tang","given":"Naijun","non-dropping-particle":"","parse-names":false,"suffix":""},{"dropping-particle":"","family":"Zhang","given":"Xumei","non-dropping-particle":"","parse-names":false,"suffix":""},{"dropping-particle":"","family":"Zhang","given":"Qiang","non-dropping-particle":"","parse-names":false,"suffix":""}],"container-title":"Environmental Research","id":"ITEM-1","issued":{"date-parts":[["2023","3","15"]]},"page":"115331","publisher":"Academic Press","title":"Arsenic metabolism, N6AMT1 and AS3MT single nucleotide polymorphisms, and their interaction on gestational diabetes mellitus in Chinese pregnant women","type":"article-journal","volume":"221"},"uris":["http://www.mendeley.com/documents/?uuid=ff1169ac-e594-3052-b9fc-31a34aa448e1"]}],"mendeley":{"formattedCitation":"&lt;sup&gt;19&lt;/sup&gt;","plainTextFormattedCitation":"19","previouslyFormattedCitation":"&lt;sup&gt;19&lt;/sup&gt;"},"properties":{"noteIndex":0},"schema":"https://github.com/citation-style-language/schema/raw/master/csl-citation.json"}</w:instrText>
            </w:r>
            <w:r w:rsidRPr="00C34400">
              <w:rPr>
                <w:sz w:val="20"/>
                <w:szCs w:val="20"/>
              </w:rPr>
              <w:fldChar w:fldCharType="separate"/>
            </w:r>
            <w:r w:rsidRPr="00C34400">
              <w:rPr>
                <w:noProof/>
                <w:sz w:val="20"/>
                <w:szCs w:val="20"/>
                <w:vertAlign w:val="superscript"/>
              </w:rPr>
              <w:t>19</w:t>
            </w:r>
            <w:r w:rsidRPr="00C34400">
              <w:rPr>
                <w:sz w:val="20"/>
                <w:szCs w:val="20"/>
              </w:rPr>
              <w:fldChar w:fldCharType="end"/>
            </w:r>
            <w:r w:rsidRPr="00C34400">
              <w:rPr>
                <w:sz w:val="20"/>
                <w:szCs w:val="20"/>
              </w:rPr>
              <w:t xml:space="preserve"> </w:t>
            </w:r>
            <w:r w:rsidRPr="00C34400">
              <w:rPr>
                <w:sz w:val="20"/>
                <w:szCs w:val="20"/>
                <w:vertAlign w:val="superscript"/>
              </w:rPr>
              <w:t>(c)</w:t>
            </w:r>
          </w:p>
        </w:tc>
        <w:tc>
          <w:tcPr>
            <w:tcW w:w="850" w:type="dxa"/>
            <w:tcBorders>
              <w:top w:val="single" w:sz="4" w:space="0" w:color="000000" w:themeColor="text1"/>
              <w:left w:val="single" w:sz="4" w:space="0" w:color="000000" w:themeColor="text1"/>
              <w:bottom w:val="single" w:sz="4" w:space="0" w:color="auto"/>
            </w:tcBorders>
            <w:shd w:val="clear" w:color="auto" w:fill="FFFFFF" w:themeFill="background1"/>
            <w:textDirection w:val="btLr"/>
            <w:vAlign w:val="center"/>
          </w:tcPr>
          <w:p w14:paraId="3710ACBA" w14:textId="77777777" w:rsidR="00E77839" w:rsidRPr="00C34400" w:rsidRDefault="00E77839" w:rsidP="00E77839">
            <w:pPr>
              <w:ind w:left="113" w:right="113"/>
              <w:rPr>
                <w:color w:val="000000"/>
                <w:sz w:val="20"/>
                <w:szCs w:val="20"/>
              </w:rPr>
            </w:pPr>
            <w:proofErr w:type="spellStart"/>
            <w:r w:rsidRPr="00C34400">
              <w:rPr>
                <w:sz w:val="20"/>
                <w:szCs w:val="20"/>
              </w:rPr>
              <w:t>Martíz</w:t>
            </w:r>
            <w:proofErr w:type="spellEnd"/>
            <w:r w:rsidRPr="00C34400">
              <w:rPr>
                <w:sz w:val="20"/>
                <w:szCs w:val="20"/>
              </w:rPr>
              <w:t xml:space="preserve">-Barquero </w:t>
            </w:r>
            <w:r w:rsidRPr="00C34400">
              <w:rPr>
                <w:i/>
                <w:iCs/>
                <w:sz w:val="20"/>
                <w:szCs w:val="20"/>
              </w:rPr>
              <w:t>et al.</w:t>
            </w:r>
            <w:r w:rsidRPr="00C34400">
              <w:rPr>
                <w:sz w:val="20"/>
                <w:szCs w:val="20"/>
              </w:rPr>
              <w:t xml:space="preserve"> 2015</w:t>
            </w:r>
            <w:r w:rsidRPr="00C34400">
              <w:rPr>
                <w:sz w:val="20"/>
                <w:szCs w:val="20"/>
              </w:rPr>
              <w:fldChar w:fldCharType="begin" w:fldLock="1"/>
            </w:r>
            <w:r>
              <w:rPr>
                <w:sz w:val="20"/>
                <w:szCs w:val="20"/>
              </w:rPr>
              <w:instrText>ADDIN CSL_CITATION {"citationItems":[{"id":"ITEM-1","itemData":{"DOI":"10.1371/JOURNAL.PONE.0118471","ISSN":"1932-6203","PMID":"25799405","abstract":"Background/Objectives Obesity has been linked to morbidity and mortality through increased risk for many chronic diseases. Endothelin (EDN) system has been related to endothelial function but it can be involved in lipid metabolism regulation: Receptor type A (EDNRA) activates lipolysis in adipocytes, the two endothelin receptors mediate arsenic-stimulated adipocyte dysfunction, and endothelin system can regulate adiposity by modulating adiponectin activity in different situations and, therefore, influence obesity development. The aim of the present study was to analyze if single nucleotide polymorphisms (SNPs) in the EDN system could be associated with human obesity.   Subjects/Methods We analyzed two samples of general-population-based studies from two different regions of Spain: the VALCAR Study, 468 subjects from the area of Valencia, and the Hortega Study, 1502 subjects from the area of Valladolid. Eighteen SNPs throughout five genes were analyzed using SNPlex.   Results We found associations for two polymorphisms of the EDNRB gene which codifies for EDN receptor type B. Genotypes AG and AA of the rs5351 were associated with a lower risk for obesity in the VALCAR sample (p=0.048, OR=0.63) and in the Hortega sample (p=0.001, OR=0.62). Moreover, in the rs3759475 polymorphism, genotypes CT and TT were also associated with lower risk for obesity in the Hortega sample (p=0.0037, OR=0.66) and in the VALCAR sample we found the same tendency (p=0.12, OR=0.70). Furthermore, upon studying the pooled population, we found a stronger association with obesity (p=0.0001, OR=0.61 and p=0.0008, OR=0.66 for rs5351 and rs3759475, respectively). Regarding plasma arsenic levels, we have found a positive association for the two SNPs studied with obesity risk in individuals with higher arsenic levels in plasma: rs5351 (p=0.0054, OR=0.51) and rs3759475 (p=0.009, OR=0.53)   Conclusions Our results support the hypothesis that polymorphisms of the EDNRB gene may influence the susceptibility to obesity and can interact with plasma arsenic levels.","author":[{"dropping-particle":"","family":"Martínez-Barquero","given":"Vanesa","non-dropping-particle":"","parse-names":false,"suffix":""},{"dropping-particle":"","family":"Marco","given":"Griselda","non-dropping-particle":"De","parse-names":false,"suffix":""},{"dropping-particle":"","family":"Martínez-Hervas","given":"Sergio","non-dropping-particle":"","parse-names":false,"suffix":""},{"dropping-particle":"","family":"Rentero","given":"Pilar","non-dropping-particle":"","parse-names":false,"suffix":""},{"dropping-particle":"","family":"Galan-Chilet","given":"Inmaculada","non-dropping-particle":"","parse-names":false,"suffix":""},{"dropping-particle":"","family":"Blesa","given":"Sebastian","non-dropping-particle":"","parse-names":false,"suffix":""},{"dropping-particle":"","family":"Morchon","given":"David","non-dropping-particle":"","parse-names":false,"suffix":""},{"dropping-particle":"","family":"Morcillo","given":"Sonsoles","non-dropping-particle":"","parse-names":false,"suffix":""},{"dropping-particle":"","family":"Rojo","given":"Gemma","non-dropping-particle":"","parse-names":false,"suffix":""},{"dropping-particle":"","family":"Ascaso","given":"Juan Francisco","non-dropping-particle":"","parse-names":false,"suffix":""},{"dropping-particle":"","family":"Real","given":"José Tomás","non-dropping-particle":"","parse-names":false,"suffix":""},{"dropping-particle":"","family":"Martín-Escudero","given":"Juan Carlos","non-dropping-particle":"","parse-names":false,"suffix":""},{"dropping-particle":"","family":"Chaves","given":"Felipe Javier","non-dropping-particle":"","parse-names":false,"suffix":""}],"container-title":"PLOS ONE","id":"ITEM-1","issue":"3","issued":{"date-parts":[["2015","3","23"]]},"page":"e0118471","publisher":"Public Library of Science","title":"Polymorphisms in Endothelin System Genes, Arsenic Levels and Obesity Risk","type":"article-journal","volume":"10"},"uris":["http://www.mendeley.com/documents/?uuid=529956f7-1826-31d6-a59b-092f065801cc"]}],"mendeley":{"formattedCitation":"&lt;sup&gt;20&lt;/sup&gt;","plainTextFormattedCitation":"20","previouslyFormattedCitation":"&lt;sup&gt;20&lt;/sup&gt;"},"properties":{"noteIndex":0},"schema":"https://github.com/citation-style-language/schema/raw/master/csl-citation.json"}</w:instrText>
            </w:r>
            <w:r w:rsidRPr="00C34400">
              <w:rPr>
                <w:sz w:val="20"/>
                <w:szCs w:val="20"/>
              </w:rPr>
              <w:fldChar w:fldCharType="separate"/>
            </w:r>
            <w:r w:rsidRPr="00C34400">
              <w:rPr>
                <w:noProof/>
                <w:sz w:val="20"/>
                <w:szCs w:val="20"/>
                <w:vertAlign w:val="superscript"/>
              </w:rPr>
              <w:t>20</w:t>
            </w:r>
            <w:r w:rsidRPr="00C34400">
              <w:rPr>
                <w:sz w:val="20"/>
                <w:szCs w:val="20"/>
              </w:rPr>
              <w:fldChar w:fldCharType="end"/>
            </w:r>
          </w:p>
        </w:tc>
        <w:tc>
          <w:tcPr>
            <w:tcW w:w="851" w:type="dxa"/>
            <w:tcBorders>
              <w:top w:val="single" w:sz="4" w:space="0" w:color="000000" w:themeColor="text1"/>
              <w:left w:val="nil"/>
              <w:bottom w:val="single" w:sz="4" w:space="0" w:color="auto"/>
            </w:tcBorders>
            <w:shd w:val="clear" w:color="auto" w:fill="FFFFFF" w:themeFill="background1"/>
            <w:textDirection w:val="btLr"/>
          </w:tcPr>
          <w:p w14:paraId="15BF2A2C" w14:textId="77777777" w:rsidR="00E77839" w:rsidRPr="00C34400" w:rsidRDefault="00E77839" w:rsidP="00E77839">
            <w:pPr>
              <w:ind w:left="113" w:right="113"/>
              <w:rPr>
                <w:sz w:val="20"/>
                <w:szCs w:val="20"/>
              </w:rPr>
            </w:pPr>
            <w:r w:rsidRPr="00C34400">
              <w:rPr>
                <w:sz w:val="20"/>
                <w:szCs w:val="20"/>
              </w:rPr>
              <w:t xml:space="preserve">Wu </w:t>
            </w:r>
            <w:r w:rsidRPr="00C34400">
              <w:rPr>
                <w:i/>
                <w:iCs/>
                <w:sz w:val="20"/>
                <w:szCs w:val="20"/>
              </w:rPr>
              <w:t>et al.</w:t>
            </w:r>
            <w:r w:rsidRPr="00C34400">
              <w:rPr>
                <w:sz w:val="20"/>
                <w:szCs w:val="20"/>
              </w:rPr>
              <w:t xml:space="preserve"> 2014</w:t>
            </w:r>
            <w:r w:rsidRPr="00C34400">
              <w:rPr>
                <w:sz w:val="20"/>
                <w:szCs w:val="20"/>
              </w:rPr>
              <w:fldChar w:fldCharType="begin" w:fldLock="1"/>
            </w:r>
            <w:r>
              <w:rPr>
                <w:sz w:val="20"/>
                <w:szCs w:val="20"/>
              </w:rPr>
              <w:instrText>ADDIN CSL_CITATION {"citationItems":[{"id":"ITEM-1","itemData":{"DOI":"10.1016/j.taap.2014.02.014","abstract":"Epidemiologic studies that evaluated genetic susceptibility to the effects of arsenic exposure from drinking water on subclinical atherosclerosis are limited. We conducted a cross-sectional study of 1,078 participants randomly selected from the Health Effects of Arsenic Longitudinal Study in Bangladesh to evaluate whether the association between arsenic exposure and carotid artery intima-medial thickness (cIMT) differs by 207 single-nucleotide polymorphisms (SNPs) in 18 genes related to arsenic metabolism, oxidative stress, inflammation, and endothelial dysfunction. Although not statistically significant after correcting for multiple testing, nine SNPs in APOE, AS3MT, PNP, and TNF genes had a nominally statistically significant interaction with well-water arsenic in cIMT. For instance, the joint presence of a higher level of well-water arsenic (≥ 40.4 μg/L) and the GG genotype of AS3MT rs3740392 was associated with a difference of 40.9 μm (95% CI = 14.4, 67.5) in cIMT, much greater than the difference of cIMT associated with the genotype alone (β =-5.1 μm, 95% CI =-31.6, 21.3) or arsenic exposure alone (β = 7.2 μm, 95% CI =-3.1, 17.5). The pattern and magnitude of the interactions were similar when urinary arsenic was used as the exposure variable. Additionally, the at-risk genotypes of the AS3MT SNPs were positively related to proportion of monomethylarsonic acid (MMA) in urine, which is indicative of arsenic methylation capacity. The findings provide novel evidence that genetic variants related to arsenic metabolism may play an important role in arsenic-induced subclinical atherosclerosis. Future replication studies in diverse populations are needed to confirm the findings.","author":[{"dropping-particle":"","family":"Wu","given":"Fen","non-dropping-particle":"","parse-names":false,"suffix":""},{"dropping-particle":"","family":"Jasmine","given":"Farzana","non-dropping-particle":"","parse-names":false,"suffix":""},{"dropping-particle":"","family":"Kibriya","given":"Muhammad G","non-dropping-particle":"","parse-names":false,"suffix":""},{"dropping-particle":"","family":"Liu","given":"Mengling","non-dropping-particle":"","parse-names":false,"suffix":""},{"dropping-particle":"","family":"Cheng","given":"Xin","non-dropping-particle":"","parse-names":false,"suffix":""},{"dropping-particle":"","family":"Parvez","given":"Faruque","non-dropping-particle":"","parse-names":false,"suffix":""},{"dropping-particle":"","family":"Paul-Brutus","given":"Rachelle","non-dropping-particle":"","parse-names":false,"suffix":""},{"dropping-particle":"","family":"Islam","given":"Tariqul","non-dropping-particle":"","parse-names":false,"suffix":""},{"dropping-particle":"","family":"Paul","given":"Rina Rani","non-dropping-particle":"","parse-names":false,"suffix":""},{"dropping-particle":"","family":"Sarwar","given":"Golam","non-dropping-particle":"","parse-names":false,"suffix":""},{"dropping-particle":"","family":"Ahmed","given":"Alauddin","non-dropping-particle":"","parse-names":false,"suffix":""},{"dropping-particle":"","family":"Jiang","given":"Jieying","non-dropping-particle":"","parse-names":false,"suffix":""},{"dropping-particle":"","family":"Slavkovich","given":"Vesna","non-dropping-particle":"","parse-names":false,"suffix":""},{"dropping-particle":"","family":"Rundek","given":"Tatjana","non-dropping-particle":"","parse-names":false,"suffix":""},{"dropping-particle":"","family":"Demmer","given":"Ryan T","non-dropping-particle":"","parse-names":false,"suffix":""},{"dropping-particle":"","family":"Desvarieux","given":"Moise","non-dropping-particle":"","parse-names":false,"suffix":""},{"dropping-particle":"","family":"Ahsan","given":"Habibul","non-dropping-particle":"","parse-names":false,"suffix":""},{"dropping-particle":"","family":"Chen","given":"Yu","non-dropping-particle":"","parse-names":false,"suffix":""}],"container-title":"Toxicol Appl Pharmacol","id":"ITEM-1","issue":"3","issued":{"date-parts":[["2014"]]},"page":"195-203","title":"Interaction between arsenic exposure from drinking water and genetic susceptibility in carotid intima-media thickness in Bangladesh","type":"article-journal","volume":"276"},"uris":["http://www.mendeley.com/documents/?uuid=664706b3-3b7f-3f06-9c74-a0b9ed6d389d"]}],"mendeley":{"formattedCitation":"&lt;sup&gt;21&lt;/sup&gt;","plainTextFormattedCitation":"21","previouslyFormattedCitation":"&lt;sup&gt;21&lt;/sup&gt;"},"properties":{"noteIndex":0},"schema":"https://github.com/citation-style-language/schema/raw/master/csl-citation.json"}</w:instrText>
            </w:r>
            <w:r w:rsidRPr="00C34400">
              <w:rPr>
                <w:sz w:val="20"/>
                <w:szCs w:val="20"/>
              </w:rPr>
              <w:fldChar w:fldCharType="separate"/>
            </w:r>
            <w:r w:rsidRPr="00C34400">
              <w:rPr>
                <w:noProof/>
                <w:sz w:val="20"/>
                <w:szCs w:val="20"/>
                <w:vertAlign w:val="superscript"/>
              </w:rPr>
              <w:t>21</w:t>
            </w:r>
            <w:r w:rsidRPr="00C34400">
              <w:rPr>
                <w:sz w:val="20"/>
                <w:szCs w:val="20"/>
              </w:rPr>
              <w:fldChar w:fldCharType="end"/>
            </w:r>
            <w:r w:rsidRPr="00C34400">
              <w:rPr>
                <w:sz w:val="20"/>
                <w:szCs w:val="20"/>
              </w:rPr>
              <w:t xml:space="preserve"> </w:t>
            </w:r>
            <w:r w:rsidRPr="00C34400">
              <w:rPr>
                <w:sz w:val="20"/>
                <w:szCs w:val="20"/>
                <w:vertAlign w:val="superscript"/>
              </w:rPr>
              <w:t>(b)</w:t>
            </w:r>
          </w:p>
        </w:tc>
      </w:tr>
      <w:tr w:rsidR="00E77839" w:rsidRPr="00B63DD5" w14:paraId="2777503D" w14:textId="77777777" w:rsidTr="00E77839">
        <w:trPr>
          <w:trHeight w:val="259"/>
        </w:trPr>
        <w:tc>
          <w:tcPr>
            <w:tcW w:w="15026" w:type="dxa"/>
            <w:gridSpan w:val="9"/>
            <w:tcBorders>
              <w:top w:val="single" w:sz="4" w:space="0" w:color="auto"/>
              <w:bottom w:val="nil"/>
            </w:tcBorders>
            <w:shd w:val="clear" w:color="auto" w:fill="F2F2F2" w:themeFill="background1" w:themeFillShade="F2"/>
          </w:tcPr>
          <w:p w14:paraId="5C78F5B7" w14:textId="77777777" w:rsidR="00E77839" w:rsidRPr="00C34400" w:rsidRDefault="00E77839" w:rsidP="00E77839">
            <w:pPr>
              <w:jc w:val="both"/>
              <w:rPr>
                <w:b/>
                <w:bCs/>
                <w:color w:val="000000"/>
                <w:sz w:val="20"/>
                <w:szCs w:val="20"/>
              </w:rPr>
            </w:pPr>
            <w:r w:rsidRPr="00C34400">
              <w:rPr>
                <w:b/>
                <w:bCs/>
                <w:color w:val="000000"/>
                <w:sz w:val="20"/>
                <w:szCs w:val="20"/>
              </w:rPr>
              <w:t>Selection</w:t>
            </w:r>
          </w:p>
        </w:tc>
      </w:tr>
      <w:tr w:rsidR="00E77839" w:rsidRPr="00B63DD5" w14:paraId="0FF0DE70" w14:textId="77777777" w:rsidTr="00E77839">
        <w:trPr>
          <w:trHeight w:val="259"/>
        </w:trPr>
        <w:tc>
          <w:tcPr>
            <w:tcW w:w="8789" w:type="dxa"/>
            <w:gridSpan w:val="2"/>
            <w:tcBorders>
              <w:top w:val="single" w:sz="4" w:space="0" w:color="000000" w:themeColor="text1"/>
              <w:left w:val="single" w:sz="4" w:space="0" w:color="000000" w:themeColor="text1"/>
              <w:bottom w:val="nil"/>
              <w:right w:val="single" w:sz="4" w:space="0" w:color="000000" w:themeColor="text1"/>
            </w:tcBorders>
            <w:shd w:val="clear" w:color="auto" w:fill="auto"/>
            <w:vAlign w:val="center"/>
            <w:hideMark/>
          </w:tcPr>
          <w:p w14:paraId="274DF713" w14:textId="77777777" w:rsidR="00E77839" w:rsidRPr="00B63DD5" w:rsidRDefault="00E77839" w:rsidP="00E77839">
            <w:pPr>
              <w:spacing w:line="276" w:lineRule="auto"/>
              <w:jc w:val="both"/>
              <w:rPr>
                <w:color w:val="000000"/>
                <w:sz w:val="20"/>
                <w:szCs w:val="20"/>
              </w:rPr>
            </w:pPr>
            <w:r w:rsidRPr="00B63DD5">
              <w:rPr>
                <w:color w:val="000000"/>
                <w:sz w:val="20"/>
                <w:szCs w:val="20"/>
              </w:rPr>
              <w:t xml:space="preserve">Sample is representative or somewhat representative of the average in the target population </w:t>
            </w:r>
          </w:p>
        </w:tc>
        <w:tc>
          <w:tcPr>
            <w:tcW w:w="850" w:type="dxa"/>
            <w:tcBorders>
              <w:top w:val="single" w:sz="4" w:space="0" w:color="000000" w:themeColor="text1"/>
              <w:left w:val="single" w:sz="4" w:space="0" w:color="000000" w:themeColor="text1"/>
              <w:bottom w:val="nil"/>
              <w:right w:val="single" w:sz="4" w:space="0" w:color="000000" w:themeColor="text1"/>
            </w:tcBorders>
            <w:vAlign w:val="center"/>
          </w:tcPr>
          <w:p w14:paraId="750C4F3E" w14:textId="77777777" w:rsidR="00E77839" w:rsidRPr="00B63DD5" w:rsidRDefault="00E77839" w:rsidP="00E77839">
            <w:pPr>
              <w:jc w:val="center"/>
              <w:rPr>
                <w:color w:val="000000"/>
                <w:sz w:val="20"/>
                <w:szCs w:val="20"/>
              </w:rPr>
            </w:pPr>
            <w:r w:rsidRPr="00BA4AC8">
              <w:rPr>
                <w:color w:val="000000"/>
                <w:sz w:val="20"/>
                <w:szCs w:val="20"/>
              </w:rPr>
              <w:t>■</w:t>
            </w:r>
          </w:p>
        </w:tc>
        <w:tc>
          <w:tcPr>
            <w:tcW w:w="851" w:type="dxa"/>
            <w:tcBorders>
              <w:top w:val="single" w:sz="4" w:space="0" w:color="000000" w:themeColor="text1"/>
              <w:left w:val="single" w:sz="4" w:space="0" w:color="000000" w:themeColor="text1"/>
              <w:bottom w:val="nil"/>
              <w:right w:val="single" w:sz="4" w:space="0" w:color="000000" w:themeColor="text1"/>
            </w:tcBorders>
            <w:vAlign w:val="center"/>
          </w:tcPr>
          <w:p w14:paraId="7448F854" w14:textId="77777777" w:rsidR="00E77839" w:rsidRPr="00B63DD5" w:rsidRDefault="00E77839" w:rsidP="00E77839">
            <w:pPr>
              <w:jc w:val="center"/>
              <w:rPr>
                <w:color w:val="000000"/>
                <w:sz w:val="20"/>
                <w:szCs w:val="20"/>
              </w:rPr>
            </w:pPr>
            <w:r w:rsidRPr="00BA4AC8">
              <w:rPr>
                <w:color w:val="000000"/>
                <w:sz w:val="20"/>
                <w:szCs w:val="20"/>
              </w:rPr>
              <w:t>■</w:t>
            </w:r>
          </w:p>
        </w:tc>
        <w:tc>
          <w:tcPr>
            <w:tcW w:w="850" w:type="dxa"/>
            <w:tcBorders>
              <w:top w:val="single" w:sz="4" w:space="0" w:color="000000" w:themeColor="text1"/>
              <w:left w:val="single" w:sz="4" w:space="0" w:color="000000" w:themeColor="text1"/>
              <w:bottom w:val="nil"/>
              <w:right w:val="single" w:sz="4" w:space="0" w:color="000000" w:themeColor="text1"/>
            </w:tcBorders>
            <w:vAlign w:val="center"/>
          </w:tcPr>
          <w:p w14:paraId="2E6BA3A1" w14:textId="77777777" w:rsidR="00E77839" w:rsidRPr="00B63DD5" w:rsidRDefault="00E77839" w:rsidP="00E77839">
            <w:pPr>
              <w:jc w:val="center"/>
              <w:rPr>
                <w:color w:val="000000"/>
                <w:sz w:val="20"/>
                <w:szCs w:val="20"/>
              </w:rPr>
            </w:pPr>
            <w:r w:rsidRPr="0044561E">
              <w:rPr>
                <w:color w:val="000000"/>
                <w:sz w:val="20"/>
                <w:szCs w:val="20"/>
              </w:rPr>
              <w:t>□</w:t>
            </w:r>
          </w:p>
        </w:tc>
        <w:tc>
          <w:tcPr>
            <w:tcW w:w="993" w:type="dxa"/>
            <w:tcBorders>
              <w:top w:val="single" w:sz="4" w:space="0" w:color="000000" w:themeColor="text1"/>
              <w:left w:val="single" w:sz="4" w:space="0" w:color="000000" w:themeColor="text1"/>
              <w:bottom w:val="nil"/>
              <w:right w:val="single" w:sz="4" w:space="0" w:color="000000" w:themeColor="text1"/>
            </w:tcBorders>
          </w:tcPr>
          <w:p w14:paraId="72712DBA" w14:textId="77777777" w:rsidR="00E77839" w:rsidRPr="00AE6171" w:rsidRDefault="00E77839" w:rsidP="00E77839">
            <w:pPr>
              <w:jc w:val="center"/>
              <w:rPr>
                <w:color w:val="000000"/>
                <w:sz w:val="20"/>
                <w:szCs w:val="20"/>
              </w:rPr>
            </w:pPr>
            <w:r w:rsidRPr="00A3510A">
              <w:rPr>
                <w:color w:val="000000"/>
                <w:sz w:val="20"/>
                <w:szCs w:val="20"/>
              </w:rPr>
              <w:t>■</w:t>
            </w:r>
          </w:p>
        </w:tc>
        <w:tc>
          <w:tcPr>
            <w:tcW w:w="992" w:type="dxa"/>
            <w:tcBorders>
              <w:top w:val="single" w:sz="4" w:space="0" w:color="000000" w:themeColor="text1"/>
              <w:left w:val="single" w:sz="4" w:space="0" w:color="000000" w:themeColor="text1"/>
              <w:bottom w:val="nil"/>
              <w:right w:val="single" w:sz="4" w:space="0" w:color="000000" w:themeColor="text1"/>
            </w:tcBorders>
            <w:vAlign w:val="center"/>
          </w:tcPr>
          <w:p w14:paraId="7AF43B64" w14:textId="77777777" w:rsidR="00E77839" w:rsidRPr="00B63DD5" w:rsidRDefault="00E77839" w:rsidP="00E77839">
            <w:pPr>
              <w:jc w:val="center"/>
              <w:rPr>
                <w:color w:val="000000"/>
                <w:sz w:val="20"/>
                <w:szCs w:val="20"/>
              </w:rPr>
            </w:pPr>
            <w:r w:rsidRPr="00A3510A">
              <w:rPr>
                <w:color w:val="000000"/>
                <w:sz w:val="20"/>
                <w:szCs w:val="20"/>
              </w:rPr>
              <w:t>■</w:t>
            </w:r>
          </w:p>
        </w:tc>
        <w:tc>
          <w:tcPr>
            <w:tcW w:w="850" w:type="dxa"/>
            <w:tcBorders>
              <w:top w:val="single" w:sz="4" w:space="0" w:color="000000" w:themeColor="text1"/>
              <w:left w:val="single" w:sz="4" w:space="0" w:color="000000" w:themeColor="text1"/>
              <w:bottom w:val="nil"/>
              <w:right w:val="single" w:sz="4" w:space="0" w:color="000000" w:themeColor="text1"/>
            </w:tcBorders>
            <w:vAlign w:val="center"/>
          </w:tcPr>
          <w:p w14:paraId="06977114" w14:textId="77777777" w:rsidR="00E77839" w:rsidRPr="00B63DD5" w:rsidRDefault="00E77839" w:rsidP="00E77839">
            <w:pPr>
              <w:jc w:val="center"/>
              <w:rPr>
                <w:color w:val="000000"/>
                <w:sz w:val="20"/>
                <w:szCs w:val="20"/>
              </w:rPr>
            </w:pPr>
            <w:r w:rsidRPr="00A3510A">
              <w:rPr>
                <w:color w:val="000000"/>
                <w:sz w:val="20"/>
                <w:szCs w:val="20"/>
              </w:rPr>
              <w:t>■</w:t>
            </w:r>
          </w:p>
        </w:tc>
        <w:tc>
          <w:tcPr>
            <w:tcW w:w="851" w:type="dxa"/>
            <w:tcBorders>
              <w:top w:val="single" w:sz="4" w:space="0" w:color="000000" w:themeColor="text1"/>
              <w:left w:val="nil"/>
              <w:bottom w:val="nil"/>
              <w:right w:val="single" w:sz="4" w:space="0" w:color="000000" w:themeColor="text1"/>
            </w:tcBorders>
          </w:tcPr>
          <w:p w14:paraId="7AD9C894" w14:textId="77777777" w:rsidR="00E77839" w:rsidRPr="00B63DD5" w:rsidRDefault="00E77839" w:rsidP="00E77839">
            <w:pPr>
              <w:jc w:val="center"/>
              <w:rPr>
                <w:color w:val="000000"/>
                <w:sz w:val="20"/>
                <w:szCs w:val="20"/>
              </w:rPr>
            </w:pPr>
            <w:r w:rsidRPr="00A3510A">
              <w:rPr>
                <w:color w:val="000000"/>
                <w:sz w:val="20"/>
                <w:szCs w:val="20"/>
              </w:rPr>
              <w:t>■</w:t>
            </w:r>
          </w:p>
        </w:tc>
      </w:tr>
      <w:tr w:rsidR="00E77839" w:rsidRPr="00B63DD5" w14:paraId="30BBA0B2" w14:textId="77777777" w:rsidTr="00E77839">
        <w:trPr>
          <w:trHeight w:val="259"/>
        </w:trPr>
        <w:tc>
          <w:tcPr>
            <w:tcW w:w="8789" w:type="dxa"/>
            <w:gridSpan w:val="2"/>
            <w:tcBorders>
              <w:top w:val="nil"/>
              <w:left w:val="single" w:sz="4" w:space="0" w:color="000000" w:themeColor="text1"/>
              <w:bottom w:val="nil"/>
              <w:right w:val="single" w:sz="4" w:space="0" w:color="000000" w:themeColor="text1"/>
            </w:tcBorders>
            <w:shd w:val="clear" w:color="auto" w:fill="auto"/>
            <w:vAlign w:val="center"/>
          </w:tcPr>
          <w:p w14:paraId="26922E27" w14:textId="77777777" w:rsidR="00E77839" w:rsidRPr="00B63DD5" w:rsidRDefault="00E77839" w:rsidP="00E77839">
            <w:pPr>
              <w:spacing w:line="276" w:lineRule="auto"/>
              <w:jc w:val="both"/>
              <w:rPr>
                <w:color w:val="000000"/>
                <w:sz w:val="20"/>
                <w:szCs w:val="20"/>
              </w:rPr>
            </w:pPr>
            <w:r w:rsidRPr="00B63DD5">
              <w:rPr>
                <w:color w:val="000000"/>
                <w:sz w:val="20"/>
                <w:szCs w:val="20"/>
              </w:rPr>
              <w:t>Sample size is justified (i.e., based on pre-study consideration of statistical power) and satisfactory</w:t>
            </w:r>
          </w:p>
        </w:tc>
        <w:tc>
          <w:tcPr>
            <w:tcW w:w="850" w:type="dxa"/>
            <w:tcBorders>
              <w:top w:val="nil"/>
              <w:left w:val="single" w:sz="4" w:space="0" w:color="000000" w:themeColor="text1"/>
              <w:bottom w:val="nil"/>
              <w:right w:val="single" w:sz="4" w:space="0" w:color="000000" w:themeColor="text1"/>
            </w:tcBorders>
            <w:vAlign w:val="center"/>
          </w:tcPr>
          <w:p w14:paraId="5101623D" w14:textId="77777777" w:rsidR="00E77839" w:rsidRPr="00B63DD5" w:rsidRDefault="00E77839" w:rsidP="00E77839">
            <w:pPr>
              <w:jc w:val="center"/>
              <w:rPr>
                <w:color w:val="000000"/>
                <w:sz w:val="20"/>
                <w:szCs w:val="20"/>
              </w:rPr>
            </w:pPr>
            <w:r w:rsidRPr="0044561E">
              <w:rPr>
                <w:color w:val="000000"/>
                <w:sz w:val="20"/>
                <w:szCs w:val="20"/>
              </w:rPr>
              <w:t>□</w:t>
            </w:r>
          </w:p>
        </w:tc>
        <w:tc>
          <w:tcPr>
            <w:tcW w:w="851" w:type="dxa"/>
            <w:tcBorders>
              <w:top w:val="nil"/>
              <w:left w:val="single" w:sz="4" w:space="0" w:color="000000" w:themeColor="text1"/>
              <w:bottom w:val="nil"/>
              <w:right w:val="single" w:sz="4" w:space="0" w:color="000000" w:themeColor="text1"/>
            </w:tcBorders>
            <w:vAlign w:val="center"/>
          </w:tcPr>
          <w:p w14:paraId="3D22905B" w14:textId="77777777" w:rsidR="00E77839" w:rsidRPr="00B63DD5" w:rsidRDefault="00E77839" w:rsidP="00E77839">
            <w:pPr>
              <w:jc w:val="center"/>
              <w:rPr>
                <w:color w:val="000000"/>
                <w:sz w:val="20"/>
                <w:szCs w:val="20"/>
              </w:rPr>
            </w:pPr>
            <w:r w:rsidRPr="0044561E">
              <w:rPr>
                <w:color w:val="000000"/>
                <w:sz w:val="20"/>
                <w:szCs w:val="20"/>
              </w:rPr>
              <w:t>□</w:t>
            </w:r>
          </w:p>
        </w:tc>
        <w:tc>
          <w:tcPr>
            <w:tcW w:w="850" w:type="dxa"/>
            <w:tcBorders>
              <w:top w:val="nil"/>
              <w:left w:val="single" w:sz="4" w:space="0" w:color="000000" w:themeColor="text1"/>
              <w:bottom w:val="nil"/>
              <w:right w:val="single" w:sz="4" w:space="0" w:color="000000" w:themeColor="text1"/>
            </w:tcBorders>
            <w:vAlign w:val="center"/>
          </w:tcPr>
          <w:p w14:paraId="7208D6DC" w14:textId="77777777" w:rsidR="00E77839" w:rsidRPr="00B63DD5" w:rsidRDefault="00E77839" w:rsidP="00E77839">
            <w:pPr>
              <w:jc w:val="center"/>
              <w:rPr>
                <w:color w:val="000000"/>
                <w:sz w:val="20"/>
                <w:szCs w:val="20"/>
              </w:rPr>
            </w:pPr>
            <w:r w:rsidRPr="0044561E">
              <w:rPr>
                <w:color w:val="000000"/>
                <w:sz w:val="20"/>
                <w:szCs w:val="20"/>
              </w:rPr>
              <w:t>□</w:t>
            </w:r>
          </w:p>
        </w:tc>
        <w:tc>
          <w:tcPr>
            <w:tcW w:w="993" w:type="dxa"/>
            <w:tcBorders>
              <w:top w:val="nil"/>
              <w:left w:val="single" w:sz="4" w:space="0" w:color="000000" w:themeColor="text1"/>
              <w:bottom w:val="nil"/>
              <w:right w:val="single" w:sz="4" w:space="0" w:color="000000" w:themeColor="text1"/>
            </w:tcBorders>
          </w:tcPr>
          <w:p w14:paraId="5827B406" w14:textId="77777777" w:rsidR="00E77839" w:rsidRPr="00BA4AC8" w:rsidRDefault="00E77839" w:rsidP="00E77839">
            <w:pPr>
              <w:jc w:val="center"/>
              <w:rPr>
                <w:color w:val="000000"/>
                <w:sz w:val="20"/>
                <w:szCs w:val="20"/>
              </w:rPr>
            </w:pPr>
            <w:r w:rsidRPr="0044561E">
              <w:rPr>
                <w:color w:val="000000"/>
                <w:sz w:val="20"/>
                <w:szCs w:val="20"/>
              </w:rPr>
              <w:t>□</w:t>
            </w:r>
          </w:p>
        </w:tc>
        <w:tc>
          <w:tcPr>
            <w:tcW w:w="992" w:type="dxa"/>
            <w:tcBorders>
              <w:top w:val="nil"/>
              <w:left w:val="single" w:sz="4" w:space="0" w:color="000000" w:themeColor="text1"/>
              <w:bottom w:val="nil"/>
              <w:right w:val="single" w:sz="4" w:space="0" w:color="000000" w:themeColor="text1"/>
            </w:tcBorders>
            <w:vAlign w:val="center"/>
          </w:tcPr>
          <w:p w14:paraId="06323EFF" w14:textId="77777777" w:rsidR="00E77839" w:rsidRPr="004A4C72" w:rsidRDefault="00E77839" w:rsidP="00E77839">
            <w:pPr>
              <w:jc w:val="center"/>
              <w:rPr>
                <w:b/>
                <w:bCs/>
                <w:color w:val="000000"/>
                <w:sz w:val="20"/>
                <w:szCs w:val="20"/>
              </w:rPr>
            </w:pPr>
            <w:r w:rsidRPr="0044561E">
              <w:rPr>
                <w:color w:val="000000"/>
                <w:sz w:val="20"/>
                <w:szCs w:val="20"/>
              </w:rPr>
              <w:t>□</w:t>
            </w:r>
          </w:p>
        </w:tc>
        <w:tc>
          <w:tcPr>
            <w:tcW w:w="850" w:type="dxa"/>
            <w:tcBorders>
              <w:top w:val="nil"/>
              <w:left w:val="single" w:sz="4" w:space="0" w:color="000000" w:themeColor="text1"/>
              <w:bottom w:val="nil"/>
              <w:right w:val="single" w:sz="4" w:space="0" w:color="000000" w:themeColor="text1"/>
            </w:tcBorders>
            <w:vAlign w:val="center"/>
          </w:tcPr>
          <w:p w14:paraId="50A776EE" w14:textId="77777777" w:rsidR="00E77839" w:rsidRPr="00B63DD5" w:rsidRDefault="00E77839" w:rsidP="00E77839">
            <w:pPr>
              <w:jc w:val="center"/>
              <w:rPr>
                <w:color w:val="000000"/>
                <w:sz w:val="20"/>
                <w:szCs w:val="20"/>
              </w:rPr>
            </w:pPr>
            <w:r w:rsidRPr="0044561E">
              <w:rPr>
                <w:color w:val="000000"/>
                <w:sz w:val="20"/>
                <w:szCs w:val="20"/>
              </w:rPr>
              <w:t>□</w:t>
            </w:r>
          </w:p>
        </w:tc>
        <w:tc>
          <w:tcPr>
            <w:tcW w:w="851" w:type="dxa"/>
            <w:tcBorders>
              <w:top w:val="nil"/>
              <w:left w:val="nil"/>
              <w:bottom w:val="nil"/>
              <w:right w:val="single" w:sz="4" w:space="0" w:color="000000" w:themeColor="text1"/>
            </w:tcBorders>
          </w:tcPr>
          <w:p w14:paraId="438A6E70" w14:textId="77777777" w:rsidR="00E77839" w:rsidRPr="00B63DD5" w:rsidRDefault="00E77839" w:rsidP="00E77839">
            <w:pPr>
              <w:jc w:val="center"/>
              <w:rPr>
                <w:color w:val="000000"/>
                <w:sz w:val="20"/>
                <w:szCs w:val="20"/>
              </w:rPr>
            </w:pPr>
            <w:r w:rsidRPr="0044561E">
              <w:rPr>
                <w:color w:val="000000"/>
                <w:sz w:val="20"/>
                <w:szCs w:val="20"/>
              </w:rPr>
              <w:t>□</w:t>
            </w:r>
          </w:p>
        </w:tc>
      </w:tr>
      <w:tr w:rsidR="00E77839" w:rsidRPr="00B63DD5" w14:paraId="6B516052" w14:textId="77777777" w:rsidTr="00E77839">
        <w:trPr>
          <w:trHeight w:val="259"/>
        </w:trPr>
        <w:tc>
          <w:tcPr>
            <w:tcW w:w="8789" w:type="dxa"/>
            <w:gridSpan w:val="2"/>
            <w:tcBorders>
              <w:top w:val="nil"/>
              <w:left w:val="single" w:sz="4" w:space="0" w:color="000000" w:themeColor="text1"/>
              <w:bottom w:val="nil"/>
              <w:right w:val="single" w:sz="4" w:space="0" w:color="000000" w:themeColor="text1"/>
            </w:tcBorders>
            <w:shd w:val="clear" w:color="auto" w:fill="auto"/>
            <w:vAlign w:val="center"/>
          </w:tcPr>
          <w:p w14:paraId="2910969F" w14:textId="77777777" w:rsidR="00E77839" w:rsidRPr="00B63DD5" w:rsidRDefault="00E77839" w:rsidP="00E77839">
            <w:pPr>
              <w:spacing w:line="276" w:lineRule="auto"/>
              <w:jc w:val="both"/>
              <w:rPr>
                <w:color w:val="000000"/>
                <w:sz w:val="20"/>
                <w:szCs w:val="20"/>
              </w:rPr>
            </w:pPr>
            <w:r w:rsidRPr="00B63DD5">
              <w:rPr>
                <w:color w:val="000000"/>
                <w:sz w:val="20"/>
                <w:szCs w:val="20"/>
              </w:rPr>
              <w:t xml:space="preserve">The way the sample is obtained has limited chance to introduce (selection) bias </w:t>
            </w:r>
          </w:p>
        </w:tc>
        <w:tc>
          <w:tcPr>
            <w:tcW w:w="850" w:type="dxa"/>
            <w:tcBorders>
              <w:top w:val="nil"/>
              <w:left w:val="single" w:sz="4" w:space="0" w:color="000000" w:themeColor="text1"/>
              <w:bottom w:val="nil"/>
              <w:right w:val="single" w:sz="4" w:space="0" w:color="000000" w:themeColor="text1"/>
            </w:tcBorders>
            <w:vAlign w:val="center"/>
          </w:tcPr>
          <w:p w14:paraId="7C6F0FF3" w14:textId="77777777" w:rsidR="00E77839" w:rsidRPr="00B63DD5" w:rsidRDefault="00E77839" w:rsidP="00E77839">
            <w:pPr>
              <w:jc w:val="center"/>
              <w:rPr>
                <w:color w:val="000000"/>
                <w:sz w:val="20"/>
                <w:szCs w:val="20"/>
              </w:rPr>
            </w:pPr>
            <w:r>
              <w:rPr>
                <w:color w:val="000000"/>
                <w:sz w:val="16"/>
                <w:szCs w:val="16"/>
              </w:rPr>
              <w:t>--</w:t>
            </w:r>
          </w:p>
        </w:tc>
        <w:tc>
          <w:tcPr>
            <w:tcW w:w="851" w:type="dxa"/>
            <w:tcBorders>
              <w:top w:val="nil"/>
              <w:left w:val="single" w:sz="4" w:space="0" w:color="000000" w:themeColor="text1"/>
              <w:bottom w:val="nil"/>
              <w:right w:val="single" w:sz="4" w:space="0" w:color="000000" w:themeColor="text1"/>
            </w:tcBorders>
            <w:vAlign w:val="center"/>
          </w:tcPr>
          <w:p w14:paraId="4BC3D457" w14:textId="77777777" w:rsidR="00E77839" w:rsidRPr="00B63DD5" w:rsidRDefault="00E77839" w:rsidP="00E77839">
            <w:pPr>
              <w:jc w:val="center"/>
              <w:rPr>
                <w:color w:val="000000"/>
                <w:sz w:val="20"/>
                <w:szCs w:val="20"/>
              </w:rPr>
            </w:pPr>
            <w:r>
              <w:rPr>
                <w:color w:val="000000"/>
                <w:sz w:val="16"/>
                <w:szCs w:val="16"/>
              </w:rPr>
              <w:t>--</w:t>
            </w:r>
          </w:p>
        </w:tc>
        <w:tc>
          <w:tcPr>
            <w:tcW w:w="850" w:type="dxa"/>
            <w:tcBorders>
              <w:top w:val="nil"/>
              <w:left w:val="single" w:sz="4" w:space="0" w:color="000000" w:themeColor="text1"/>
              <w:bottom w:val="nil"/>
              <w:right w:val="single" w:sz="4" w:space="0" w:color="000000" w:themeColor="text1"/>
            </w:tcBorders>
            <w:vAlign w:val="center"/>
          </w:tcPr>
          <w:p w14:paraId="32B5D936" w14:textId="77777777" w:rsidR="00E77839" w:rsidRPr="00B63DD5" w:rsidRDefault="00E77839" w:rsidP="00E77839">
            <w:pPr>
              <w:jc w:val="center"/>
              <w:rPr>
                <w:color w:val="000000"/>
                <w:sz w:val="20"/>
                <w:szCs w:val="20"/>
              </w:rPr>
            </w:pPr>
            <w:r w:rsidRPr="0044561E">
              <w:rPr>
                <w:color w:val="000000"/>
                <w:sz w:val="20"/>
                <w:szCs w:val="20"/>
              </w:rPr>
              <w:t>□</w:t>
            </w:r>
          </w:p>
        </w:tc>
        <w:tc>
          <w:tcPr>
            <w:tcW w:w="993" w:type="dxa"/>
            <w:tcBorders>
              <w:top w:val="nil"/>
              <w:left w:val="single" w:sz="4" w:space="0" w:color="000000" w:themeColor="text1"/>
              <w:bottom w:val="nil"/>
              <w:right w:val="single" w:sz="4" w:space="0" w:color="000000" w:themeColor="text1"/>
            </w:tcBorders>
          </w:tcPr>
          <w:p w14:paraId="055AAAA9" w14:textId="77777777" w:rsidR="00E77839" w:rsidRPr="00AE6171" w:rsidRDefault="00E77839" w:rsidP="00E77839">
            <w:pPr>
              <w:jc w:val="center"/>
              <w:rPr>
                <w:color w:val="000000"/>
                <w:sz w:val="20"/>
                <w:szCs w:val="20"/>
              </w:rPr>
            </w:pPr>
            <w:r w:rsidRPr="00A3510A">
              <w:rPr>
                <w:color w:val="000000"/>
                <w:sz w:val="20"/>
                <w:szCs w:val="20"/>
              </w:rPr>
              <w:t>■</w:t>
            </w:r>
          </w:p>
        </w:tc>
        <w:tc>
          <w:tcPr>
            <w:tcW w:w="992" w:type="dxa"/>
            <w:tcBorders>
              <w:top w:val="nil"/>
              <w:left w:val="single" w:sz="4" w:space="0" w:color="000000" w:themeColor="text1"/>
              <w:bottom w:val="nil"/>
              <w:right w:val="single" w:sz="4" w:space="0" w:color="000000" w:themeColor="text1"/>
            </w:tcBorders>
            <w:vAlign w:val="center"/>
          </w:tcPr>
          <w:p w14:paraId="0251D829" w14:textId="77777777" w:rsidR="00E77839" w:rsidRPr="00B63DD5" w:rsidRDefault="00E77839" w:rsidP="00E77839">
            <w:pPr>
              <w:jc w:val="center"/>
              <w:rPr>
                <w:color w:val="000000"/>
                <w:sz w:val="20"/>
                <w:szCs w:val="20"/>
              </w:rPr>
            </w:pPr>
            <w:r>
              <w:rPr>
                <w:color w:val="000000"/>
                <w:sz w:val="16"/>
                <w:szCs w:val="16"/>
              </w:rPr>
              <w:t>--</w:t>
            </w:r>
          </w:p>
        </w:tc>
        <w:tc>
          <w:tcPr>
            <w:tcW w:w="850" w:type="dxa"/>
            <w:tcBorders>
              <w:top w:val="nil"/>
              <w:left w:val="single" w:sz="4" w:space="0" w:color="000000" w:themeColor="text1"/>
              <w:bottom w:val="nil"/>
              <w:right w:val="single" w:sz="4" w:space="0" w:color="000000" w:themeColor="text1"/>
            </w:tcBorders>
            <w:vAlign w:val="center"/>
          </w:tcPr>
          <w:p w14:paraId="18DE4A4E" w14:textId="77777777" w:rsidR="00E77839" w:rsidRPr="00B63DD5" w:rsidRDefault="00E77839" w:rsidP="00E77839">
            <w:pPr>
              <w:jc w:val="center"/>
              <w:rPr>
                <w:color w:val="000000"/>
                <w:sz w:val="20"/>
                <w:szCs w:val="20"/>
              </w:rPr>
            </w:pPr>
            <w:r>
              <w:rPr>
                <w:color w:val="000000"/>
                <w:sz w:val="16"/>
                <w:szCs w:val="16"/>
              </w:rPr>
              <w:t>--</w:t>
            </w:r>
          </w:p>
        </w:tc>
        <w:tc>
          <w:tcPr>
            <w:tcW w:w="851" w:type="dxa"/>
            <w:tcBorders>
              <w:top w:val="nil"/>
              <w:left w:val="nil"/>
              <w:bottom w:val="nil"/>
              <w:right w:val="single" w:sz="4" w:space="0" w:color="000000" w:themeColor="text1"/>
            </w:tcBorders>
          </w:tcPr>
          <w:p w14:paraId="22D548AA" w14:textId="77777777" w:rsidR="00E77839" w:rsidRPr="00B63DD5" w:rsidRDefault="00E77839" w:rsidP="00E77839">
            <w:pPr>
              <w:jc w:val="center"/>
              <w:rPr>
                <w:color w:val="000000"/>
                <w:sz w:val="20"/>
                <w:szCs w:val="20"/>
              </w:rPr>
            </w:pPr>
            <w:r w:rsidRPr="00A3510A">
              <w:rPr>
                <w:color w:val="000000"/>
                <w:sz w:val="20"/>
                <w:szCs w:val="20"/>
              </w:rPr>
              <w:t>■</w:t>
            </w:r>
          </w:p>
        </w:tc>
      </w:tr>
      <w:tr w:rsidR="00E77839" w:rsidRPr="00B63DD5" w14:paraId="13BA8093" w14:textId="77777777" w:rsidTr="00E77839">
        <w:trPr>
          <w:trHeight w:val="259"/>
        </w:trPr>
        <w:tc>
          <w:tcPr>
            <w:tcW w:w="8789" w:type="dxa"/>
            <w:gridSpan w:val="2"/>
            <w:tcBorders>
              <w:top w:val="nil"/>
              <w:left w:val="single" w:sz="4" w:space="0" w:color="000000" w:themeColor="text1"/>
              <w:bottom w:val="nil"/>
              <w:right w:val="single" w:sz="4" w:space="0" w:color="000000" w:themeColor="text1"/>
            </w:tcBorders>
            <w:shd w:val="clear" w:color="auto" w:fill="auto"/>
            <w:vAlign w:val="center"/>
          </w:tcPr>
          <w:p w14:paraId="2BE91D54" w14:textId="77777777" w:rsidR="00E77839" w:rsidRPr="00B63DD5" w:rsidRDefault="00E77839" w:rsidP="00E77839">
            <w:pPr>
              <w:spacing w:line="276" w:lineRule="auto"/>
              <w:jc w:val="both"/>
              <w:rPr>
                <w:color w:val="000000"/>
                <w:sz w:val="20"/>
                <w:szCs w:val="20"/>
              </w:rPr>
            </w:pPr>
            <w:r w:rsidRPr="00B63DD5">
              <w:rPr>
                <w:color w:val="000000"/>
                <w:sz w:val="20"/>
                <w:szCs w:val="20"/>
              </w:rPr>
              <w:t>Characteristics of respondents are comparable to characteristics of non-respondents</w:t>
            </w:r>
          </w:p>
        </w:tc>
        <w:tc>
          <w:tcPr>
            <w:tcW w:w="850" w:type="dxa"/>
            <w:tcBorders>
              <w:top w:val="nil"/>
              <w:left w:val="single" w:sz="4" w:space="0" w:color="000000" w:themeColor="text1"/>
              <w:bottom w:val="nil"/>
              <w:right w:val="single" w:sz="4" w:space="0" w:color="000000" w:themeColor="text1"/>
            </w:tcBorders>
            <w:vAlign w:val="center"/>
          </w:tcPr>
          <w:p w14:paraId="2916FCCE" w14:textId="77777777" w:rsidR="00E77839" w:rsidRPr="00B63DD5" w:rsidRDefault="00E77839" w:rsidP="00E77839">
            <w:pPr>
              <w:jc w:val="center"/>
              <w:rPr>
                <w:color w:val="000000"/>
                <w:sz w:val="20"/>
                <w:szCs w:val="20"/>
              </w:rPr>
            </w:pPr>
            <w:r w:rsidRPr="00D34864">
              <w:rPr>
                <w:color w:val="000000"/>
                <w:sz w:val="16"/>
                <w:szCs w:val="16"/>
              </w:rPr>
              <w:t>--</w:t>
            </w:r>
          </w:p>
        </w:tc>
        <w:tc>
          <w:tcPr>
            <w:tcW w:w="851" w:type="dxa"/>
            <w:tcBorders>
              <w:top w:val="nil"/>
              <w:left w:val="single" w:sz="4" w:space="0" w:color="000000" w:themeColor="text1"/>
              <w:bottom w:val="nil"/>
              <w:right w:val="single" w:sz="4" w:space="0" w:color="000000" w:themeColor="text1"/>
            </w:tcBorders>
            <w:vAlign w:val="center"/>
          </w:tcPr>
          <w:p w14:paraId="71ED23C7" w14:textId="77777777" w:rsidR="00E77839" w:rsidRPr="00B63DD5" w:rsidRDefault="00E77839" w:rsidP="00E77839">
            <w:pPr>
              <w:jc w:val="center"/>
              <w:rPr>
                <w:color w:val="000000"/>
                <w:sz w:val="20"/>
                <w:szCs w:val="20"/>
              </w:rPr>
            </w:pPr>
            <w:r w:rsidRPr="00D34864">
              <w:rPr>
                <w:color w:val="000000"/>
                <w:sz w:val="16"/>
                <w:szCs w:val="16"/>
              </w:rPr>
              <w:t>--</w:t>
            </w:r>
          </w:p>
        </w:tc>
        <w:tc>
          <w:tcPr>
            <w:tcW w:w="850" w:type="dxa"/>
            <w:tcBorders>
              <w:top w:val="nil"/>
              <w:left w:val="single" w:sz="4" w:space="0" w:color="000000" w:themeColor="text1"/>
              <w:bottom w:val="nil"/>
              <w:right w:val="single" w:sz="4" w:space="0" w:color="000000" w:themeColor="text1"/>
            </w:tcBorders>
            <w:vAlign w:val="center"/>
          </w:tcPr>
          <w:p w14:paraId="31828B4B" w14:textId="77777777" w:rsidR="00E77839" w:rsidRPr="00B63DD5" w:rsidRDefault="00E77839" w:rsidP="00E77839">
            <w:pPr>
              <w:jc w:val="center"/>
              <w:rPr>
                <w:color w:val="000000"/>
                <w:sz w:val="20"/>
                <w:szCs w:val="20"/>
              </w:rPr>
            </w:pPr>
            <w:r w:rsidRPr="00D34864">
              <w:rPr>
                <w:color w:val="000000"/>
                <w:sz w:val="16"/>
                <w:szCs w:val="16"/>
              </w:rPr>
              <w:t>--</w:t>
            </w:r>
          </w:p>
        </w:tc>
        <w:tc>
          <w:tcPr>
            <w:tcW w:w="993" w:type="dxa"/>
            <w:tcBorders>
              <w:top w:val="nil"/>
              <w:left w:val="single" w:sz="4" w:space="0" w:color="000000" w:themeColor="text1"/>
              <w:bottom w:val="nil"/>
              <w:right w:val="single" w:sz="4" w:space="0" w:color="000000" w:themeColor="text1"/>
            </w:tcBorders>
          </w:tcPr>
          <w:p w14:paraId="78269BC7" w14:textId="77777777" w:rsidR="00E77839" w:rsidRDefault="00E77839" w:rsidP="00E77839">
            <w:pPr>
              <w:jc w:val="center"/>
              <w:rPr>
                <w:color w:val="000000"/>
                <w:sz w:val="20"/>
                <w:szCs w:val="20"/>
              </w:rPr>
            </w:pPr>
            <w:r w:rsidRPr="00A3510A">
              <w:rPr>
                <w:color w:val="000000"/>
                <w:sz w:val="20"/>
                <w:szCs w:val="20"/>
              </w:rPr>
              <w:t>■</w:t>
            </w:r>
          </w:p>
        </w:tc>
        <w:tc>
          <w:tcPr>
            <w:tcW w:w="992" w:type="dxa"/>
            <w:tcBorders>
              <w:top w:val="nil"/>
              <w:left w:val="single" w:sz="4" w:space="0" w:color="000000" w:themeColor="text1"/>
              <w:bottom w:val="nil"/>
              <w:right w:val="single" w:sz="4" w:space="0" w:color="000000" w:themeColor="text1"/>
            </w:tcBorders>
            <w:vAlign w:val="center"/>
          </w:tcPr>
          <w:p w14:paraId="7C3311D5" w14:textId="77777777" w:rsidR="00E77839" w:rsidRPr="00B63DD5" w:rsidRDefault="00E77839" w:rsidP="00E77839">
            <w:pPr>
              <w:jc w:val="center"/>
              <w:rPr>
                <w:color w:val="000000"/>
                <w:sz w:val="20"/>
                <w:szCs w:val="20"/>
              </w:rPr>
            </w:pPr>
            <w:r w:rsidRPr="00D34864">
              <w:rPr>
                <w:color w:val="000000"/>
                <w:sz w:val="16"/>
                <w:szCs w:val="16"/>
              </w:rPr>
              <w:t>--</w:t>
            </w:r>
          </w:p>
        </w:tc>
        <w:tc>
          <w:tcPr>
            <w:tcW w:w="850" w:type="dxa"/>
            <w:tcBorders>
              <w:top w:val="nil"/>
              <w:left w:val="single" w:sz="4" w:space="0" w:color="000000" w:themeColor="text1"/>
              <w:bottom w:val="nil"/>
              <w:right w:val="single" w:sz="4" w:space="0" w:color="000000" w:themeColor="text1"/>
            </w:tcBorders>
            <w:vAlign w:val="center"/>
          </w:tcPr>
          <w:p w14:paraId="4E4011D6" w14:textId="77777777" w:rsidR="00E77839" w:rsidRPr="00B63DD5" w:rsidRDefault="00E77839" w:rsidP="00E77839">
            <w:pPr>
              <w:jc w:val="center"/>
              <w:rPr>
                <w:color w:val="000000"/>
                <w:sz w:val="20"/>
                <w:szCs w:val="20"/>
              </w:rPr>
            </w:pPr>
            <w:r w:rsidRPr="00D34864">
              <w:rPr>
                <w:color w:val="000000"/>
                <w:sz w:val="16"/>
                <w:szCs w:val="16"/>
              </w:rPr>
              <w:t>--</w:t>
            </w:r>
          </w:p>
        </w:tc>
        <w:tc>
          <w:tcPr>
            <w:tcW w:w="851" w:type="dxa"/>
            <w:tcBorders>
              <w:top w:val="nil"/>
              <w:left w:val="nil"/>
              <w:bottom w:val="nil"/>
              <w:right w:val="single" w:sz="4" w:space="0" w:color="000000" w:themeColor="text1"/>
            </w:tcBorders>
          </w:tcPr>
          <w:p w14:paraId="0AF92985" w14:textId="77777777" w:rsidR="00E77839" w:rsidRPr="00FA1E11" w:rsidRDefault="00E77839" w:rsidP="00E77839">
            <w:pPr>
              <w:jc w:val="center"/>
              <w:rPr>
                <w:color w:val="000000"/>
                <w:sz w:val="20"/>
                <w:szCs w:val="20"/>
                <w:vertAlign w:val="superscript"/>
              </w:rPr>
            </w:pPr>
            <w:r>
              <w:rPr>
                <w:color w:val="000000"/>
                <w:sz w:val="20"/>
                <w:szCs w:val="20"/>
              </w:rPr>
              <w:t xml:space="preserve">-- </w:t>
            </w:r>
          </w:p>
        </w:tc>
      </w:tr>
      <w:tr w:rsidR="00E77839" w:rsidRPr="00B63DD5" w14:paraId="05F06257" w14:textId="77777777" w:rsidTr="00E77839">
        <w:trPr>
          <w:trHeight w:val="259"/>
        </w:trPr>
        <w:tc>
          <w:tcPr>
            <w:tcW w:w="8789" w:type="dxa"/>
            <w:gridSpan w:val="2"/>
            <w:tcBorders>
              <w:top w:val="nil"/>
              <w:left w:val="single" w:sz="4" w:space="0" w:color="000000" w:themeColor="text1"/>
              <w:bottom w:val="nil"/>
              <w:right w:val="single" w:sz="4" w:space="0" w:color="000000" w:themeColor="text1"/>
            </w:tcBorders>
            <w:shd w:val="clear" w:color="auto" w:fill="auto"/>
            <w:vAlign w:val="center"/>
          </w:tcPr>
          <w:p w14:paraId="74E35626" w14:textId="77777777" w:rsidR="00E77839" w:rsidRPr="00B63DD5" w:rsidRDefault="00E77839" w:rsidP="00E77839">
            <w:pPr>
              <w:spacing w:line="276" w:lineRule="auto"/>
              <w:jc w:val="both"/>
              <w:rPr>
                <w:color w:val="000000"/>
                <w:sz w:val="20"/>
                <w:szCs w:val="20"/>
              </w:rPr>
            </w:pPr>
            <w:r w:rsidRPr="00B63DD5">
              <w:rPr>
                <w:color w:val="000000"/>
                <w:sz w:val="20"/>
                <w:szCs w:val="20"/>
              </w:rPr>
              <w:t xml:space="preserve">The response rate is satisfactory </w:t>
            </w:r>
          </w:p>
        </w:tc>
        <w:tc>
          <w:tcPr>
            <w:tcW w:w="850" w:type="dxa"/>
            <w:tcBorders>
              <w:top w:val="nil"/>
              <w:left w:val="single" w:sz="4" w:space="0" w:color="000000" w:themeColor="text1"/>
              <w:bottom w:val="nil"/>
              <w:right w:val="single" w:sz="4" w:space="0" w:color="000000" w:themeColor="text1"/>
            </w:tcBorders>
            <w:vAlign w:val="center"/>
          </w:tcPr>
          <w:p w14:paraId="506CEC56" w14:textId="77777777" w:rsidR="00E77839" w:rsidRPr="00B63DD5" w:rsidRDefault="00E77839" w:rsidP="00E77839">
            <w:pPr>
              <w:jc w:val="center"/>
              <w:rPr>
                <w:color w:val="000000"/>
                <w:sz w:val="20"/>
                <w:szCs w:val="20"/>
              </w:rPr>
            </w:pPr>
            <w:r w:rsidRPr="00D34864">
              <w:rPr>
                <w:color w:val="000000"/>
                <w:sz w:val="16"/>
                <w:szCs w:val="16"/>
              </w:rPr>
              <w:t>--</w:t>
            </w:r>
          </w:p>
        </w:tc>
        <w:tc>
          <w:tcPr>
            <w:tcW w:w="851" w:type="dxa"/>
            <w:tcBorders>
              <w:top w:val="nil"/>
              <w:left w:val="single" w:sz="4" w:space="0" w:color="000000" w:themeColor="text1"/>
              <w:bottom w:val="nil"/>
              <w:right w:val="single" w:sz="4" w:space="0" w:color="000000" w:themeColor="text1"/>
            </w:tcBorders>
            <w:vAlign w:val="center"/>
          </w:tcPr>
          <w:p w14:paraId="7DB374BB" w14:textId="77777777" w:rsidR="00E77839" w:rsidRPr="00B63DD5" w:rsidRDefault="00E77839" w:rsidP="00E77839">
            <w:pPr>
              <w:jc w:val="center"/>
              <w:rPr>
                <w:color w:val="000000"/>
                <w:sz w:val="20"/>
                <w:szCs w:val="20"/>
              </w:rPr>
            </w:pPr>
            <w:r w:rsidRPr="00D34864">
              <w:rPr>
                <w:color w:val="000000"/>
                <w:sz w:val="16"/>
                <w:szCs w:val="16"/>
              </w:rPr>
              <w:t>--</w:t>
            </w:r>
          </w:p>
        </w:tc>
        <w:tc>
          <w:tcPr>
            <w:tcW w:w="850" w:type="dxa"/>
            <w:tcBorders>
              <w:top w:val="nil"/>
              <w:left w:val="single" w:sz="4" w:space="0" w:color="000000" w:themeColor="text1"/>
              <w:bottom w:val="nil"/>
              <w:right w:val="single" w:sz="4" w:space="0" w:color="000000" w:themeColor="text1"/>
            </w:tcBorders>
            <w:vAlign w:val="center"/>
          </w:tcPr>
          <w:p w14:paraId="689233CD" w14:textId="77777777" w:rsidR="00E77839" w:rsidRPr="00B63DD5" w:rsidRDefault="00E77839" w:rsidP="00E77839">
            <w:pPr>
              <w:jc w:val="center"/>
              <w:rPr>
                <w:color w:val="000000"/>
                <w:sz w:val="20"/>
                <w:szCs w:val="20"/>
              </w:rPr>
            </w:pPr>
            <w:r w:rsidRPr="00D34864">
              <w:rPr>
                <w:color w:val="000000"/>
                <w:sz w:val="16"/>
                <w:szCs w:val="16"/>
              </w:rPr>
              <w:t>--</w:t>
            </w:r>
          </w:p>
        </w:tc>
        <w:tc>
          <w:tcPr>
            <w:tcW w:w="993" w:type="dxa"/>
            <w:tcBorders>
              <w:top w:val="nil"/>
              <w:left w:val="single" w:sz="4" w:space="0" w:color="000000" w:themeColor="text1"/>
              <w:bottom w:val="nil"/>
              <w:right w:val="single" w:sz="4" w:space="0" w:color="000000" w:themeColor="text1"/>
            </w:tcBorders>
          </w:tcPr>
          <w:p w14:paraId="4BDA21B4" w14:textId="77777777" w:rsidR="00E77839" w:rsidRDefault="00E77839" w:rsidP="00E77839">
            <w:pPr>
              <w:jc w:val="center"/>
              <w:rPr>
                <w:color w:val="000000"/>
                <w:sz w:val="20"/>
                <w:szCs w:val="20"/>
              </w:rPr>
            </w:pPr>
            <w:r w:rsidRPr="0044561E">
              <w:rPr>
                <w:color w:val="000000"/>
                <w:sz w:val="20"/>
                <w:szCs w:val="20"/>
              </w:rPr>
              <w:t>□</w:t>
            </w:r>
            <w:r>
              <w:rPr>
                <w:color w:val="000000"/>
                <w:sz w:val="20"/>
                <w:szCs w:val="20"/>
              </w:rPr>
              <w:t xml:space="preserve"> </w:t>
            </w:r>
            <w:r w:rsidRPr="004771DB">
              <w:rPr>
                <w:color w:val="000000"/>
                <w:sz w:val="16"/>
                <w:szCs w:val="16"/>
              </w:rPr>
              <w:t>33.5%</w:t>
            </w:r>
          </w:p>
        </w:tc>
        <w:tc>
          <w:tcPr>
            <w:tcW w:w="992" w:type="dxa"/>
            <w:tcBorders>
              <w:top w:val="nil"/>
              <w:left w:val="single" w:sz="4" w:space="0" w:color="000000" w:themeColor="text1"/>
              <w:bottom w:val="nil"/>
              <w:right w:val="single" w:sz="4" w:space="0" w:color="000000" w:themeColor="text1"/>
            </w:tcBorders>
            <w:vAlign w:val="center"/>
          </w:tcPr>
          <w:p w14:paraId="0A4BD541" w14:textId="77777777" w:rsidR="00E77839" w:rsidRPr="00B63DD5" w:rsidRDefault="00E77839" w:rsidP="00E77839">
            <w:pPr>
              <w:jc w:val="center"/>
              <w:rPr>
                <w:color w:val="000000"/>
                <w:sz w:val="20"/>
                <w:szCs w:val="20"/>
              </w:rPr>
            </w:pPr>
            <w:r w:rsidRPr="00D34864">
              <w:rPr>
                <w:color w:val="000000"/>
                <w:sz w:val="16"/>
                <w:szCs w:val="16"/>
              </w:rPr>
              <w:t>--</w:t>
            </w:r>
          </w:p>
        </w:tc>
        <w:tc>
          <w:tcPr>
            <w:tcW w:w="850" w:type="dxa"/>
            <w:tcBorders>
              <w:top w:val="nil"/>
              <w:left w:val="single" w:sz="4" w:space="0" w:color="000000" w:themeColor="text1"/>
              <w:bottom w:val="nil"/>
              <w:right w:val="single" w:sz="4" w:space="0" w:color="000000" w:themeColor="text1"/>
            </w:tcBorders>
            <w:vAlign w:val="center"/>
          </w:tcPr>
          <w:p w14:paraId="1A40D071" w14:textId="77777777" w:rsidR="00E77839" w:rsidRPr="00B63DD5" w:rsidRDefault="00E77839" w:rsidP="00E77839">
            <w:pPr>
              <w:jc w:val="center"/>
              <w:rPr>
                <w:color w:val="000000"/>
                <w:sz w:val="20"/>
                <w:szCs w:val="20"/>
              </w:rPr>
            </w:pPr>
            <w:r w:rsidRPr="00D34864">
              <w:rPr>
                <w:color w:val="000000"/>
                <w:sz w:val="16"/>
                <w:szCs w:val="16"/>
              </w:rPr>
              <w:t>--</w:t>
            </w:r>
          </w:p>
        </w:tc>
        <w:tc>
          <w:tcPr>
            <w:tcW w:w="851" w:type="dxa"/>
            <w:tcBorders>
              <w:top w:val="nil"/>
              <w:left w:val="nil"/>
              <w:bottom w:val="nil"/>
              <w:right w:val="single" w:sz="4" w:space="0" w:color="000000" w:themeColor="text1"/>
            </w:tcBorders>
          </w:tcPr>
          <w:p w14:paraId="438950DF" w14:textId="77777777" w:rsidR="00E77839" w:rsidRPr="00B63DD5" w:rsidRDefault="00E77839" w:rsidP="00E77839">
            <w:pPr>
              <w:jc w:val="center"/>
              <w:rPr>
                <w:color w:val="000000"/>
                <w:sz w:val="20"/>
                <w:szCs w:val="20"/>
              </w:rPr>
            </w:pPr>
            <w:r>
              <w:rPr>
                <w:color w:val="000000"/>
                <w:sz w:val="20"/>
                <w:szCs w:val="20"/>
              </w:rPr>
              <w:t>--</w:t>
            </w:r>
          </w:p>
        </w:tc>
      </w:tr>
      <w:tr w:rsidR="00E77839" w:rsidRPr="00B63DD5" w14:paraId="0854925C" w14:textId="77777777" w:rsidTr="00E77839">
        <w:trPr>
          <w:trHeight w:val="259"/>
        </w:trPr>
        <w:tc>
          <w:tcPr>
            <w:tcW w:w="15026" w:type="dxa"/>
            <w:gridSpan w:val="9"/>
            <w:tcBorders>
              <w:top w:val="single" w:sz="4" w:space="0" w:color="auto"/>
              <w:bottom w:val="nil"/>
            </w:tcBorders>
            <w:shd w:val="clear" w:color="auto" w:fill="F2F2F2" w:themeFill="background1" w:themeFillShade="F2"/>
          </w:tcPr>
          <w:p w14:paraId="71F96996" w14:textId="77777777" w:rsidR="00E77839" w:rsidRPr="00B63DD5" w:rsidRDefault="00E77839" w:rsidP="00E77839">
            <w:pPr>
              <w:jc w:val="both"/>
              <w:rPr>
                <w:b/>
                <w:bCs/>
                <w:color w:val="000000"/>
                <w:sz w:val="20"/>
                <w:szCs w:val="20"/>
              </w:rPr>
            </w:pPr>
            <w:r w:rsidRPr="00B63DD5">
              <w:rPr>
                <w:b/>
                <w:bCs/>
                <w:color w:val="000000"/>
                <w:sz w:val="20"/>
                <w:szCs w:val="20"/>
              </w:rPr>
              <w:t>Environmental arsenic exposure</w:t>
            </w:r>
          </w:p>
        </w:tc>
      </w:tr>
      <w:tr w:rsidR="00E77839" w:rsidRPr="00B63DD5" w14:paraId="6BF0B7C3" w14:textId="77777777" w:rsidTr="00E77839">
        <w:trPr>
          <w:trHeight w:val="259"/>
        </w:trPr>
        <w:tc>
          <w:tcPr>
            <w:tcW w:w="8789" w:type="dxa"/>
            <w:gridSpan w:val="2"/>
            <w:tcBorders>
              <w:top w:val="single" w:sz="4" w:space="0" w:color="auto"/>
              <w:bottom w:val="nil"/>
            </w:tcBorders>
            <w:shd w:val="clear" w:color="auto" w:fill="auto"/>
            <w:vAlign w:val="center"/>
            <w:hideMark/>
          </w:tcPr>
          <w:p w14:paraId="2F7F986F" w14:textId="77777777" w:rsidR="00E77839" w:rsidRPr="00B63DD5" w:rsidRDefault="00E77839" w:rsidP="00E77839">
            <w:pPr>
              <w:spacing w:line="276" w:lineRule="auto"/>
              <w:jc w:val="both"/>
              <w:rPr>
                <w:color w:val="000000"/>
                <w:sz w:val="20"/>
                <w:szCs w:val="20"/>
              </w:rPr>
            </w:pPr>
            <w:r w:rsidRPr="00B63DD5">
              <w:rPr>
                <w:color w:val="000000"/>
                <w:sz w:val="20"/>
                <w:szCs w:val="20"/>
              </w:rPr>
              <w:t>Measured at individual or household level</w:t>
            </w:r>
          </w:p>
        </w:tc>
        <w:tc>
          <w:tcPr>
            <w:tcW w:w="850" w:type="dxa"/>
            <w:tcBorders>
              <w:top w:val="single" w:sz="4" w:space="0" w:color="auto"/>
              <w:bottom w:val="nil"/>
            </w:tcBorders>
            <w:vAlign w:val="center"/>
          </w:tcPr>
          <w:p w14:paraId="4D0798F7" w14:textId="77777777" w:rsidR="00E77839" w:rsidRPr="00331039" w:rsidRDefault="00E77839" w:rsidP="00E77839">
            <w:pPr>
              <w:jc w:val="center"/>
              <w:rPr>
                <w:color w:val="000000"/>
                <w:sz w:val="20"/>
                <w:szCs w:val="20"/>
              </w:rPr>
            </w:pPr>
            <w:r w:rsidRPr="00331039">
              <w:rPr>
                <w:color w:val="000000"/>
                <w:sz w:val="20"/>
                <w:szCs w:val="20"/>
              </w:rPr>
              <w:t xml:space="preserve">■ </w:t>
            </w:r>
          </w:p>
        </w:tc>
        <w:tc>
          <w:tcPr>
            <w:tcW w:w="851" w:type="dxa"/>
            <w:tcBorders>
              <w:top w:val="single" w:sz="4" w:space="0" w:color="auto"/>
              <w:bottom w:val="nil"/>
            </w:tcBorders>
            <w:vAlign w:val="center"/>
          </w:tcPr>
          <w:p w14:paraId="37840FE0" w14:textId="77777777" w:rsidR="00E77839" w:rsidRPr="00331039" w:rsidRDefault="00E77839" w:rsidP="00E77839">
            <w:pPr>
              <w:jc w:val="center"/>
              <w:rPr>
                <w:color w:val="000000"/>
                <w:sz w:val="20"/>
                <w:szCs w:val="20"/>
              </w:rPr>
            </w:pPr>
            <w:r w:rsidRPr="00331039">
              <w:rPr>
                <w:color w:val="000000"/>
                <w:sz w:val="20"/>
                <w:szCs w:val="20"/>
              </w:rPr>
              <w:t>■</w:t>
            </w:r>
          </w:p>
        </w:tc>
        <w:tc>
          <w:tcPr>
            <w:tcW w:w="850" w:type="dxa"/>
            <w:tcBorders>
              <w:top w:val="single" w:sz="4" w:space="0" w:color="auto"/>
              <w:bottom w:val="nil"/>
            </w:tcBorders>
            <w:vAlign w:val="center"/>
          </w:tcPr>
          <w:p w14:paraId="6061DD8A" w14:textId="77777777" w:rsidR="00E77839" w:rsidRPr="00331039" w:rsidRDefault="00E77839" w:rsidP="00E77839">
            <w:pPr>
              <w:jc w:val="center"/>
              <w:rPr>
                <w:color w:val="000000"/>
                <w:sz w:val="20"/>
                <w:szCs w:val="20"/>
              </w:rPr>
            </w:pPr>
            <w:r w:rsidRPr="00331039">
              <w:rPr>
                <w:color w:val="000000"/>
                <w:sz w:val="20"/>
                <w:szCs w:val="20"/>
              </w:rPr>
              <w:t>■</w:t>
            </w:r>
          </w:p>
        </w:tc>
        <w:tc>
          <w:tcPr>
            <w:tcW w:w="993" w:type="dxa"/>
            <w:tcBorders>
              <w:top w:val="single" w:sz="4" w:space="0" w:color="auto"/>
              <w:bottom w:val="nil"/>
            </w:tcBorders>
          </w:tcPr>
          <w:p w14:paraId="257CD6D1" w14:textId="77777777" w:rsidR="00E77839" w:rsidRPr="00331039" w:rsidRDefault="00E77839" w:rsidP="00E77839">
            <w:pPr>
              <w:jc w:val="center"/>
              <w:rPr>
                <w:color w:val="000000"/>
                <w:sz w:val="20"/>
                <w:szCs w:val="20"/>
              </w:rPr>
            </w:pPr>
            <w:r w:rsidRPr="00331039">
              <w:rPr>
                <w:color w:val="000000"/>
                <w:sz w:val="20"/>
                <w:szCs w:val="20"/>
              </w:rPr>
              <w:t>■</w:t>
            </w:r>
          </w:p>
        </w:tc>
        <w:tc>
          <w:tcPr>
            <w:tcW w:w="992" w:type="dxa"/>
            <w:tcBorders>
              <w:top w:val="single" w:sz="4" w:space="0" w:color="auto"/>
              <w:bottom w:val="nil"/>
              <w:right w:val="single" w:sz="4" w:space="0" w:color="000000" w:themeColor="text1"/>
            </w:tcBorders>
          </w:tcPr>
          <w:p w14:paraId="4149E80B" w14:textId="77777777" w:rsidR="00E77839" w:rsidRPr="00331039" w:rsidRDefault="00E77839" w:rsidP="00E77839">
            <w:pPr>
              <w:jc w:val="center"/>
              <w:rPr>
                <w:color w:val="000000"/>
                <w:sz w:val="20"/>
                <w:szCs w:val="20"/>
              </w:rPr>
            </w:pPr>
            <w:r w:rsidRPr="00331039">
              <w:rPr>
                <w:color w:val="000000"/>
                <w:sz w:val="20"/>
                <w:szCs w:val="20"/>
              </w:rPr>
              <w:t>■</w:t>
            </w:r>
          </w:p>
        </w:tc>
        <w:tc>
          <w:tcPr>
            <w:tcW w:w="850" w:type="dxa"/>
            <w:tcBorders>
              <w:top w:val="single" w:sz="4" w:space="0" w:color="auto"/>
              <w:left w:val="single" w:sz="4" w:space="0" w:color="000000" w:themeColor="text1"/>
              <w:bottom w:val="nil"/>
            </w:tcBorders>
          </w:tcPr>
          <w:p w14:paraId="4B57B8D9" w14:textId="77777777" w:rsidR="00E77839" w:rsidRPr="00331039" w:rsidRDefault="00E77839" w:rsidP="00E77839">
            <w:pPr>
              <w:jc w:val="center"/>
              <w:rPr>
                <w:color w:val="000000"/>
                <w:sz w:val="20"/>
                <w:szCs w:val="20"/>
              </w:rPr>
            </w:pPr>
            <w:r w:rsidRPr="00331039">
              <w:rPr>
                <w:color w:val="000000"/>
                <w:sz w:val="20"/>
                <w:szCs w:val="20"/>
              </w:rPr>
              <w:t>■</w:t>
            </w:r>
          </w:p>
        </w:tc>
        <w:tc>
          <w:tcPr>
            <w:tcW w:w="851" w:type="dxa"/>
            <w:tcBorders>
              <w:top w:val="single" w:sz="4" w:space="0" w:color="auto"/>
              <w:left w:val="nil"/>
              <w:bottom w:val="nil"/>
            </w:tcBorders>
          </w:tcPr>
          <w:p w14:paraId="7F5B4847" w14:textId="77777777" w:rsidR="00E77839" w:rsidRPr="00331039" w:rsidRDefault="00E77839" w:rsidP="00E77839">
            <w:pPr>
              <w:jc w:val="center"/>
              <w:rPr>
                <w:color w:val="000000"/>
                <w:sz w:val="20"/>
                <w:szCs w:val="20"/>
              </w:rPr>
            </w:pPr>
            <w:r w:rsidRPr="00331039">
              <w:rPr>
                <w:color w:val="000000"/>
                <w:sz w:val="20"/>
                <w:szCs w:val="20"/>
              </w:rPr>
              <w:t>■</w:t>
            </w:r>
          </w:p>
        </w:tc>
      </w:tr>
      <w:tr w:rsidR="00E77839" w:rsidRPr="00B63DD5" w14:paraId="77A1429F" w14:textId="77777777" w:rsidTr="00E77839">
        <w:trPr>
          <w:trHeight w:val="259"/>
        </w:trPr>
        <w:tc>
          <w:tcPr>
            <w:tcW w:w="8789" w:type="dxa"/>
            <w:gridSpan w:val="2"/>
            <w:tcBorders>
              <w:top w:val="nil"/>
              <w:bottom w:val="nil"/>
            </w:tcBorders>
            <w:shd w:val="clear" w:color="auto" w:fill="auto"/>
            <w:vAlign w:val="center"/>
            <w:hideMark/>
          </w:tcPr>
          <w:p w14:paraId="0CC6AA4E" w14:textId="77777777" w:rsidR="00E77839" w:rsidRPr="00B63DD5" w:rsidRDefault="00E77839" w:rsidP="00E77839">
            <w:pPr>
              <w:spacing w:line="276" w:lineRule="auto"/>
              <w:jc w:val="both"/>
              <w:rPr>
                <w:color w:val="000000"/>
                <w:sz w:val="20"/>
                <w:szCs w:val="20"/>
              </w:rPr>
            </w:pPr>
            <w:r w:rsidRPr="00B63DD5">
              <w:rPr>
                <w:color w:val="000000"/>
                <w:sz w:val="20"/>
                <w:szCs w:val="20"/>
              </w:rPr>
              <w:t>Use of biomarker (internal dose)</w:t>
            </w:r>
          </w:p>
        </w:tc>
        <w:tc>
          <w:tcPr>
            <w:tcW w:w="850" w:type="dxa"/>
            <w:tcBorders>
              <w:top w:val="nil"/>
              <w:bottom w:val="nil"/>
            </w:tcBorders>
            <w:vAlign w:val="center"/>
          </w:tcPr>
          <w:p w14:paraId="3C802C8E" w14:textId="77777777" w:rsidR="00E77839" w:rsidRPr="00331039" w:rsidRDefault="00E77839" w:rsidP="00E77839">
            <w:pPr>
              <w:jc w:val="center"/>
              <w:rPr>
                <w:color w:val="000000"/>
                <w:sz w:val="20"/>
                <w:szCs w:val="20"/>
              </w:rPr>
            </w:pPr>
            <w:r w:rsidRPr="00331039">
              <w:rPr>
                <w:color w:val="000000"/>
                <w:sz w:val="20"/>
                <w:szCs w:val="20"/>
              </w:rPr>
              <w:t xml:space="preserve">■ </w:t>
            </w:r>
          </w:p>
        </w:tc>
        <w:tc>
          <w:tcPr>
            <w:tcW w:w="851" w:type="dxa"/>
            <w:tcBorders>
              <w:top w:val="nil"/>
              <w:bottom w:val="nil"/>
            </w:tcBorders>
            <w:vAlign w:val="center"/>
          </w:tcPr>
          <w:p w14:paraId="1C3A2299" w14:textId="77777777" w:rsidR="00E77839" w:rsidRPr="00331039" w:rsidRDefault="00E77839" w:rsidP="00E77839">
            <w:pPr>
              <w:jc w:val="center"/>
              <w:rPr>
                <w:color w:val="000000"/>
                <w:sz w:val="20"/>
                <w:szCs w:val="20"/>
              </w:rPr>
            </w:pPr>
            <w:r w:rsidRPr="00331039">
              <w:rPr>
                <w:color w:val="000000"/>
                <w:sz w:val="20"/>
                <w:szCs w:val="20"/>
              </w:rPr>
              <w:t xml:space="preserve">□ </w:t>
            </w:r>
          </w:p>
        </w:tc>
        <w:tc>
          <w:tcPr>
            <w:tcW w:w="850" w:type="dxa"/>
            <w:tcBorders>
              <w:top w:val="nil"/>
              <w:bottom w:val="nil"/>
            </w:tcBorders>
            <w:vAlign w:val="center"/>
          </w:tcPr>
          <w:p w14:paraId="7D4E0758" w14:textId="77777777" w:rsidR="00E77839" w:rsidRPr="00331039" w:rsidRDefault="00E77839" w:rsidP="00E77839">
            <w:pPr>
              <w:jc w:val="center"/>
              <w:rPr>
                <w:color w:val="000000"/>
                <w:sz w:val="20"/>
                <w:szCs w:val="20"/>
              </w:rPr>
            </w:pPr>
            <w:r w:rsidRPr="00331039">
              <w:rPr>
                <w:color w:val="000000"/>
                <w:sz w:val="20"/>
                <w:szCs w:val="20"/>
              </w:rPr>
              <w:t>■</w:t>
            </w:r>
          </w:p>
        </w:tc>
        <w:tc>
          <w:tcPr>
            <w:tcW w:w="993" w:type="dxa"/>
            <w:tcBorders>
              <w:top w:val="nil"/>
              <w:bottom w:val="nil"/>
            </w:tcBorders>
          </w:tcPr>
          <w:p w14:paraId="357CAAEA" w14:textId="77777777" w:rsidR="00E77839" w:rsidRPr="00331039" w:rsidRDefault="00E77839" w:rsidP="00E77839">
            <w:pPr>
              <w:jc w:val="center"/>
              <w:rPr>
                <w:color w:val="000000"/>
                <w:sz w:val="20"/>
                <w:szCs w:val="20"/>
              </w:rPr>
            </w:pPr>
            <w:r w:rsidRPr="00331039">
              <w:rPr>
                <w:color w:val="000000"/>
                <w:sz w:val="20"/>
                <w:szCs w:val="20"/>
              </w:rPr>
              <w:t>■</w:t>
            </w:r>
          </w:p>
        </w:tc>
        <w:tc>
          <w:tcPr>
            <w:tcW w:w="992" w:type="dxa"/>
            <w:tcBorders>
              <w:top w:val="nil"/>
              <w:bottom w:val="nil"/>
              <w:right w:val="single" w:sz="4" w:space="0" w:color="000000" w:themeColor="text1"/>
            </w:tcBorders>
          </w:tcPr>
          <w:p w14:paraId="0AB594B9" w14:textId="77777777" w:rsidR="00E77839" w:rsidRPr="00331039" w:rsidRDefault="00E77839" w:rsidP="00E77839">
            <w:pPr>
              <w:jc w:val="center"/>
              <w:rPr>
                <w:color w:val="000000"/>
                <w:sz w:val="20"/>
                <w:szCs w:val="20"/>
              </w:rPr>
            </w:pPr>
            <w:r w:rsidRPr="00331039">
              <w:rPr>
                <w:color w:val="000000"/>
                <w:sz w:val="20"/>
                <w:szCs w:val="20"/>
              </w:rPr>
              <w:t>■</w:t>
            </w:r>
          </w:p>
        </w:tc>
        <w:tc>
          <w:tcPr>
            <w:tcW w:w="850" w:type="dxa"/>
            <w:tcBorders>
              <w:top w:val="nil"/>
              <w:left w:val="single" w:sz="4" w:space="0" w:color="000000" w:themeColor="text1"/>
              <w:bottom w:val="nil"/>
            </w:tcBorders>
          </w:tcPr>
          <w:p w14:paraId="73173C25" w14:textId="77777777" w:rsidR="00E77839" w:rsidRPr="00331039" w:rsidRDefault="00E77839" w:rsidP="00E77839">
            <w:pPr>
              <w:jc w:val="center"/>
              <w:rPr>
                <w:color w:val="000000"/>
                <w:sz w:val="20"/>
                <w:szCs w:val="20"/>
              </w:rPr>
            </w:pPr>
            <w:r w:rsidRPr="00331039">
              <w:rPr>
                <w:color w:val="000000"/>
                <w:sz w:val="20"/>
                <w:szCs w:val="20"/>
              </w:rPr>
              <w:t>■</w:t>
            </w:r>
          </w:p>
        </w:tc>
        <w:tc>
          <w:tcPr>
            <w:tcW w:w="851" w:type="dxa"/>
            <w:tcBorders>
              <w:top w:val="nil"/>
              <w:left w:val="nil"/>
              <w:bottom w:val="nil"/>
            </w:tcBorders>
          </w:tcPr>
          <w:p w14:paraId="5D6B4775" w14:textId="77777777" w:rsidR="00E77839" w:rsidRPr="00331039" w:rsidRDefault="00E77839" w:rsidP="00E77839">
            <w:pPr>
              <w:jc w:val="center"/>
              <w:rPr>
                <w:color w:val="000000"/>
                <w:sz w:val="20"/>
                <w:szCs w:val="20"/>
              </w:rPr>
            </w:pPr>
            <w:r w:rsidRPr="00331039">
              <w:rPr>
                <w:color w:val="000000"/>
                <w:sz w:val="20"/>
                <w:szCs w:val="20"/>
              </w:rPr>
              <w:t>■</w:t>
            </w:r>
          </w:p>
        </w:tc>
      </w:tr>
      <w:tr w:rsidR="00E77839" w:rsidRPr="00B63DD5" w14:paraId="7A44835F" w14:textId="77777777" w:rsidTr="00E77839">
        <w:trPr>
          <w:trHeight w:val="63"/>
        </w:trPr>
        <w:tc>
          <w:tcPr>
            <w:tcW w:w="8789" w:type="dxa"/>
            <w:gridSpan w:val="2"/>
            <w:tcBorders>
              <w:top w:val="nil"/>
              <w:bottom w:val="nil"/>
            </w:tcBorders>
            <w:shd w:val="clear" w:color="auto" w:fill="auto"/>
            <w:vAlign w:val="center"/>
            <w:hideMark/>
          </w:tcPr>
          <w:p w14:paraId="0085B5EB" w14:textId="77777777" w:rsidR="00E77839" w:rsidRPr="00B63DD5" w:rsidRDefault="00E77839" w:rsidP="00E77839">
            <w:pPr>
              <w:spacing w:line="276" w:lineRule="auto"/>
              <w:jc w:val="both"/>
              <w:rPr>
                <w:color w:val="000000"/>
                <w:sz w:val="20"/>
                <w:szCs w:val="20"/>
              </w:rPr>
            </w:pPr>
            <w:r w:rsidRPr="00B63DD5">
              <w:rPr>
                <w:color w:val="000000"/>
                <w:sz w:val="20"/>
                <w:szCs w:val="20"/>
              </w:rPr>
              <w:t>Media (Urine [U], Toenail [T], Water [W]</w:t>
            </w:r>
            <w:r>
              <w:rPr>
                <w:color w:val="000000"/>
                <w:sz w:val="20"/>
                <w:szCs w:val="20"/>
              </w:rPr>
              <w:t>, Blood [B], blood Plasma [P])</w:t>
            </w:r>
          </w:p>
        </w:tc>
        <w:tc>
          <w:tcPr>
            <w:tcW w:w="850" w:type="dxa"/>
            <w:tcBorders>
              <w:top w:val="nil"/>
              <w:bottom w:val="nil"/>
            </w:tcBorders>
            <w:vAlign w:val="center"/>
          </w:tcPr>
          <w:p w14:paraId="24A097EB" w14:textId="77777777" w:rsidR="00E77839" w:rsidRPr="00331039" w:rsidRDefault="00E77839" w:rsidP="00E77839">
            <w:pPr>
              <w:jc w:val="center"/>
              <w:rPr>
                <w:color w:val="000000"/>
                <w:sz w:val="20"/>
                <w:szCs w:val="20"/>
              </w:rPr>
            </w:pPr>
            <w:r w:rsidRPr="00331039">
              <w:rPr>
                <w:color w:val="000000"/>
                <w:sz w:val="20"/>
                <w:szCs w:val="20"/>
              </w:rPr>
              <w:t>U</w:t>
            </w:r>
          </w:p>
        </w:tc>
        <w:tc>
          <w:tcPr>
            <w:tcW w:w="851" w:type="dxa"/>
            <w:tcBorders>
              <w:top w:val="nil"/>
              <w:bottom w:val="nil"/>
            </w:tcBorders>
            <w:vAlign w:val="center"/>
          </w:tcPr>
          <w:p w14:paraId="3FF0D7E8" w14:textId="77777777" w:rsidR="00E77839" w:rsidRPr="00331039" w:rsidRDefault="00E77839" w:rsidP="00E77839">
            <w:pPr>
              <w:jc w:val="center"/>
              <w:rPr>
                <w:color w:val="000000"/>
                <w:sz w:val="20"/>
                <w:szCs w:val="20"/>
              </w:rPr>
            </w:pPr>
            <w:r w:rsidRPr="00331039">
              <w:rPr>
                <w:color w:val="000000"/>
                <w:sz w:val="20"/>
                <w:szCs w:val="20"/>
              </w:rPr>
              <w:t>W</w:t>
            </w:r>
          </w:p>
        </w:tc>
        <w:tc>
          <w:tcPr>
            <w:tcW w:w="850" w:type="dxa"/>
            <w:tcBorders>
              <w:top w:val="nil"/>
              <w:bottom w:val="nil"/>
            </w:tcBorders>
            <w:vAlign w:val="center"/>
          </w:tcPr>
          <w:p w14:paraId="1597B3D7" w14:textId="77777777" w:rsidR="00E77839" w:rsidRPr="00331039" w:rsidRDefault="00E77839" w:rsidP="00E77839">
            <w:pPr>
              <w:jc w:val="center"/>
              <w:rPr>
                <w:color w:val="000000"/>
                <w:sz w:val="20"/>
                <w:szCs w:val="20"/>
              </w:rPr>
            </w:pPr>
            <w:r w:rsidRPr="00331039">
              <w:rPr>
                <w:color w:val="000000"/>
                <w:sz w:val="20"/>
                <w:szCs w:val="20"/>
              </w:rPr>
              <w:t>B</w:t>
            </w:r>
          </w:p>
        </w:tc>
        <w:tc>
          <w:tcPr>
            <w:tcW w:w="993" w:type="dxa"/>
            <w:tcBorders>
              <w:top w:val="nil"/>
              <w:bottom w:val="nil"/>
            </w:tcBorders>
          </w:tcPr>
          <w:p w14:paraId="77DB0516" w14:textId="77777777" w:rsidR="00E77839" w:rsidRPr="00331039" w:rsidRDefault="00E77839" w:rsidP="00E77839">
            <w:pPr>
              <w:jc w:val="center"/>
              <w:rPr>
                <w:color w:val="000000"/>
                <w:sz w:val="20"/>
                <w:szCs w:val="20"/>
              </w:rPr>
            </w:pPr>
            <w:r w:rsidRPr="00331039">
              <w:rPr>
                <w:color w:val="000000"/>
                <w:sz w:val="20"/>
                <w:szCs w:val="20"/>
              </w:rPr>
              <w:t>U</w:t>
            </w:r>
          </w:p>
        </w:tc>
        <w:tc>
          <w:tcPr>
            <w:tcW w:w="992" w:type="dxa"/>
            <w:tcBorders>
              <w:top w:val="nil"/>
              <w:bottom w:val="nil"/>
              <w:right w:val="single" w:sz="4" w:space="0" w:color="000000" w:themeColor="text1"/>
            </w:tcBorders>
          </w:tcPr>
          <w:p w14:paraId="285F0FDC" w14:textId="77777777" w:rsidR="00E77839" w:rsidRPr="00331039" w:rsidRDefault="00E77839" w:rsidP="00E77839">
            <w:pPr>
              <w:jc w:val="center"/>
              <w:rPr>
                <w:color w:val="000000"/>
                <w:sz w:val="20"/>
                <w:szCs w:val="20"/>
              </w:rPr>
            </w:pPr>
            <w:r w:rsidRPr="00331039">
              <w:rPr>
                <w:color w:val="000000"/>
                <w:sz w:val="20"/>
                <w:szCs w:val="20"/>
              </w:rPr>
              <w:t>U</w:t>
            </w:r>
          </w:p>
        </w:tc>
        <w:tc>
          <w:tcPr>
            <w:tcW w:w="850" w:type="dxa"/>
            <w:tcBorders>
              <w:top w:val="nil"/>
              <w:left w:val="single" w:sz="4" w:space="0" w:color="000000" w:themeColor="text1"/>
              <w:bottom w:val="nil"/>
            </w:tcBorders>
            <w:vAlign w:val="center"/>
          </w:tcPr>
          <w:p w14:paraId="61F02FEE" w14:textId="77777777" w:rsidR="00E77839" w:rsidRPr="00331039" w:rsidRDefault="00E77839" w:rsidP="00E77839">
            <w:pPr>
              <w:jc w:val="center"/>
              <w:rPr>
                <w:color w:val="000000"/>
                <w:sz w:val="20"/>
                <w:szCs w:val="20"/>
              </w:rPr>
            </w:pPr>
            <w:r w:rsidRPr="00331039">
              <w:rPr>
                <w:color w:val="000000"/>
                <w:sz w:val="20"/>
                <w:szCs w:val="20"/>
              </w:rPr>
              <w:t>P</w:t>
            </w:r>
          </w:p>
        </w:tc>
        <w:tc>
          <w:tcPr>
            <w:tcW w:w="851" w:type="dxa"/>
            <w:tcBorders>
              <w:top w:val="nil"/>
              <w:left w:val="nil"/>
              <w:bottom w:val="nil"/>
            </w:tcBorders>
          </w:tcPr>
          <w:p w14:paraId="566BA277" w14:textId="77777777" w:rsidR="00E77839" w:rsidRPr="00331039" w:rsidRDefault="00E77839" w:rsidP="00E77839">
            <w:pPr>
              <w:jc w:val="center"/>
              <w:rPr>
                <w:color w:val="000000"/>
                <w:sz w:val="20"/>
                <w:szCs w:val="20"/>
              </w:rPr>
            </w:pPr>
            <w:r w:rsidRPr="00331039">
              <w:rPr>
                <w:color w:val="000000"/>
                <w:sz w:val="20"/>
                <w:szCs w:val="20"/>
              </w:rPr>
              <w:t>W U</w:t>
            </w:r>
          </w:p>
        </w:tc>
      </w:tr>
      <w:tr w:rsidR="00E77839" w:rsidRPr="00B63DD5" w14:paraId="20FD3E56" w14:textId="77777777" w:rsidTr="00E77839">
        <w:trPr>
          <w:trHeight w:val="259"/>
        </w:trPr>
        <w:tc>
          <w:tcPr>
            <w:tcW w:w="8789" w:type="dxa"/>
            <w:gridSpan w:val="2"/>
            <w:tcBorders>
              <w:top w:val="nil"/>
              <w:bottom w:val="nil"/>
            </w:tcBorders>
            <w:shd w:val="clear" w:color="auto" w:fill="auto"/>
            <w:noWrap/>
            <w:vAlign w:val="center"/>
          </w:tcPr>
          <w:p w14:paraId="3170D30A" w14:textId="77777777" w:rsidR="00E77839" w:rsidRPr="00B63DD5" w:rsidRDefault="00E77839" w:rsidP="00E77839">
            <w:pPr>
              <w:spacing w:line="276" w:lineRule="auto"/>
              <w:jc w:val="both"/>
              <w:rPr>
                <w:color w:val="000000"/>
                <w:sz w:val="20"/>
                <w:szCs w:val="20"/>
              </w:rPr>
            </w:pPr>
            <w:r w:rsidRPr="00B63DD5">
              <w:rPr>
                <w:color w:val="000000"/>
                <w:sz w:val="20"/>
                <w:szCs w:val="20"/>
              </w:rPr>
              <w:t>Measurement of chronic exposure (i.e., single [S], average of multiple [M], cumulative [C]</w:t>
            </w:r>
            <w:r>
              <w:rPr>
                <w:color w:val="000000"/>
                <w:sz w:val="20"/>
                <w:szCs w:val="20"/>
              </w:rPr>
              <w:t>, other [O]</w:t>
            </w:r>
            <w:r w:rsidRPr="00B63DD5">
              <w:rPr>
                <w:color w:val="000000"/>
                <w:sz w:val="20"/>
                <w:szCs w:val="20"/>
              </w:rPr>
              <w:t xml:space="preserve">) </w:t>
            </w:r>
          </w:p>
        </w:tc>
        <w:tc>
          <w:tcPr>
            <w:tcW w:w="850" w:type="dxa"/>
            <w:tcBorders>
              <w:top w:val="nil"/>
              <w:bottom w:val="nil"/>
            </w:tcBorders>
            <w:vAlign w:val="center"/>
          </w:tcPr>
          <w:p w14:paraId="505D0651" w14:textId="77777777" w:rsidR="00E77839" w:rsidRPr="00331039" w:rsidRDefault="00E77839" w:rsidP="00E77839">
            <w:pPr>
              <w:jc w:val="center"/>
              <w:rPr>
                <w:color w:val="000000"/>
                <w:sz w:val="20"/>
                <w:szCs w:val="20"/>
              </w:rPr>
            </w:pPr>
            <w:r w:rsidRPr="00331039">
              <w:rPr>
                <w:color w:val="000000"/>
                <w:sz w:val="20"/>
                <w:szCs w:val="20"/>
              </w:rPr>
              <w:t>S</w:t>
            </w:r>
          </w:p>
        </w:tc>
        <w:tc>
          <w:tcPr>
            <w:tcW w:w="851" w:type="dxa"/>
            <w:tcBorders>
              <w:top w:val="nil"/>
              <w:bottom w:val="nil"/>
            </w:tcBorders>
            <w:vAlign w:val="center"/>
          </w:tcPr>
          <w:p w14:paraId="1BC8298B" w14:textId="77777777" w:rsidR="00E77839" w:rsidRPr="00331039" w:rsidRDefault="00E77839" w:rsidP="00E77839">
            <w:pPr>
              <w:jc w:val="center"/>
              <w:rPr>
                <w:color w:val="000000"/>
                <w:sz w:val="20"/>
                <w:szCs w:val="20"/>
              </w:rPr>
            </w:pPr>
            <w:r w:rsidRPr="00331039">
              <w:rPr>
                <w:color w:val="000000"/>
                <w:sz w:val="20"/>
                <w:szCs w:val="20"/>
              </w:rPr>
              <w:t>S</w:t>
            </w:r>
          </w:p>
        </w:tc>
        <w:tc>
          <w:tcPr>
            <w:tcW w:w="850" w:type="dxa"/>
            <w:tcBorders>
              <w:top w:val="nil"/>
              <w:bottom w:val="nil"/>
            </w:tcBorders>
            <w:vAlign w:val="center"/>
          </w:tcPr>
          <w:p w14:paraId="68EE8459" w14:textId="77777777" w:rsidR="00E77839" w:rsidRPr="00331039" w:rsidRDefault="00E77839" w:rsidP="00E77839">
            <w:pPr>
              <w:jc w:val="center"/>
              <w:rPr>
                <w:color w:val="000000"/>
                <w:sz w:val="20"/>
                <w:szCs w:val="20"/>
              </w:rPr>
            </w:pPr>
            <w:r w:rsidRPr="00331039">
              <w:rPr>
                <w:color w:val="000000"/>
                <w:sz w:val="20"/>
                <w:szCs w:val="20"/>
              </w:rPr>
              <w:t>S</w:t>
            </w:r>
          </w:p>
        </w:tc>
        <w:tc>
          <w:tcPr>
            <w:tcW w:w="993" w:type="dxa"/>
            <w:tcBorders>
              <w:top w:val="nil"/>
              <w:bottom w:val="nil"/>
            </w:tcBorders>
          </w:tcPr>
          <w:p w14:paraId="215835C8" w14:textId="77777777" w:rsidR="00E77839" w:rsidRPr="00331039" w:rsidRDefault="00E77839" w:rsidP="00E77839">
            <w:pPr>
              <w:jc w:val="center"/>
              <w:rPr>
                <w:color w:val="000000"/>
                <w:sz w:val="20"/>
                <w:szCs w:val="20"/>
              </w:rPr>
            </w:pPr>
            <w:r w:rsidRPr="00331039">
              <w:rPr>
                <w:color w:val="000000"/>
                <w:sz w:val="20"/>
                <w:szCs w:val="20"/>
              </w:rPr>
              <w:t>S</w:t>
            </w:r>
          </w:p>
        </w:tc>
        <w:tc>
          <w:tcPr>
            <w:tcW w:w="992" w:type="dxa"/>
            <w:tcBorders>
              <w:top w:val="nil"/>
              <w:bottom w:val="nil"/>
              <w:right w:val="single" w:sz="4" w:space="0" w:color="000000" w:themeColor="text1"/>
            </w:tcBorders>
          </w:tcPr>
          <w:p w14:paraId="5013FF44" w14:textId="77777777" w:rsidR="00E77839" w:rsidRPr="00331039" w:rsidRDefault="00E77839" w:rsidP="00E77839">
            <w:pPr>
              <w:jc w:val="center"/>
              <w:rPr>
                <w:color w:val="000000"/>
                <w:sz w:val="20"/>
                <w:szCs w:val="20"/>
              </w:rPr>
            </w:pPr>
            <w:r w:rsidRPr="00331039">
              <w:rPr>
                <w:color w:val="000000"/>
                <w:sz w:val="20"/>
                <w:szCs w:val="20"/>
              </w:rPr>
              <w:t>S</w:t>
            </w:r>
          </w:p>
        </w:tc>
        <w:tc>
          <w:tcPr>
            <w:tcW w:w="850" w:type="dxa"/>
            <w:tcBorders>
              <w:top w:val="nil"/>
              <w:left w:val="single" w:sz="4" w:space="0" w:color="000000" w:themeColor="text1"/>
              <w:bottom w:val="nil"/>
            </w:tcBorders>
            <w:vAlign w:val="center"/>
          </w:tcPr>
          <w:p w14:paraId="2A34A3BA" w14:textId="77777777" w:rsidR="00E77839" w:rsidRPr="00331039" w:rsidRDefault="00E77839" w:rsidP="00E77839">
            <w:pPr>
              <w:jc w:val="center"/>
              <w:rPr>
                <w:color w:val="000000"/>
                <w:sz w:val="20"/>
                <w:szCs w:val="20"/>
              </w:rPr>
            </w:pPr>
            <w:r w:rsidRPr="00331039">
              <w:rPr>
                <w:color w:val="000000"/>
                <w:sz w:val="20"/>
                <w:szCs w:val="20"/>
              </w:rPr>
              <w:t>S</w:t>
            </w:r>
          </w:p>
        </w:tc>
        <w:tc>
          <w:tcPr>
            <w:tcW w:w="851" w:type="dxa"/>
            <w:tcBorders>
              <w:top w:val="nil"/>
              <w:left w:val="nil"/>
              <w:bottom w:val="nil"/>
            </w:tcBorders>
          </w:tcPr>
          <w:p w14:paraId="4079F01C" w14:textId="77777777" w:rsidR="00E77839" w:rsidRPr="00331039" w:rsidRDefault="00E77839" w:rsidP="00E77839">
            <w:pPr>
              <w:jc w:val="center"/>
              <w:rPr>
                <w:color w:val="000000"/>
                <w:sz w:val="20"/>
                <w:szCs w:val="20"/>
              </w:rPr>
            </w:pPr>
            <w:r w:rsidRPr="00331039">
              <w:rPr>
                <w:color w:val="000000"/>
                <w:sz w:val="20"/>
                <w:szCs w:val="20"/>
              </w:rPr>
              <w:t>S</w:t>
            </w:r>
          </w:p>
        </w:tc>
      </w:tr>
      <w:tr w:rsidR="00E77839" w:rsidRPr="00B63DD5" w14:paraId="3E652CE1" w14:textId="77777777" w:rsidTr="00E77839">
        <w:trPr>
          <w:trHeight w:val="259"/>
        </w:trPr>
        <w:tc>
          <w:tcPr>
            <w:tcW w:w="8789" w:type="dxa"/>
            <w:gridSpan w:val="2"/>
            <w:tcBorders>
              <w:top w:val="nil"/>
              <w:bottom w:val="single" w:sz="4" w:space="0" w:color="000000" w:themeColor="text1"/>
            </w:tcBorders>
            <w:shd w:val="clear" w:color="auto" w:fill="auto"/>
            <w:noWrap/>
            <w:vAlign w:val="center"/>
          </w:tcPr>
          <w:p w14:paraId="2E4D2CC1" w14:textId="77777777" w:rsidR="00E77839" w:rsidRPr="00B63DD5" w:rsidRDefault="00E77839" w:rsidP="00E77839">
            <w:pPr>
              <w:spacing w:line="276" w:lineRule="auto"/>
              <w:jc w:val="both"/>
              <w:rPr>
                <w:color w:val="000000"/>
                <w:sz w:val="20"/>
                <w:szCs w:val="20"/>
              </w:rPr>
            </w:pPr>
            <w:r w:rsidRPr="00B63DD5">
              <w:rPr>
                <w:color w:val="000000"/>
                <w:sz w:val="20"/>
                <w:szCs w:val="20"/>
              </w:rPr>
              <w:t xml:space="preserve">Exposure is measured using a validated tool </w:t>
            </w:r>
          </w:p>
        </w:tc>
        <w:tc>
          <w:tcPr>
            <w:tcW w:w="850" w:type="dxa"/>
            <w:tcBorders>
              <w:top w:val="nil"/>
              <w:bottom w:val="single" w:sz="4" w:space="0" w:color="000000" w:themeColor="text1"/>
            </w:tcBorders>
            <w:vAlign w:val="center"/>
          </w:tcPr>
          <w:p w14:paraId="61BAB4D7" w14:textId="77777777" w:rsidR="00E77839" w:rsidRPr="00331039" w:rsidRDefault="00E77839" w:rsidP="00E77839">
            <w:pPr>
              <w:jc w:val="center"/>
              <w:rPr>
                <w:color w:val="000000"/>
                <w:sz w:val="20"/>
                <w:szCs w:val="20"/>
              </w:rPr>
            </w:pPr>
            <w:r w:rsidRPr="00331039">
              <w:rPr>
                <w:color w:val="000000"/>
                <w:sz w:val="20"/>
                <w:szCs w:val="20"/>
              </w:rPr>
              <w:t xml:space="preserve">■ </w:t>
            </w:r>
          </w:p>
        </w:tc>
        <w:tc>
          <w:tcPr>
            <w:tcW w:w="851" w:type="dxa"/>
            <w:tcBorders>
              <w:top w:val="nil"/>
              <w:bottom w:val="single" w:sz="4" w:space="0" w:color="000000" w:themeColor="text1"/>
            </w:tcBorders>
            <w:vAlign w:val="center"/>
          </w:tcPr>
          <w:p w14:paraId="52B875F2" w14:textId="77777777" w:rsidR="00E77839" w:rsidRPr="00331039" w:rsidRDefault="00E77839" w:rsidP="00E77839">
            <w:pPr>
              <w:jc w:val="center"/>
              <w:rPr>
                <w:color w:val="000000"/>
                <w:sz w:val="20"/>
                <w:szCs w:val="20"/>
              </w:rPr>
            </w:pPr>
            <w:r w:rsidRPr="00331039">
              <w:rPr>
                <w:color w:val="000000"/>
                <w:sz w:val="20"/>
                <w:szCs w:val="20"/>
              </w:rPr>
              <w:t xml:space="preserve">■ </w:t>
            </w:r>
          </w:p>
        </w:tc>
        <w:tc>
          <w:tcPr>
            <w:tcW w:w="850" w:type="dxa"/>
            <w:tcBorders>
              <w:top w:val="nil"/>
              <w:bottom w:val="single" w:sz="4" w:space="0" w:color="000000" w:themeColor="text1"/>
            </w:tcBorders>
            <w:vAlign w:val="center"/>
          </w:tcPr>
          <w:p w14:paraId="09919697" w14:textId="77777777" w:rsidR="00E77839" w:rsidRPr="00331039" w:rsidRDefault="00E77839" w:rsidP="00E77839">
            <w:pPr>
              <w:jc w:val="center"/>
              <w:rPr>
                <w:color w:val="000000"/>
                <w:sz w:val="20"/>
                <w:szCs w:val="20"/>
              </w:rPr>
            </w:pPr>
            <w:r w:rsidRPr="00331039">
              <w:rPr>
                <w:color w:val="000000"/>
                <w:sz w:val="20"/>
                <w:szCs w:val="20"/>
              </w:rPr>
              <w:t>■</w:t>
            </w:r>
          </w:p>
        </w:tc>
        <w:tc>
          <w:tcPr>
            <w:tcW w:w="993" w:type="dxa"/>
            <w:tcBorders>
              <w:top w:val="nil"/>
              <w:bottom w:val="single" w:sz="4" w:space="0" w:color="000000" w:themeColor="text1"/>
            </w:tcBorders>
          </w:tcPr>
          <w:p w14:paraId="314AD1E2" w14:textId="77777777" w:rsidR="00E77839" w:rsidRPr="00331039" w:rsidRDefault="00E77839" w:rsidP="00E77839">
            <w:pPr>
              <w:jc w:val="center"/>
              <w:rPr>
                <w:color w:val="000000"/>
                <w:sz w:val="20"/>
                <w:szCs w:val="20"/>
              </w:rPr>
            </w:pPr>
            <w:r w:rsidRPr="00331039">
              <w:rPr>
                <w:color w:val="000000"/>
                <w:sz w:val="20"/>
                <w:szCs w:val="20"/>
              </w:rPr>
              <w:t>■</w:t>
            </w:r>
          </w:p>
        </w:tc>
        <w:tc>
          <w:tcPr>
            <w:tcW w:w="992" w:type="dxa"/>
            <w:tcBorders>
              <w:top w:val="nil"/>
              <w:bottom w:val="single" w:sz="4" w:space="0" w:color="000000" w:themeColor="text1"/>
              <w:right w:val="single" w:sz="4" w:space="0" w:color="000000" w:themeColor="text1"/>
            </w:tcBorders>
          </w:tcPr>
          <w:p w14:paraId="1E629954" w14:textId="77777777" w:rsidR="00E77839" w:rsidRPr="00331039" w:rsidRDefault="00E77839" w:rsidP="00E77839">
            <w:pPr>
              <w:jc w:val="center"/>
              <w:rPr>
                <w:color w:val="000000"/>
                <w:sz w:val="20"/>
                <w:szCs w:val="20"/>
              </w:rPr>
            </w:pPr>
            <w:r w:rsidRPr="00331039">
              <w:rPr>
                <w:color w:val="000000"/>
                <w:sz w:val="20"/>
                <w:szCs w:val="20"/>
              </w:rPr>
              <w:t>■</w:t>
            </w:r>
          </w:p>
        </w:tc>
        <w:tc>
          <w:tcPr>
            <w:tcW w:w="850" w:type="dxa"/>
            <w:tcBorders>
              <w:top w:val="nil"/>
              <w:left w:val="single" w:sz="4" w:space="0" w:color="000000" w:themeColor="text1"/>
              <w:bottom w:val="single" w:sz="4" w:space="0" w:color="000000" w:themeColor="text1"/>
            </w:tcBorders>
            <w:vAlign w:val="center"/>
          </w:tcPr>
          <w:p w14:paraId="47A0F745" w14:textId="77777777" w:rsidR="00E77839" w:rsidRPr="00331039" w:rsidRDefault="00E77839" w:rsidP="00E77839">
            <w:pPr>
              <w:jc w:val="center"/>
              <w:rPr>
                <w:color w:val="000000"/>
                <w:sz w:val="20"/>
                <w:szCs w:val="20"/>
              </w:rPr>
            </w:pPr>
            <w:r w:rsidRPr="00331039">
              <w:rPr>
                <w:color w:val="000000"/>
                <w:sz w:val="20"/>
                <w:szCs w:val="20"/>
              </w:rPr>
              <w:t>■</w:t>
            </w:r>
          </w:p>
        </w:tc>
        <w:tc>
          <w:tcPr>
            <w:tcW w:w="851" w:type="dxa"/>
            <w:tcBorders>
              <w:top w:val="nil"/>
              <w:left w:val="nil"/>
              <w:bottom w:val="single" w:sz="4" w:space="0" w:color="000000" w:themeColor="text1"/>
            </w:tcBorders>
          </w:tcPr>
          <w:p w14:paraId="053ADE0C" w14:textId="77777777" w:rsidR="00E77839" w:rsidRPr="00331039" w:rsidRDefault="00E77839" w:rsidP="00E77839">
            <w:pPr>
              <w:jc w:val="center"/>
              <w:rPr>
                <w:color w:val="000000"/>
                <w:sz w:val="20"/>
                <w:szCs w:val="20"/>
              </w:rPr>
            </w:pPr>
            <w:r w:rsidRPr="00331039">
              <w:rPr>
                <w:color w:val="000000"/>
                <w:sz w:val="20"/>
                <w:szCs w:val="20"/>
              </w:rPr>
              <w:t>■</w:t>
            </w:r>
          </w:p>
        </w:tc>
      </w:tr>
      <w:tr w:rsidR="00E77839" w:rsidRPr="00B63DD5" w14:paraId="66B3219E" w14:textId="77777777" w:rsidTr="00E77839">
        <w:trPr>
          <w:trHeight w:val="259"/>
        </w:trPr>
        <w:tc>
          <w:tcPr>
            <w:tcW w:w="15026" w:type="dxa"/>
            <w:gridSpan w:val="9"/>
            <w:tcBorders>
              <w:top w:val="single" w:sz="4" w:space="0" w:color="000000" w:themeColor="text1"/>
              <w:left w:val="single" w:sz="4" w:space="0" w:color="000000" w:themeColor="text1"/>
              <w:bottom w:val="single" w:sz="4" w:space="0" w:color="000000" w:themeColor="text1"/>
            </w:tcBorders>
            <w:shd w:val="clear" w:color="auto" w:fill="F2F2F2" w:themeFill="background1" w:themeFillShade="F2"/>
          </w:tcPr>
          <w:p w14:paraId="4A778842" w14:textId="77777777" w:rsidR="00E77839" w:rsidRPr="00331039" w:rsidRDefault="00E77839" w:rsidP="00E77839">
            <w:pPr>
              <w:rPr>
                <w:b/>
                <w:bCs/>
                <w:color w:val="000000"/>
                <w:sz w:val="20"/>
                <w:szCs w:val="20"/>
              </w:rPr>
            </w:pPr>
            <w:r w:rsidRPr="00331039">
              <w:rPr>
                <w:b/>
                <w:bCs/>
                <w:color w:val="000000"/>
                <w:sz w:val="20"/>
                <w:szCs w:val="20"/>
              </w:rPr>
              <w:t xml:space="preserve">Genetic exposure </w:t>
            </w:r>
          </w:p>
        </w:tc>
      </w:tr>
      <w:tr w:rsidR="00E77839" w:rsidRPr="00B63DD5" w14:paraId="24D305BD" w14:textId="77777777" w:rsidTr="00E77839">
        <w:trPr>
          <w:trHeight w:val="259"/>
        </w:trPr>
        <w:tc>
          <w:tcPr>
            <w:tcW w:w="8789" w:type="dxa"/>
            <w:gridSpan w:val="2"/>
            <w:tcBorders>
              <w:top w:val="single" w:sz="4" w:space="0" w:color="000000" w:themeColor="text1"/>
              <w:bottom w:val="nil"/>
            </w:tcBorders>
            <w:shd w:val="clear" w:color="auto" w:fill="auto"/>
            <w:noWrap/>
            <w:vAlign w:val="center"/>
          </w:tcPr>
          <w:p w14:paraId="011D9BD8" w14:textId="77777777" w:rsidR="00E77839" w:rsidRPr="00B63DD5" w:rsidRDefault="00E77839" w:rsidP="00E77839">
            <w:pPr>
              <w:spacing w:line="276" w:lineRule="auto"/>
              <w:jc w:val="both"/>
              <w:rPr>
                <w:color w:val="000000"/>
                <w:sz w:val="20"/>
                <w:szCs w:val="20"/>
              </w:rPr>
            </w:pPr>
            <w:r>
              <w:rPr>
                <w:color w:val="000000"/>
                <w:sz w:val="20"/>
                <w:szCs w:val="20"/>
              </w:rPr>
              <w:t xml:space="preserve">Appropriate rationale for chosen candidate genes </w:t>
            </w:r>
          </w:p>
        </w:tc>
        <w:tc>
          <w:tcPr>
            <w:tcW w:w="850" w:type="dxa"/>
            <w:tcBorders>
              <w:top w:val="single" w:sz="4" w:space="0" w:color="000000" w:themeColor="text1"/>
              <w:bottom w:val="nil"/>
            </w:tcBorders>
            <w:vAlign w:val="center"/>
          </w:tcPr>
          <w:p w14:paraId="67F06118" w14:textId="77777777" w:rsidR="00E77839" w:rsidRPr="00331039" w:rsidRDefault="00E77839" w:rsidP="00E77839">
            <w:pPr>
              <w:jc w:val="center"/>
              <w:rPr>
                <w:color w:val="000000"/>
                <w:sz w:val="20"/>
                <w:szCs w:val="20"/>
              </w:rPr>
            </w:pPr>
            <w:r w:rsidRPr="00331039">
              <w:rPr>
                <w:color w:val="000000"/>
                <w:sz w:val="20"/>
                <w:szCs w:val="20"/>
              </w:rPr>
              <w:t>■</w:t>
            </w:r>
          </w:p>
        </w:tc>
        <w:tc>
          <w:tcPr>
            <w:tcW w:w="851" w:type="dxa"/>
            <w:tcBorders>
              <w:top w:val="single" w:sz="4" w:space="0" w:color="000000" w:themeColor="text1"/>
              <w:bottom w:val="nil"/>
            </w:tcBorders>
            <w:vAlign w:val="center"/>
          </w:tcPr>
          <w:p w14:paraId="0BC9B555" w14:textId="77777777" w:rsidR="00E77839" w:rsidRPr="00331039" w:rsidRDefault="00E77839" w:rsidP="00E77839">
            <w:pPr>
              <w:jc w:val="center"/>
              <w:rPr>
                <w:color w:val="000000"/>
                <w:sz w:val="20"/>
                <w:szCs w:val="20"/>
              </w:rPr>
            </w:pPr>
            <w:r w:rsidRPr="00331039">
              <w:rPr>
                <w:color w:val="000000"/>
                <w:sz w:val="20"/>
                <w:szCs w:val="20"/>
              </w:rPr>
              <w:t>■</w:t>
            </w:r>
          </w:p>
        </w:tc>
        <w:tc>
          <w:tcPr>
            <w:tcW w:w="850" w:type="dxa"/>
            <w:tcBorders>
              <w:top w:val="single" w:sz="4" w:space="0" w:color="000000" w:themeColor="text1"/>
              <w:bottom w:val="nil"/>
            </w:tcBorders>
            <w:vAlign w:val="center"/>
          </w:tcPr>
          <w:p w14:paraId="543E3420" w14:textId="77777777" w:rsidR="00E77839" w:rsidRPr="00331039" w:rsidRDefault="00E77839" w:rsidP="00E77839">
            <w:pPr>
              <w:jc w:val="center"/>
              <w:rPr>
                <w:color w:val="000000"/>
                <w:sz w:val="20"/>
                <w:szCs w:val="20"/>
              </w:rPr>
            </w:pPr>
            <w:r w:rsidRPr="00331039">
              <w:rPr>
                <w:color w:val="000000"/>
                <w:sz w:val="20"/>
                <w:szCs w:val="20"/>
              </w:rPr>
              <w:t>■</w:t>
            </w:r>
          </w:p>
        </w:tc>
        <w:tc>
          <w:tcPr>
            <w:tcW w:w="993" w:type="dxa"/>
            <w:tcBorders>
              <w:top w:val="single" w:sz="4" w:space="0" w:color="000000" w:themeColor="text1"/>
              <w:bottom w:val="nil"/>
            </w:tcBorders>
          </w:tcPr>
          <w:p w14:paraId="71629CF1" w14:textId="77777777" w:rsidR="00E77839" w:rsidRPr="00331039" w:rsidRDefault="00E77839" w:rsidP="00E77839">
            <w:pPr>
              <w:jc w:val="center"/>
              <w:rPr>
                <w:color w:val="000000"/>
                <w:sz w:val="20"/>
                <w:szCs w:val="20"/>
              </w:rPr>
            </w:pPr>
            <w:r w:rsidRPr="00331039">
              <w:rPr>
                <w:color w:val="000000"/>
                <w:sz w:val="20"/>
                <w:szCs w:val="20"/>
              </w:rPr>
              <w:t>■</w:t>
            </w:r>
          </w:p>
        </w:tc>
        <w:tc>
          <w:tcPr>
            <w:tcW w:w="992" w:type="dxa"/>
            <w:tcBorders>
              <w:top w:val="single" w:sz="4" w:space="0" w:color="000000" w:themeColor="text1"/>
              <w:bottom w:val="nil"/>
              <w:right w:val="single" w:sz="4" w:space="0" w:color="000000" w:themeColor="text1"/>
            </w:tcBorders>
          </w:tcPr>
          <w:p w14:paraId="6F2BCA46" w14:textId="77777777" w:rsidR="00E77839" w:rsidRPr="00331039" w:rsidRDefault="00E77839" w:rsidP="00E77839">
            <w:pPr>
              <w:jc w:val="center"/>
              <w:rPr>
                <w:color w:val="000000"/>
                <w:sz w:val="20"/>
                <w:szCs w:val="20"/>
              </w:rPr>
            </w:pPr>
            <w:r w:rsidRPr="00331039">
              <w:rPr>
                <w:color w:val="000000"/>
                <w:sz w:val="20"/>
                <w:szCs w:val="20"/>
              </w:rPr>
              <w:t>■</w:t>
            </w:r>
          </w:p>
        </w:tc>
        <w:tc>
          <w:tcPr>
            <w:tcW w:w="850" w:type="dxa"/>
            <w:tcBorders>
              <w:top w:val="single" w:sz="4" w:space="0" w:color="000000" w:themeColor="text1"/>
              <w:left w:val="single" w:sz="4" w:space="0" w:color="000000" w:themeColor="text1"/>
              <w:bottom w:val="nil"/>
            </w:tcBorders>
          </w:tcPr>
          <w:p w14:paraId="7DFBE1E0" w14:textId="77777777" w:rsidR="00E77839" w:rsidRPr="00331039" w:rsidRDefault="00E77839" w:rsidP="00E77839">
            <w:pPr>
              <w:jc w:val="center"/>
              <w:rPr>
                <w:color w:val="000000"/>
                <w:sz w:val="20"/>
                <w:szCs w:val="20"/>
              </w:rPr>
            </w:pPr>
            <w:r w:rsidRPr="00331039">
              <w:rPr>
                <w:color w:val="000000"/>
                <w:sz w:val="20"/>
                <w:szCs w:val="20"/>
              </w:rPr>
              <w:t>■</w:t>
            </w:r>
          </w:p>
        </w:tc>
        <w:tc>
          <w:tcPr>
            <w:tcW w:w="851" w:type="dxa"/>
            <w:tcBorders>
              <w:top w:val="single" w:sz="4" w:space="0" w:color="000000" w:themeColor="text1"/>
              <w:left w:val="nil"/>
              <w:bottom w:val="nil"/>
            </w:tcBorders>
          </w:tcPr>
          <w:p w14:paraId="431557B8" w14:textId="77777777" w:rsidR="00E77839" w:rsidRPr="00331039" w:rsidRDefault="00E77839" w:rsidP="00E77839">
            <w:pPr>
              <w:jc w:val="center"/>
              <w:rPr>
                <w:color w:val="000000"/>
                <w:sz w:val="20"/>
                <w:szCs w:val="20"/>
              </w:rPr>
            </w:pPr>
            <w:r w:rsidRPr="00331039">
              <w:rPr>
                <w:color w:val="000000"/>
                <w:sz w:val="20"/>
                <w:szCs w:val="20"/>
              </w:rPr>
              <w:t>■</w:t>
            </w:r>
          </w:p>
        </w:tc>
      </w:tr>
      <w:tr w:rsidR="00E77839" w:rsidRPr="00B63DD5" w14:paraId="602B38C3" w14:textId="77777777" w:rsidTr="00E77839">
        <w:trPr>
          <w:trHeight w:val="259"/>
        </w:trPr>
        <w:tc>
          <w:tcPr>
            <w:tcW w:w="8789" w:type="dxa"/>
            <w:gridSpan w:val="2"/>
            <w:tcBorders>
              <w:top w:val="nil"/>
              <w:bottom w:val="nil"/>
            </w:tcBorders>
            <w:shd w:val="clear" w:color="auto" w:fill="auto"/>
            <w:noWrap/>
            <w:vAlign w:val="center"/>
          </w:tcPr>
          <w:p w14:paraId="4E8FD99C" w14:textId="77777777" w:rsidR="00E77839" w:rsidRDefault="00E77839" w:rsidP="00E77839">
            <w:pPr>
              <w:spacing w:line="276" w:lineRule="auto"/>
              <w:jc w:val="both"/>
              <w:rPr>
                <w:color w:val="000000"/>
                <w:sz w:val="20"/>
                <w:szCs w:val="20"/>
              </w:rPr>
            </w:pPr>
            <w:r>
              <w:rPr>
                <w:color w:val="000000"/>
                <w:sz w:val="20"/>
                <w:szCs w:val="20"/>
              </w:rPr>
              <w:t xml:space="preserve">Genotyping platform and allele-calling algorithm appropriate </w:t>
            </w:r>
          </w:p>
        </w:tc>
        <w:tc>
          <w:tcPr>
            <w:tcW w:w="850" w:type="dxa"/>
            <w:tcBorders>
              <w:top w:val="nil"/>
              <w:bottom w:val="nil"/>
            </w:tcBorders>
            <w:vAlign w:val="center"/>
          </w:tcPr>
          <w:p w14:paraId="7F9C071E" w14:textId="77777777" w:rsidR="00E77839" w:rsidRPr="00331039" w:rsidRDefault="00E77839" w:rsidP="00E77839">
            <w:pPr>
              <w:jc w:val="center"/>
              <w:rPr>
                <w:color w:val="000000"/>
                <w:sz w:val="20"/>
                <w:szCs w:val="20"/>
              </w:rPr>
            </w:pPr>
            <w:r w:rsidRPr="00331039">
              <w:rPr>
                <w:color w:val="000000"/>
                <w:sz w:val="20"/>
                <w:szCs w:val="20"/>
              </w:rPr>
              <w:t>■</w:t>
            </w:r>
          </w:p>
        </w:tc>
        <w:tc>
          <w:tcPr>
            <w:tcW w:w="851" w:type="dxa"/>
            <w:tcBorders>
              <w:top w:val="nil"/>
              <w:bottom w:val="nil"/>
            </w:tcBorders>
            <w:vAlign w:val="center"/>
          </w:tcPr>
          <w:p w14:paraId="1FC9F4C0" w14:textId="77777777" w:rsidR="00E77839" w:rsidRPr="00331039" w:rsidRDefault="00E77839" w:rsidP="00E77839">
            <w:pPr>
              <w:jc w:val="center"/>
              <w:rPr>
                <w:color w:val="000000"/>
                <w:sz w:val="20"/>
                <w:szCs w:val="20"/>
              </w:rPr>
            </w:pPr>
            <w:r w:rsidRPr="00331039">
              <w:rPr>
                <w:color w:val="000000"/>
                <w:sz w:val="20"/>
                <w:szCs w:val="20"/>
              </w:rPr>
              <w:t>■</w:t>
            </w:r>
          </w:p>
        </w:tc>
        <w:tc>
          <w:tcPr>
            <w:tcW w:w="850" w:type="dxa"/>
            <w:tcBorders>
              <w:top w:val="nil"/>
              <w:bottom w:val="nil"/>
            </w:tcBorders>
            <w:vAlign w:val="center"/>
          </w:tcPr>
          <w:p w14:paraId="21BF1DFA" w14:textId="77777777" w:rsidR="00E77839" w:rsidRPr="00331039" w:rsidRDefault="00E77839" w:rsidP="00E77839">
            <w:pPr>
              <w:jc w:val="center"/>
              <w:rPr>
                <w:color w:val="000000"/>
                <w:sz w:val="20"/>
                <w:szCs w:val="20"/>
              </w:rPr>
            </w:pPr>
            <w:r w:rsidRPr="00331039">
              <w:rPr>
                <w:color w:val="000000"/>
                <w:sz w:val="20"/>
                <w:szCs w:val="20"/>
              </w:rPr>
              <w:t>■</w:t>
            </w:r>
          </w:p>
        </w:tc>
        <w:tc>
          <w:tcPr>
            <w:tcW w:w="993" w:type="dxa"/>
            <w:tcBorders>
              <w:top w:val="nil"/>
              <w:bottom w:val="nil"/>
            </w:tcBorders>
          </w:tcPr>
          <w:p w14:paraId="3BEDCA73" w14:textId="77777777" w:rsidR="00E77839" w:rsidRPr="00331039" w:rsidRDefault="00E77839" w:rsidP="00E77839">
            <w:pPr>
              <w:jc w:val="center"/>
              <w:rPr>
                <w:color w:val="000000"/>
                <w:sz w:val="20"/>
                <w:szCs w:val="20"/>
              </w:rPr>
            </w:pPr>
            <w:r w:rsidRPr="00331039">
              <w:rPr>
                <w:color w:val="000000"/>
                <w:sz w:val="20"/>
                <w:szCs w:val="20"/>
              </w:rPr>
              <w:t>■</w:t>
            </w:r>
          </w:p>
        </w:tc>
        <w:tc>
          <w:tcPr>
            <w:tcW w:w="992" w:type="dxa"/>
            <w:tcBorders>
              <w:top w:val="nil"/>
              <w:bottom w:val="nil"/>
              <w:right w:val="single" w:sz="4" w:space="0" w:color="000000" w:themeColor="text1"/>
            </w:tcBorders>
          </w:tcPr>
          <w:p w14:paraId="2C7C7452" w14:textId="77777777" w:rsidR="00E77839" w:rsidRPr="00331039" w:rsidRDefault="00E77839" w:rsidP="00E77839">
            <w:pPr>
              <w:jc w:val="center"/>
              <w:rPr>
                <w:color w:val="000000"/>
                <w:sz w:val="20"/>
                <w:szCs w:val="20"/>
              </w:rPr>
            </w:pPr>
            <w:r w:rsidRPr="00331039">
              <w:rPr>
                <w:color w:val="000000"/>
                <w:sz w:val="20"/>
                <w:szCs w:val="20"/>
              </w:rPr>
              <w:t>■</w:t>
            </w:r>
          </w:p>
        </w:tc>
        <w:tc>
          <w:tcPr>
            <w:tcW w:w="850" w:type="dxa"/>
            <w:tcBorders>
              <w:top w:val="nil"/>
              <w:left w:val="single" w:sz="4" w:space="0" w:color="000000" w:themeColor="text1"/>
              <w:bottom w:val="nil"/>
            </w:tcBorders>
          </w:tcPr>
          <w:p w14:paraId="3D873FC3" w14:textId="77777777" w:rsidR="00E77839" w:rsidRPr="00331039" w:rsidRDefault="00E77839" w:rsidP="00E77839">
            <w:pPr>
              <w:jc w:val="center"/>
              <w:rPr>
                <w:color w:val="000000"/>
                <w:sz w:val="20"/>
                <w:szCs w:val="20"/>
              </w:rPr>
            </w:pPr>
            <w:r w:rsidRPr="00331039">
              <w:rPr>
                <w:color w:val="000000"/>
                <w:sz w:val="20"/>
                <w:szCs w:val="20"/>
              </w:rPr>
              <w:t>■</w:t>
            </w:r>
          </w:p>
        </w:tc>
        <w:tc>
          <w:tcPr>
            <w:tcW w:w="851" w:type="dxa"/>
            <w:tcBorders>
              <w:top w:val="nil"/>
              <w:left w:val="nil"/>
              <w:bottom w:val="nil"/>
            </w:tcBorders>
          </w:tcPr>
          <w:p w14:paraId="08A5EABE" w14:textId="77777777" w:rsidR="00E77839" w:rsidRPr="00331039" w:rsidRDefault="00E77839" w:rsidP="00E77839">
            <w:pPr>
              <w:jc w:val="center"/>
              <w:rPr>
                <w:color w:val="000000"/>
                <w:sz w:val="20"/>
                <w:szCs w:val="20"/>
              </w:rPr>
            </w:pPr>
            <w:r w:rsidRPr="00331039">
              <w:rPr>
                <w:color w:val="000000"/>
                <w:sz w:val="20"/>
                <w:szCs w:val="20"/>
              </w:rPr>
              <w:t>■</w:t>
            </w:r>
          </w:p>
        </w:tc>
      </w:tr>
      <w:tr w:rsidR="00E77839" w:rsidRPr="00B63DD5" w14:paraId="0D9D231C" w14:textId="77777777" w:rsidTr="00E77839">
        <w:trPr>
          <w:trHeight w:val="259"/>
        </w:trPr>
        <w:tc>
          <w:tcPr>
            <w:tcW w:w="8789" w:type="dxa"/>
            <w:gridSpan w:val="2"/>
            <w:tcBorders>
              <w:top w:val="nil"/>
              <w:bottom w:val="nil"/>
            </w:tcBorders>
            <w:shd w:val="clear" w:color="auto" w:fill="auto"/>
            <w:noWrap/>
            <w:vAlign w:val="center"/>
          </w:tcPr>
          <w:p w14:paraId="752D8474" w14:textId="77777777" w:rsidR="00E77839" w:rsidRPr="00B63DD5" w:rsidRDefault="00E77839" w:rsidP="00E77839">
            <w:pPr>
              <w:spacing w:line="276" w:lineRule="auto"/>
              <w:jc w:val="both"/>
              <w:rPr>
                <w:color w:val="000000"/>
                <w:sz w:val="20"/>
                <w:szCs w:val="20"/>
              </w:rPr>
            </w:pPr>
            <w:r>
              <w:rPr>
                <w:color w:val="000000"/>
                <w:sz w:val="20"/>
                <w:szCs w:val="20"/>
              </w:rPr>
              <w:t>Genotyping error and call rates appropriate (&lt;95% poor genotyping)</w:t>
            </w:r>
          </w:p>
        </w:tc>
        <w:tc>
          <w:tcPr>
            <w:tcW w:w="850" w:type="dxa"/>
            <w:tcBorders>
              <w:top w:val="nil"/>
              <w:bottom w:val="nil"/>
            </w:tcBorders>
            <w:vAlign w:val="center"/>
          </w:tcPr>
          <w:p w14:paraId="6E3F3A64" w14:textId="77777777" w:rsidR="00E77839" w:rsidRPr="00331039" w:rsidRDefault="00E77839" w:rsidP="00E77839">
            <w:pPr>
              <w:jc w:val="center"/>
              <w:rPr>
                <w:color w:val="000000"/>
                <w:sz w:val="20"/>
                <w:szCs w:val="20"/>
              </w:rPr>
            </w:pPr>
            <w:r w:rsidRPr="00331039">
              <w:rPr>
                <w:color w:val="000000"/>
                <w:sz w:val="20"/>
                <w:szCs w:val="20"/>
              </w:rPr>
              <w:t>--</w:t>
            </w:r>
          </w:p>
        </w:tc>
        <w:tc>
          <w:tcPr>
            <w:tcW w:w="851" w:type="dxa"/>
            <w:tcBorders>
              <w:top w:val="nil"/>
              <w:bottom w:val="nil"/>
            </w:tcBorders>
            <w:vAlign w:val="center"/>
          </w:tcPr>
          <w:p w14:paraId="0AB00FE2" w14:textId="77777777" w:rsidR="00E77839" w:rsidRPr="00331039" w:rsidRDefault="00E77839" w:rsidP="00E77839">
            <w:pPr>
              <w:jc w:val="center"/>
              <w:rPr>
                <w:color w:val="000000"/>
                <w:sz w:val="20"/>
                <w:szCs w:val="20"/>
              </w:rPr>
            </w:pPr>
            <w:r w:rsidRPr="00331039">
              <w:rPr>
                <w:color w:val="000000"/>
                <w:sz w:val="20"/>
                <w:szCs w:val="20"/>
              </w:rPr>
              <w:t>■</w:t>
            </w:r>
          </w:p>
        </w:tc>
        <w:tc>
          <w:tcPr>
            <w:tcW w:w="850" w:type="dxa"/>
            <w:tcBorders>
              <w:top w:val="nil"/>
              <w:bottom w:val="nil"/>
            </w:tcBorders>
            <w:vAlign w:val="center"/>
          </w:tcPr>
          <w:p w14:paraId="1F5E06D4" w14:textId="77777777" w:rsidR="00E77839" w:rsidRPr="00331039" w:rsidRDefault="00E77839" w:rsidP="00E77839">
            <w:pPr>
              <w:jc w:val="center"/>
              <w:rPr>
                <w:color w:val="000000"/>
                <w:sz w:val="20"/>
                <w:szCs w:val="20"/>
              </w:rPr>
            </w:pPr>
            <w:r w:rsidRPr="00331039">
              <w:rPr>
                <w:color w:val="000000"/>
                <w:sz w:val="20"/>
                <w:szCs w:val="20"/>
              </w:rPr>
              <w:t>--</w:t>
            </w:r>
          </w:p>
        </w:tc>
        <w:tc>
          <w:tcPr>
            <w:tcW w:w="993" w:type="dxa"/>
            <w:tcBorders>
              <w:top w:val="nil"/>
              <w:bottom w:val="nil"/>
            </w:tcBorders>
          </w:tcPr>
          <w:p w14:paraId="7538AF8E" w14:textId="77777777" w:rsidR="00E77839" w:rsidRPr="00331039" w:rsidRDefault="00E77839" w:rsidP="00E77839">
            <w:pPr>
              <w:jc w:val="center"/>
              <w:rPr>
                <w:color w:val="000000"/>
                <w:sz w:val="20"/>
                <w:szCs w:val="20"/>
              </w:rPr>
            </w:pPr>
            <w:r w:rsidRPr="00331039">
              <w:rPr>
                <w:color w:val="000000"/>
                <w:sz w:val="20"/>
                <w:szCs w:val="20"/>
              </w:rPr>
              <w:t>■</w:t>
            </w:r>
          </w:p>
        </w:tc>
        <w:tc>
          <w:tcPr>
            <w:tcW w:w="992" w:type="dxa"/>
            <w:tcBorders>
              <w:top w:val="nil"/>
              <w:bottom w:val="nil"/>
              <w:right w:val="single" w:sz="4" w:space="0" w:color="000000" w:themeColor="text1"/>
            </w:tcBorders>
          </w:tcPr>
          <w:p w14:paraId="1AB3D1CD" w14:textId="77777777" w:rsidR="00E77839" w:rsidRPr="00331039" w:rsidRDefault="00E77839" w:rsidP="00E77839">
            <w:pPr>
              <w:jc w:val="center"/>
              <w:rPr>
                <w:color w:val="000000"/>
                <w:sz w:val="20"/>
                <w:szCs w:val="20"/>
              </w:rPr>
            </w:pPr>
            <w:r w:rsidRPr="00331039">
              <w:rPr>
                <w:color w:val="000000"/>
                <w:sz w:val="20"/>
                <w:szCs w:val="20"/>
              </w:rPr>
              <w:t>■</w:t>
            </w:r>
          </w:p>
        </w:tc>
        <w:tc>
          <w:tcPr>
            <w:tcW w:w="850" w:type="dxa"/>
            <w:tcBorders>
              <w:top w:val="nil"/>
              <w:left w:val="single" w:sz="4" w:space="0" w:color="000000" w:themeColor="text1"/>
              <w:bottom w:val="nil"/>
            </w:tcBorders>
          </w:tcPr>
          <w:p w14:paraId="7F8458A5" w14:textId="77777777" w:rsidR="00E77839" w:rsidRPr="00331039" w:rsidRDefault="00E77839" w:rsidP="00E77839">
            <w:pPr>
              <w:jc w:val="center"/>
              <w:rPr>
                <w:color w:val="000000"/>
                <w:sz w:val="20"/>
                <w:szCs w:val="20"/>
              </w:rPr>
            </w:pPr>
            <w:r w:rsidRPr="00331039">
              <w:rPr>
                <w:color w:val="000000"/>
                <w:sz w:val="20"/>
                <w:szCs w:val="20"/>
              </w:rPr>
              <w:t>--</w:t>
            </w:r>
          </w:p>
        </w:tc>
        <w:tc>
          <w:tcPr>
            <w:tcW w:w="851" w:type="dxa"/>
            <w:tcBorders>
              <w:top w:val="nil"/>
              <w:left w:val="nil"/>
              <w:bottom w:val="nil"/>
            </w:tcBorders>
          </w:tcPr>
          <w:p w14:paraId="1349B478" w14:textId="77777777" w:rsidR="00E77839" w:rsidRPr="00331039" w:rsidRDefault="00E77839" w:rsidP="00E77839">
            <w:pPr>
              <w:jc w:val="center"/>
              <w:rPr>
                <w:color w:val="000000"/>
                <w:sz w:val="20"/>
                <w:szCs w:val="20"/>
              </w:rPr>
            </w:pPr>
            <w:r w:rsidRPr="00331039">
              <w:rPr>
                <w:color w:val="000000"/>
                <w:sz w:val="20"/>
                <w:szCs w:val="20"/>
              </w:rPr>
              <w:t>■</w:t>
            </w:r>
          </w:p>
        </w:tc>
      </w:tr>
      <w:tr w:rsidR="00E77839" w:rsidRPr="00B63DD5" w14:paraId="32264234" w14:textId="77777777" w:rsidTr="00E77839">
        <w:trPr>
          <w:trHeight w:val="259"/>
        </w:trPr>
        <w:tc>
          <w:tcPr>
            <w:tcW w:w="8789" w:type="dxa"/>
            <w:gridSpan w:val="2"/>
            <w:tcBorders>
              <w:top w:val="nil"/>
              <w:bottom w:val="nil"/>
            </w:tcBorders>
            <w:shd w:val="clear" w:color="auto" w:fill="auto"/>
            <w:noWrap/>
            <w:vAlign w:val="center"/>
          </w:tcPr>
          <w:p w14:paraId="60588F89" w14:textId="77777777" w:rsidR="00E77839" w:rsidRPr="00B63DD5" w:rsidRDefault="00E77839" w:rsidP="00E77839">
            <w:pPr>
              <w:spacing w:line="276" w:lineRule="auto"/>
              <w:jc w:val="both"/>
              <w:rPr>
                <w:color w:val="000000"/>
                <w:sz w:val="20"/>
                <w:szCs w:val="20"/>
              </w:rPr>
            </w:pPr>
            <w:r>
              <w:rPr>
                <w:color w:val="000000"/>
                <w:sz w:val="20"/>
                <w:szCs w:val="20"/>
              </w:rPr>
              <w:t xml:space="preserve">Agreement with </w:t>
            </w:r>
            <w:proofErr w:type="spellStart"/>
            <w:r>
              <w:rPr>
                <w:color w:val="000000"/>
                <w:sz w:val="20"/>
                <w:szCs w:val="20"/>
              </w:rPr>
              <w:t>HWe</w:t>
            </w:r>
            <w:proofErr w:type="spellEnd"/>
            <w:r>
              <w:rPr>
                <w:color w:val="000000"/>
                <w:sz w:val="20"/>
                <w:szCs w:val="20"/>
              </w:rPr>
              <w:t xml:space="preserve"> tested in controls </w:t>
            </w:r>
          </w:p>
        </w:tc>
        <w:tc>
          <w:tcPr>
            <w:tcW w:w="850" w:type="dxa"/>
            <w:tcBorders>
              <w:top w:val="nil"/>
              <w:bottom w:val="nil"/>
            </w:tcBorders>
            <w:vAlign w:val="center"/>
          </w:tcPr>
          <w:p w14:paraId="4087549C" w14:textId="77777777" w:rsidR="00E77839" w:rsidRPr="00331039" w:rsidRDefault="00E77839" w:rsidP="00E77839">
            <w:pPr>
              <w:jc w:val="center"/>
              <w:rPr>
                <w:color w:val="000000"/>
                <w:sz w:val="20"/>
                <w:szCs w:val="20"/>
              </w:rPr>
            </w:pPr>
            <w:r w:rsidRPr="00331039">
              <w:rPr>
                <w:color w:val="000000"/>
                <w:sz w:val="20"/>
                <w:szCs w:val="20"/>
              </w:rPr>
              <w:t>■</w:t>
            </w:r>
          </w:p>
        </w:tc>
        <w:tc>
          <w:tcPr>
            <w:tcW w:w="851" w:type="dxa"/>
            <w:tcBorders>
              <w:top w:val="nil"/>
              <w:bottom w:val="nil"/>
            </w:tcBorders>
            <w:vAlign w:val="center"/>
          </w:tcPr>
          <w:p w14:paraId="22C5B659" w14:textId="77777777" w:rsidR="00E77839" w:rsidRPr="00331039" w:rsidRDefault="00E77839" w:rsidP="00E77839">
            <w:pPr>
              <w:jc w:val="center"/>
              <w:rPr>
                <w:color w:val="000000"/>
                <w:sz w:val="20"/>
                <w:szCs w:val="20"/>
              </w:rPr>
            </w:pPr>
            <w:r w:rsidRPr="00331039">
              <w:rPr>
                <w:color w:val="000000"/>
                <w:sz w:val="20"/>
                <w:szCs w:val="20"/>
              </w:rPr>
              <w:t>■</w:t>
            </w:r>
          </w:p>
        </w:tc>
        <w:tc>
          <w:tcPr>
            <w:tcW w:w="850" w:type="dxa"/>
            <w:tcBorders>
              <w:top w:val="nil"/>
              <w:bottom w:val="nil"/>
            </w:tcBorders>
            <w:vAlign w:val="center"/>
          </w:tcPr>
          <w:p w14:paraId="15F1275C" w14:textId="77777777" w:rsidR="00E77839" w:rsidRPr="00331039" w:rsidRDefault="00E77839" w:rsidP="00E77839">
            <w:pPr>
              <w:jc w:val="center"/>
              <w:rPr>
                <w:color w:val="000000"/>
                <w:sz w:val="20"/>
                <w:szCs w:val="20"/>
              </w:rPr>
            </w:pPr>
            <w:r w:rsidRPr="00331039">
              <w:rPr>
                <w:color w:val="000000"/>
                <w:sz w:val="20"/>
                <w:szCs w:val="20"/>
              </w:rPr>
              <w:t>□</w:t>
            </w:r>
          </w:p>
        </w:tc>
        <w:tc>
          <w:tcPr>
            <w:tcW w:w="993" w:type="dxa"/>
            <w:tcBorders>
              <w:top w:val="nil"/>
              <w:bottom w:val="nil"/>
            </w:tcBorders>
            <w:vAlign w:val="center"/>
          </w:tcPr>
          <w:p w14:paraId="5F7FC2A5" w14:textId="77777777" w:rsidR="00E77839" w:rsidRPr="00331039" w:rsidRDefault="00E77839" w:rsidP="00E77839">
            <w:pPr>
              <w:jc w:val="center"/>
              <w:rPr>
                <w:color w:val="000000"/>
                <w:sz w:val="20"/>
                <w:szCs w:val="20"/>
              </w:rPr>
            </w:pPr>
            <w:r w:rsidRPr="00331039">
              <w:rPr>
                <w:color w:val="000000"/>
                <w:sz w:val="20"/>
                <w:szCs w:val="20"/>
              </w:rPr>
              <w:t>■</w:t>
            </w:r>
          </w:p>
        </w:tc>
        <w:tc>
          <w:tcPr>
            <w:tcW w:w="992" w:type="dxa"/>
            <w:tcBorders>
              <w:top w:val="nil"/>
              <w:bottom w:val="nil"/>
              <w:right w:val="single" w:sz="4" w:space="0" w:color="000000" w:themeColor="text1"/>
            </w:tcBorders>
          </w:tcPr>
          <w:p w14:paraId="435B260F" w14:textId="77777777" w:rsidR="00E77839" w:rsidRPr="00331039" w:rsidRDefault="00E77839" w:rsidP="00E77839">
            <w:pPr>
              <w:jc w:val="center"/>
              <w:rPr>
                <w:color w:val="000000"/>
                <w:sz w:val="20"/>
                <w:szCs w:val="20"/>
              </w:rPr>
            </w:pPr>
            <w:r w:rsidRPr="00331039">
              <w:rPr>
                <w:color w:val="000000"/>
                <w:sz w:val="20"/>
                <w:szCs w:val="20"/>
              </w:rPr>
              <w:t>--</w:t>
            </w:r>
          </w:p>
        </w:tc>
        <w:tc>
          <w:tcPr>
            <w:tcW w:w="850" w:type="dxa"/>
            <w:tcBorders>
              <w:top w:val="nil"/>
              <w:left w:val="single" w:sz="4" w:space="0" w:color="000000" w:themeColor="text1"/>
              <w:bottom w:val="nil"/>
            </w:tcBorders>
          </w:tcPr>
          <w:p w14:paraId="1ACFD96E" w14:textId="77777777" w:rsidR="00E77839" w:rsidRPr="00331039" w:rsidRDefault="00E77839" w:rsidP="00E77839">
            <w:pPr>
              <w:jc w:val="center"/>
              <w:rPr>
                <w:color w:val="000000"/>
                <w:sz w:val="20"/>
                <w:szCs w:val="20"/>
              </w:rPr>
            </w:pPr>
            <w:r w:rsidRPr="00331039">
              <w:rPr>
                <w:color w:val="000000"/>
                <w:sz w:val="20"/>
                <w:szCs w:val="20"/>
              </w:rPr>
              <w:t>■</w:t>
            </w:r>
          </w:p>
        </w:tc>
        <w:tc>
          <w:tcPr>
            <w:tcW w:w="851" w:type="dxa"/>
            <w:tcBorders>
              <w:top w:val="nil"/>
              <w:left w:val="nil"/>
              <w:bottom w:val="nil"/>
            </w:tcBorders>
          </w:tcPr>
          <w:p w14:paraId="32D50B7B" w14:textId="77777777" w:rsidR="00E77839" w:rsidRPr="00331039" w:rsidRDefault="00E77839" w:rsidP="00E77839">
            <w:pPr>
              <w:jc w:val="center"/>
              <w:rPr>
                <w:color w:val="000000"/>
                <w:sz w:val="20"/>
                <w:szCs w:val="20"/>
              </w:rPr>
            </w:pPr>
            <w:r w:rsidRPr="00331039">
              <w:rPr>
                <w:color w:val="000000"/>
                <w:sz w:val="20"/>
                <w:szCs w:val="20"/>
              </w:rPr>
              <w:t>■</w:t>
            </w:r>
          </w:p>
        </w:tc>
      </w:tr>
      <w:tr w:rsidR="00E77839" w:rsidRPr="00B63DD5" w14:paraId="33F781EE" w14:textId="77777777" w:rsidTr="00E77839">
        <w:trPr>
          <w:trHeight w:val="259"/>
        </w:trPr>
        <w:tc>
          <w:tcPr>
            <w:tcW w:w="8789" w:type="dxa"/>
            <w:gridSpan w:val="2"/>
            <w:tcBorders>
              <w:top w:val="nil"/>
              <w:bottom w:val="nil"/>
            </w:tcBorders>
            <w:shd w:val="clear" w:color="auto" w:fill="auto"/>
            <w:noWrap/>
            <w:vAlign w:val="center"/>
          </w:tcPr>
          <w:p w14:paraId="00C69A8A" w14:textId="77777777" w:rsidR="00E77839" w:rsidRDefault="00E77839" w:rsidP="00E77839">
            <w:pPr>
              <w:spacing w:line="276" w:lineRule="auto"/>
              <w:jc w:val="both"/>
              <w:rPr>
                <w:color w:val="000000"/>
                <w:sz w:val="20"/>
                <w:szCs w:val="20"/>
              </w:rPr>
            </w:pPr>
            <w:r>
              <w:rPr>
                <w:color w:val="000000"/>
                <w:sz w:val="20"/>
                <w:szCs w:val="20"/>
              </w:rPr>
              <w:t>Was genotyping conducted by a blinded assessor</w:t>
            </w:r>
          </w:p>
        </w:tc>
        <w:tc>
          <w:tcPr>
            <w:tcW w:w="850" w:type="dxa"/>
            <w:tcBorders>
              <w:top w:val="nil"/>
              <w:bottom w:val="nil"/>
            </w:tcBorders>
            <w:vAlign w:val="center"/>
          </w:tcPr>
          <w:p w14:paraId="5E2344D9" w14:textId="77777777" w:rsidR="00E77839" w:rsidRPr="00331039" w:rsidRDefault="00E77839" w:rsidP="00E77839">
            <w:pPr>
              <w:jc w:val="center"/>
              <w:rPr>
                <w:color w:val="000000"/>
                <w:sz w:val="20"/>
                <w:szCs w:val="20"/>
              </w:rPr>
            </w:pPr>
            <w:r w:rsidRPr="00331039">
              <w:rPr>
                <w:color w:val="000000"/>
                <w:sz w:val="20"/>
                <w:szCs w:val="20"/>
              </w:rPr>
              <w:t>--</w:t>
            </w:r>
          </w:p>
        </w:tc>
        <w:tc>
          <w:tcPr>
            <w:tcW w:w="851" w:type="dxa"/>
            <w:tcBorders>
              <w:top w:val="nil"/>
              <w:bottom w:val="nil"/>
            </w:tcBorders>
            <w:vAlign w:val="center"/>
          </w:tcPr>
          <w:p w14:paraId="0A1512D3" w14:textId="77777777" w:rsidR="00E77839" w:rsidRPr="00331039" w:rsidRDefault="00E77839" w:rsidP="00E77839">
            <w:pPr>
              <w:jc w:val="center"/>
              <w:rPr>
                <w:color w:val="000000"/>
                <w:sz w:val="20"/>
                <w:szCs w:val="20"/>
              </w:rPr>
            </w:pPr>
            <w:r w:rsidRPr="00331039">
              <w:rPr>
                <w:color w:val="000000"/>
                <w:sz w:val="20"/>
                <w:szCs w:val="20"/>
              </w:rPr>
              <w:t>--</w:t>
            </w:r>
          </w:p>
        </w:tc>
        <w:tc>
          <w:tcPr>
            <w:tcW w:w="850" w:type="dxa"/>
            <w:tcBorders>
              <w:top w:val="nil"/>
              <w:bottom w:val="nil"/>
            </w:tcBorders>
            <w:vAlign w:val="center"/>
          </w:tcPr>
          <w:p w14:paraId="657FED5C" w14:textId="77777777" w:rsidR="00E77839" w:rsidRPr="00331039" w:rsidRDefault="00E77839" w:rsidP="00E77839">
            <w:pPr>
              <w:jc w:val="center"/>
              <w:rPr>
                <w:color w:val="000000"/>
                <w:sz w:val="20"/>
                <w:szCs w:val="20"/>
              </w:rPr>
            </w:pPr>
            <w:r w:rsidRPr="00331039">
              <w:rPr>
                <w:color w:val="000000"/>
                <w:sz w:val="20"/>
                <w:szCs w:val="20"/>
              </w:rPr>
              <w:t>--</w:t>
            </w:r>
          </w:p>
        </w:tc>
        <w:tc>
          <w:tcPr>
            <w:tcW w:w="993" w:type="dxa"/>
            <w:tcBorders>
              <w:top w:val="nil"/>
              <w:bottom w:val="nil"/>
            </w:tcBorders>
            <w:vAlign w:val="center"/>
          </w:tcPr>
          <w:p w14:paraId="77C1D1E9" w14:textId="77777777" w:rsidR="00E77839" w:rsidRPr="00331039" w:rsidRDefault="00E77839" w:rsidP="00E77839">
            <w:pPr>
              <w:jc w:val="center"/>
              <w:rPr>
                <w:color w:val="000000"/>
                <w:sz w:val="20"/>
                <w:szCs w:val="20"/>
              </w:rPr>
            </w:pPr>
            <w:r w:rsidRPr="00331039">
              <w:rPr>
                <w:color w:val="000000"/>
                <w:sz w:val="20"/>
                <w:szCs w:val="20"/>
              </w:rPr>
              <w:t>□</w:t>
            </w:r>
          </w:p>
        </w:tc>
        <w:tc>
          <w:tcPr>
            <w:tcW w:w="992" w:type="dxa"/>
            <w:tcBorders>
              <w:top w:val="nil"/>
              <w:bottom w:val="nil"/>
              <w:right w:val="single" w:sz="4" w:space="0" w:color="000000" w:themeColor="text1"/>
            </w:tcBorders>
          </w:tcPr>
          <w:p w14:paraId="619EE2A3" w14:textId="77777777" w:rsidR="00E77839" w:rsidRPr="00331039" w:rsidRDefault="00E77839" w:rsidP="00E77839">
            <w:pPr>
              <w:jc w:val="center"/>
              <w:rPr>
                <w:color w:val="000000"/>
                <w:sz w:val="20"/>
                <w:szCs w:val="20"/>
              </w:rPr>
            </w:pPr>
            <w:r w:rsidRPr="00331039">
              <w:rPr>
                <w:color w:val="000000"/>
                <w:sz w:val="20"/>
                <w:szCs w:val="20"/>
              </w:rPr>
              <w:t>--</w:t>
            </w:r>
          </w:p>
        </w:tc>
        <w:tc>
          <w:tcPr>
            <w:tcW w:w="850" w:type="dxa"/>
            <w:tcBorders>
              <w:top w:val="nil"/>
              <w:left w:val="single" w:sz="4" w:space="0" w:color="000000" w:themeColor="text1"/>
              <w:bottom w:val="nil"/>
            </w:tcBorders>
          </w:tcPr>
          <w:p w14:paraId="27695EF5" w14:textId="77777777" w:rsidR="00E77839" w:rsidRPr="00331039" w:rsidRDefault="00E77839" w:rsidP="00E77839">
            <w:pPr>
              <w:jc w:val="center"/>
              <w:rPr>
                <w:color w:val="000000"/>
                <w:sz w:val="20"/>
                <w:szCs w:val="20"/>
              </w:rPr>
            </w:pPr>
            <w:r w:rsidRPr="00331039">
              <w:rPr>
                <w:color w:val="000000"/>
                <w:sz w:val="20"/>
                <w:szCs w:val="20"/>
              </w:rPr>
              <w:t>--</w:t>
            </w:r>
          </w:p>
        </w:tc>
        <w:tc>
          <w:tcPr>
            <w:tcW w:w="851" w:type="dxa"/>
            <w:tcBorders>
              <w:top w:val="nil"/>
              <w:left w:val="nil"/>
              <w:bottom w:val="nil"/>
            </w:tcBorders>
          </w:tcPr>
          <w:p w14:paraId="106CAB62" w14:textId="77777777" w:rsidR="00E77839" w:rsidRPr="00331039" w:rsidRDefault="00E77839" w:rsidP="00E77839">
            <w:pPr>
              <w:jc w:val="center"/>
              <w:rPr>
                <w:color w:val="000000"/>
                <w:sz w:val="20"/>
                <w:szCs w:val="20"/>
              </w:rPr>
            </w:pPr>
            <w:r w:rsidRPr="00331039">
              <w:rPr>
                <w:color w:val="000000"/>
                <w:sz w:val="20"/>
                <w:szCs w:val="20"/>
              </w:rPr>
              <w:t>--</w:t>
            </w:r>
          </w:p>
        </w:tc>
      </w:tr>
      <w:tr w:rsidR="00E77839" w:rsidRPr="00B63DD5" w14:paraId="55591F7D" w14:textId="77777777" w:rsidTr="00E77839">
        <w:trPr>
          <w:trHeight w:val="259"/>
        </w:trPr>
        <w:tc>
          <w:tcPr>
            <w:tcW w:w="8789" w:type="dxa"/>
            <w:gridSpan w:val="2"/>
            <w:tcBorders>
              <w:top w:val="nil"/>
              <w:bottom w:val="nil"/>
            </w:tcBorders>
            <w:shd w:val="clear" w:color="auto" w:fill="auto"/>
            <w:noWrap/>
            <w:vAlign w:val="center"/>
          </w:tcPr>
          <w:p w14:paraId="39404B32" w14:textId="77777777" w:rsidR="00E77839" w:rsidRDefault="00E77839" w:rsidP="00E77839">
            <w:pPr>
              <w:spacing w:line="276" w:lineRule="auto"/>
              <w:jc w:val="both"/>
              <w:rPr>
                <w:color w:val="000000"/>
                <w:sz w:val="20"/>
                <w:szCs w:val="20"/>
              </w:rPr>
            </w:pPr>
            <w:r>
              <w:rPr>
                <w:color w:val="000000"/>
                <w:sz w:val="20"/>
                <w:szCs w:val="20"/>
              </w:rPr>
              <w:t>Where the results adjusted for multiple testing to avoid false positive results</w:t>
            </w:r>
          </w:p>
        </w:tc>
        <w:tc>
          <w:tcPr>
            <w:tcW w:w="850" w:type="dxa"/>
            <w:tcBorders>
              <w:top w:val="nil"/>
              <w:bottom w:val="nil"/>
            </w:tcBorders>
            <w:vAlign w:val="center"/>
          </w:tcPr>
          <w:p w14:paraId="72919ECB" w14:textId="77777777" w:rsidR="00E77839" w:rsidRPr="00331039" w:rsidRDefault="00E77839" w:rsidP="00E77839">
            <w:pPr>
              <w:jc w:val="center"/>
              <w:rPr>
                <w:color w:val="000000"/>
                <w:sz w:val="20"/>
                <w:szCs w:val="20"/>
              </w:rPr>
            </w:pPr>
            <w:r w:rsidRPr="00331039">
              <w:rPr>
                <w:color w:val="000000"/>
                <w:sz w:val="20"/>
                <w:szCs w:val="20"/>
              </w:rPr>
              <w:t>□</w:t>
            </w:r>
          </w:p>
        </w:tc>
        <w:tc>
          <w:tcPr>
            <w:tcW w:w="851" w:type="dxa"/>
            <w:tcBorders>
              <w:top w:val="nil"/>
              <w:bottom w:val="nil"/>
            </w:tcBorders>
            <w:vAlign w:val="center"/>
          </w:tcPr>
          <w:p w14:paraId="5785C596" w14:textId="77777777" w:rsidR="00E77839" w:rsidRPr="00331039" w:rsidRDefault="00E77839" w:rsidP="00E77839">
            <w:pPr>
              <w:jc w:val="center"/>
              <w:rPr>
                <w:color w:val="000000"/>
                <w:sz w:val="20"/>
                <w:szCs w:val="20"/>
              </w:rPr>
            </w:pPr>
            <w:r w:rsidRPr="00331039">
              <w:rPr>
                <w:color w:val="000000"/>
                <w:sz w:val="20"/>
                <w:szCs w:val="20"/>
              </w:rPr>
              <w:t>□</w:t>
            </w:r>
          </w:p>
        </w:tc>
        <w:tc>
          <w:tcPr>
            <w:tcW w:w="850" w:type="dxa"/>
            <w:tcBorders>
              <w:top w:val="nil"/>
              <w:bottom w:val="nil"/>
            </w:tcBorders>
            <w:vAlign w:val="center"/>
          </w:tcPr>
          <w:p w14:paraId="41F9DE4A" w14:textId="77777777" w:rsidR="00E77839" w:rsidRPr="00331039" w:rsidRDefault="00E77839" w:rsidP="00E77839">
            <w:pPr>
              <w:jc w:val="center"/>
              <w:rPr>
                <w:color w:val="000000"/>
                <w:sz w:val="20"/>
                <w:szCs w:val="20"/>
              </w:rPr>
            </w:pPr>
            <w:r w:rsidRPr="00331039">
              <w:rPr>
                <w:color w:val="000000"/>
                <w:sz w:val="20"/>
                <w:szCs w:val="20"/>
              </w:rPr>
              <w:t>■</w:t>
            </w:r>
          </w:p>
        </w:tc>
        <w:tc>
          <w:tcPr>
            <w:tcW w:w="993" w:type="dxa"/>
            <w:tcBorders>
              <w:top w:val="nil"/>
              <w:bottom w:val="nil"/>
            </w:tcBorders>
            <w:vAlign w:val="center"/>
          </w:tcPr>
          <w:p w14:paraId="29D18BB6" w14:textId="77777777" w:rsidR="00E77839" w:rsidRPr="00331039" w:rsidRDefault="00E77839" w:rsidP="00E77839">
            <w:pPr>
              <w:jc w:val="center"/>
              <w:rPr>
                <w:color w:val="000000"/>
                <w:sz w:val="20"/>
                <w:szCs w:val="20"/>
              </w:rPr>
            </w:pPr>
            <w:r w:rsidRPr="00331039">
              <w:rPr>
                <w:color w:val="000000"/>
                <w:sz w:val="20"/>
                <w:szCs w:val="20"/>
              </w:rPr>
              <w:t>□</w:t>
            </w:r>
          </w:p>
        </w:tc>
        <w:tc>
          <w:tcPr>
            <w:tcW w:w="992" w:type="dxa"/>
            <w:tcBorders>
              <w:top w:val="nil"/>
              <w:bottom w:val="nil"/>
              <w:right w:val="single" w:sz="4" w:space="0" w:color="000000" w:themeColor="text1"/>
            </w:tcBorders>
          </w:tcPr>
          <w:p w14:paraId="66E97BE3" w14:textId="77777777" w:rsidR="00E77839" w:rsidRPr="00331039" w:rsidRDefault="00E77839" w:rsidP="00E77839">
            <w:pPr>
              <w:jc w:val="center"/>
              <w:rPr>
                <w:color w:val="000000"/>
                <w:sz w:val="20"/>
                <w:szCs w:val="20"/>
              </w:rPr>
            </w:pPr>
            <w:r w:rsidRPr="00331039">
              <w:rPr>
                <w:color w:val="000000"/>
                <w:sz w:val="20"/>
                <w:szCs w:val="20"/>
              </w:rPr>
              <w:t>□</w:t>
            </w:r>
          </w:p>
        </w:tc>
        <w:tc>
          <w:tcPr>
            <w:tcW w:w="850" w:type="dxa"/>
            <w:tcBorders>
              <w:top w:val="nil"/>
              <w:left w:val="single" w:sz="4" w:space="0" w:color="000000" w:themeColor="text1"/>
              <w:bottom w:val="nil"/>
            </w:tcBorders>
          </w:tcPr>
          <w:p w14:paraId="2642AB34" w14:textId="77777777" w:rsidR="00E77839" w:rsidRPr="00331039" w:rsidRDefault="00E77839" w:rsidP="00E77839">
            <w:pPr>
              <w:jc w:val="center"/>
              <w:rPr>
                <w:color w:val="000000"/>
                <w:sz w:val="20"/>
                <w:szCs w:val="20"/>
              </w:rPr>
            </w:pPr>
            <w:r w:rsidRPr="00331039">
              <w:rPr>
                <w:color w:val="000000"/>
                <w:sz w:val="20"/>
                <w:szCs w:val="20"/>
              </w:rPr>
              <w:t>■</w:t>
            </w:r>
          </w:p>
        </w:tc>
        <w:tc>
          <w:tcPr>
            <w:tcW w:w="851" w:type="dxa"/>
            <w:tcBorders>
              <w:top w:val="nil"/>
              <w:left w:val="nil"/>
              <w:bottom w:val="nil"/>
            </w:tcBorders>
          </w:tcPr>
          <w:p w14:paraId="66AEA768" w14:textId="77777777" w:rsidR="00E77839" w:rsidRPr="00331039" w:rsidRDefault="00E77839" w:rsidP="00E77839">
            <w:pPr>
              <w:jc w:val="center"/>
              <w:rPr>
                <w:color w:val="000000"/>
                <w:sz w:val="20"/>
                <w:szCs w:val="20"/>
              </w:rPr>
            </w:pPr>
            <w:r w:rsidRPr="00331039">
              <w:rPr>
                <w:color w:val="000000"/>
                <w:sz w:val="20"/>
                <w:szCs w:val="20"/>
              </w:rPr>
              <w:t>■</w:t>
            </w:r>
          </w:p>
        </w:tc>
      </w:tr>
      <w:tr w:rsidR="00E77839" w:rsidRPr="00B63DD5" w14:paraId="18F3B99C" w14:textId="77777777" w:rsidTr="00E77839">
        <w:trPr>
          <w:trHeight w:val="259"/>
        </w:trPr>
        <w:tc>
          <w:tcPr>
            <w:tcW w:w="15026" w:type="dxa"/>
            <w:gridSpan w:val="9"/>
            <w:tcBorders>
              <w:top w:val="single" w:sz="4" w:space="0" w:color="000000" w:themeColor="text1"/>
              <w:left w:val="single" w:sz="4" w:space="0" w:color="000000" w:themeColor="text1"/>
              <w:bottom w:val="single" w:sz="4" w:space="0" w:color="000000" w:themeColor="text1"/>
            </w:tcBorders>
            <w:shd w:val="clear" w:color="auto" w:fill="F2F2F2" w:themeFill="background1" w:themeFillShade="F2"/>
          </w:tcPr>
          <w:p w14:paraId="5719EF07" w14:textId="77777777" w:rsidR="00E77839" w:rsidRPr="00331039" w:rsidRDefault="00E77839" w:rsidP="00E77839">
            <w:pPr>
              <w:jc w:val="both"/>
              <w:rPr>
                <w:b/>
                <w:bCs/>
                <w:color w:val="000000"/>
                <w:sz w:val="20"/>
                <w:szCs w:val="20"/>
              </w:rPr>
            </w:pPr>
            <w:r w:rsidRPr="00331039">
              <w:rPr>
                <w:b/>
                <w:bCs/>
                <w:color w:val="000000"/>
                <w:sz w:val="20"/>
                <w:szCs w:val="20"/>
              </w:rPr>
              <w:t>C</w:t>
            </w:r>
            <w:r w:rsidRPr="00331039">
              <w:rPr>
                <w:b/>
                <w:bCs/>
                <w:color w:val="000000"/>
                <w:sz w:val="20"/>
                <w:szCs w:val="20"/>
                <w:shd w:val="clear" w:color="auto" w:fill="F2F2F2" w:themeFill="background1" w:themeFillShade="F2"/>
              </w:rPr>
              <w:t xml:space="preserve">omparability </w:t>
            </w:r>
          </w:p>
        </w:tc>
      </w:tr>
      <w:tr w:rsidR="00E77839" w:rsidRPr="00B63DD5" w14:paraId="517E4ED3" w14:textId="77777777" w:rsidTr="00E77839">
        <w:trPr>
          <w:trHeight w:val="259"/>
        </w:trPr>
        <w:tc>
          <w:tcPr>
            <w:tcW w:w="8789" w:type="dxa"/>
            <w:gridSpan w:val="2"/>
            <w:tcBorders>
              <w:top w:val="single" w:sz="4" w:space="0" w:color="000000" w:themeColor="text1"/>
              <w:bottom w:val="single" w:sz="4" w:space="0" w:color="000000" w:themeColor="text1"/>
            </w:tcBorders>
            <w:shd w:val="clear" w:color="auto" w:fill="auto"/>
            <w:vAlign w:val="center"/>
            <w:hideMark/>
          </w:tcPr>
          <w:p w14:paraId="592455E2" w14:textId="77777777" w:rsidR="00E77839" w:rsidRPr="00B63DD5" w:rsidRDefault="00E77839" w:rsidP="00E77839">
            <w:pPr>
              <w:spacing w:line="276" w:lineRule="auto"/>
              <w:jc w:val="both"/>
              <w:rPr>
                <w:color w:val="000000"/>
                <w:sz w:val="20"/>
                <w:szCs w:val="20"/>
              </w:rPr>
            </w:pPr>
            <w:r w:rsidRPr="00B63DD5">
              <w:rPr>
                <w:color w:val="000000"/>
                <w:sz w:val="20"/>
                <w:szCs w:val="20"/>
              </w:rPr>
              <w:t xml:space="preserve">Individual-level adjustment factors </w:t>
            </w:r>
          </w:p>
        </w:tc>
        <w:tc>
          <w:tcPr>
            <w:tcW w:w="850" w:type="dxa"/>
            <w:tcBorders>
              <w:top w:val="single" w:sz="4" w:space="0" w:color="000000" w:themeColor="text1"/>
              <w:bottom w:val="single" w:sz="4" w:space="0" w:color="000000" w:themeColor="text1"/>
            </w:tcBorders>
            <w:vAlign w:val="center"/>
          </w:tcPr>
          <w:p w14:paraId="61FFB27D" w14:textId="77777777" w:rsidR="00E77839" w:rsidRPr="00331039" w:rsidRDefault="00E77839" w:rsidP="00E77839">
            <w:pPr>
              <w:jc w:val="center"/>
              <w:rPr>
                <w:color w:val="000000"/>
                <w:sz w:val="20"/>
                <w:szCs w:val="20"/>
              </w:rPr>
            </w:pPr>
            <w:r w:rsidRPr="00331039">
              <w:rPr>
                <w:color w:val="000000"/>
                <w:sz w:val="20"/>
                <w:szCs w:val="20"/>
              </w:rPr>
              <w:t>■□</w:t>
            </w:r>
          </w:p>
        </w:tc>
        <w:tc>
          <w:tcPr>
            <w:tcW w:w="851" w:type="dxa"/>
            <w:tcBorders>
              <w:top w:val="single" w:sz="4" w:space="0" w:color="000000" w:themeColor="text1"/>
              <w:bottom w:val="single" w:sz="4" w:space="0" w:color="000000" w:themeColor="text1"/>
            </w:tcBorders>
            <w:vAlign w:val="center"/>
          </w:tcPr>
          <w:p w14:paraId="296F5B20" w14:textId="77777777" w:rsidR="00E77839" w:rsidRPr="00331039" w:rsidRDefault="00E77839" w:rsidP="00E77839">
            <w:pPr>
              <w:jc w:val="center"/>
              <w:rPr>
                <w:color w:val="000000"/>
                <w:sz w:val="20"/>
                <w:szCs w:val="20"/>
              </w:rPr>
            </w:pPr>
            <w:r w:rsidRPr="00331039">
              <w:rPr>
                <w:color w:val="000000"/>
                <w:sz w:val="20"/>
                <w:szCs w:val="20"/>
              </w:rPr>
              <w:t>■□</w:t>
            </w:r>
          </w:p>
        </w:tc>
        <w:tc>
          <w:tcPr>
            <w:tcW w:w="850" w:type="dxa"/>
            <w:tcBorders>
              <w:top w:val="single" w:sz="4" w:space="0" w:color="000000" w:themeColor="text1"/>
              <w:bottom w:val="single" w:sz="4" w:space="0" w:color="000000" w:themeColor="text1"/>
            </w:tcBorders>
            <w:vAlign w:val="center"/>
          </w:tcPr>
          <w:p w14:paraId="30079BD0" w14:textId="77777777" w:rsidR="00E77839" w:rsidRPr="00331039" w:rsidRDefault="00E77839" w:rsidP="00E77839">
            <w:pPr>
              <w:jc w:val="center"/>
              <w:rPr>
                <w:color w:val="000000"/>
                <w:sz w:val="20"/>
                <w:szCs w:val="20"/>
              </w:rPr>
            </w:pPr>
            <w:r w:rsidRPr="00331039">
              <w:rPr>
                <w:color w:val="000000"/>
                <w:sz w:val="20"/>
                <w:szCs w:val="20"/>
              </w:rPr>
              <w:t>■■</w:t>
            </w:r>
          </w:p>
        </w:tc>
        <w:tc>
          <w:tcPr>
            <w:tcW w:w="993" w:type="dxa"/>
            <w:tcBorders>
              <w:top w:val="single" w:sz="4" w:space="0" w:color="000000" w:themeColor="text1"/>
              <w:bottom w:val="single" w:sz="4" w:space="0" w:color="000000" w:themeColor="text1"/>
            </w:tcBorders>
          </w:tcPr>
          <w:p w14:paraId="2EF15574" w14:textId="77777777" w:rsidR="00E77839" w:rsidRPr="00331039" w:rsidRDefault="00E77839" w:rsidP="00E77839">
            <w:pPr>
              <w:jc w:val="center"/>
              <w:rPr>
                <w:color w:val="000000"/>
                <w:sz w:val="20"/>
                <w:szCs w:val="20"/>
              </w:rPr>
            </w:pPr>
            <w:r w:rsidRPr="00331039">
              <w:rPr>
                <w:color w:val="000000"/>
                <w:sz w:val="20"/>
                <w:szCs w:val="20"/>
              </w:rPr>
              <w:t>■■</w:t>
            </w:r>
          </w:p>
        </w:tc>
        <w:tc>
          <w:tcPr>
            <w:tcW w:w="992" w:type="dxa"/>
            <w:tcBorders>
              <w:top w:val="single" w:sz="4" w:space="0" w:color="000000" w:themeColor="text1"/>
              <w:bottom w:val="single" w:sz="4" w:space="0" w:color="000000" w:themeColor="text1"/>
              <w:right w:val="single" w:sz="4" w:space="0" w:color="000000" w:themeColor="text1"/>
            </w:tcBorders>
          </w:tcPr>
          <w:p w14:paraId="7B680347" w14:textId="77777777" w:rsidR="00E77839" w:rsidRPr="00331039" w:rsidRDefault="00E77839" w:rsidP="00E77839">
            <w:pPr>
              <w:jc w:val="center"/>
              <w:rPr>
                <w:color w:val="000000"/>
                <w:sz w:val="20"/>
                <w:szCs w:val="20"/>
              </w:rPr>
            </w:pPr>
            <w:r w:rsidRPr="00331039">
              <w:rPr>
                <w:color w:val="000000"/>
                <w:sz w:val="20"/>
                <w:szCs w:val="20"/>
              </w:rPr>
              <w:t>■■</w:t>
            </w:r>
          </w:p>
        </w:tc>
        <w:tc>
          <w:tcPr>
            <w:tcW w:w="850" w:type="dxa"/>
            <w:tcBorders>
              <w:top w:val="single" w:sz="4" w:space="0" w:color="000000" w:themeColor="text1"/>
              <w:left w:val="single" w:sz="4" w:space="0" w:color="000000" w:themeColor="text1"/>
              <w:bottom w:val="single" w:sz="4" w:space="0" w:color="000000" w:themeColor="text1"/>
            </w:tcBorders>
            <w:vAlign w:val="center"/>
          </w:tcPr>
          <w:p w14:paraId="6052A736" w14:textId="77777777" w:rsidR="00E77839" w:rsidRPr="00331039" w:rsidRDefault="00E77839" w:rsidP="00E77839">
            <w:pPr>
              <w:jc w:val="center"/>
              <w:rPr>
                <w:color w:val="000000"/>
                <w:sz w:val="20"/>
                <w:szCs w:val="20"/>
              </w:rPr>
            </w:pPr>
            <w:r w:rsidRPr="00331039">
              <w:rPr>
                <w:color w:val="000000"/>
                <w:sz w:val="20"/>
                <w:szCs w:val="20"/>
              </w:rPr>
              <w:t>□□</w:t>
            </w:r>
          </w:p>
        </w:tc>
        <w:tc>
          <w:tcPr>
            <w:tcW w:w="851" w:type="dxa"/>
            <w:tcBorders>
              <w:top w:val="single" w:sz="4" w:space="0" w:color="000000" w:themeColor="text1"/>
              <w:left w:val="nil"/>
              <w:bottom w:val="single" w:sz="4" w:space="0" w:color="000000" w:themeColor="text1"/>
            </w:tcBorders>
          </w:tcPr>
          <w:p w14:paraId="5DE5BC86" w14:textId="77777777" w:rsidR="00E77839" w:rsidRPr="00331039" w:rsidRDefault="00E77839" w:rsidP="00E77839">
            <w:pPr>
              <w:jc w:val="center"/>
              <w:rPr>
                <w:color w:val="000000"/>
                <w:sz w:val="20"/>
                <w:szCs w:val="20"/>
              </w:rPr>
            </w:pPr>
            <w:r w:rsidRPr="00331039">
              <w:rPr>
                <w:color w:val="000000"/>
                <w:sz w:val="20"/>
                <w:szCs w:val="20"/>
              </w:rPr>
              <w:t>■■</w:t>
            </w:r>
          </w:p>
        </w:tc>
      </w:tr>
      <w:tr w:rsidR="00E77839" w:rsidRPr="00B63DD5" w14:paraId="01E9C8AC" w14:textId="77777777" w:rsidTr="00E77839">
        <w:trPr>
          <w:trHeight w:val="259"/>
        </w:trPr>
        <w:tc>
          <w:tcPr>
            <w:tcW w:w="15026" w:type="dxa"/>
            <w:gridSpan w:val="9"/>
            <w:tcBorders>
              <w:top w:val="single" w:sz="4" w:space="0" w:color="000000" w:themeColor="text1"/>
              <w:left w:val="single" w:sz="4" w:space="0" w:color="000000" w:themeColor="text1"/>
              <w:bottom w:val="single" w:sz="4" w:space="0" w:color="000000" w:themeColor="text1"/>
            </w:tcBorders>
            <w:shd w:val="clear" w:color="auto" w:fill="F2F2F2" w:themeFill="background1" w:themeFillShade="F2"/>
          </w:tcPr>
          <w:p w14:paraId="75A2CEF0" w14:textId="77777777" w:rsidR="00E77839" w:rsidRPr="00331039" w:rsidRDefault="00E77839" w:rsidP="00E77839">
            <w:pPr>
              <w:jc w:val="both"/>
              <w:rPr>
                <w:b/>
                <w:color w:val="000000"/>
                <w:sz w:val="20"/>
                <w:szCs w:val="20"/>
              </w:rPr>
            </w:pPr>
            <w:r w:rsidRPr="00331039">
              <w:rPr>
                <w:b/>
                <w:color w:val="000000"/>
                <w:sz w:val="20"/>
                <w:szCs w:val="20"/>
              </w:rPr>
              <w:t>Outcome</w:t>
            </w:r>
          </w:p>
        </w:tc>
      </w:tr>
      <w:tr w:rsidR="00E77839" w:rsidRPr="00B63DD5" w14:paraId="5D7E4BEC" w14:textId="77777777" w:rsidTr="00E77839">
        <w:trPr>
          <w:trHeight w:val="259"/>
        </w:trPr>
        <w:tc>
          <w:tcPr>
            <w:tcW w:w="8789" w:type="dxa"/>
            <w:gridSpan w:val="2"/>
            <w:tcBorders>
              <w:top w:val="nil"/>
              <w:bottom w:val="nil"/>
            </w:tcBorders>
            <w:shd w:val="clear" w:color="auto" w:fill="auto"/>
            <w:noWrap/>
            <w:vAlign w:val="center"/>
            <w:hideMark/>
          </w:tcPr>
          <w:p w14:paraId="00C42F27" w14:textId="77777777" w:rsidR="00E77839" w:rsidRPr="00B63DD5" w:rsidRDefault="00E77839" w:rsidP="00E77839">
            <w:pPr>
              <w:spacing w:line="276" w:lineRule="auto"/>
              <w:jc w:val="both"/>
              <w:rPr>
                <w:color w:val="000000"/>
                <w:sz w:val="20"/>
                <w:szCs w:val="20"/>
              </w:rPr>
            </w:pPr>
            <w:r>
              <w:rPr>
                <w:color w:val="000000"/>
                <w:sz w:val="20"/>
                <w:szCs w:val="20"/>
              </w:rPr>
              <w:t>Outcome assessment</w:t>
            </w:r>
            <w:r w:rsidRPr="00B63DD5">
              <w:rPr>
                <w:color w:val="000000"/>
                <w:sz w:val="20"/>
                <w:szCs w:val="20"/>
              </w:rPr>
              <w:t xml:space="preserve"> through </w:t>
            </w:r>
            <w:r>
              <w:rPr>
                <w:color w:val="000000"/>
                <w:sz w:val="20"/>
                <w:szCs w:val="20"/>
              </w:rPr>
              <w:t>R</w:t>
            </w:r>
            <w:r w:rsidRPr="00B63DD5">
              <w:rPr>
                <w:color w:val="000000"/>
                <w:sz w:val="20"/>
                <w:szCs w:val="20"/>
              </w:rPr>
              <w:t>ecord linkage</w:t>
            </w:r>
            <w:r>
              <w:rPr>
                <w:color w:val="000000"/>
                <w:sz w:val="20"/>
                <w:szCs w:val="20"/>
              </w:rPr>
              <w:t xml:space="preserve"> [R]</w:t>
            </w:r>
            <w:r w:rsidRPr="00B63DD5">
              <w:rPr>
                <w:color w:val="000000"/>
                <w:sz w:val="20"/>
                <w:szCs w:val="20"/>
              </w:rPr>
              <w:t xml:space="preserve">, independent </w:t>
            </w:r>
            <w:r>
              <w:rPr>
                <w:color w:val="000000"/>
                <w:sz w:val="20"/>
                <w:szCs w:val="20"/>
              </w:rPr>
              <w:t>B</w:t>
            </w:r>
            <w:r w:rsidRPr="00B63DD5">
              <w:rPr>
                <w:color w:val="000000"/>
                <w:sz w:val="20"/>
                <w:szCs w:val="20"/>
              </w:rPr>
              <w:t xml:space="preserve">lind </w:t>
            </w:r>
            <w:r>
              <w:rPr>
                <w:color w:val="000000"/>
                <w:sz w:val="20"/>
                <w:szCs w:val="20"/>
              </w:rPr>
              <w:t>Assessment [BA/A]</w:t>
            </w:r>
            <w:r w:rsidRPr="00B63DD5">
              <w:rPr>
                <w:color w:val="000000"/>
                <w:sz w:val="20"/>
                <w:szCs w:val="20"/>
              </w:rPr>
              <w:t xml:space="preserve"> or self-report</w:t>
            </w:r>
            <w:r>
              <w:rPr>
                <w:color w:val="000000"/>
                <w:sz w:val="20"/>
                <w:szCs w:val="20"/>
              </w:rPr>
              <w:t xml:space="preserve"> [S]</w:t>
            </w:r>
          </w:p>
        </w:tc>
        <w:tc>
          <w:tcPr>
            <w:tcW w:w="850" w:type="dxa"/>
            <w:tcBorders>
              <w:top w:val="nil"/>
              <w:bottom w:val="nil"/>
            </w:tcBorders>
            <w:vAlign w:val="center"/>
          </w:tcPr>
          <w:p w14:paraId="01519549" w14:textId="77777777" w:rsidR="00E77839" w:rsidRPr="00331039" w:rsidRDefault="00E77839" w:rsidP="00E77839">
            <w:pPr>
              <w:jc w:val="center"/>
              <w:rPr>
                <w:color w:val="000000"/>
                <w:sz w:val="20"/>
                <w:szCs w:val="20"/>
              </w:rPr>
            </w:pPr>
            <w:proofErr w:type="gramStart"/>
            <w:r w:rsidRPr="00331039">
              <w:rPr>
                <w:color w:val="000000"/>
                <w:sz w:val="16"/>
                <w:szCs w:val="16"/>
              </w:rPr>
              <w:t>■  A</w:t>
            </w:r>
            <w:proofErr w:type="gramEnd"/>
            <w:r w:rsidRPr="00331039">
              <w:rPr>
                <w:color w:val="000000"/>
                <w:sz w:val="16"/>
                <w:szCs w:val="16"/>
                <w:vertAlign w:val="superscript"/>
              </w:rPr>
              <w:t>(a)</w:t>
            </w:r>
            <w:r>
              <w:rPr>
                <w:color w:val="000000"/>
                <w:sz w:val="16"/>
                <w:szCs w:val="16"/>
              </w:rPr>
              <w:t xml:space="preserve"> </w:t>
            </w:r>
            <w:r w:rsidRPr="00331039">
              <w:rPr>
                <w:color w:val="000000"/>
                <w:sz w:val="16"/>
                <w:szCs w:val="16"/>
              </w:rPr>
              <w:t>S</w:t>
            </w:r>
          </w:p>
        </w:tc>
        <w:tc>
          <w:tcPr>
            <w:tcW w:w="851" w:type="dxa"/>
            <w:tcBorders>
              <w:top w:val="nil"/>
              <w:bottom w:val="nil"/>
            </w:tcBorders>
            <w:vAlign w:val="center"/>
          </w:tcPr>
          <w:p w14:paraId="31D8B8C7" w14:textId="77777777" w:rsidR="00E77839" w:rsidRPr="00331039" w:rsidRDefault="00E77839" w:rsidP="00E77839">
            <w:pPr>
              <w:jc w:val="center"/>
              <w:rPr>
                <w:color w:val="000000"/>
                <w:sz w:val="20"/>
                <w:szCs w:val="20"/>
              </w:rPr>
            </w:pPr>
            <w:r w:rsidRPr="00331039">
              <w:rPr>
                <w:color w:val="000000"/>
                <w:sz w:val="16"/>
                <w:szCs w:val="16"/>
              </w:rPr>
              <w:t>■ A</w:t>
            </w:r>
            <w:r w:rsidRPr="00331039">
              <w:rPr>
                <w:color w:val="000000"/>
                <w:sz w:val="16"/>
                <w:szCs w:val="16"/>
                <w:vertAlign w:val="superscript"/>
              </w:rPr>
              <w:t>(a)</w:t>
            </w:r>
            <w:r>
              <w:rPr>
                <w:color w:val="000000"/>
                <w:sz w:val="16"/>
                <w:szCs w:val="16"/>
              </w:rPr>
              <w:t xml:space="preserve"> </w:t>
            </w:r>
            <w:r w:rsidRPr="00331039">
              <w:rPr>
                <w:color w:val="000000"/>
                <w:sz w:val="16"/>
                <w:szCs w:val="16"/>
              </w:rPr>
              <w:t>S</w:t>
            </w:r>
          </w:p>
        </w:tc>
        <w:tc>
          <w:tcPr>
            <w:tcW w:w="850" w:type="dxa"/>
            <w:tcBorders>
              <w:top w:val="nil"/>
              <w:bottom w:val="nil"/>
            </w:tcBorders>
            <w:vAlign w:val="center"/>
          </w:tcPr>
          <w:p w14:paraId="623577E6" w14:textId="77777777" w:rsidR="00E77839" w:rsidRPr="00331039" w:rsidRDefault="00E77839" w:rsidP="00E77839">
            <w:pPr>
              <w:jc w:val="center"/>
              <w:rPr>
                <w:color w:val="000000"/>
                <w:sz w:val="20"/>
                <w:szCs w:val="20"/>
              </w:rPr>
            </w:pPr>
            <w:r w:rsidRPr="00331039">
              <w:rPr>
                <w:color w:val="000000"/>
                <w:sz w:val="20"/>
                <w:szCs w:val="20"/>
              </w:rPr>
              <w:t>■</w:t>
            </w:r>
            <w:r>
              <w:rPr>
                <w:color w:val="000000"/>
                <w:sz w:val="20"/>
                <w:szCs w:val="20"/>
              </w:rPr>
              <w:t xml:space="preserve"> </w:t>
            </w:r>
            <w:r w:rsidRPr="00331039">
              <w:rPr>
                <w:color w:val="000000"/>
                <w:sz w:val="16"/>
                <w:szCs w:val="16"/>
              </w:rPr>
              <w:t>A</w:t>
            </w:r>
            <w:r w:rsidRPr="00331039">
              <w:rPr>
                <w:color w:val="000000"/>
                <w:sz w:val="16"/>
                <w:szCs w:val="16"/>
                <w:vertAlign w:val="superscript"/>
              </w:rPr>
              <w:t>(a)</w:t>
            </w:r>
          </w:p>
        </w:tc>
        <w:tc>
          <w:tcPr>
            <w:tcW w:w="993" w:type="dxa"/>
            <w:tcBorders>
              <w:top w:val="nil"/>
              <w:bottom w:val="nil"/>
            </w:tcBorders>
          </w:tcPr>
          <w:p w14:paraId="38459B28" w14:textId="77777777" w:rsidR="00E77839" w:rsidRPr="00331039" w:rsidRDefault="00E77839" w:rsidP="00E77839">
            <w:pPr>
              <w:jc w:val="center"/>
              <w:rPr>
                <w:color w:val="000000"/>
                <w:sz w:val="16"/>
                <w:szCs w:val="16"/>
              </w:rPr>
            </w:pPr>
            <w:r w:rsidRPr="00331039">
              <w:rPr>
                <w:color w:val="000000"/>
                <w:sz w:val="20"/>
                <w:szCs w:val="20"/>
              </w:rPr>
              <w:t xml:space="preserve">■ </w:t>
            </w:r>
            <w:r w:rsidRPr="00331039">
              <w:rPr>
                <w:color w:val="000000"/>
                <w:sz w:val="16"/>
                <w:szCs w:val="16"/>
              </w:rPr>
              <w:t>A</w:t>
            </w:r>
            <w:r w:rsidRPr="00331039">
              <w:rPr>
                <w:color w:val="000000"/>
                <w:sz w:val="16"/>
                <w:szCs w:val="16"/>
                <w:vertAlign w:val="superscript"/>
              </w:rPr>
              <w:t>(a)</w:t>
            </w:r>
            <w:r>
              <w:rPr>
                <w:color w:val="000000"/>
                <w:sz w:val="16"/>
                <w:szCs w:val="16"/>
              </w:rPr>
              <w:t xml:space="preserve"> </w:t>
            </w:r>
          </w:p>
        </w:tc>
        <w:tc>
          <w:tcPr>
            <w:tcW w:w="992" w:type="dxa"/>
            <w:tcBorders>
              <w:top w:val="nil"/>
              <w:bottom w:val="nil"/>
              <w:right w:val="single" w:sz="4" w:space="0" w:color="000000" w:themeColor="text1"/>
            </w:tcBorders>
          </w:tcPr>
          <w:p w14:paraId="615E16E2" w14:textId="77777777" w:rsidR="00E77839" w:rsidRPr="00331039" w:rsidRDefault="00E77839" w:rsidP="00E77839">
            <w:pPr>
              <w:jc w:val="center"/>
              <w:rPr>
                <w:b/>
                <w:bCs/>
                <w:color w:val="000000"/>
                <w:sz w:val="20"/>
                <w:szCs w:val="20"/>
              </w:rPr>
            </w:pPr>
            <w:r w:rsidRPr="00331039">
              <w:rPr>
                <w:color w:val="000000"/>
                <w:sz w:val="20"/>
                <w:szCs w:val="20"/>
              </w:rPr>
              <w:t xml:space="preserve">■ </w:t>
            </w:r>
            <w:r w:rsidRPr="00331039">
              <w:rPr>
                <w:color w:val="000000"/>
                <w:sz w:val="16"/>
                <w:szCs w:val="16"/>
              </w:rPr>
              <w:t>A</w:t>
            </w:r>
            <w:r w:rsidRPr="00331039">
              <w:rPr>
                <w:color w:val="000000"/>
                <w:sz w:val="16"/>
                <w:szCs w:val="16"/>
                <w:vertAlign w:val="superscript"/>
              </w:rPr>
              <w:t>(a)</w:t>
            </w:r>
            <w:r>
              <w:rPr>
                <w:color w:val="000000"/>
                <w:sz w:val="16"/>
                <w:szCs w:val="16"/>
              </w:rPr>
              <w:t xml:space="preserve"> </w:t>
            </w:r>
          </w:p>
        </w:tc>
        <w:tc>
          <w:tcPr>
            <w:tcW w:w="850" w:type="dxa"/>
            <w:tcBorders>
              <w:top w:val="nil"/>
              <w:left w:val="single" w:sz="4" w:space="0" w:color="000000" w:themeColor="text1"/>
              <w:bottom w:val="nil"/>
            </w:tcBorders>
            <w:vAlign w:val="center"/>
          </w:tcPr>
          <w:p w14:paraId="71A0D5A2" w14:textId="77777777" w:rsidR="00E77839" w:rsidRPr="00331039" w:rsidRDefault="00E77839" w:rsidP="00E77839">
            <w:pPr>
              <w:jc w:val="center"/>
              <w:rPr>
                <w:color w:val="000000"/>
                <w:sz w:val="20"/>
                <w:szCs w:val="20"/>
              </w:rPr>
            </w:pPr>
            <w:r w:rsidRPr="00331039">
              <w:rPr>
                <w:color w:val="000000"/>
                <w:sz w:val="20"/>
                <w:szCs w:val="20"/>
              </w:rPr>
              <w:t>--</w:t>
            </w:r>
          </w:p>
        </w:tc>
        <w:tc>
          <w:tcPr>
            <w:tcW w:w="851" w:type="dxa"/>
            <w:tcBorders>
              <w:top w:val="nil"/>
              <w:left w:val="nil"/>
              <w:bottom w:val="nil"/>
            </w:tcBorders>
          </w:tcPr>
          <w:p w14:paraId="42309985" w14:textId="77777777" w:rsidR="00E77839" w:rsidRPr="00331039" w:rsidRDefault="00E77839" w:rsidP="00E77839">
            <w:pPr>
              <w:jc w:val="center"/>
              <w:rPr>
                <w:color w:val="000000"/>
                <w:sz w:val="20"/>
                <w:szCs w:val="20"/>
              </w:rPr>
            </w:pPr>
            <w:r w:rsidRPr="00331039">
              <w:rPr>
                <w:color w:val="000000"/>
                <w:sz w:val="20"/>
                <w:szCs w:val="20"/>
              </w:rPr>
              <w:t xml:space="preserve">■ </w:t>
            </w:r>
            <w:r w:rsidRPr="00331039">
              <w:rPr>
                <w:color w:val="000000"/>
                <w:sz w:val="16"/>
                <w:szCs w:val="16"/>
              </w:rPr>
              <w:t>B</w:t>
            </w:r>
            <w:r>
              <w:rPr>
                <w:color w:val="000000"/>
                <w:sz w:val="16"/>
                <w:szCs w:val="16"/>
              </w:rPr>
              <w:t>A</w:t>
            </w:r>
          </w:p>
        </w:tc>
      </w:tr>
      <w:tr w:rsidR="00E77839" w:rsidRPr="00B63DD5" w14:paraId="6B5FDBDC" w14:textId="77777777" w:rsidTr="00E77839">
        <w:trPr>
          <w:trHeight w:val="259"/>
        </w:trPr>
        <w:tc>
          <w:tcPr>
            <w:tcW w:w="8789" w:type="dxa"/>
            <w:gridSpan w:val="2"/>
            <w:tcBorders>
              <w:top w:val="nil"/>
              <w:bottom w:val="nil"/>
            </w:tcBorders>
            <w:shd w:val="clear" w:color="auto" w:fill="auto"/>
            <w:vAlign w:val="center"/>
            <w:hideMark/>
          </w:tcPr>
          <w:p w14:paraId="513376F3" w14:textId="77777777" w:rsidR="00E77839" w:rsidRPr="00B63DD5" w:rsidRDefault="00E77839" w:rsidP="00E77839">
            <w:pPr>
              <w:spacing w:line="276" w:lineRule="auto"/>
              <w:jc w:val="both"/>
              <w:rPr>
                <w:color w:val="000000"/>
                <w:sz w:val="20"/>
                <w:szCs w:val="20"/>
              </w:rPr>
            </w:pPr>
            <w:r w:rsidRPr="00B63DD5">
              <w:rPr>
                <w:color w:val="000000"/>
                <w:sz w:val="20"/>
                <w:szCs w:val="20"/>
              </w:rPr>
              <w:t xml:space="preserve">Statistical analyses are clearly described and appropriate </w:t>
            </w:r>
          </w:p>
        </w:tc>
        <w:tc>
          <w:tcPr>
            <w:tcW w:w="850" w:type="dxa"/>
            <w:tcBorders>
              <w:top w:val="nil"/>
              <w:bottom w:val="nil"/>
            </w:tcBorders>
            <w:vAlign w:val="center"/>
          </w:tcPr>
          <w:p w14:paraId="3E67166E" w14:textId="77777777" w:rsidR="00E77839" w:rsidRPr="00331039" w:rsidRDefault="00E77839" w:rsidP="00E77839">
            <w:pPr>
              <w:jc w:val="center"/>
              <w:rPr>
                <w:color w:val="000000"/>
                <w:sz w:val="20"/>
                <w:szCs w:val="20"/>
              </w:rPr>
            </w:pPr>
            <w:r w:rsidRPr="00331039">
              <w:rPr>
                <w:color w:val="000000"/>
                <w:sz w:val="16"/>
                <w:szCs w:val="16"/>
              </w:rPr>
              <w:t>■</w:t>
            </w:r>
          </w:p>
        </w:tc>
        <w:tc>
          <w:tcPr>
            <w:tcW w:w="851" w:type="dxa"/>
            <w:tcBorders>
              <w:top w:val="nil"/>
              <w:bottom w:val="nil"/>
            </w:tcBorders>
            <w:vAlign w:val="center"/>
          </w:tcPr>
          <w:p w14:paraId="13D43EC0" w14:textId="77777777" w:rsidR="00E77839" w:rsidRPr="00331039" w:rsidRDefault="00E77839" w:rsidP="00E77839">
            <w:pPr>
              <w:jc w:val="center"/>
              <w:rPr>
                <w:color w:val="000000"/>
                <w:sz w:val="20"/>
                <w:szCs w:val="20"/>
              </w:rPr>
            </w:pPr>
            <w:r w:rsidRPr="00331039">
              <w:rPr>
                <w:color w:val="000000"/>
                <w:sz w:val="16"/>
                <w:szCs w:val="16"/>
              </w:rPr>
              <w:t>■</w:t>
            </w:r>
          </w:p>
        </w:tc>
        <w:tc>
          <w:tcPr>
            <w:tcW w:w="850" w:type="dxa"/>
            <w:tcBorders>
              <w:top w:val="nil"/>
              <w:bottom w:val="nil"/>
            </w:tcBorders>
            <w:vAlign w:val="center"/>
          </w:tcPr>
          <w:p w14:paraId="5077F57C" w14:textId="77777777" w:rsidR="00E77839" w:rsidRPr="00331039" w:rsidRDefault="00E77839" w:rsidP="00E77839">
            <w:pPr>
              <w:jc w:val="center"/>
              <w:rPr>
                <w:color w:val="000000"/>
                <w:sz w:val="20"/>
                <w:szCs w:val="20"/>
              </w:rPr>
            </w:pPr>
            <w:r w:rsidRPr="00331039">
              <w:rPr>
                <w:color w:val="000000"/>
                <w:sz w:val="16"/>
                <w:szCs w:val="16"/>
              </w:rPr>
              <w:t>■</w:t>
            </w:r>
          </w:p>
        </w:tc>
        <w:tc>
          <w:tcPr>
            <w:tcW w:w="993" w:type="dxa"/>
            <w:tcBorders>
              <w:top w:val="nil"/>
              <w:bottom w:val="nil"/>
            </w:tcBorders>
          </w:tcPr>
          <w:p w14:paraId="2511768E" w14:textId="77777777" w:rsidR="00E77839" w:rsidRPr="00331039" w:rsidRDefault="00E77839" w:rsidP="00E77839">
            <w:pPr>
              <w:jc w:val="center"/>
              <w:rPr>
                <w:color w:val="000000"/>
                <w:sz w:val="16"/>
                <w:szCs w:val="16"/>
              </w:rPr>
            </w:pPr>
            <w:r w:rsidRPr="00331039">
              <w:rPr>
                <w:color w:val="000000"/>
                <w:sz w:val="20"/>
                <w:szCs w:val="20"/>
              </w:rPr>
              <w:t>■</w:t>
            </w:r>
          </w:p>
        </w:tc>
        <w:tc>
          <w:tcPr>
            <w:tcW w:w="992" w:type="dxa"/>
            <w:tcBorders>
              <w:top w:val="nil"/>
              <w:bottom w:val="nil"/>
              <w:right w:val="single" w:sz="4" w:space="0" w:color="000000" w:themeColor="text1"/>
            </w:tcBorders>
            <w:vAlign w:val="center"/>
          </w:tcPr>
          <w:p w14:paraId="29FDFDA1" w14:textId="77777777" w:rsidR="00E77839" w:rsidRPr="00331039" w:rsidRDefault="00E77839" w:rsidP="00E77839">
            <w:pPr>
              <w:jc w:val="center"/>
              <w:rPr>
                <w:color w:val="000000"/>
                <w:sz w:val="20"/>
                <w:szCs w:val="20"/>
              </w:rPr>
            </w:pPr>
            <w:r w:rsidRPr="00331039">
              <w:rPr>
                <w:color w:val="000000"/>
                <w:sz w:val="20"/>
                <w:szCs w:val="20"/>
              </w:rPr>
              <w:t>■</w:t>
            </w:r>
          </w:p>
        </w:tc>
        <w:tc>
          <w:tcPr>
            <w:tcW w:w="850" w:type="dxa"/>
            <w:tcBorders>
              <w:top w:val="nil"/>
              <w:left w:val="single" w:sz="4" w:space="0" w:color="000000" w:themeColor="text1"/>
              <w:bottom w:val="nil"/>
            </w:tcBorders>
            <w:vAlign w:val="center"/>
          </w:tcPr>
          <w:p w14:paraId="0FF7CD60" w14:textId="77777777" w:rsidR="00E77839" w:rsidRPr="00331039" w:rsidRDefault="00E77839" w:rsidP="00E77839">
            <w:pPr>
              <w:jc w:val="center"/>
              <w:rPr>
                <w:color w:val="000000"/>
                <w:sz w:val="20"/>
                <w:szCs w:val="20"/>
              </w:rPr>
            </w:pPr>
            <w:r w:rsidRPr="00331039">
              <w:rPr>
                <w:color w:val="000000"/>
                <w:sz w:val="20"/>
                <w:szCs w:val="20"/>
              </w:rPr>
              <w:t>■</w:t>
            </w:r>
          </w:p>
        </w:tc>
        <w:tc>
          <w:tcPr>
            <w:tcW w:w="851" w:type="dxa"/>
            <w:tcBorders>
              <w:top w:val="nil"/>
              <w:left w:val="nil"/>
              <w:bottom w:val="nil"/>
            </w:tcBorders>
          </w:tcPr>
          <w:p w14:paraId="308EA515" w14:textId="77777777" w:rsidR="00E77839" w:rsidRPr="00331039" w:rsidRDefault="00E77839" w:rsidP="00E77839">
            <w:pPr>
              <w:jc w:val="center"/>
              <w:rPr>
                <w:color w:val="000000"/>
                <w:sz w:val="20"/>
                <w:szCs w:val="20"/>
              </w:rPr>
            </w:pPr>
            <w:r w:rsidRPr="00331039">
              <w:rPr>
                <w:color w:val="000000"/>
                <w:sz w:val="20"/>
                <w:szCs w:val="20"/>
              </w:rPr>
              <w:t>■</w:t>
            </w:r>
          </w:p>
        </w:tc>
      </w:tr>
      <w:tr w:rsidR="00E77839" w:rsidRPr="00B63DD5" w14:paraId="3FD90575" w14:textId="77777777" w:rsidTr="00E77839">
        <w:trPr>
          <w:trHeight w:val="259"/>
        </w:trPr>
        <w:tc>
          <w:tcPr>
            <w:tcW w:w="8789" w:type="dxa"/>
            <w:gridSpan w:val="2"/>
            <w:tcBorders>
              <w:top w:val="nil"/>
            </w:tcBorders>
            <w:shd w:val="clear" w:color="auto" w:fill="auto"/>
            <w:vAlign w:val="center"/>
          </w:tcPr>
          <w:p w14:paraId="578280D4" w14:textId="77777777" w:rsidR="00E77839" w:rsidRPr="00B63DD5" w:rsidRDefault="00E77839" w:rsidP="00E77839">
            <w:pPr>
              <w:spacing w:line="276" w:lineRule="auto"/>
              <w:jc w:val="both"/>
              <w:rPr>
                <w:color w:val="000000"/>
                <w:sz w:val="20"/>
                <w:szCs w:val="20"/>
              </w:rPr>
            </w:pPr>
            <w:proofErr w:type="spellStart"/>
            <w:r w:rsidRPr="00B63DD5">
              <w:rPr>
                <w:color w:val="000000"/>
                <w:sz w:val="20"/>
                <w:szCs w:val="20"/>
              </w:rPr>
              <w:t>MoA</w:t>
            </w:r>
            <w:proofErr w:type="spellEnd"/>
            <w:r w:rsidRPr="00B63DD5">
              <w:rPr>
                <w:color w:val="000000"/>
                <w:sz w:val="20"/>
                <w:szCs w:val="20"/>
              </w:rPr>
              <w:t xml:space="preserve"> is presented, including confidence intervals and the probability level (</w:t>
            </w:r>
            <w:r w:rsidRPr="00B63DD5">
              <w:rPr>
                <w:i/>
                <w:iCs/>
                <w:color w:val="000000"/>
                <w:sz w:val="20"/>
                <w:szCs w:val="20"/>
              </w:rPr>
              <w:t>P</w:t>
            </w:r>
            <w:r w:rsidRPr="00B63DD5">
              <w:rPr>
                <w:color w:val="000000"/>
                <w:sz w:val="20"/>
                <w:szCs w:val="20"/>
              </w:rPr>
              <w:t>-value)</w:t>
            </w:r>
          </w:p>
        </w:tc>
        <w:tc>
          <w:tcPr>
            <w:tcW w:w="850" w:type="dxa"/>
            <w:tcBorders>
              <w:top w:val="nil"/>
            </w:tcBorders>
            <w:vAlign w:val="center"/>
          </w:tcPr>
          <w:p w14:paraId="4495333C" w14:textId="77777777" w:rsidR="00E77839" w:rsidRPr="00331039" w:rsidRDefault="00E77839" w:rsidP="00E77839">
            <w:pPr>
              <w:jc w:val="center"/>
              <w:rPr>
                <w:color w:val="000000"/>
                <w:sz w:val="20"/>
                <w:szCs w:val="20"/>
              </w:rPr>
            </w:pPr>
            <w:r w:rsidRPr="00331039">
              <w:rPr>
                <w:color w:val="000000"/>
                <w:sz w:val="16"/>
                <w:szCs w:val="16"/>
              </w:rPr>
              <w:t>■</w:t>
            </w:r>
          </w:p>
        </w:tc>
        <w:tc>
          <w:tcPr>
            <w:tcW w:w="851" w:type="dxa"/>
            <w:tcBorders>
              <w:top w:val="nil"/>
            </w:tcBorders>
            <w:vAlign w:val="center"/>
          </w:tcPr>
          <w:p w14:paraId="2ADB660E" w14:textId="77777777" w:rsidR="00E77839" w:rsidRPr="00331039" w:rsidRDefault="00E77839" w:rsidP="00E77839">
            <w:pPr>
              <w:jc w:val="center"/>
              <w:rPr>
                <w:color w:val="000000"/>
                <w:sz w:val="20"/>
                <w:szCs w:val="20"/>
              </w:rPr>
            </w:pPr>
            <w:r w:rsidRPr="00331039">
              <w:rPr>
                <w:color w:val="000000"/>
                <w:sz w:val="16"/>
                <w:szCs w:val="16"/>
              </w:rPr>
              <w:t>■</w:t>
            </w:r>
          </w:p>
        </w:tc>
        <w:tc>
          <w:tcPr>
            <w:tcW w:w="850" w:type="dxa"/>
            <w:tcBorders>
              <w:top w:val="nil"/>
            </w:tcBorders>
            <w:vAlign w:val="center"/>
          </w:tcPr>
          <w:p w14:paraId="3DE6F815" w14:textId="77777777" w:rsidR="00E77839" w:rsidRPr="00331039" w:rsidRDefault="00E77839" w:rsidP="00E77839">
            <w:pPr>
              <w:jc w:val="center"/>
              <w:rPr>
                <w:color w:val="000000"/>
                <w:sz w:val="20"/>
                <w:szCs w:val="20"/>
              </w:rPr>
            </w:pPr>
            <w:r w:rsidRPr="00331039">
              <w:rPr>
                <w:color w:val="000000"/>
                <w:sz w:val="16"/>
                <w:szCs w:val="16"/>
              </w:rPr>
              <w:t>■</w:t>
            </w:r>
          </w:p>
        </w:tc>
        <w:tc>
          <w:tcPr>
            <w:tcW w:w="993" w:type="dxa"/>
            <w:tcBorders>
              <w:top w:val="nil"/>
            </w:tcBorders>
          </w:tcPr>
          <w:p w14:paraId="60C82507" w14:textId="77777777" w:rsidR="00E77839" w:rsidRPr="00331039" w:rsidRDefault="00E77839" w:rsidP="00E77839">
            <w:pPr>
              <w:jc w:val="center"/>
              <w:rPr>
                <w:color w:val="000000"/>
                <w:sz w:val="16"/>
                <w:szCs w:val="16"/>
              </w:rPr>
            </w:pPr>
            <w:r w:rsidRPr="00331039">
              <w:rPr>
                <w:color w:val="000000"/>
                <w:sz w:val="20"/>
                <w:szCs w:val="20"/>
              </w:rPr>
              <w:t>■</w:t>
            </w:r>
          </w:p>
        </w:tc>
        <w:tc>
          <w:tcPr>
            <w:tcW w:w="992" w:type="dxa"/>
            <w:tcBorders>
              <w:top w:val="nil"/>
              <w:right w:val="single" w:sz="4" w:space="0" w:color="000000" w:themeColor="text1"/>
            </w:tcBorders>
            <w:vAlign w:val="center"/>
          </w:tcPr>
          <w:p w14:paraId="794170DB" w14:textId="77777777" w:rsidR="00E77839" w:rsidRPr="00331039" w:rsidRDefault="00E77839" w:rsidP="00E77839">
            <w:pPr>
              <w:jc w:val="center"/>
              <w:rPr>
                <w:color w:val="000000"/>
                <w:sz w:val="20"/>
                <w:szCs w:val="20"/>
              </w:rPr>
            </w:pPr>
            <w:r w:rsidRPr="00331039">
              <w:rPr>
                <w:color w:val="000000"/>
                <w:sz w:val="20"/>
                <w:szCs w:val="20"/>
              </w:rPr>
              <w:t>■</w:t>
            </w:r>
          </w:p>
        </w:tc>
        <w:tc>
          <w:tcPr>
            <w:tcW w:w="850" w:type="dxa"/>
            <w:tcBorders>
              <w:top w:val="nil"/>
              <w:left w:val="single" w:sz="4" w:space="0" w:color="000000" w:themeColor="text1"/>
            </w:tcBorders>
            <w:vAlign w:val="center"/>
          </w:tcPr>
          <w:p w14:paraId="5E93704D" w14:textId="77777777" w:rsidR="00E77839" w:rsidRPr="00331039" w:rsidRDefault="00E77839" w:rsidP="00E77839">
            <w:pPr>
              <w:jc w:val="center"/>
              <w:rPr>
                <w:color w:val="000000"/>
                <w:sz w:val="20"/>
                <w:szCs w:val="20"/>
              </w:rPr>
            </w:pPr>
            <w:r w:rsidRPr="00331039">
              <w:rPr>
                <w:color w:val="000000"/>
                <w:sz w:val="20"/>
                <w:szCs w:val="20"/>
              </w:rPr>
              <w:t>■</w:t>
            </w:r>
          </w:p>
        </w:tc>
        <w:tc>
          <w:tcPr>
            <w:tcW w:w="851" w:type="dxa"/>
            <w:tcBorders>
              <w:top w:val="nil"/>
              <w:left w:val="nil"/>
            </w:tcBorders>
          </w:tcPr>
          <w:p w14:paraId="594825A5" w14:textId="77777777" w:rsidR="00E77839" w:rsidRPr="00331039" w:rsidRDefault="00E77839" w:rsidP="00E77839">
            <w:pPr>
              <w:jc w:val="center"/>
              <w:rPr>
                <w:color w:val="000000"/>
                <w:sz w:val="20"/>
                <w:szCs w:val="20"/>
              </w:rPr>
            </w:pPr>
            <w:r w:rsidRPr="00331039">
              <w:rPr>
                <w:color w:val="000000"/>
                <w:sz w:val="20"/>
                <w:szCs w:val="20"/>
              </w:rPr>
              <w:t>■</w:t>
            </w:r>
          </w:p>
        </w:tc>
      </w:tr>
    </w:tbl>
    <w:p w14:paraId="7E49078D" w14:textId="74CBB0AA" w:rsidR="00E330CD" w:rsidRDefault="00E330CD" w:rsidP="00E330CD">
      <w:pPr>
        <w:rPr>
          <w:b/>
          <w:bCs/>
          <w:i/>
          <w:iCs/>
          <w:sz w:val="20"/>
          <w:szCs w:val="20"/>
        </w:rPr>
      </w:pPr>
      <w:r w:rsidRPr="00624C25">
        <w:rPr>
          <w:b/>
          <w:bCs/>
          <w:i/>
          <w:iCs/>
          <w:sz w:val="20"/>
          <w:szCs w:val="20"/>
        </w:rPr>
        <w:t xml:space="preserve">See notes below. </w:t>
      </w:r>
    </w:p>
    <w:p w14:paraId="3270807F" w14:textId="77777777" w:rsidR="00E77839" w:rsidRPr="00624C25" w:rsidRDefault="00E77839" w:rsidP="00E330CD">
      <w:pPr>
        <w:rPr>
          <w:b/>
          <w:bCs/>
          <w:i/>
          <w:iCs/>
          <w:sz w:val="20"/>
          <w:szCs w:val="20"/>
        </w:rPr>
      </w:pPr>
    </w:p>
    <w:p w14:paraId="52B3B770" w14:textId="77777777" w:rsidR="00E330CD" w:rsidRDefault="00E330CD" w:rsidP="00E330CD"/>
    <w:p w14:paraId="53913042" w14:textId="12A21EAA" w:rsidR="00E330CD" w:rsidRDefault="00E330CD" w:rsidP="00455090">
      <w:pPr>
        <w:framePr w:hSpace="180" w:wrap="around" w:vAnchor="text" w:hAnchor="text" w:xAlign="center" w:y="1"/>
        <w:spacing w:line="360" w:lineRule="auto"/>
        <w:suppressOverlap/>
        <w:jc w:val="both"/>
        <w:rPr>
          <w:b/>
          <w:bCs/>
          <w:i/>
          <w:iCs/>
          <w:color w:val="000000"/>
          <w:sz w:val="20"/>
          <w:szCs w:val="20"/>
        </w:rPr>
      </w:pPr>
      <w:r w:rsidRPr="00F47146">
        <w:rPr>
          <w:b/>
          <w:bCs/>
          <w:i/>
          <w:iCs/>
          <w:color w:val="000000"/>
          <w:sz w:val="20"/>
          <w:szCs w:val="20"/>
        </w:rPr>
        <w:lastRenderedPageBreak/>
        <w:t xml:space="preserve">Notes: </w:t>
      </w:r>
      <w:r w:rsidRPr="00F47146">
        <w:rPr>
          <w:sz w:val="20"/>
          <w:szCs w:val="20"/>
        </w:rPr>
        <w:t xml:space="preserve"> To allow for the incorporation of the environment-gene-disease interaction in individual study quality assessment, methodological quality was assessed using study-design specific (cohort, case-control, cross-sectional) adapted versions of a combination between the quality assessment tool developed by Moon </w:t>
      </w:r>
      <w:r w:rsidRPr="00F47146">
        <w:rPr>
          <w:i/>
          <w:iCs/>
          <w:sz w:val="20"/>
          <w:szCs w:val="20"/>
        </w:rPr>
        <w:t>et al.</w:t>
      </w:r>
      <w:r w:rsidRPr="00F47146">
        <w:rPr>
          <w:sz w:val="20"/>
          <w:szCs w:val="20"/>
        </w:rPr>
        <w:t xml:space="preserve"> 2017</w:t>
      </w:r>
      <w:r w:rsidRPr="00F47146">
        <w:rPr>
          <w:sz w:val="20"/>
          <w:szCs w:val="20"/>
        </w:rPr>
        <w:fldChar w:fldCharType="begin" w:fldLock="1"/>
      </w:r>
      <w:r w:rsidR="009002E5">
        <w:rPr>
          <w:sz w:val="20"/>
          <w:szCs w:val="20"/>
        </w:rPr>
        <w:instrText>ADDIN CSL_CITATION {"citationItems":[{"id":"ITEM-1","itemData":{"DOI":"10.1093/ije/dyx202","ISSN":"0300-5771","author":[{"dropping-particle":"","family":"Moon","given":"Katherine A","non-dropping-particle":"","parse-names":false,"suffix":""},{"dropping-particle":"","family":"Oberoi","given":"Shilpi","non-dropping-particle":"","parse-names":false,"suffix":""},{"dropping-particle":"","family":"Barchowsky","given":"Aaron","non-dropping-particle":"","parse-names":false,"suffix":""},{"dropping-particle":"","family":"Chen","given":"Yu","non-dropping-particle":"","parse-names":false,"suffix":""},{"dropping-particle":"","family":"Guallar","given":"Eliseo","non-dropping-particle":"","parse-names":false,"suffix":""},{"dropping-particle":"","family":"Nachman","given":"Keeve E","non-dropping-particle":"","parse-names":false,"suffix":""},{"dropping-particle":"","family":"Rahman","given":"Mahfuzar","non-dropping-particle":"","parse-names":false,"suffix":""},{"dropping-particle":"","family":"Sohel","given":"Nazmul","non-dropping-particle":"","parse-names":false,"suffix":""},{"dropping-particle":"","family":"D’Ippoliti","given":"Daniela","non-dropping-particle":"","parse-names":false,"suffix":""},{"dropping-particle":"","family":"Wade","given":"Timothy J","non-dropping-particle":"","parse-names":false,"suffix":""},{"dropping-particle":"","family":"James","given":"Katherine A","non-dropping-particle":"","parse-names":false,"suffix":""},{"dropping-particle":"","family":"Farzan","given":"Shohreh F","non-dropping-particle":"","parse-names":false,"suffix":""},{"dropping-particle":"","family":"Karagas","given":"Margaret R","non-dropping-particle":"","parse-names":false,"suffix":""},{"dropping-particle":"","family":"Ahsan","given":"Habibul","non-dropping-particle":"","parse-names":false,"suffix":""},{"dropping-particle":"","family":"Navas-Acien","given":"Ana","non-dropping-particle":"","parse-names":false,"suffix":""}],"container-title":"International Journal of Epidemiology","id":"ITEM-1","issue":"6","issued":{"date-parts":[["2017","12","1"]]},"page":"1924-1939","publisher":"Narnia","title":"A dose-response meta-analysis of chronic arsenic exposure and incident cardiovascular disease","type":"article-journal","volume":"46"},"uris":["http://www.mendeley.com/documents/?uuid=17bca778-5217-3426-a435-117300709024"]}],"mendeley":{"formattedCitation":"&lt;sup&gt;7&lt;/sup&gt;","plainTextFormattedCitation":"7","previouslyFormattedCitation":"&lt;sup&gt;10&lt;/sup&gt;"},"properties":{"noteIndex":0},"schema":"https://github.com/citation-style-language/schema/raw/master/csl-citation.json"}</w:instrText>
      </w:r>
      <w:r w:rsidRPr="00F47146">
        <w:rPr>
          <w:sz w:val="20"/>
          <w:szCs w:val="20"/>
        </w:rPr>
        <w:fldChar w:fldCharType="separate"/>
      </w:r>
      <w:r w:rsidR="009002E5" w:rsidRPr="009002E5">
        <w:rPr>
          <w:noProof/>
          <w:sz w:val="20"/>
          <w:szCs w:val="20"/>
          <w:vertAlign w:val="superscript"/>
        </w:rPr>
        <w:t>7</w:t>
      </w:r>
      <w:r w:rsidRPr="00F47146">
        <w:rPr>
          <w:sz w:val="20"/>
          <w:szCs w:val="20"/>
        </w:rPr>
        <w:fldChar w:fldCharType="end"/>
      </w:r>
      <w:r w:rsidRPr="00F47146">
        <w:rPr>
          <w:sz w:val="20"/>
          <w:szCs w:val="20"/>
        </w:rPr>
        <w:t xml:space="preserve"> - based on the </w:t>
      </w:r>
      <w:r w:rsidRPr="00F47146">
        <w:rPr>
          <w:rFonts w:eastAsia="Calibri"/>
          <w:color w:val="000000" w:themeColor="text1"/>
          <w:sz w:val="20"/>
          <w:szCs w:val="20"/>
        </w:rPr>
        <w:t>Newcastle-Ottawa scale (NOS)</w:t>
      </w:r>
      <w:r w:rsidRPr="00F47146">
        <w:rPr>
          <w:rFonts w:eastAsia="Calibri"/>
          <w:color w:val="000000" w:themeColor="text1"/>
          <w:sz w:val="20"/>
          <w:szCs w:val="20"/>
        </w:rPr>
        <w:fldChar w:fldCharType="begin" w:fldLock="1"/>
      </w:r>
      <w:r w:rsidR="009002E5">
        <w:rPr>
          <w:rFonts w:eastAsia="Calibri"/>
          <w:color w:val="000000" w:themeColor="text1"/>
          <w:sz w:val="20"/>
          <w:szCs w:val="20"/>
        </w:rPr>
        <w:instrText>ADDIN CSL_CITATION {"citationItems":[{"id":"ITEM-1","itemData":{"author":[{"dropping-particle":"","family":"Wells","given":"GA","non-dropping-particle":"","parse-names":false,"suffix":""},{"dropping-particle":"","family":"Shea","given":"B","non-dropping-particle":"","parse-names":false,"suffix":""},{"dropping-particle":"","family":"O'Connell","given":"D","non-dropping-particle":"","parse-names":false,"suffix":""},{"dropping-particle":"","family":"Peterson","given":"J","non-dropping-particle":"","parse-names":false,"suffix":""},{"dropping-particle":"","family":"Welch","given":"V","non-dropping-particle":"","parse-names":false,"suffix":""},{"dropping-particle":"","family":"Losos","given":"M","non-dropping-particle":"","parse-names":false,"suffix":""},{"dropping-particle":"","family":"Tugwell","given":"P","non-dropping-particle":"","parse-names":false,"suffix":""}],"container-title":"OHRI","id":"ITEM-1","issued":{"date-parts":[["0"]]},"title":"The Newcastle-Ottawa Scale (NOS) for assessing the quality of nonrandomised studies in meta-analyses","type":"article-journal"},"uris":["http://www.mendeley.com/documents/?uuid=d5217e1d-c198-33d1-a65f-723c6baf54c1"]}],"mendeley":{"formattedCitation":"&lt;sup&gt;8&lt;/sup&gt;","plainTextFormattedCitation":"8","previouslyFormattedCitation":"&lt;sup&gt;11&lt;/sup&gt;"},"properties":{"noteIndex":0},"schema":"https://github.com/citation-style-language/schema/raw/master/csl-citation.json"}</w:instrText>
      </w:r>
      <w:r w:rsidRPr="00F47146">
        <w:rPr>
          <w:rFonts w:eastAsia="Calibri"/>
          <w:color w:val="000000" w:themeColor="text1"/>
          <w:sz w:val="20"/>
          <w:szCs w:val="20"/>
        </w:rPr>
        <w:fldChar w:fldCharType="separate"/>
      </w:r>
      <w:r w:rsidR="009002E5" w:rsidRPr="009002E5">
        <w:rPr>
          <w:rFonts w:eastAsia="Calibri"/>
          <w:noProof/>
          <w:color w:val="000000" w:themeColor="text1"/>
          <w:sz w:val="20"/>
          <w:szCs w:val="20"/>
          <w:vertAlign w:val="superscript"/>
        </w:rPr>
        <w:t>8</w:t>
      </w:r>
      <w:r w:rsidRPr="00F47146">
        <w:rPr>
          <w:rFonts w:eastAsia="Calibri"/>
          <w:color w:val="000000" w:themeColor="text1"/>
          <w:sz w:val="20"/>
          <w:szCs w:val="20"/>
        </w:rPr>
        <w:fldChar w:fldCharType="end"/>
      </w:r>
      <w:r w:rsidRPr="00F47146">
        <w:rPr>
          <w:rFonts w:eastAsia="Calibri"/>
          <w:color w:val="000000" w:themeColor="text1"/>
          <w:sz w:val="20"/>
          <w:szCs w:val="20"/>
        </w:rPr>
        <w:t xml:space="preserve"> – and the Q-genie tool for the quality assessment of genetic association studies.</w:t>
      </w:r>
      <w:r w:rsidRPr="00F47146">
        <w:rPr>
          <w:rFonts w:eastAsia="Calibri"/>
          <w:color w:val="000000" w:themeColor="text1"/>
          <w:sz w:val="20"/>
          <w:szCs w:val="20"/>
        </w:rPr>
        <w:fldChar w:fldCharType="begin" w:fldLock="1"/>
      </w:r>
      <w:r w:rsidR="009002E5">
        <w:rPr>
          <w:rFonts w:eastAsia="Calibri"/>
          <w:color w:val="000000" w:themeColor="text1"/>
          <w:sz w:val="20"/>
          <w:szCs w:val="20"/>
        </w:rPr>
        <w:instrText>ADDIN CSL_CITATION {"citationItems":[{"id":"ITEM-1","itemData":{"DOI":"10.1186/S12863-015-0211-2","ISSN":"14712156","PMID":"25975208","abstract":"Background: Advances in genomics technology have led to a dramatic increase in the number of published genetic association studies. Systematic reviews and meta-analyses are a common method of synthesizing findings and providing reliable estimates of the effect of a genetic variant on a trait of interest. However, summary estimates are subject to bias due to the varying methodological quality of individual studies. We embarked on an effort to develop and evaluate a tool that assesses the quality of published genetic association studies. Performance characteristics (i.e. validity, reliability, and item discrimination) were evaluated using a sample of thirty studies randomly selected from a previously conducted systematic review. Results: The tool demonstrates excellent psychometric properties and generates a quality score for each study with corresponding ratings of 'low', 'moderate', or 'high' quality. We applied our tool to a published systematic review to exclude studies of low quality, and found a decrease in heterogeneity and an increase in precision of summary estimates. Conclusion: This tool can be used in systematic reviews to inform the selection of studies for inclusion, to conduct sensitivity analyses, and to perform meta-regressions.","author":[{"dropping-particle":"","family":"Sohani","given":"Zahra N.","non-dropping-particle":"","parse-names":false,"suffix":""},{"dropping-particle":"","family":"Meyre","given":"David","non-dropping-particle":"","parse-names":false,"suffix":""},{"dropping-particle":"","family":"Souza","given":"Russell J.","non-dropping-particle":"de","parse-names":false,"suffix":""},{"dropping-particle":"","family":"Joseph","given":"Philip G.","non-dropping-particle":"","parse-names":false,"suffix":""},{"dropping-particle":"","family":"Gandhi","given":"Mandark","non-dropping-particle":"","parse-names":false,"suffix":""},{"dropping-particle":"","family":"Dennis","given":"Brittany B.","non-dropping-particle":"","parse-names":false,"suffix":""},{"dropping-particle":"","family":"Norman","given":"Geoff","non-dropping-particle":"","parse-names":false,"suffix":""},{"dropping-particle":"","family":"Anand","given":"Sonia S.","non-dropping-particle":"","parse-names":false,"suffix":""}],"container-title":"BMC Genetics","id":"ITEM-1","issue":"1","issued":{"date-parts":[["2015","5","15"]]},"publisher":"BioMed Central","title":"Assessing the quality of published genetic association studies in meta-analyses: the quality of genetic studies (Q-Genie) tool","type":"article-journal","volume":"16"},"uris":["http://www.mendeley.com/documents/?uuid=4c83c7b4-6062-3a2a-8180-d82d67173eaf"]}],"mendeley":{"formattedCitation":"&lt;sup&gt;9&lt;/sup&gt;","plainTextFormattedCitation":"9","previouslyFormattedCitation":"&lt;sup&gt;12&lt;/sup&gt;"},"properties":{"noteIndex":0},"schema":"https://github.com/citation-style-language/schema/raw/master/csl-citation.json"}</w:instrText>
      </w:r>
      <w:r w:rsidRPr="00F47146">
        <w:rPr>
          <w:rFonts w:eastAsia="Calibri"/>
          <w:color w:val="000000" w:themeColor="text1"/>
          <w:sz w:val="20"/>
          <w:szCs w:val="20"/>
        </w:rPr>
        <w:fldChar w:fldCharType="separate"/>
      </w:r>
      <w:r w:rsidR="009002E5" w:rsidRPr="009002E5">
        <w:rPr>
          <w:rFonts w:eastAsia="Calibri"/>
          <w:noProof/>
          <w:color w:val="000000" w:themeColor="text1"/>
          <w:sz w:val="20"/>
          <w:szCs w:val="20"/>
          <w:vertAlign w:val="superscript"/>
        </w:rPr>
        <w:t>9</w:t>
      </w:r>
      <w:r w:rsidRPr="00F47146">
        <w:rPr>
          <w:rFonts w:eastAsia="Calibri"/>
          <w:color w:val="000000" w:themeColor="text1"/>
          <w:sz w:val="20"/>
          <w:szCs w:val="20"/>
        </w:rPr>
        <w:fldChar w:fldCharType="end"/>
      </w:r>
      <w:r w:rsidRPr="00F47146">
        <w:rPr>
          <w:b/>
          <w:bCs/>
          <w:i/>
          <w:iCs/>
          <w:color w:val="000000"/>
          <w:sz w:val="20"/>
          <w:szCs w:val="20"/>
        </w:rPr>
        <w:t xml:space="preserve"> </w:t>
      </w:r>
    </w:p>
    <w:p w14:paraId="03F53563" w14:textId="77777777" w:rsidR="00E330CD" w:rsidRDefault="00E330CD" w:rsidP="00455090">
      <w:pPr>
        <w:framePr w:hSpace="180" w:wrap="around" w:vAnchor="text" w:hAnchor="text" w:xAlign="center" w:y="1"/>
        <w:spacing w:line="360" w:lineRule="auto"/>
        <w:suppressOverlap/>
        <w:jc w:val="both"/>
        <w:rPr>
          <w:b/>
          <w:bCs/>
          <w:i/>
          <w:iCs/>
          <w:color w:val="000000"/>
          <w:sz w:val="20"/>
          <w:szCs w:val="20"/>
        </w:rPr>
      </w:pPr>
    </w:p>
    <w:p w14:paraId="710DCF88" w14:textId="77777777" w:rsidR="00E330CD" w:rsidRPr="006B2C2F" w:rsidRDefault="00E330CD" w:rsidP="00455090">
      <w:pPr>
        <w:framePr w:hSpace="180" w:wrap="around" w:vAnchor="text" w:hAnchor="text" w:xAlign="center" w:y="1"/>
        <w:spacing w:line="360" w:lineRule="auto"/>
        <w:suppressOverlap/>
        <w:jc w:val="both"/>
        <w:rPr>
          <w:b/>
          <w:bCs/>
          <w:i/>
          <w:iCs/>
          <w:color w:val="000000"/>
          <w:sz w:val="20"/>
          <w:szCs w:val="20"/>
        </w:rPr>
      </w:pPr>
      <w:r w:rsidRPr="00F47146">
        <w:rPr>
          <w:color w:val="000000"/>
          <w:sz w:val="20"/>
          <w:szCs w:val="20"/>
        </w:rPr>
        <w:t>■ Indicates that the study fulfilled the corresponding quality criterion. □ Indicates that the study did not fulfil the corresponding quality criteri</w:t>
      </w:r>
      <w:r>
        <w:rPr>
          <w:color w:val="000000"/>
          <w:sz w:val="20"/>
          <w:szCs w:val="20"/>
        </w:rPr>
        <w:t>on</w:t>
      </w:r>
      <w:r w:rsidRPr="00F47146">
        <w:rPr>
          <w:color w:val="000000"/>
          <w:sz w:val="20"/>
          <w:szCs w:val="20"/>
        </w:rPr>
        <w:t>. -- Indicates that information on the corresponding quality criteri</w:t>
      </w:r>
      <w:r>
        <w:rPr>
          <w:color w:val="000000"/>
          <w:sz w:val="20"/>
          <w:szCs w:val="20"/>
        </w:rPr>
        <w:t>on</w:t>
      </w:r>
      <w:r w:rsidRPr="00F47146">
        <w:rPr>
          <w:color w:val="000000"/>
          <w:sz w:val="20"/>
          <w:szCs w:val="20"/>
        </w:rPr>
        <w:t xml:space="preserve"> is not clearly reported in the study. </w:t>
      </w:r>
    </w:p>
    <w:p w14:paraId="39DF99EE" w14:textId="77777777" w:rsidR="00E330CD" w:rsidRDefault="00E330CD" w:rsidP="00455090">
      <w:pPr>
        <w:framePr w:hSpace="180" w:wrap="around" w:vAnchor="text" w:hAnchor="text" w:xAlign="center" w:y="1"/>
        <w:spacing w:line="360" w:lineRule="auto"/>
        <w:suppressOverlap/>
        <w:jc w:val="both"/>
        <w:rPr>
          <w:color w:val="000000"/>
          <w:sz w:val="20"/>
          <w:szCs w:val="20"/>
        </w:rPr>
      </w:pPr>
    </w:p>
    <w:p w14:paraId="52210D29" w14:textId="409B18DB" w:rsidR="00E330CD" w:rsidRDefault="00E330CD" w:rsidP="00455090">
      <w:pPr>
        <w:spacing w:line="360" w:lineRule="auto"/>
        <w:jc w:val="both"/>
        <w:rPr>
          <w:sz w:val="20"/>
          <w:szCs w:val="20"/>
        </w:rPr>
      </w:pPr>
      <w:r w:rsidRPr="00F47146">
        <w:rPr>
          <w:color w:val="000000"/>
          <w:sz w:val="20"/>
          <w:szCs w:val="20"/>
        </w:rPr>
        <w:t>Except for the “</w:t>
      </w:r>
      <w:r w:rsidRPr="00F47146">
        <w:rPr>
          <w:i/>
          <w:iCs/>
          <w:color w:val="000000"/>
          <w:sz w:val="20"/>
          <w:szCs w:val="20"/>
        </w:rPr>
        <w:t>comparability</w:t>
      </w:r>
      <w:r w:rsidRPr="00F47146">
        <w:rPr>
          <w:color w:val="000000"/>
          <w:sz w:val="20"/>
          <w:szCs w:val="20"/>
        </w:rPr>
        <w:t>” section where studies could receive two squares, a maximum of a single square could be obtained per quality criterion.</w:t>
      </w:r>
      <w:r w:rsidRPr="00F47146">
        <w:rPr>
          <w:sz w:val="20"/>
          <w:szCs w:val="20"/>
        </w:rPr>
        <w:fldChar w:fldCharType="begin" w:fldLock="1"/>
      </w:r>
      <w:r w:rsidR="009002E5">
        <w:rPr>
          <w:sz w:val="20"/>
          <w:szCs w:val="20"/>
        </w:rPr>
        <w:instrText>ADDIN CSL_CITATION {"citationItems":[{"id":"ITEM-1","itemData":{"DOI":"10.1093/ije/dyx202","ISSN":"0300-5771","author":[{"dropping-particle":"","family":"Moon","given":"Katherine A","non-dropping-particle":"","parse-names":false,"suffix":""},{"dropping-particle":"","family":"Oberoi","given":"Shilpi","non-dropping-particle":"","parse-names":false,"suffix":""},{"dropping-particle":"","family":"Barchowsky","given":"Aaron","non-dropping-particle":"","parse-names":false,"suffix":""},{"dropping-particle":"","family":"Chen","given":"Yu","non-dropping-particle":"","parse-names":false,"suffix":""},{"dropping-particle":"","family":"Guallar","given":"Eliseo","non-dropping-particle":"","parse-names":false,"suffix":""},{"dropping-particle":"","family":"Nachman","given":"Keeve E","non-dropping-particle":"","parse-names":false,"suffix":""},{"dropping-particle":"","family":"Rahman","given":"Mahfuzar","non-dropping-particle":"","parse-names":false,"suffix":""},{"dropping-particle":"","family":"Sohel","given":"Nazmul","non-dropping-particle":"","parse-names":false,"suffix":""},{"dropping-particle":"","family":"D’Ippoliti","given":"Daniela","non-dropping-particle":"","parse-names":false,"suffix":""},{"dropping-particle":"","family":"Wade","given":"Timothy J","non-dropping-particle":"","parse-names":false,"suffix":""},{"dropping-particle":"","family":"James","given":"Katherine A","non-dropping-particle":"","parse-names":false,"suffix":""},{"dropping-particle":"","family":"Farzan","given":"Shohreh F","non-dropping-particle":"","parse-names":false,"suffix":""},{"dropping-particle":"","family":"Karagas","given":"Margaret R","non-dropping-particle":"","parse-names":false,"suffix":""},{"dropping-particle":"","family":"Ahsan","given":"Habibul","non-dropping-particle":"","parse-names":false,"suffix":""},{"dropping-particle":"","family":"Navas-Acien","given":"Ana","non-dropping-particle":"","parse-names":false,"suffix":""}],"container-title":"International Journal of Epidemiology","id":"ITEM-1","issue":"6","issued":{"date-parts":[["2017","12","1"]]},"page":"1924-1939","publisher":"Narnia","title":"A dose-response meta-analysis of chronic arsenic exposure and incident cardiovascular disease","type":"article-journal","volume":"46"},"uris":["http://www.mendeley.com/documents/?uuid=17bca778-5217-3426-a435-117300709024"]}],"mendeley":{"formattedCitation":"&lt;sup&gt;7&lt;/sup&gt;","plainTextFormattedCitation":"7","previouslyFormattedCitation":"&lt;sup&gt;10&lt;/sup&gt;"},"properties":{"noteIndex":0},"schema":"https://github.com/citation-style-language/schema/raw/master/csl-citation.json"}</w:instrText>
      </w:r>
      <w:r w:rsidRPr="00F47146">
        <w:rPr>
          <w:sz w:val="20"/>
          <w:szCs w:val="20"/>
        </w:rPr>
        <w:fldChar w:fldCharType="separate"/>
      </w:r>
      <w:r w:rsidR="009002E5" w:rsidRPr="009002E5">
        <w:rPr>
          <w:noProof/>
          <w:sz w:val="20"/>
          <w:szCs w:val="20"/>
          <w:vertAlign w:val="superscript"/>
        </w:rPr>
        <w:t>7</w:t>
      </w:r>
      <w:r w:rsidRPr="00F47146">
        <w:rPr>
          <w:sz w:val="20"/>
          <w:szCs w:val="20"/>
        </w:rPr>
        <w:fldChar w:fldCharType="end"/>
      </w:r>
      <w:r w:rsidRPr="00F47146">
        <w:rPr>
          <w:sz w:val="20"/>
          <w:szCs w:val="20"/>
        </w:rPr>
        <w:t xml:space="preserve"> </w:t>
      </w:r>
      <w:r w:rsidRPr="00F47146">
        <w:rPr>
          <w:color w:val="000000"/>
          <w:sz w:val="20"/>
          <w:szCs w:val="20"/>
        </w:rPr>
        <w:t xml:space="preserve"> In the “</w:t>
      </w:r>
      <w:r w:rsidRPr="00F47146">
        <w:rPr>
          <w:i/>
          <w:iCs/>
          <w:color w:val="000000"/>
          <w:sz w:val="20"/>
          <w:szCs w:val="20"/>
        </w:rPr>
        <w:t>comparability</w:t>
      </w:r>
      <w:r w:rsidRPr="00F47146">
        <w:rPr>
          <w:color w:val="000000"/>
          <w:sz w:val="20"/>
          <w:szCs w:val="20"/>
        </w:rPr>
        <w:t xml:space="preserve">” section one square is assigned when adjusting for age, sex, and education or socio-economic status. Two squares are assigned if the study further adjusted for further socio-demographic, and lifestyle factors (i.e., smoking, BMI). </w:t>
      </w:r>
      <w:r w:rsidRPr="00F47146">
        <w:rPr>
          <w:sz w:val="20"/>
          <w:szCs w:val="20"/>
        </w:rPr>
        <w:t>Note, when sample collection to assess arsenic exposure and health examination occurred at the same moment in time, physicians were considered inherently blinded to the exposure status of the individuals</w:t>
      </w:r>
      <w:r>
        <w:rPr>
          <w:sz w:val="20"/>
          <w:szCs w:val="20"/>
        </w:rPr>
        <w:t xml:space="preserve">. </w:t>
      </w:r>
    </w:p>
    <w:p w14:paraId="5902C598" w14:textId="77777777" w:rsidR="00E330CD" w:rsidRDefault="00E330CD" w:rsidP="00455090">
      <w:pPr>
        <w:spacing w:line="360" w:lineRule="auto"/>
        <w:jc w:val="both"/>
        <w:rPr>
          <w:sz w:val="20"/>
          <w:szCs w:val="20"/>
        </w:rPr>
      </w:pPr>
    </w:p>
    <w:p w14:paraId="5A63410B" w14:textId="77777777" w:rsidR="00E330CD" w:rsidRDefault="00E330CD" w:rsidP="00455090">
      <w:pPr>
        <w:spacing w:line="360" w:lineRule="auto"/>
        <w:jc w:val="both"/>
        <w:rPr>
          <w:sz w:val="20"/>
          <w:szCs w:val="20"/>
        </w:rPr>
      </w:pPr>
      <w:r>
        <w:rPr>
          <w:sz w:val="20"/>
          <w:szCs w:val="20"/>
        </w:rPr>
        <w:t xml:space="preserve">(a) </w:t>
      </w:r>
      <w:r w:rsidRPr="00A53780">
        <w:rPr>
          <w:sz w:val="20"/>
          <w:szCs w:val="20"/>
        </w:rPr>
        <w:t xml:space="preserve">Unclear whether </w:t>
      </w:r>
      <w:r>
        <w:rPr>
          <w:sz w:val="20"/>
          <w:szCs w:val="20"/>
        </w:rPr>
        <w:t xml:space="preserve">the </w:t>
      </w:r>
      <w:r w:rsidRPr="00A53780">
        <w:rPr>
          <w:sz w:val="20"/>
          <w:szCs w:val="20"/>
        </w:rPr>
        <w:t xml:space="preserve">independent assessor was blinded or not. </w:t>
      </w:r>
    </w:p>
    <w:p w14:paraId="2CC32142" w14:textId="77777777" w:rsidR="00E330CD" w:rsidRDefault="00E330CD" w:rsidP="00455090">
      <w:pPr>
        <w:spacing w:line="360" w:lineRule="auto"/>
        <w:jc w:val="both"/>
        <w:rPr>
          <w:sz w:val="20"/>
          <w:szCs w:val="20"/>
        </w:rPr>
      </w:pPr>
    </w:p>
    <w:p w14:paraId="54DFA7C8" w14:textId="77777777" w:rsidR="00E330CD" w:rsidRPr="00351238" w:rsidRDefault="00E330CD" w:rsidP="00455090">
      <w:pPr>
        <w:spacing w:line="360" w:lineRule="auto"/>
        <w:jc w:val="both"/>
        <w:rPr>
          <w:sz w:val="20"/>
          <w:szCs w:val="20"/>
        </w:rPr>
        <w:sectPr w:rsidR="00E330CD" w:rsidRPr="00351238" w:rsidSect="008E5EA4">
          <w:pgSz w:w="16838" w:h="11906" w:orient="landscape"/>
          <w:pgMar w:top="1440" w:right="1440" w:bottom="1440" w:left="1440" w:header="708" w:footer="708" w:gutter="0"/>
          <w:cols w:space="708"/>
          <w:docGrid w:linePitch="360"/>
        </w:sectPr>
      </w:pPr>
      <w:r>
        <w:rPr>
          <w:sz w:val="20"/>
          <w:szCs w:val="20"/>
        </w:rPr>
        <w:t xml:space="preserve">If a study was described in detail elsewhere and was referenced in the publication, this was used to provide answers to some of the questions. For </w:t>
      </w:r>
      <w:proofErr w:type="gramStart"/>
      <w:r>
        <w:rPr>
          <w:sz w:val="20"/>
          <w:szCs w:val="20"/>
        </w:rPr>
        <w:t>example;</w:t>
      </w:r>
      <w:proofErr w:type="gramEnd"/>
      <w:r>
        <w:rPr>
          <w:sz w:val="20"/>
          <w:szCs w:val="20"/>
        </w:rPr>
        <w:t xml:space="preserve"> (b) s</w:t>
      </w:r>
      <w:r w:rsidRPr="00A53780">
        <w:rPr>
          <w:sz w:val="20"/>
          <w:szCs w:val="20"/>
        </w:rPr>
        <w:t xml:space="preserve">ome of the information is based on the original description of the HEALS study as described by Ahsan </w:t>
      </w:r>
      <w:r w:rsidRPr="00A53780">
        <w:rPr>
          <w:i/>
          <w:iCs/>
          <w:sz w:val="20"/>
          <w:szCs w:val="20"/>
        </w:rPr>
        <w:t>et al.</w:t>
      </w:r>
      <w:r w:rsidRPr="00A53780">
        <w:rPr>
          <w:sz w:val="20"/>
          <w:szCs w:val="20"/>
        </w:rPr>
        <w:t xml:space="preserve"> 2006, </w:t>
      </w:r>
      <w:r>
        <w:rPr>
          <w:sz w:val="20"/>
          <w:szCs w:val="20"/>
        </w:rPr>
        <w:t xml:space="preserve">(c) </w:t>
      </w:r>
      <w:r w:rsidRPr="00A53780">
        <w:rPr>
          <w:sz w:val="20"/>
          <w:szCs w:val="20"/>
        </w:rPr>
        <w:t xml:space="preserve">the </w:t>
      </w:r>
      <w:proofErr w:type="spellStart"/>
      <w:r w:rsidRPr="00A53780">
        <w:rPr>
          <w:sz w:val="20"/>
          <w:szCs w:val="20"/>
        </w:rPr>
        <w:t>Hortega</w:t>
      </w:r>
      <w:proofErr w:type="spellEnd"/>
      <w:r w:rsidRPr="00A53780">
        <w:rPr>
          <w:sz w:val="20"/>
          <w:szCs w:val="20"/>
        </w:rPr>
        <w:t xml:space="preserve"> cohort as described by Mena-Martin </w:t>
      </w:r>
      <w:r w:rsidRPr="00A53780">
        <w:rPr>
          <w:i/>
          <w:iCs/>
          <w:sz w:val="20"/>
          <w:szCs w:val="20"/>
        </w:rPr>
        <w:t>et al.</w:t>
      </w:r>
      <w:r w:rsidRPr="00A53780">
        <w:rPr>
          <w:sz w:val="20"/>
          <w:szCs w:val="20"/>
        </w:rPr>
        <w:t xml:space="preserve"> 2003, (d) </w:t>
      </w:r>
      <w:r>
        <w:rPr>
          <w:sz w:val="20"/>
          <w:szCs w:val="20"/>
        </w:rPr>
        <w:t xml:space="preserve">the cross-sectional study of pregnant women described by </w:t>
      </w:r>
      <w:r w:rsidRPr="00A53780">
        <w:rPr>
          <w:sz w:val="20"/>
          <w:szCs w:val="20"/>
        </w:rPr>
        <w:t xml:space="preserve">Li </w:t>
      </w:r>
      <w:r w:rsidRPr="00A53780">
        <w:rPr>
          <w:i/>
          <w:iCs/>
          <w:sz w:val="20"/>
          <w:szCs w:val="20"/>
        </w:rPr>
        <w:t>et al</w:t>
      </w:r>
      <w:r w:rsidRPr="00A53780">
        <w:rPr>
          <w:sz w:val="20"/>
          <w:szCs w:val="20"/>
        </w:rPr>
        <w:t>. 2019,</w:t>
      </w:r>
      <w:r>
        <w:rPr>
          <w:sz w:val="20"/>
          <w:szCs w:val="20"/>
        </w:rPr>
        <w:t xml:space="preserve"> (e) the study described by Del Razo</w:t>
      </w:r>
      <w:r w:rsidRPr="00331039">
        <w:rPr>
          <w:i/>
          <w:iCs/>
          <w:sz w:val="20"/>
          <w:szCs w:val="20"/>
        </w:rPr>
        <w:t xml:space="preserve"> et al.</w:t>
      </w:r>
      <w:r>
        <w:rPr>
          <w:sz w:val="20"/>
          <w:szCs w:val="20"/>
        </w:rPr>
        <w:t xml:space="preserve"> 2011</w:t>
      </w:r>
    </w:p>
    <w:p w14:paraId="42F9688F" w14:textId="77777777" w:rsidR="00455090" w:rsidRDefault="00455090" w:rsidP="00455090">
      <w:pPr>
        <w:rPr>
          <w:b/>
          <w:bCs/>
          <w:sz w:val="22"/>
          <w:szCs w:val="22"/>
        </w:rPr>
      </w:pPr>
      <w:r w:rsidRPr="00FF7F8E">
        <w:rPr>
          <w:b/>
          <w:bCs/>
          <w:sz w:val="22"/>
          <w:szCs w:val="22"/>
        </w:rPr>
        <w:lastRenderedPageBreak/>
        <w:t>References</w:t>
      </w:r>
    </w:p>
    <w:p w14:paraId="70495E51" w14:textId="437D7076" w:rsidR="009002E5" w:rsidRPr="009002E5" w:rsidRDefault="00675089" w:rsidP="009002E5">
      <w:pPr>
        <w:widowControl w:val="0"/>
        <w:autoSpaceDE w:val="0"/>
        <w:autoSpaceDN w:val="0"/>
        <w:adjustRightInd w:val="0"/>
        <w:ind w:left="640" w:hanging="640"/>
        <w:rPr>
          <w:noProof/>
          <w:sz w:val="22"/>
        </w:rPr>
      </w:pPr>
      <w:r w:rsidRPr="00AA421C">
        <w:rPr>
          <w:b/>
          <w:bCs/>
          <w:sz w:val="22"/>
          <w:szCs w:val="22"/>
        </w:rPr>
        <w:fldChar w:fldCharType="begin" w:fldLock="1"/>
      </w:r>
      <w:r w:rsidRPr="00AA421C">
        <w:rPr>
          <w:b/>
          <w:bCs/>
          <w:sz w:val="22"/>
          <w:szCs w:val="22"/>
        </w:rPr>
        <w:instrText xml:space="preserve">ADDIN Mendeley Bibliography CSL_BIBLIOGRAPHY </w:instrText>
      </w:r>
      <w:r w:rsidRPr="00AA421C">
        <w:rPr>
          <w:b/>
          <w:bCs/>
          <w:sz w:val="22"/>
          <w:szCs w:val="22"/>
        </w:rPr>
        <w:fldChar w:fldCharType="separate"/>
      </w:r>
      <w:r w:rsidR="009002E5" w:rsidRPr="009002E5">
        <w:rPr>
          <w:noProof/>
          <w:sz w:val="22"/>
        </w:rPr>
        <w:t>1</w:t>
      </w:r>
      <w:r w:rsidR="009002E5" w:rsidRPr="009002E5">
        <w:rPr>
          <w:noProof/>
          <w:sz w:val="22"/>
        </w:rPr>
        <w:tab/>
        <w:t xml:space="preserve">Chen JW, Wang SL, Wang YH, </w:t>
      </w:r>
      <w:r w:rsidR="009002E5" w:rsidRPr="009002E5">
        <w:rPr>
          <w:i/>
          <w:iCs/>
          <w:noProof/>
          <w:sz w:val="22"/>
        </w:rPr>
        <w:t>et al.</w:t>
      </w:r>
      <w:r w:rsidR="009002E5" w:rsidRPr="009002E5">
        <w:rPr>
          <w:noProof/>
          <w:sz w:val="22"/>
        </w:rPr>
        <w:t xml:space="preserve"> Arsenic methylation, GSTO1 polymorphisms, and metabolic syndrome in an arseniasis endemic area of southwestern Taiwan. </w:t>
      </w:r>
      <w:r w:rsidR="009002E5" w:rsidRPr="009002E5">
        <w:rPr>
          <w:i/>
          <w:iCs/>
          <w:noProof/>
          <w:sz w:val="22"/>
        </w:rPr>
        <w:t>Chemosphere</w:t>
      </w:r>
      <w:r w:rsidR="009002E5" w:rsidRPr="009002E5">
        <w:rPr>
          <w:noProof/>
          <w:sz w:val="22"/>
        </w:rPr>
        <w:t xml:space="preserve"> 2012; </w:t>
      </w:r>
      <w:r w:rsidR="009002E5" w:rsidRPr="009002E5">
        <w:rPr>
          <w:b/>
          <w:bCs/>
          <w:noProof/>
          <w:sz w:val="22"/>
        </w:rPr>
        <w:t>88</w:t>
      </w:r>
      <w:r w:rsidR="009002E5" w:rsidRPr="009002E5">
        <w:rPr>
          <w:noProof/>
          <w:sz w:val="22"/>
        </w:rPr>
        <w:t>: 432–8.</w:t>
      </w:r>
    </w:p>
    <w:p w14:paraId="49B436E5" w14:textId="77777777" w:rsidR="009002E5" w:rsidRPr="009002E5" w:rsidRDefault="009002E5" w:rsidP="009002E5">
      <w:pPr>
        <w:widowControl w:val="0"/>
        <w:autoSpaceDE w:val="0"/>
        <w:autoSpaceDN w:val="0"/>
        <w:adjustRightInd w:val="0"/>
        <w:ind w:left="640" w:hanging="640"/>
        <w:rPr>
          <w:noProof/>
          <w:sz w:val="22"/>
        </w:rPr>
      </w:pPr>
      <w:r w:rsidRPr="009002E5">
        <w:rPr>
          <w:noProof/>
          <w:sz w:val="22"/>
        </w:rPr>
        <w:t>2</w:t>
      </w:r>
      <w:r w:rsidRPr="009002E5">
        <w:rPr>
          <w:noProof/>
          <w:sz w:val="22"/>
        </w:rPr>
        <w:tab/>
        <w:t xml:space="preserve">Farzan SF, Karagas MR, Jiang J, </w:t>
      </w:r>
      <w:r w:rsidRPr="009002E5">
        <w:rPr>
          <w:i/>
          <w:iCs/>
          <w:noProof/>
          <w:sz w:val="22"/>
        </w:rPr>
        <w:t>et al.</w:t>
      </w:r>
      <w:r w:rsidRPr="009002E5">
        <w:rPr>
          <w:noProof/>
          <w:sz w:val="22"/>
        </w:rPr>
        <w:t xml:space="preserve"> Gene-arsenic interaction in longitudinal changes of blood pressure: Findings from the Health Effects of Arsenic Longitudinal Study (HEALS) in Bangladesh. </w:t>
      </w:r>
      <w:r w:rsidRPr="009002E5">
        <w:rPr>
          <w:i/>
          <w:iCs/>
          <w:noProof/>
          <w:sz w:val="22"/>
        </w:rPr>
        <w:t>Toxicol Appl Pharmacol</w:t>
      </w:r>
      <w:r w:rsidRPr="009002E5">
        <w:rPr>
          <w:noProof/>
          <w:sz w:val="22"/>
        </w:rPr>
        <w:t xml:space="preserve"> 2015; </w:t>
      </w:r>
      <w:r w:rsidRPr="009002E5">
        <w:rPr>
          <w:b/>
          <w:bCs/>
          <w:noProof/>
          <w:sz w:val="22"/>
        </w:rPr>
        <w:t>288</w:t>
      </w:r>
      <w:r w:rsidRPr="009002E5">
        <w:rPr>
          <w:noProof/>
          <w:sz w:val="22"/>
        </w:rPr>
        <w:t>: 95–105.</w:t>
      </w:r>
    </w:p>
    <w:p w14:paraId="21AAD792" w14:textId="77777777" w:rsidR="009002E5" w:rsidRPr="009002E5" w:rsidRDefault="009002E5" w:rsidP="009002E5">
      <w:pPr>
        <w:widowControl w:val="0"/>
        <w:autoSpaceDE w:val="0"/>
        <w:autoSpaceDN w:val="0"/>
        <w:adjustRightInd w:val="0"/>
        <w:ind w:left="640" w:hanging="640"/>
        <w:rPr>
          <w:noProof/>
          <w:sz w:val="22"/>
        </w:rPr>
      </w:pPr>
      <w:r w:rsidRPr="009002E5">
        <w:rPr>
          <w:noProof/>
          <w:sz w:val="22"/>
        </w:rPr>
        <w:t>3</w:t>
      </w:r>
      <w:r w:rsidRPr="009002E5">
        <w:rPr>
          <w:noProof/>
          <w:sz w:val="22"/>
        </w:rPr>
        <w:tab/>
        <w:t xml:space="preserve">Grau-Perez M, Kuo C-C, Gribble MO, </w:t>
      </w:r>
      <w:r w:rsidRPr="009002E5">
        <w:rPr>
          <w:i/>
          <w:iCs/>
          <w:noProof/>
          <w:sz w:val="22"/>
        </w:rPr>
        <w:t>et al.</w:t>
      </w:r>
      <w:r w:rsidRPr="009002E5">
        <w:rPr>
          <w:noProof/>
          <w:sz w:val="22"/>
        </w:rPr>
        <w:t xml:space="preserve"> Association of Low-Moderate Arsenic Exposure and Arsenic Metabolism with Incident Diabetes and Insulin Resistance in the Strong Heart Family Study. </w:t>
      </w:r>
      <w:r w:rsidRPr="009002E5">
        <w:rPr>
          <w:i/>
          <w:iCs/>
          <w:noProof/>
          <w:sz w:val="22"/>
        </w:rPr>
        <w:t>Environ Health Perspect</w:t>
      </w:r>
      <w:r w:rsidRPr="009002E5">
        <w:rPr>
          <w:noProof/>
          <w:sz w:val="22"/>
        </w:rPr>
        <w:t xml:space="preserve"> 2017; </w:t>
      </w:r>
      <w:r w:rsidRPr="009002E5">
        <w:rPr>
          <w:b/>
          <w:bCs/>
          <w:noProof/>
          <w:sz w:val="22"/>
        </w:rPr>
        <w:t>125</w:t>
      </w:r>
      <w:r w:rsidRPr="009002E5">
        <w:rPr>
          <w:noProof/>
          <w:sz w:val="22"/>
        </w:rPr>
        <w:t>. DOI:10.1289/EHP2566.</w:t>
      </w:r>
    </w:p>
    <w:p w14:paraId="321CB07D" w14:textId="77777777" w:rsidR="009002E5" w:rsidRPr="009002E5" w:rsidRDefault="009002E5" w:rsidP="009002E5">
      <w:pPr>
        <w:widowControl w:val="0"/>
        <w:autoSpaceDE w:val="0"/>
        <w:autoSpaceDN w:val="0"/>
        <w:adjustRightInd w:val="0"/>
        <w:ind w:left="640" w:hanging="640"/>
        <w:rPr>
          <w:noProof/>
          <w:sz w:val="22"/>
        </w:rPr>
      </w:pPr>
      <w:r w:rsidRPr="009002E5">
        <w:rPr>
          <w:noProof/>
          <w:sz w:val="22"/>
        </w:rPr>
        <w:t>4</w:t>
      </w:r>
      <w:r w:rsidRPr="009002E5">
        <w:rPr>
          <w:noProof/>
          <w:sz w:val="22"/>
        </w:rPr>
        <w:tab/>
        <w:t xml:space="preserve">Liao YT, Li WF, Chen CJ, </w:t>
      </w:r>
      <w:r w:rsidRPr="009002E5">
        <w:rPr>
          <w:i/>
          <w:iCs/>
          <w:noProof/>
          <w:sz w:val="22"/>
        </w:rPr>
        <w:t>et al.</w:t>
      </w:r>
      <w:r w:rsidRPr="009002E5">
        <w:rPr>
          <w:noProof/>
          <w:sz w:val="22"/>
        </w:rPr>
        <w:t xml:space="preserve"> Synergistic effect of polymorphisms of paraoxonase gene cluster and arsenic exposure on electrocardiogram abnormality. </w:t>
      </w:r>
      <w:r w:rsidRPr="009002E5">
        <w:rPr>
          <w:i/>
          <w:iCs/>
          <w:noProof/>
          <w:sz w:val="22"/>
        </w:rPr>
        <w:t>Toxicol Appl Pharmacol</w:t>
      </w:r>
      <w:r w:rsidRPr="009002E5">
        <w:rPr>
          <w:noProof/>
          <w:sz w:val="22"/>
        </w:rPr>
        <w:t xml:space="preserve"> 2009; </w:t>
      </w:r>
      <w:r w:rsidRPr="009002E5">
        <w:rPr>
          <w:b/>
          <w:bCs/>
          <w:noProof/>
          <w:sz w:val="22"/>
        </w:rPr>
        <w:t>239</w:t>
      </w:r>
      <w:r w:rsidRPr="009002E5">
        <w:rPr>
          <w:noProof/>
          <w:sz w:val="22"/>
        </w:rPr>
        <w:t>: 178–83.</w:t>
      </w:r>
    </w:p>
    <w:p w14:paraId="11AB8AF2" w14:textId="77777777" w:rsidR="009002E5" w:rsidRPr="009002E5" w:rsidRDefault="009002E5" w:rsidP="009002E5">
      <w:pPr>
        <w:widowControl w:val="0"/>
        <w:autoSpaceDE w:val="0"/>
        <w:autoSpaceDN w:val="0"/>
        <w:adjustRightInd w:val="0"/>
        <w:ind w:left="640" w:hanging="640"/>
        <w:rPr>
          <w:noProof/>
          <w:sz w:val="22"/>
        </w:rPr>
      </w:pPr>
      <w:r w:rsidRPr="009002E5">
        <w:rPr>
          <w:noProof/>
          <w:sz w:val="22"/>
        </w:rPr>
        <w:t>5</w:t>
      </w:r>
      <w:r w:rsidRPr="009002E5">
        <w:rPr>
          <w:noProof/>
          <w:sz w:val="22"/>
        </w:rPr>
        <w:tab/>
        <w:t xml:space="preserve">Pan WC, Kile ML, Seow WJ, </w:t>
      </w:r>
      <w:r w:rsidRPr="009002E5">
        <w:rPr>
          <w:i/>
          <w:iCs/>
          <w:noProof/>
          <w:sz w:val="22"/>
        </w:rPr>
        <w:t>et al.</w:t>
      </w:r>
      <w:r w:rsidRPr="009002E5">
        <w:rPr>
          <w:noProof/>
          <w:sz w:val="22"/>
        </w:rPr>
        <w:t xml:space="preserve"> Genetic susceptible locus in NOTCH2 interacts with arsenic in drinking water on risk of type 2 diabetes. </w:t>
      </w:r>
      <w:r w:rsidRPr="009002E5">
        <w:rPr>
          <w:i/>
          <w:iCs/>
          <w:noProof/>
          <w:sz w:val="22"/>
        </w:rPr>
        <w:t>PLoS One</w:t>
      </w:r>
      <w:r w:rsidRPr="009002E5">
        <w:rPr>
          <w:noProof/>
          <w:sz w:val="22"/>
        </w:rPr>
        <w:t xml:space="preserve"> 2013; </w:t>
      </w:r>
      <w:r w:rsidRPr="009002E5">
        <w:rPr>
          <w:b/>
          <w:bCs/>
          <w:noProof/>
          <w:sz w:val="22"/>
        </w:rPr>
        <w:t>8</w:t>
      </w:r>
      <w:r w:rsidRPr="009002E5">
        <w:rPr>
          <w:noProof/>
          <w:sz w:val="22"/>
        </w:rPr>
        <w:t>: e70792.</w:t>
      </w:r>
    </w:p>
    <w:p w14:paraId="7CFE3017" w14:textId="77777777" w:rsidR="009002E5" w:rsidRPr="009002E5" w:rsidRDefault="009002E5" w:rsidP="009002E5">
      <w:pPr>
        <w:widowControl w:val="0"/>
        <w:autoSpaceDE w:val="0"/>
        <w:autoSpaceDN w:val="0"/>
        <w:adjustRightInd w:val="0"/>
        <w:ind w:left="640" w:hanging="640"/>
        <w:rPr>
          <w:noProof/>
          <w:sz w:val="22"/>
        </w:rPr>
      </w:pPr>
      <w:r w:rsidRPr="009002E5">
        <w:rPr>
          <w:noProof/>
          <w:sz w:val="22"/>
        </w:rPr>
        <w:t>6</w:t>
      </w:r>
      <w:r w:rsidRPr="009002E5">
        <w:rPr>
          <w:noProof/>
          <w:sz w:val="22"/>
        </w:rPr>
        <w:tab/>
        <w:t xml:space="preserve">Wu F, Jasmine F, Kibriya MG, </w:t>
      </w:r>
      <w:r w:rsidRPr="009002E5">
        <w:rPr>
          <w:i/>
          <w:iCs/>
          <w:noProof/>
          <w:sz w:val="22"/>
        </w:rPr>
        <w:t>et al.</w:t>
      </w:r>
      <w:r w:rsidRPr="009002E5">
        <w:rPr>
          <w:noProof/>
          <w:sz w:val="22"/>
        </w:rPr>
        <w:t xml:space="preserve"> Interaction between arsenic exposure from drinking water and genetic polymorphisms on cardiovascular disease in Bangladesh: A prospective case-cohort study. </w:t>
      </w:r>
      <w:r w:rsidRPr="009002E5">
        <w:rPr>
          <w:i/>
          <w:iCs/>
          <w:noProof/>
          <w:sz w:val="22"/>
        </w:rPr>
        <w:t>Environ Health Perspect</w:t>
      </w:r>
      <w:r w:rsidRPr="009002E5">
        <w:rPr>
          <w:noProof/>
          <w:sz w:val="22"/>
        </w:rPr>
        <w:t xml:space="preserve"> 2015; </w:t>
      </w:r>
      <w:r w:rsidRPr="009002E5">
        <w:rPr>
          <w:b/>
          <w:bCs/>
          <w:noProof/>
          <w:sz w:val="22"/>
        </w:rPr>
        <w:t>123</w:t>
      </w:r>
      <w:r w:rsidRPr="009002E5">
        <w:rPr>
          <w:noProof/>
          <w:sz w:val="22"/>
        </w:rPr>
        <w:t>: 451–7.</w:t>
      </w:r>
    </w:p>
    <w:p w14:paraId="3E87DBD1" w14:textId="77777777" w:rsidR="009002E5" w:rsidRPr="009002E5" w:rsidRDefault="009002E5" w:rsidP="009002E5">
      <w:pPr>
        <w:widowControl w:val="0"/>
        <w:autoSpaceDE w:val="0"/>
        <w:autoSpaceDN w:val="0"/>
        <w:adjustRightInd w:val="0"/>
        <w:ind w:left="640" w:hanging="640"/>
        <w:rPr>
          <w:noProof/>
          <w:sz w:val="22"/>
        </w:rPr>
      </w:pPr>
      <w:r w:rsidRPr="009002E5">
        <w:rPr>
          <w:noProof/>
          <w:sz w:val="22"/>
        </w:rPr>
        <w:t>7</w:t>
      </w:r>
      <w:r w:rsidRPr="009002E5">
        <w:rPr>
          <w:noProof/>
          <w:sz w:val="22"/>
        </w:rPr>
        <w:tab/>
        <w:t xml:space="preserve">Moon KA, Oberoi S, Barchowsky A, </w:t>
      </w:r>
      <w:r w:rsidRPr="009002E5">
        <w:rPr>
          <w:i/>
          <w:iCs/>
          <w:noProof/>
          <w:sz w:val="22"/>
        </w:rPr>
        <w:t>et al.</w:t>
      </w:r>
      <w:r w:rsidRPr="009002E5">
        <w:rPr>
          <w:noProof/>
          <w:sz w:val="22"/>
        </w:rPr>
        <w:t xml:space="preserve"> A dose-response meta-analysis of chronic arsenic exposure and incident cardiovascular disease. </w:t>
      </w:r>
      <w:r w:rsidRPr="009002E5">
        <w:rPr>
          <w:i/>
          <w:iCs/>
          <w:noProof/>
          <w:sz w:val="22"/>
        </w:rPr>
        <w:t>Int J Epidemiol</w:t>
      </w:r>
      <w:r w:rsidRPr="009002E5">
        <w:rPr>
          <w:noProof/>
          <w:sz w:val="22"/>
        </w:rPr>
        <w:t xml:space="preserve"> 2017; </w:t>
      </w:r>
      <w:r w:rsidRPr="009002E5">
        <w:rPr>
          <w:b/>
          <w:bCs/>
          <w:noProof/>
          <w:sz w:val="22"/>
        </w:rPr>
        <w:t>46</w:t>
      </w:r>
      <w:r w:rsidRPr="009002E5">
        <w:rPr>
          <w:noProof/>
          <w:sz w:val="22"/>
        </w:rPr>
        <w:t>: 1924–39.</w:t>
      </w:r>
    </w:p>
    <w:p w14:paraId="7D08A555" w14:textId="77777777" w:rsidR="009002E5" w:rsidRPr="009002E5" w:rsidRDefault="009002E5" w:rsidP="009002E5">
      <w:pPr>
        <w:widowControl w:val="0"/>
        <w:autoSpaceDE w:val="0"/>
        <w:autoSpaceDN w:val="0"/>
        <w:adjustRightInd w:val="0"/>
        <w:ind w:left="640" w:hanging="640"/>
        <w:rPr>
          <w:noProof/>
          <w:sz w:val="22"/>
        </w:rPr>
      </w:pPr>
      <w:r w:rsidRPr="009002E5">
        <w:rPr>
          <w:noProof/>
          <w:sz w:val="22"/>
        </w:rPr>
        <w:t>8</w:t>
      </w:r>
      <w:r w:rsidRPr="009002E5">
        <w:rPr>
          <w:noProof/>
          <w:sz w:val="22"/>
        </w:rPr>
        <w:tab/>
        <w:t xml:space="preserve">Wells G, Shea B, O’Connell D, </w:t>
      </w:r>
      <w:r w:rsidRPr="009002E5">
        <w:rPr>
          <w:i/>
          <w:iCs/>
          <w:noProof/>
          <w:sz w:val="22"/>
        </w:rPr>
        <w:t>et al.</w:t>
      </w:r>
      <w:r w:rsidRPr="009002E5">
        <w:rPr>
          <w:noProof/>
          <w:sz w:val="22"/>
        </w:rPr>
        <w:t xml:space="preserve"> The Newcastle-Ottawa Scale (NOS) for assessing the quality of nonrandomised studies in meta-analyses. </w:t>
      </w:r>
      <w:r w:rsidRPr="009002E5">
        <w:rPr>
          <w:i/>
          <w:iCs/>
          <w:noProof/>
          <w:sz w:val="22"/>
        </w:rPr>
        <w:t>OHRI</w:t>
      </w:r>
      <w:r w:rsidRPr="009002E5">
        <w:rPr>
          <w:noProof/>
          <w:sz w:val="22"/>
        </w:rPr>
        <w:t xml:space="preserve"> http://www.ohri.ca/programs/clinical_epidemiology/oxford.asp (accessed Aug 12, 2021).</w:t>
      </w:r>
    </w:p>
    <w:p w14:paraId="4FBBA7DD" w14:textId="77777777" w:rsidR="009002E5" w:rsidRPr="009002E5" w:rsidRDefault="009002E5" w:rsidP="009002E5">
      <w:pPr>
        <w:widowControl w:val="0"/>
        <w:autoSpaceDE w:val="0"/>
        <w:autoSpaceDN w:val="0"/>
        <w:adjustRightInd w:val="0"/>
        <w:ind w:left="640" w:hanging="640"/>
        <w:rPr>
          <w:noProof/>
          <w:sz w:val="22"/>
        </w:rPr>
      </w:pPr>
      <w:r w:rsidRPr="009002E5">
        <w:rPr>
          <w:noProof/>
          <w:sz w:val="22"/>
        </w:rPr>
        <w:t>9</w:t>
      </w:r>
      <w:r w:rsidRPr="009002E5">
        <w:rPr>
          <w:noProof/>
          <w:sz w:val="22"/>
        </w:rPr>
        <w:tab/>
        <w:t xml:space="preserve">Sohani ZN, Meyre D, de Souza RJ, </w:t>
      </w:r>
      <w:r w:rsidRPr="009002E5">
        <w:rPr>
          <w:i/>
          <w:iCs/>
          <w:noProof/>
          <w:sz w:val="22"/>
        </w:rPr>
        <w:t>et al.</w:t>
      </w:r>
      <w:r w:rsidRPr="009002E5">
        <w:rPr>
          <w:noProof/>
          <w:sz w:val="22"/>
        </w:rPr>
        <w:t xml:space="preserve"> Assessing the quality of published genetic association studies in meta-analyses: the quality of genetic studies (Q-Genie) tool. </w:t>
      </w:r>
      <w:r w:rsidRPr="009002E5">
        <w:rPr>
          <w:i/>
          <w:iCs/>
          <w:noProof/>
          <w:sz w:val="22"/>
        </w:rPr>
        <w:t>BMC Genet</w:t>
      </w:r>
      <w:r w:rsidRPr="009002E5">
        <w:rPr>
          <w:noProof/>
          <w:sz w:val="22"/>
        </w:rPr>
        <w:t xml:space="preserve"> 2015; </w:t>
      </w:r>
      <w:r w:rsidRPr="009002E5">
        <w:rPr>
          <w:b/>
          <w:bCs/>
          <w:noProof/>
          <w:sz w:val="22"/>
        </w:rPr>
        <w:t>16</w:t>
      </w:r>
      <w:r w:rsidRPr="009002E5">
        <w:rPr>
          <w:noProof/>
          <w:sz w:val="22"/>
        </w:rPr>
        <w:t>. DOI:10.1186/S12863-015-0211-2.</w:t>
      </w:r>
    </w:p>
    <w:p w14:paraId="6D239808" w14:textId="77777777" w:rsidR="009002E5" w:rsidRPr="009002E5" w:rsidRDefault="009002E5" w:rsidP="009002E5">
      <w:pPr>
        <w:widowControl w:val="0"/>
        <w:autoSpaceDE w:val="0"/>
        <w:autoSpaceDN w:val="0"/>
        <w:adjustRightInd w:val="0"/>
        <w:ind w:left="640" w:hanging="640"/>
        <w:rPr>
          <w:noProof/>
          <w:sz w:val="22"/>
        </w:rPr>
      </w:pPr>
      <w:r w:rsidRPr="009002E5">
        <w:rPr>
          <w:noProof/>
          <w:sz w:val="22"/>
        </w:rPr>
        <w:t>10</w:t>
      </w:r>
      <w:r w:rsidRPr="009002E5">
        <w:rPr>
          <w:noProof/>
          <w:sz w:val="22"/>
        </w:rPr>
        <w:tab/>
        <w:t xml:space="preserve">Fan C, Zhan Z, Zhang X, </w:t>
      </w:r>
      <w:r w:rsidRPr="009002E5">
        <w:rPr>
          <w:i/>
          <w:iCs/>
          <w:noProof/>
          <w:sz w:val="22"/>
        </w:rPr>
        <w:t>et al.</w:t>
      </w:r>
      <w:r w:rsidRPr="009002E5">
        <w:rPr>
          <w:noProof/>
          <w:sz w:val="22"/>
        </w:rPr>
        <w:t xml:space="preserve"> Research for type 2 diabetes mellitus in endemic arsenism areas in central China: role of low level of arsenic exposure and KEAP1 rs11545829 polymorphism. </w:t>
      </w:r>
      <w:r w:rsidRPr="009002E5">
        <w:rPr>
          <w:i/>
          <w:iCs/>
          <w:noProof/>
          <w:sz w:val="22"/>
        </w:rPr>
        <w:t>Arch Toxicol</w:t>
      </w:r>
      <w:r w:rsidRPr="009002E5">
        <w:rPr>
          <w:noProof/>
          <w:sz w:val="22"/>
        </w:rPr>
        <w:t xml:space="preserve"> 2022; </w:t>
      </w:r>
      <w:r w:rsidRPr="009002E5">
        <w:rPr>
          <w:b/>
          <w:bCs/>
          <w:noProof/>
          <w:sz w:val="22"/>
        </w:rPr>
        <w:t>96</w:t>
      </w:r>
      <w:r w:rsidRPr="009002E5">
        <w:rPr>
          <w:noProof/>
          <w:sz w:val="22"/>
        </w:rPr>
        <w:t>: 1673–83.</w:t>
      </w:r>
    </w:p>
    <w:p w14:paraId="098C6771" w14:textId="77777777" w:rsidR="009002E5" w:rsidRPr="009002E5" w:rsidRDefault="009002E5" w:rsidP="009002E5">
      <w:pPr>
        <w:widowControl w:val="0"/>
        <w:autoSpaceDE w:val="0"/>
        <w:autoSpaceDN w:val="0"/>
        <w:adjustRightInd w:val="0"/>
        <w:ind w:left="640" w:hanging="640"/>
        <w:rPr>
          <w:noProof/>
          <w:sz w:val="22"/>
        </w:rPr>
      </w:pPr>
      <w:r w:rsidRPr="009002E5">
        <w:rPr>
          <w:noProof/>
          <w:sz w:val="22"/>
        </w:rPr>
        <w:t>11</w:t>
      </w:r>
      <w:r w:rsidRPr="009002E5">
        <w:rPr>
          <w:noProof/>
          <w:sz w:val="22"/>
        </w:rPr>
        <w:tab/>
        <w:t>Hsieh Y-C, Hsieh F-I, Lien L-M, Chou Y-L, Chiou H-Y, Chen C-J. Risk of carotid atherosclerosis associated with genetic polymorphisms of apolipoprotein E and inflammatory genes among arsenic exposed residents in Taiwan. 2007. DOI:10.1016/j.taap.2007.10.013.</w:t>
      </w:r>
    </w:p>
    <w:p w14:paraId="6A69092E" w14:textId="77777777" w:rsidR="009002E5" w:rsidRPr="009002E5" w:rsidRDefault="009002E5" w:rsidP="009002E5">
      <w:pPr>
        <w:widowControl w:val="0"/>
        <w:autoSpaceDE w:val="0"/>
        <w:autoSpaceDN w:val="0"/>
        <w:adjustRightInd w:val="0"/>
        <w:ind w:left="640" w:hanging="640"/>
        <w:rPr>
          <w:noProof/>
          <w:sz w:val="22"/>
        </w:rPr>
      </w:pPr>
      <w:r w:rsidRPr="009002E5">
        <w:rPr>
          <w:noProof/>
          <w:sz w:val="22"/>
        </w:rPr>
        <w:t>12</w:t>
      </w:r>
      <w:r w:rsidRPr="009002E5">
        <w:rPr>
          <w:noProof/>
          <w:sz w:val="22"/>
        </w:rPr>
        <w:tab/>
        <w:t xml:space="preserve">Hsieh YC, Lien LM, Chung WT, </w:t>
      </w:r>
      <w:r w:rsidRPr="009002E5">
        <w:rPr>
          <w:i/>
          <w:iCs/>
          <w:noProof/>
          <w:sz w:val="22"/>
        </w:rPr>
        <w:t>et al.</w:t>
      </w:r>
      <w:r w:rsidRPr="009002E5">
        <w:rPr>
          <w:noProof/>
          <w:sz w:val="22"/>
        </w:rPr>
        <w:t xml:space="preserve"> Significantly increased risk of carotid atherosclerosis with arsenic exposure and polymorphisms in arsenic metabolism genes. </w:t>
      </w:r>
      <w:r w:rsidRPr="009002E5">
        <w:rPr>
          <w:i/>
          <w:iCs/>
          <w:noProof/>
          <w:sz w:val="22"/>
        </w:rPr>
        <w:t>Environ Res</w:t>
      </w:r>
      <w:r w:rsidRPr="009002E5">
        <w:rPr>
          <w:noProof/>
          <w:sz w:val="22"/>
        </w:rPr>
        <w:t xml:space="preserve"> 2011; </w:t>
      </w:r>
      <w:r w:rsidRPr="009002E5">
        <w:rPr>
          <w:b/>
          <w:bCs/>
          <w:noProof/>
          <w:sz w:val="22"/>
        </w:rPr>
        <w:t>111</w:t>
      </w:r>
      <w:r w:rsidRPr="009002E5">
        <w:rPr>
          <w:noProof/>
          <w:sz w:val="22"/>
        </w:rPr>
        <w:t>: 804–10.</w:t>
      </w:r>
    </w:p>
    <w:p w14:paraId="5A920D37" w14:textId="77777777" w:rsidR="009002E5" w:rsidRPr="009002E5" w:rsidRDefault="009002E5" w:rsidP="009002E5">
      <w:pPr>
        <w:widowControl w:val="0"/>
        <w:autoSpaceDE w:val="0"/>
        <w:autoSpaceDN w:val="0"/>
        <w:adjustRightInd w:val="0"/>
        <w:ind w:left="640" w:hanging="640"/>
        <w:rPr>
          <w:noProof/>
          <w:sz w:val="22"/>
        </w:rPr>
      </w:pPr>
      <w:r w:rsidRPr="009002E5">
        <w:rPr>
          <w:noProof/>
          <w:sz w:val="22"/>
        </w:rPr>
        <w:t>13</w:t>
      </w:r>
      <w:r w:rsidRPr="009002E5">
        <w:rPr>
          <w:noProof/>
          <w:sz w:val="22"/>
        </w:rPr>
        <w:tab/>
        <w:t xml:space="preserve">Hsueh YM, Lin PP, Chen HW, </w:t>
      </w:r>
      <w:r w:rsidRPr="009002E5">
        <w:rPr>
          <w:i/>
          <w:iCs/>
          <w:noProof/>
          <w:sz w:val="22"/>
        </w:rPr>
        <w:t>et al.</w:t>
      </w:r>
      <w:r w:rsidRPr="009002E5">
        <w:rPr>
          <w:noProof/>
          <w:sz w:val="22"/>
        </w:rPr>
        <w:t xml:space="preserve"> Genetic polymorphisms of oxidative and antioxidant enzymes and arsenic-related hypertension. </w:t>
      </w:r>
      <w:r w:rsidRPr="009002E5">
        <w:rPr>
          <w:i/>
          <w:iCs/>
          <w:noProof/>
          <w:sz w:val="22"/>
        </w:rPr>
        <w:t>J Toxicol Environ Heal - Part A</w:t>
      </w:r>
      <w:r w:rsidRPr="009002E5">
        <w:rPr>
          <w:noProof/>
          <w:sz w:val="22"/>
        </w:rPr>
        <w:t xml:space="preserve"> 2005; </w:t>
      </w:r>
      <w:r w:rsidRPr="009002E5">
        <w:rPr>
          <w:b/>
          <w:bCs/>
          <w:noProof/>
          <w:sz w:val="22"/>
        </w:rPr>
        <w:t>68</w:t>
      </w:r>
      <w:r w:rsidRPr="009002E5">
        <w:rPr>
          <w:noProof/>
          <w:sz w:val="22"/>
        </w:rPr>
        <w:t>: 1471–84.</w:t>
      </w:r>
    </w:p>
    <w:p w14:paraId="3011D936" w14:textId="77777777" w:rsidR="009002E5" w:rsidRPr="009002E5" w:rsidRDefault="009002E5" w:rsidP="009002E5">
      <w:pPr>
        <w:widowControl w:val="0"/>
        <w:autoSpaceDE w:val="0"/>
        <w:autoSpaceDN w:val="0"/>
        <w:adjustRightInd w:val="0"/>
        <w:ind w:left="640" w:hanging="640"/>
        <w:rPr>
          <w:noProof/>
          <w:sz w:val="22"/>
        </w:rPr>
      </w:pPr>
      <w:r w:rsidRPr="009002E5">
        <w:rPr>
          <w:noProof/>
          <w:sz w:val="22"/>
        </w:rPr>
        <w:t>14</w:t>
      </w:r>
      <w:r w:rsidRPr="009002E5">
        <w:rPr>
          <w:noProof/>
          <w:sz w:val="22"/>
        </w:rPr>
        <w:tab/>
        <w:t xml:space="preserve">Wang Y-H, Wu M-M, Hong C-T, </w:t>
      </w:r>
      <w:r w:rsidRPr="009002E5">
        <w:rPr>
          <w:i/>
          <w:iCs/>
          <w:noProof/>
          <w:sz w:val="22"/>
        </w:rPr>
        <w:t>et al.</w:t>
      </w:r>
      <w:r w:rsidRPr="009002E5">
        <w:rPr>
          <w:noProof/>
          <w:sz w:val="22"/>
        </w:rPr>
        <w:t xml:space="preserve"> Effects of arsenic exposure and genetic polymorphisms of p53, glutathione S-transferase M1, T1, and P1 on the risk of carotid atherosclerosis in Taiwan. </w:t>
      </w:r>
      <w:r w:rsidRPr="009002E5">
        <w:rPr>
          <w:i/>
          <w:iCs/>
          <w:noProof/>
          <w:sz w:val="22"/>
        </w:rPr>
        <w:t>Atherosclerosis</w:t>
      </w:r>
      <w:r w:rsidRPr="009002E5">
        <w:rPr>
          <w:noProof/>
          <w:sz w:val="22"/>
        </w:rPr>
        <w:t xml:space="preserve"> 2007; </w:t>
      </w:r>
      <w:r w:rsidRPr="009002E5">
        <w:rPr>
          <w:b/>
          <w:bCs/>
          <w:noProof/>
          <w:sz w:val="22"/>
        </w:rPr>
        <w:t>192</w:t>
      </w:r>
      <w:r w:rsidRPr="009002E5">
        <w:rPr>
          <w:noProof/>
          <w:sz w:val="22"/>
        </w:rPr>
        <w:t>: 305–12.</w:t>
      </w:r>
    </w:p>
    <w:p w14:paraId="37C6CB7A" w14:textId="77777777" w:rsidR="009002E5" w:rsidRPr="009002E5" w:rsidRDefault="009002E5" w:rsidP="009002E5">
      <w:pPr>
        <w:widowControl w:val="0"/>
        <w:autoSpaceDE w:val="0"/>
        <w:autoSpaceDN w:val="0"/>
        <w:adjustRightInd w:val="0"/>
        <w:ind w:left="640" w:hanging="640"/>
        <w:rPr>
          <w:noProof/>
          <w:sz w:val="22"/>
        </w:rPr>
      </w:pPr>
      <w:r w:rsidRPr="009002E5">
        <w:rPr>
          <w:noProof/>
          <w:sz w:val="22"/>
        </w:rPr>
        <w:t>15</w:t>
      </w:r>
      <w:r w:rsidRPr="009002E5">
        <w:rPr>
          <w:noProof/>
          <w:sz w:val="22"/>
        </w:rPr>
        <w:tab/>
        <w:t xml:space="preserve">Chen SC, Chen CC, Kuo CY, </w:t>
      </w:r>
      <w:r w:rsidRPr="009002E5">
        <w:rPr>
          <w:i/>
          <w:iCs/>
          <w:noProof/>
          <w:sz w:val="22"/>
        </w:rPr>
        <w:t>et al.</w:t>
      </w:r>
      <w:r w:rsidRPr="009002E5">
        <w:rPr>
          <w:noProof/>
          <w:sz w:val="22"/>
        </w:rPr>
        <w:t xml:space="preserve"> Elevated risk of hypertension induced by arsenic exposure in Taiwanese rural residents: possible effects of manganese superoxide dismutase (MnSOD) and 8-oxoguanine DNA glycosylase (OGG1) genes. </w:t>
      </w:r>
      <w:r w:rsidRPr="009002E5">
        <w:rPr>
          <w:i/>
          <w:iCs/>
          <w:noProof/>
          <w:sz w:val="22"/>
        </w:rPr>
        <w:t>Arch Toxicol</w:t>
      </w:r>
      <w:r w:rsidRPr="009002E5">
        <w:rPr>
          <w:noProof/>
          <w:sz w:val="22"/>
        </w:rPr>
        <w:t xml:space="preserve"> 2012; </w:t>
      </w:r>
      <w:r w:rsidRPr="009002E5">
        <w:rPr>
          <w:b/>
          <w:bCs/>
          <w:noProof/>
          <w:sz w:val="22"/>
        </w:rPr>
        <w:t>86</w:t>
      </w:r>
      <w:r w:rsidRPr="009002E5">
        <w:rPr>
          <w:noProof/>
          <w:sz w:val="22"/>
        </w:rPr>
        <w:t>: 869–78.</w:t>
      </w:r>
    </w:p>
    <w:p w14:paraId="6078DF82" w14:textId="77777777" w:rsidR="009002E5" w:rsidRPr="009002E5" w:rsidRDefault="009002E5" w:rsidP="009002E5">
      <w:pPr>
        <w:widowControl w:val="0"/>
        <w:autoSpaceDE w:val="0"/>
        <w:autoSpaceDN w:val="0"/>
        <w:adjustRightInd w:val="0"/>
        <w:ind w:left="640" w:hanging="640"/>
        <w:rPr>
          <w:noProof/>
          <w:sz w:val="22"/>
        </w:rPr>
      </w:pPr>
      <w:r w:rsidRPr="009002E5">
        <w:rPr>
          <w:noProof/>
          <w:sz w:val="22"/>
        </w:rPr>
        <w:t>16</w:t>
      </w:r>
      <w:r w:rsidRPr="009002E5">
        <w:rPr>
          <w:noProof/>
          <w:sz w:val="22"/>
        </w:rPr>
        <w:tab/>
        <w:t xml:space="preserve">Drobná Z, Del Razo LM, García-Vargas GG, </w:t>
      </w:r>
      <w:r w:rsidRPr="009002E5">
        <w:rPr>
          <w:i/>
          <w:iCs/>
          <w:noProof/>
          <w:sz w:val="22"/>
        </w:rPr>
        <w:t>et al.</w:t>
      </w:r>
      <w:r w:rsidRPr="009002E5">
        <w:rPr>
          <w:noProof/>
          <w:sz w:val="22"/>
        </w:rPr>
        <w:t xml:space="preserve"> Environmental exposure to arsenic, AS3MT polymorphism and prevalence of diabetes in Mexico. </w:t>
      </w:r>
      <w:r w:rsidRPr="009002E5">
        <w:rPr>
          <w:i/>
          <w:iCs/>
          <w:noProof/>
          <w:sz w:val="22"/>
        </w:rPr>
        <w:t>J Expo Sci Environ Epidemiol</w:t>
      </w:r>
      <w:r w:rsidRPr="009002E5">
        <w:rPr>
          <w:noProof/>
          <w:sz w:val="22"/>
        </w:rPr>
        <w:t xml:space="preserve"> 2013; </w:t>
      </w:r>
      <w:r w:rsidRPr="009002E5">
        <w:rPr>
          <w:b/>
          <w:bCs/>
          <w:noProof/>
          <w:sz w:val="22"/>
        </w:rPr>
        <w:t>23</w:t>
      </w:r>
      <w:r w:rsidRPr="009002E5">
        <w:rPr>
          <w:noProof/>
          <w:sz w:val="22"/>
        </w:rPr>
        <w:t>: 151–5.</w:t>
      </w:r>
    </w:p>
    <w:p w14:paraId="1823766A" w14:textId="77777777" w:rsidR="009002E5" w:rsidRPr="009002E5" w:rsidRDefault="009002E5" w:rsidP="009002E5">
      <w:pPr>
        <w:widowControl w:val="0"/>
        <w:autoSpaceDE w:val="0"/>
        <w:autoSpaceDN w:val="0"/>
        <w:adjustRightInd w:val="0"/>
        <w:ind w:left="640" w:hanging="640"/>
        <w:rPr>
          <w:noProof/>
          <w:sz w:val="22"/>
        </w:rPr>
      </w:pPr>
      <w:r w:rsidRPr="009002E5">
        <w:rPr>
          <w:noProof/>
          <w:sz w:val="22"/>
        </w:rPr>
        <w:t>17</w:t>
      </w:r>
      <w:r w:rsidRPr="009002E5">
        <w:rPr>
          <w:noProof/>
          <w:sz w:val="22"/>
        </w:rPr>
        <w:tab/>
        <w:t xml:space="preserve">Gao Y, Zhao Z, Yang L, </w:t>
      </w:r>
      <w:r w:rsidRPr="009002E5">
        <w:rPr>
          <w:i/>
          <w:iCs/>
          <w:noProof/>
          <w:sz w:val="22"/>
        </w:rPr>
        <w:t>et al.</w:t>
      </w:r>
      <w:r w:rsidRPr="009002E5">
        <w:rPr>
          <w:noProof/>
          <w:sz w:val="22"/>
        </w:rPr>
        <w:t xml:space="preserve"> Arsenic exposure assists ccm3 genetic polymorphism in elevating blood pressure. </w:t>
      </w:r>
      <w:r w:rsidRPr="009002E5">
        <w:rPr>
          <w:i/>
          <w:iCs/>
          <w:noProof/>
          <w:sz w:val="22"/>
        </w:rPr>
        <w:t>Oncotarget</w:t>
      </w:r>
      <w:r w:rsidRPr="009002E5">
        <w:rPr>
          <w:noProof/>
          <w:sz w:val="22"/>
        </w:rPr>
        <w:t xml:space="preserve"> 2018; </w:t>
      </w:r>
      <w:r w:rsidRPr="009002E5">
        <w:rPr>
          <w:b/>
          <w:bCs/>
          <w:noProof/>
          <w:sz w:val="22"/>
        </w:rPr>
        <w:t>9</w:t>
      </w:r>
      <w:r w:rsidRPr="009002E5">
        <w:rPr>
          <w:noProof/>
          <w:sz w:val="22"/>
        </w:rPr>
        <w:t>: 4915–23.</w:t>
      </w:r>
    </w:p>
    <w:p w14:paraId="23828179" w14:textId="77777777" w:rsidR="009002E5" w:rsidRPr="009002E5" w:rsidRDefault="009002E5" w:rsidP="009002E5">
      <w:pPr>
        <w:widowControl w:val="0"/>
        <w:autoSpaceDE w:val="0"/>
        <w:autoSpaceDN w:val="0"/>
        <w:adjustRightInd w:val="0"/>
        <w:ind w:left="640" w:hanging="640"/>
        <w:rPr>
          <w:noProof/>
          <w:sz w:val="22"/>
        </w:rPr>
      </w:pPr>
      <w:r w:rsidRPr="009002E5">
        <w:rPr>
          <w:noProof/>
          <w:sz w:val="22"/>
        </w:rPr>
        <w:t>18</w:t>
      </w:r>
      <w:r w:rsidRPr="009002E5">
        <w:rPr>
          <w:noProof/>
          <w:sz w:val="22"/>
        </w:rPr>
        <w:tab/>
        <w:t xml:space="preserve">Grau-Perez M, Navas-Acien A, Galan-Chilet I, </w:t>
      </w:r>
      <w:r w:rsidRPr="009002E5">
        <w:rPr>
          <w:i/>
          <w:iCs/>
          <w:noProof/>
          <w:sz w:val="22"/>
        </w:rPr>
        <w:t>et al.</w:t>
      </w:r>
      <w:r w:rsidRPr="009002E5">
        <w:rPr>
          <w:noProof/>
          <w:sz w:val="22"/>
        </w:rPr>
        <w:t xml:space="preserve"> Arsenic exposure, diabetes-related genes and diabetes prevalence in a general population from Spain. </w:t>
      </w:r>
      <w:r w:rsidRPr="009002E5">
        <w:rPr>
          <w:i/>
          <w:iCs/>
          <w:noProof/>
          <w:sz w:val="22"/>
        </w:rPr>
        <w:t>Environ Pollut</w:t>
      </w:r>
      <w:r w:rsidRPr="009002E5">
        <w:rPr>
          <w:noProof/>
          <w:sz w:val="22"/>
        </w:rPr>
        <w:t xml:space="preserve"> 2018; </w:t>
      </w:r>
      <w:r w:rsidRPr="009002E5">
        <w:rPr>
          <w:b/>
          <w:bCs/>
          <w:noProof/>
          <w:sz w:val="22"/>
        </w:rPr>
        <w:t>235</w:t>
      </w:r>
      <w:r w:rsidRPr="009002E5">
        <w:rPr>
          <w:noProof/>
          <w:sz w:val="22"/>
        </w:rPr>
        <w:t>: 948–55.</w:t>
      </w:r>
    </w:p>
    <w:p w14:paraId="60ADC4F0" w14:textId="77777777" w:rsidR="009002E5" w:rsidRPr="009002E5" w:rsidRDefault="009002E5" w:rsidP="009002E5">
      <w:pPr>
        <w:widowControl w:val="0"/>
        <w:autoSpaceDE w:val="0"/>
        <w:autoSpaceDN w:val="0"/>
        <w:adjustRightInd w:val="0"/>
        <w:ind w:left="640" w:hanging="640"/>
        <w:rPr>
          <w:noProof/>
          <w:sz w:val="22"/>
        </w:rPr>
      </w:pPr>
      <w:r w:rsidRPr="009002E5">
        <w:rPr>
          <w:noProof/>
          <w:sz w:val="22"/>
        </w:rPr>
        <w:t>19</w:t>
      </w:r>
      <w:r w:rsidRPr="009002E5">
        <w:rPr>
          <w:noProof/>
          <w:sz w:val="22"/>
        </w:rPr>
        <w:tab/>
        <w:t xml:space="preserve">Liang X, Guo G, Wang Y, </w:t>
      </w:r>
      <w:r w:rsidRPr="009002E5">
        <w:rPr>
          <w:i/>
          <w:iCs/>
          <w:noProof/>
          <w:sz w:val="22"/>
        </w:rPr>
        <w:t>et al.</w:t>
      </w:r>
      <w:r w:rsidRPr="009002E5">
        <w:rPr>
          <w:noProof/>
          <w:sz w:val="22"/>
        </w:rPr>
        <w:t xml:space="preserve"> Arsenic metabolism, N6AMT1 and AS3MT single nucleotide polymorphisms, and their interaction on gestational diabetes mellitus in Chinese pregnant women. </w:t>
      </w:r>
      <w:r w:rsidRPr="009002E5">
        <w:rPr>
          <w:i/>
          <w:iCs/>
          <w:noProof/>
          <w:sz w:val="22"/>
        </w:rPr>
        <w:t>Environ Res</w:t>
      </w:r>
      <w:r w:rsidRPr="009002E5">
        <w:rPr>
          <w:noProof/>
          <w:sz w:val="22"/>
        </w:rPr>
        <w:t xml:space="preserve"> 2023; </w:t>
      </w:r>
      <w:r w:rsidRPr="009002E5">
        <w:rPr>
          <w:b/>
          <w:bCs/>
          <w:noProof/>
          <w:sz w:val="22"/>
        </w:rPr>
        <w:t>221</w:t>
      </w:r>
      <w:r w:rsidRPr="009002E5">
        <w:rPr>
          <w:noProof/>
          <w:sz w:val="22"/>
        </w:rPr>
        <w:t>: 115331.</w:t>
      </w:r>
    </w:p>
    <w:p w14:paraId="05691E0E" w14:textId="77777777" w:rsidR="009002E5" w:rsidRPr="009002E5" w:rsidRDefault="009002E5" w:rsidP="009002E5">
      <w:pPr>
        <w:widowControl w:val="0"/>
        <w:autoSpaceDE w:val="0"/>
        <w:autoSpaceDN w:val="0"/>
        <w:adjustRightInd w:val="0"/>
        <w:ind w:left="640" w:hanging="640"/>
        <w:rPr>
          <w:noProof/>
          <w:sz w:val="22"/>
        </w:rPr>
      </w:pPr>
      <w:r w:rsidRPr="009002E5">
        <w:rPr>
          <w:noProof/>
          <w:sz w:val="22"/>
        </w:rPr>
        <w:lastRenderedPageBreak/>
        <w:t>20</w:t>
      </w:r>
      <w:r w:rsidRPr="009002E5">
        <w:rPr>
          <w:noProof/>
          <w:sz w:val="22"/>
        </w:rPr>
        <w:tab/>
        <w:t xml:space="preserve">Martínez-Barquero V, De Marco G, Martínez-Hervas S, </w:t>
      </w:r>
      <w:r w:rsidRPr="009002E5">
        <w:rPr>
          <w:i/>
          <w:iCs/>
          <w:noProof/>
          <w:sz w:val="22"/>
        </w:rPr>
        <w:t>et al.</w:t>
      </w:r>
      <w:r w:rsidRPr="009002E5">
        <w:rPr>
          <w:noProof/>
          <w:sz w:val="22"/>
        </w:rPr>
        <w:t xml:space="preserve"> Polymorphisms in Endothelin System Genes, Arsenic Levels and Obesity Risk. </w:t>
      </w:r>
      <w:r w:rsidRPr="009002E5">
        <w:rPr>
          <w:i/>
          <w:iCs/>
          <w:noProof/>
          <w:sz w:val="22"/>
        </w:rPr>
        <w:t>PLoS One</w:t>
      </w:r>
      <w:r w:rsidRPr="009002E5">
        <w:rPr>
          <w:noProof/>
          <w:sz w:val="22"/>
        </w:rPr>
        <w:t xml:space="preserve"> 2015; </w:t>
      </w:r>
      <w:r w:rsidRPr="009002E5">
        <w:rPr>
          <w:b/>
          <w:bCs/>
          <w:noProof/>
          <w:sz w:val="22"/>
        </w:rPr>
        <w:t>10</w:t>
      </w:r>
      <w:r w:rsidRPr="009002E5">
        <w:rPr>
          <w:noProof/>
          <w:sz w:val="22"/>
        </w:rPr>
        <w:t>: e0118471.</w:t>
      </w:r>
    </w:p>
    <w:p w14:paraId="2CB2C405" w14:textId="77777777" w:rsidR="009002E5" w:rsidRPr="009002E5" w:rsidRDefault="009002E5" w:rsidP="009002E5">
      <w:pPr>
        <w:widowControl w:val="0"/>
        <w:autoSpaceDE w:val="0"/>
        <w:autoSpaceDN w:val="0"/>
        <w:adjustRightInd w:val="0"/>
        <w:ind w:left="640" w:hanging="640"/>
        <w:rPr>
          <w:noProof/>
          <w:sz w:val="22"/>
        </w:rPr>
      </w:pPr>
      <w:r w:rsidRPr="009002E5">
        <w:rPr>
          <w:noProof/>
          <w:sz w:val="22"/>
        </w:rPr>
        <w:t>21</w:t>
      </w:r>
      <w:r w:rsidRPr="009002E5">
        <w:rPr>
          <w:noProof/>
          <w:sz w:val="22"/>
        </w:rPr>
        <w:tab/>
        <w:t xml:space="preserve">Wu F, Jasmine F, Kibriya MG, </w:t>
      </w:r>
      <w:r w:rsidRPr="009002E5">
        <w:rPr>
          <w:i/>
          <w:iCs/>
          <w:noProof/>
          <w:sz w:val="22"/>
        </w:rPr>
        <w:t>et al.</w:t>
      </w:r>
      <w:r w:rsidRPr="009002E5">
        <w:rPr>
          <w:noProof/>
          <w:sz w:val="22"/>
        </w:rPr>
        <w:t xml:space="preserve"> Interaction between arsenic exposure from drinking water and genetic susceptibility in carotid intima-media thickness in Bangladesh. </w:t>
      </w:r>
      <w:r w:rsidRPr="009002E5">
        <w:rPr>
          <w:i/>
          <w:iCs/>
          <w:noProof/>
          <w:sz w:val="22"/>
        </w:rPr>
        <w:t>Toxicol Appl Pharmacol</w:t>
      </w:r>
      <w:r w:rsidRPr="009002E5">
        <w:rPr>
          <w:noProof/>
          <w:sz w:val="22"/>
        </w:rPr>
        <w:t xml:space="preserve"> 2014; </w:t>
      </w:r>
      <w:r w:rsidRPr="009002E5">
        <w:rPr>
          <w:b/>
          <w:bCs/>
          <w:noProof/>
          <w:sz w:val="22"/>
        </w:rPr>
        <w:t>276</w:t>
      </w:r>
      <w:r w:rsidRPr="009002E5">
        <w:rPr>
          <w:noProof/>
          <w:sz w:val="22"/>
        </w:rPr>
        <w:t>: 195–203.</w:t>
      </w:r>
    </w:p>
    <w:p w14:paraId="752D08BE" w14:textId="6116D1DA" w:rsidR="00455090" w:rsidRPr="003761EB" w:rsidRDefault="00675089" w:rsidP="009002E5">
      <w:pPr>
        <w:widowControl w:val="0"/>
        <w:autoSpaceDE w:val="0"/>
        <w:autoSpaceDN w:val="0"/>
        <w:adjustRightInd w:val="0"/>
        <w:ind w:left="640" w:hanging="640"/>
        <w:jc w:val="both"/>
        <w:rPr>
          <w:b/>
          <w:bCs/>
        </w:rPr>
      </w:pPr>
      <w:r w:rsidRPr="00AA421C">
        <w:rPr>
          <w:b/>
          <w:bCs/>
          <w:sz w:val="22"/>
          <w:szCs w:val="22"/>
        </w:rPr>
        <w:fldChar w:fldCharType="end"/>
      </w:r>
    </w:p>
    <w:p w14:paraId="313A87A1" w14:textId="77777777" w:rsidR="009502F5" w:rsidRDefault="009502F5"/>
    <w:sectPr w:rsidR="009502F5" w:rsidSect="009502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C782A" w14:textId="77777777" w:rsidR="007851B6" w:rsidRDefault="007851B6" w:rsidP="00FF7F8E">
      <w:r>
        <w:separator/>
      </w:r>
    </w:p>
  </w:endnote>
  <w:endnote w:type="continuationSeparator" w:id="0">
    <w:p w14:paraId="5B60B4FC" w14:textId="77777777" w:rsidR="007851B6" w:rsidRDefault="007851B6" w:rsidP="00FF7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2168109"/>
      <w:docPartObj>
        <w:docPartGallery w:val="Page Numbers (Bottom of Page)"/>
        <w:docPartUnique/>
      </w:docPartObj>
    </w:sdtPr>
    <w:sdtContent>
      <w:p w14:paraId="49E8127E" w14:textId="360B69F2" w:rsidR="00FF7F8E" w:rsidRDefault="00FF7F8E" w:rsidP="005236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5DB5211" w14:textId="77777777" w:rsidR="00FF7F8E" w:rsidRDefault="00FF7F8E" w:rsidP="00FF7F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2"/>
        <w:szCs w:val="22"/>
      </w:rPr>
      <w:id w:val="932702399"/>
      <w:docPartObj>
        <w:docPartGallery w:val="Page Numbers (Bottom of Page)"/>
        <w:docPartUnique/>
      </w:docPartObj>
    </w:sdtPr>
    <w:sdtContent>
      <w:p w14:paraId="30AD3608" w14:textId="5D89C617" w:rsidR="00FF7F8E" w:rsidRPr="00FF7F8E" w:rsidRDefault="00FF7F8E" w:rsidP="00523690">
        <w:pPr>
          <w:pStyle w:val="Footer"/>
          <w:framePr w:wrap="none" w:vAnchor="text" w:hAnchor="margin" w:xAlign="right" w:y="1"/>
          <w:rPr>
            <w:rStyle w:val="PageNumber"/>
            <w:sz w:val="22"/>
            <w:szCs w:val="22"/>
          </w:rPr>
        </w:pPr>
        <w:r w:rsidRPr="00FF7F8E">
          <w:rPr>
            <w:rStyle w:val="PageNumber"/>
            <w:sz w:val="22"/>
            <w:szCs w:val="22"/>
          </w:rPr>
          <w:fldChar w:fldCharType="begin"/>
        </w:r>
        <w:r w:rsidRPr="00FF7F8E">
          <w:rPr>
            <w:rStyle w:val="PageNumber"/>
            <w:sz w:val="22"/>
            <w:szCs w:val="22"/>
          </w:rPr>
          <w:instrText xml:space="preserve"> PAGE </w:instrText>
        </w:r>
        <w:r w:rsidRPr="00FF7F8E">
          <w:rPr>
            <w:rStyle w:val="PageNumber"/>
            <w:sz w:val="22"/>
            <w:szCs w:val="22"/>
          </w:rPr>
          <w:fldChar w:fldCharType="separate"/>
        </w:r>
        <w:r w:rsidRPr="00FF7F8E">
          <w:rPr>
            <w:rStyle w:val="PageNumber"/>
            <w:noProof/>
            <w:sz w:val="22"/>
            <w:szCs w:val="22"/>
          </w:rPr>
          <w:t>1</w:t>
        </w:r>
        <w:r w:rsidRPr="00FF7F8E">
          <w:rPr>
            <w:rStyle w:val="PageNumber"/>
            <w:sz w:val="22"/>
            <w:szCs w:val="22"/>
          </w:rPr>
          <w:fldChar w:fldCharType="end"/>
        </w:r>
      </w:p>
    </w:sdtContent>
  </w:sdt>
  <w:p w14:paraId="3EA73BC8" w14:textId="77777777" w:rsidR="00FF7F8E" w:rsidRDefault="00FF7F8E" w:rsidP="00FF7F8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951FC" w14:textId="77777777" w:rsidR="007851B6" w:rsidRDefault="007851B6" w:rsidP="00FF7F8E">
      <w:r>
        <w:separator/>
      </w:r>
    </w:p>
  </w:footnote>
  <w:footnote w:type="continuationSeparator" w:id="0">
    <w:p w14:paraId="4EA5FF08" w14:textId="77777777" w:rsidR="007851B6" w:rsidRDefault="007851B6" w:rsidP="00FF7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D376A"/>
    <w:multiLevelType w:val="hybridMultilevel"/>
    <w:tmpl w:val="52A63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00540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s>
  <w:rsids>
    <w:rsidRoot w:val="00B30E15"/>
    <w:rsid w:val="00002B1E"/>
    <w:rsid w:val="000054F6"/>
    <w:rsid w:val="00035C6D"/>
    <w:rsid w:val="000361C2"/>
    <w:rsid w:val="00041151"/>
    <w:rsid w:val="000462B2"/>
    <w:rsid w:val="0006096E"/>
    <w:rsid w:val="000C6C8B"/>
    <w:rsid w:val="000D516F"/>
    <w:rsid w:val="00135402"/>
    <w:rsid w:val="001369F3"/>
    <w:rsid w:val="00150775"/>
    <w:rsid w:val="001573B9"/>
    <w:rsid w:val="00161472"/>
    <w:rsid w:val="001967C4"/>
    <w:rsid w:val="001D5E96"/>
    <w:rsid w:val="00222EAE"/>
    <w:rsid w:val="00231479"/>
    <w:rsid w:val="00240756"/>
    <w:rsid w:val="00245565"/>
    <w:rsid w:val="00246F50"/>
    <w:rsid w:val="00247C52"/>
    <w:rsid w:val="00273CBF"/>
    <w:rsid w:val="00284E58"/>
    <w:rsid w:val="002B37EA"/>
    <w:rsid w:val="002C301C"/>
    <w:rsid w:val="002F5AE9"/>
    <w:rsid w:val="0030321B"/>
    <w:rsid w:val="003108A0"/>
    <w:rsid w:val="00312803"/>
    <w:rsid w:val="00345C34"/>
    <w:rsid w:val="00352C8B"/>
    <w:rsid w:val="003534BB"/>
    <w:rsid w:val="003568D8"/>
    <w:rsid w:val="00364C65"/>
    <w:rsid w:val="003761EB"/>
    <w:rsid w:val="003B69EF"/>
    <w:rsid w:val="00405FAC"/>
    <w:rsid w:val="00406033"/>
    <w:rsid w:val="00445BCC"/>
    <w:rsid w:val="00453E0A"/>
    <w:rsid w:val="00455090"/>
    <w:rsid w:val="00473F86"/>
    <w:rsid w:val="00474DD7"/>
    <w:rsid w:val="00486671"/>
    <w:rsid w:val="00495FE5"/>
    <w:rsid w:val="004A0717"/>
    <w:rsid w:val="004B4759"/>
    <w:rsid w:val="004C5EA2"/>
    <w:rsid w:val="00517119"/>
    <w:rsid w:val="00577E0E"/>
    <w:rsid w:val="00585EBE"/>
    <w:rsid w:val="00597FB3"/>
    <w:rsid w:val="005A6975"/>
    <w:rsid w:val="005B0BF2"/>
    <w:rsid w:val="00611A8F"/>
    <w:rsid w:val="00615B8B"/>
    <w:rsid w:val="00624C25"/>
    <w:rsid w:val="006252DE"/>
    <w:rsid w:val="00625874"/>
    <w:rsid w:val="00626D0A"/>
    <w:rsid w:val="00641BD3"/>
    <w:rsid w:val="0064260D"/>
    <w:rsid w:val="00645D83"/>
    <w:rsid w:val="006518F9"/>
    <w:rsid w:val="00675089"/>
    <w:rsid w:val="006A09BF"/>
    <w:rsid w:val="006C5F4C"/>
    <w:rsid w:val="007118FA"/>
    <w:rsid w:val="00730C4C"/>
    <w:rsid w:val="007851B6"/>
    <w:rsid w:val="007A12C6"/>
    <w:rsid w:val="007E3B51"/>
    <w:rsid w:val="00830D35"/>
    <w:rsid w:val="008A210A"/>
    <w:rsid w:val="008D2041"/>
    <w:rsid w:val="008D79D0"/>
    <w:rsid w:val="008E5EA4"/>
    <w:rsid w:val="009002E5"/>
    <w:rsid w:val="00923C73"/>
    <w:rsid w:val="009502F5"/>
    <w:rsid w:val="00954185"/>
    <w:rsid w:val="009551B7"/>
    <w:rsid w:val="0099775C"/>
    <w:rsid w:val="00A05D41"/>
    <w:rsid w:val="00A10126"/>
    <w:rsid w:val="00A26505"/>
    <w:rsid w:val="00A72B26"/>
    <w:rsid w:val="00A74065"/>
    <w:rsid w:val="00A80AD1"/>
    <w:rsid w:val="00AA421C"/>
    <w:rsid w:val="00AF0464"/>
    <w:rsid w:val="00B0552F"/>
    <w:rsid w:val="00B13023"/>
    <w:rsid w:val="00B30E15"/>
    <w:rsid w:val="00B35B60"/>
    <w:rsid w:val="00B603A9"/>
    <w:rsid w:val="00BD153B"/>
    <w:rsid w:val="00BE0319"/>
    <w:rsid w:val="00BF5107"/>
    <w:rsid w:val="00C01924"/>
    <w:rsid w:val="00C02330"/>
    <w:rsid w:val="00C14349"/>
    <w:rsid w:val="00C20F67"/>
    <w:rsid w:val="00C34400"/>
    <w:rsid w:val="00C823FC"/>
    <w:rsid w:val="00CA1B78"/>
    <w:rsid w:val="00CB0062"/>
    <w:rsid w:val="00CD5177"/>
    <w:rsid w:val="00CE12C5"/>
    <w:rsid w:val="00CE1F79"/>
    <w:rsid w:val="00CE5004"/>
    <w:rsid w:val="00D129EC"/>
    <w:rsid w:val="00D51FF4"/>
    <w:rsid w:val="00D70FA1"/>
    <w:rsid w:val="00D90436"/>
    <w:rsid w:val="00DA15A6"/>
    <w:rsid w:val="00DC77D9"/>
    <w:rsid w:val="00E05156"/>
    <w:rsid w:val="00E330CD"/>
    <w:rsid w:val="00E35B60"/>
    <w:rsid w:val="00E3724C"/>
    <w:rsid w:val="00E77839"/>
    <w:rsid w:val="00E82820"/>
    <w:rsid w:val="00EE2BB0"/>
    <w:rsid w:val="00F2074A"/>
    <w:rsid w:val="00F30045"/>
    <w:rsid w:val="00F5566A"/>
    <w:rsid w:val="00F64A37"/>
    <w:rsid w:val="00FB1E60"/>
    <w:rsid w:val="00FC121C"/>
    <w:rsid w:val="00FC577A"/>
    <w:rsid w:val="00FD0F7E"/>
    <w:rsid w:val="00FD4141"/>
    <w:rsid w:val="00FF7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98DBF"/>
  <w15:chartTrackingRefBased/>
  <w15:docId w15:val="{D8A16532-5F10-5E45-8527-C6DEC519D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E15"/>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51711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30E1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1711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51711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7119"/>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51711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0E15"/>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queryoperator">
    <w:name w:val="queryoperator"/>
    <w:basedOn w:val="DefaultParagraphFont"/>
    <w:rsid w:val="00B30E15"/>
  </w:style>
  <w:style w:type="character" w:styleId="Hyperlink">
    <w:name w:val="Hyperlink"/>
    <w:basedOn w:val="DefaultParagraphFont"/>
    <w:rsid w:val="00B30E15"/>
    <w:rPr>
      <w:color w:val="0563C1"/>
      <w:u w:val="single"/>
    </w:rPr>
  </w:style>
  <w:style w:type="character" w:customStyle="1" w:styleId="Heading1Char">
    <w:name w:val="Heading 1 Char"/>
    <w:basedOn w:val="DefaultParagraphFont"/>
    <w:link w:val="Heading1"/>
    <w:uiPriority w:val="9"/>
    <w:rsid w:val="00517119"/>
    <w:rPr>
      <w:rFonts w:asciiTheme="majorHAnsi" w:eastAsiaTheme="majorEastAsia" w:hAnsiTheme="majorHAnsi" w:cstheme="majorBidi"/>
      <w:color w:val="2F5496" w:themeColor="accent1" w:themeShade="BF"/>
      <w:kern w:val="0"/>
      <w:sz w:val="32"/>
      <w:szCs w:val="32"/>
      <w:lang w:eastAsia="en-GB"/>
      <w14:ligatures w14:val="none"/>
    </w:rPr>
  </w:style>
  <w:style w:type="character" w:customStyle="1" w:styleId="Heading3Char">
    <w:name w:val="Heading 3 Char"/>
    <w:basedOn w:val="DefaultParagraphFont"/>
    <w:link w:val="Heading3"/>
    <w:uiPriority w:val="9"/>
    <w:rsid w:val="00517119"/>
    <w:rPr>
      <w:rFonts w:asciiTheme="majorHAnsi" w:eastAsiaTheme="majorEastAsia" w:hAnsiTheme="majorHAnsi" w:cstheme="majorBidi"/>
      <w:color w:val="1F3763" w:themeColor="accent1" w:themeShade="7F"/>
      <w:kern w:val="0"/>
      <w:lang w:eastAsia="en-GB"/>
      <w14:ligatures w14:val="none"/>
    </w:rPr>
  </w:style>
  <w:style w:type="character" w:customStyle="1" w:styleId="Heading4Char">
    <w:name w:val="Heading 4 Char"/>
    <w:basedOn w:val="DefaultParagraphFont"/>
    <w:link w:val="Heading4"/>
    <w:uiPriority w:val="9"/>
    <w:rsid w:val="00517119"/>
    <w:rPr>
      <w:rFonts w:asciiTheme="majorHAnsi" w:eastAsiaTheme="majorEastAsia" w:hAnsiTheme="majorHAnsi" w:cstheme="majorBidi"/>
      <w:i/>
      <w:iCs/>
      <w:color w:val="2F5496" w:themeColor="accent1" w:themeShade="BF"/>
      <w:kern w:val="0"/>
      <w:lang w:eastAsia="en-GB"/>
      <w14:ligatures w14:val="none"/>
    </w:rPr>
  </w:style>
  <w:style w:type="character" w:customStyle="1" w:styleId="Heading5Char">
    <w:name w:val="Heading 5 Char"/>
    <w:basedOn w:val="DefaultParagraphFont"/>
    <w:link w:val="Heading5"/>
    <w:uiPriority w:val="9"/>
    <w:semiHidden/>
    <w:rsid w:val="00517119"/>
    <w:rPr>
      <w:rFonts w:ascii="Times New Roman" w:eastAsia="Times New Roman" w:hAnsi="Times New Roman" w:cs="Times New Roman"/>
      <w:b/>
      <w:kern w:val="0"/>
      <w:sz w:val="22"/>
      <w:szCs w:val="22"/>
      <w:lang w:eastAsia="en-GB"/>
      <w14:ligatures w14:val="none"/>
    </w:rPr>
  </w:style>
  <w:style w:type="character" w:customStyle="1" w:styleId="Heading6Char">
    <w:name w:val="Heading 6 Char"/>
    <w:basedOn w:val="DefaultParagraphFont"/>
    <w:link w:val="Heading6"/>
    <w:uiPriority w:val="9"/>
    <w:semiHidden/>
    <w:rsid w:val="00517119"/>
    <w:rPr>
      <w:rFonts w:ascii="Times New Roman" w:eastAsia="Times New Roman" w:hAnsi="Times New Roman" w:cs="Times New Roman"/>
      <w:b/>
      <w:kern w:val="0"/>
      <w:sz w:val="20"/>
      <w:szCs w:val="20"/>
      <w:lang w:eastAsia="en-GB"/>
      <w14:ligatures w14:val="none"/>
    </w:rPr>
  </w:style>
  <w:style w:type="paragraph" w:styleId="NoSpacing">
    <w:name w:val="No Spacing"/>
    <w:uiPriority w:val="1"/>
    <w:qFormat/>
    <w:rsid w:val="00517119"/>
    <w:rPr>
      <w:kern w:val="0"/>
      <w:sz w:val="22"/>
      <w:szCs w:val="22"/>
      <w14:ligatures w14:val="none"/>
    </w:rPr>
  </w:style>
  <w:style w:type="paragraph" w:styleId="ListParagraph">
    <w:name w:val="List Paragraph"/>
    <w:basedOn w:val="Normal"/>
    <w:uiPriority w:val="34"/>
    <w:qFormat/>
    <w:rsid w:val="00517119"/>
    <w:pPr>
      <w:ind w:left="720"/>
      <w:contextualSpacing/>
    </w:pPr>
  </w:style>
  <w:style w:type="paragraph" w:styleId="Footer">
    <w:name w:val="footer"/>
    <w:basedOn w:val="Normal"/>
    <w:link w:val="FooterChar"/>
    <w:uiPriority w:val="99"/>
    <w:unhideWhenUsed/>
    <w:rsid w:val="00517119"/>
    <w:pPr>
      <w:tabs>
        <w:tab w:val="center" w:pos="4513"/>
        <w:tab w:val="right" w:pos="9026"/>
      </w:tabs>
    </w:pPr>
  </w:style>
  <w:style w:type="character" w:customStyle="1" w:styleId="FooterChar">
    <w:name w:val="Footer Char"/>
    <w:basedOn w:val="DefaultParagraphFont"/>
    <w:link w:val="Footer"/>
    <w:uiPriority w:val="99"/>
    <w:rsid w:val="00517119"/>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517119"/>
  </w:style>
  <w:style w:type="paragraph" w:styleId="Header">
    <w:name w:val="header"/>
    <w:basedOn w:val="Normal"/>
    <w:link w:val="HeaderChar"/>
    <w:uiPriority w:val="99"/>
    <w:unhideWhenUsed/>
    <w:rsid w:val="00517119"/>
    <w:pPr>
      <w:tabs>
        <w:tab w:val="center" w:pos="4513"/>
        <w:tab w:val="right" w:pos="9026"/>
      </w:tabs>
    </w:pPr>
  </w:style>
  <w:style w:type="character" w:customStyle="1" w:styleId="HeaderChar">
    <w:name w:val="Header Char"/>
    <w:basedOn w:val="DefaultParagraphFont"/>
    <w:link w:val="Header"/>
    <w:uiPriority w:val="99"/>
    <w:rsid w:val="00517119"/>
    <w:rPr>
      <w:rFonts w:ascii="Times New Roman" w:eastAsia="Times New Roman" w:hAnsi="Times New Roman" w:cs="Times New Roman"/>
      <w:kern w:val="0"/>
      <w:lang w:eastAsia="en-GB"/>
      <w14:ligatures w14:val="none"/>
    </w:rPr>
  </w:style>
  <w:style w:type="paragraph" w:styleId="BalloonText">
    <w:name w:val="Balloon Text"/>
    <w:basedOn w:val="Normal"/>
    <w:link w:val="BalloonTextChar"/>
    <w:uiPriority w:val="99"/>
    <w:semiHidden/>
    <w:unhideWhenUsed/>
    <w:rsid w:val="00517119"/>
    <w:rPr>
      <w:sz w:val="18"/>
      <w:szCs w:val="18"/>
    </w:rPr>
  </w:style>
  <w:style w:type="character" w:customStyle="1" w:styleId="BalloonTextChar">
    <w:name w:val="Balloon Text Char"/>
    <w:basedOn w:val="DefaultParagraphFont"/>
    <w:link w:val="BalloonText"/>
    <w:uiPriority w:val="99"/>
    <w:semiHidden/>
    <w:rsid w:val="00517119"/>
    <w:rPr>
      <w:rFonts w:ascii="Times New Roman" w:eastAsia="Times New Roman" w:hAnsi="Times New Roman" w:cs="Times New Roman"/>
      <w:kern w:val="0"/>
      <w:sz w:val="18"/>
      <w:szCs w:val="18"/>
      <w:lang w:eastAsia="en-GB"/>
      <w14:ligatures w14:val="none"/>
    </w:rPr>
  </w:style>
  <w:style w:type="paragraph" w:styleId="Caption">
    <w:name w:val="caption"/>
    <w:basedOn w:val="Normal"/>
    <w:next w:val="Normal"/>
    <w:uiPriority w:val="35"/>
    <w:unhideWhenUsed/>
    <w:qFormat/>
    <w:rsid w:val="00517119"/>
    <w:pPr>
      <w:spacing w:after="200"/>
    </w:pPr>
    <w:rPr>
      <w:i/>
      <w:iCs/>
      <w:color w:val="44546A" w:themeColor="text2"/>
      <w:sz w:val="18"/>
      <w:szCs w:val="18"/>
    </w:rPr>
  </w:style>
  <w:style w:type="table" w:styleId="TableGrid">
    <w:name w:val="Table Grid"/>
    <w:basedOn w:val="TableNormal"/>
    <w:uiPriority w:val="39"/>
    <w:rsid w:val="00517119"/>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517119"/>
    <w:pPr>
      <w:spacing w:after="160"/>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517119"/>
    <w:rPr>
      <w:rFonts w:ascii="Calibri" w:eastAsia="Calibri" w:hAnsi="Calibri" w:cs="Calibri"/>
      <w:kern w:val="0"/>
      <w:sz w:val="20"/>
      <w:szCs w:val="20"/>
      <w:lang w:eastAsia="en-GB"/>
      <w14:ligatures w14:val="none"/>
    </w:rPr>
  </w:style>
  <w:style w:type="character" w:styleId="CommentReference">
    <w:name w:val="annotation reference"/>
    <w:basedOn w:val="DefaultParagraphFont"/>
    <w:uiPriority w:val="99"/>
    <w:semiHidden/>
    <w:unhideWhenUsed/>
    <w:rsid w:val="00517119"/>
    <w:rPr>
      <w:sz w:val="16"/>
      <w:szCs w:val="16"/>
    </w:rPr>
  </w:style>
  <w:style w:type="paragraph" w:styleId="CommentSubject">
    <w:name w:val="annotation subject"/>
    <w:basedOn w:val="CommentText"/>
    <w:next w:val="CommentText"/>
    <w:link w:val="CommentSubjectChar"/>
    <w:uiPriority w:val="99"/>
    <w:semiHidden/>
    <w:unhideWhenUsed/>
    <w:rsid w:val="00517119"/>
    <w:pPr>
      <w:spacing w:after="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517119"/>
    <w:rPr>
      <w:rFonts w:ascii="Calibri" w:eastAsia="Calibri" w:hAnsi="Calibri" w:cs="Calibri"/>
      <w:b/>
      <w:bCs/>
      <w:kern w:val="0"/>
      <w:sz w:val="20"/>
      <w:szCs w:val="20"/>
      <w:lang w:eastAsia="en-GB"/>
      <w14:ligatures w14:val="none"/>
    </w:rPr>
  </w:style>
  <w:style w:type="character" w:styleId="Emphasis">
    <w:name w:val="Emphasis"/>
    <w:basedOn w:val="DefaultParagraphFont"/>
    <w:uiPriority w:val="20"/>
    <w:qFormat/>
    <w:rsid w:val="00517119"/>
    <w:rPr>
      <w:i/>
      <w:iCs/>
    </w:rPr>
  </w:style>
  <w:style w:type="character" w:customStyle="1" w:styleId="mn">
    <w:name w:val="mn"/>
    <w:basedOn w:val="DefaultParagraphFont"/>
    <w:rsid w:val="00517119"/>
  </w:style>
  <w:style w:type="character" w:customStyle="1" w:styleId="mo">
    <w:name w:val="mo"/>
    <w:basedOn w:val="DefaultParagraphFont"/>
    <w:rsid w:val="00517119"/>
  </w:style>
  <w:style w:type="paragraph" w:styleId="FootnoteText">
    <w:name w:val="footnote text"/>
    <w:basedOn w:val="Normal"/>
    <w:link w:val="FootnoteTextChar"/>
    <w:uiPriority w:val="99"/>
    <w:semiHidden/>
    <w:unhideWhenUsed/>
    <w:rsid w:val="00517119"/>
    <w:rPr>
      <w:sz w:val="20"/>
      <w:szCs w:val="20"/>
    </w:rPr>
  </w:style>
  <w:style w:type="character" w:customStyle="1" w:styleId="FootnoteTextChar">
    <w:name w:val="Footnote Text Char"/>
    <w:basedOn w:val="DefaultParagraphFont"/>
    <w:link w:val="FootnoteText"/>
    <w:uiPriority w:val="99"/>
    <w:semiHidden/>
    <w:rsid w:val="00517119"/>
    <w:rPr>
      <w:rFonts w:ascii="Times New Roman" w:eastAsia="Times New Roman" w:hAnsi="Times New Roman" w:cs="Times New Roman"/>
      <w:kern w:val="0"/>
      <w:sz w:val="20"/>
      <w:szCs w:val="20"/>
      <w:lang w:eastAsia="en-GB"/>
      <w14:ligatures w14:val="none"/>
    </w:rPr>
  </w:style>
  <w:style w:type="character" w:styleId="FootnoteReference">
    <w:name w:val="footnote reference"/>
    <w:basedOn w:val="DefaultParagraphFont"/>
    <w:uiPriority w:val="99"/>
    <w:semiHidden/>
    <w:unhideWhenUsed/>
    <w:rsid w:val="00517119"/>
    <w:rPr>
      <w:vertAlign w:val="superscript"/>
    </w:rPr>
  </w:style>
  <w:style w:type="character" w:styleId="Strong">
    <w:name w:val="Strong"/>
    <w:basedOn w:val="DefaultParagraphFont"/>
    <w:uiPriority w:val="22"/>
    <w:qFormat/>
    <w:rsid w:val="00517119"/>
    <w:rPr>
      <w:b/>
      <w:bCs/>
    </w:rPr>
  </w:style>
  <w:style w:type="character" w:styleId="UnresolvedMention">
    <w:name w:val="Unresolved Mention"/>
    <w:basedOn w:val="DefaultParagraphFont"/>
    <w:uiPriority w:val="99"/>
    <w:semiHidden/>
    <w:unhideWhenUsed/>
    <w:rsid w:val="00517119"/>
    <w:rPr>
      <w:color w:val="605E5C"/>
      <w:shd w:val="clear" w:color="auto" w:fill="E1DFDD"/>
    </w:rPr>
  </w:style>
  <w:style w:type="character" w:styleId="PlaceholderText">
    <w:name w:val="Placeholder Text"/>
    <w:basedOn w:val="DefaultParagraphFont"/>
    <w:uiPriority w:val="99"/>
    <w:semiHidden/>
    <w:rsid w:val="00517119"/>
    <w:rPr>
      <w:color w:val="808080"/>
    </w:rPr>
  </w:style>
  <w:style w:type="character" w:customStyle="1" w:styleId="highlight">
    <w:name w:val="highlight"/>
    <w:basedOn w:val="DefaultParagraphFont"/>
    <w:rsid w:val="00517119"/>
  </w:style>
  <w:style w:type="character" w:styleId="EndnoteReference">
    <w:name w:val="endnote reference"/>
    <w:basedOn w:val="DefaultParagraphFont"/>
    <w:uiPriority w:val="99"/>
    <w:semiHidden/>
    <w:unhideWhenUsed/>
    <w:rsid w:val="00517119"/>
    <w:rPr>
      <w:vertAlign w:val="superscript"/>
    </w:rPr>
  </w:style>
  <w:style w:type="character" w:customStyle="1" w:styleId="mjx-char">
    <w:name w:val="mjx-char"/>
    <w:basedOn w:val="DefaultParagraphFont"/>
    <w:rsid w:val="00517119"/>
  </w:style>
  <w:style w:type="character" w:customStyle="1" w:styleId="mjxassistivemathml">
    <w:name w:val="mjx_assistive_mathml"/>
    <w:basedOn w:val="DefaultParagraphFont"/>
    <w:rsid w:val="00517119"/>
  </w:style>
  <w:style w:type="paragraph" w:customStyle="1" w:styleId="p">
    <w:name w:val="p"/>
    <w:basedOn w:val="Normal"/>
    <w:rsid w:val="00517119"/>
    <w:pPr>
      <w:spacing w:before="100" w:beforeAutospacing="1" w:after="100" w:afterAutospacing="1"/>
    </w:pPr>
  </w:style>
  <w:style w:type="character" w:styleId="FollowedHyperlink">
    <w:name w:val="FollowedHyperlink"/>
    <w:basedOn w:val="DefaultParagraphFont"/>
    <w:uiPriority w:val="99"/>
    <w:semiHidden/>
    <w:unhideWhenUsed/>
    <w:rsid w:val="00517119"/>
    <w:rPr>
      <w:color w:val="954F72" w:themeColor="followedHyperlink"/>
      <w:u w:val="single"/>
    </w:rPr>
  </w:style>
  <w:style w:type="paragraph" w:styleId="NormalWeb">
    <w:name w:val="Normal (Web)"/>
    <w:basedOn w:val="Normal"/>
    <w:uiPriority w:val="99"/>
    <w:semiHidden/>
    <w:unhideWhenUsed/>
    <w:rsid w:val="00517119"/>
    <w:pPr>
      <w:spacing w:before="100" w:beforeAutospacing="1" w:after="100" w:afterAutospacing="1"/>
    </w:pPr>
  </w:style>
  <w:style w:type="paragraph" w:styleId="Revision">
    <w:name w:val="Revision"/>
    <w:hidden/>
    <w:uiPriority w:val="99"/>
    <w:semiHidden/>
    <w:rsid w:val="00517119"/>
    <w:rPr>
      <w:rFonts w:ascii="Times New Roman" w:eastAsia="Times New Roman" w:hAnsi="Times New Roman" w:cs="Times New Roman"/>
      <w:kern w:val="0"/>
      <w:lang w:eastAsia="en-GB"/>
      <w14:ligatures w14:val="none"/>
    </w:rPr>
  </w:style>
  <w:style w:type="character" w:customStyle="1" w:styleId="TitleChar">
    <w:name w:val="Title Char"/>
    <w:basedOn w:val="DefaultParagraphFont"/>
    <w:link w:val="Title"/>
    <w:uiPriority w:val="10"/>
    <w:rsid w:val="00517119"/>
    <w:rPr>
      <w:rFonts w:ascii="Times New Roman" w:eastAsia="Times New Roman" w:hAnsi="Times New Roman" w:cs="Times New Roman"/>
      <w:b/>
      <w:sz w:val="72"/>
      <w:szCs w:val="72"/>
      <w:lang w:eastAsia="en-GB"/>
    </w:rPr>
  </w:style>
  <w:style w:type="paragraph" w:styleId="Title">
    <w:name w:val="Title"/>
    <w:basedOn w:val="Normal"/>
    <w:next w:val="Normal"/>
    <w:link w:val="TitleChar"/>
    <w:uiPriority w:val="10"/>
    <w:qFormat/>
    <w:rsid w:val="00517119"/>
    <w:pPr>
      <w:keepNext/>
      <w:keepLines/>
      <w:spacing w:before="480" w:after="120"/>
    </w:pPr>
    <w:rPr>
      <w:b/>
      <w:kern w:val="2"/>
      <w:sz w:val="72"/>
      <w:szCs w:val="72"/>
      <w14:ligatures w14:val="standardContextual"/>
    </w:rPr>
  </w:style>
  <w:style w:type="character" w:customStyle="1" w:styleId="TitleChar1">
    <w:name w:val="Title Char1"/>
    <w:basedOn w:val="DefaultParagraphFont"/>
    <w:uiPriority w:val="10"/>
    <w:rsid w:val="00517119"/>
    <w:rPr>
      <w:rFonts w:asciiTheme="majorHAnsi" w:eastAsiaTheme="majorEastAsia" w:hAnsiTheme="majorHAnsi" w:cstheme="majorBidi"/>
      <w:spacing w:val="-10"/>
      <w:kern w:val="28"/>
      <w:sz w:val="56"/>
      <w:szCs w:val="56"/>
      <w:lang w:eastAsia="en-GB"/>
      <w14:ligatures w14:val="none"/>
    </w:rPr>
  </w:style>
  <w:style w:type="character" w:customStyle="1" w:styleId="SubtitleChar">
    <w:name w:val="Subtitle Char"/>
    <w:basedOn w:val="DefaultParagraphFont"/>
    <w:link w:val="Subtitle"/>
    <w:uiPriority w:val="11"/>
    <w:rsid w:val="00517119"/>
    <w:rPr>
      <w:rFonts w:ascii="Georgia" w:eastAsia="Georgia" w:hAnsi="Georgia" w:cs="Georgia"/>
      <w:i/>
      <w:color w:val="666666"/>
      <w:sz w:val="48"/>
      <w:szCs w:val="48"/>
      <w:lang w:eastAsia="en-GB"/>
    </w:rPr>
  </w:style>
  <w:style w:type="paragraph" w:styleId="Subtitle">
    <w:name w:val="Subtitle"/>
    <w:basedOn w:val="Normal"/>
    <w:next w:val="Normal"/>
    <w:link w:val="SubtitleChar"/>
    <w:uiPriority w:val="11"/>
    <w:qFormat/>
    <w:rsid w:val="00517119"/>
    <w:pPr>
      <w:keepNext/>
      <w:keepLines/>
      <w:spacing w:before="360" w:after="80"/>
    </w:pPr>
    <w:rPr>
      <w:rFonts w:ascii="Georgia" w:eastAsia="Georgia" w:hAnsi="Georgia" w:cs="Georgia"/>
      <w:i/>
      <w:color w:val="666666"/>
      <w:kern w:val="2"/>
      <w:sz w:val="48"/>
      <w:szCs w:val="48"/>
      <w14:ligatures w14:val="standardContextual"/>
    </w:rPr>
  </w:style>
  <w:style w:type="character" w:customStyle="1" w:styleId="SubtitleChar1">
    <w:name w:val="Subtitle Char1"/>
    <w:basedOn w:val="DefaultParagraphFont"/>
    <w:uiPriority w:val="11"/>
    <w:rsid w:val="00517119"/>
    <w:rPr>
      <w:rFonts w:eastAsiaTheme="minorEastAsia"/>
      <w:color w:val="5A5A5A" w:themeColor="text1" w:themeTint="A5"/>
      <w:spacing w:val="15"/>
      <w:kern w:val="0"/>
      <w:sz w:val="22"/>
      <w:szCs w:val="22"/>
      <w:lang w:eastAsia="en-GB"/>
      <w14:ligatures w14:val="none"/>
    </w:rPr>
  </w:style>
  <w:style w:type="paragraph" w:styleId="EndnoteText">
    <w:name w:val="endnote text"/>
    <w:basedOn w:val="Normal"/>
    <w:link w:val="EndnoteTextChar"/>
    <w:uiPriority w:val="99"/>
    <w:semiHidden/>
    <w:unhideWhenUsed/>
    <w:rsid w:val="00517119"/>
    <w:rPr>
      <w:sz w:val="20"/>
      <w:szCs w:val="20"/>
    </w:rPr>
  </w:style>
  <w:style w:type="character" w:customStyle="1" w:styleId="EndnoteTextChar">
    <w:name w:val="Endnote Text Char"/>
    <w:basedOn w:val="DefaultParagraphFont"/>
    <w:link w:val="EndnoteText"/>
    <w:uiPriority w:val="99"/>
    <w:semiHidden/>
    <w:rsid w:val="00517119"/>
    <w:rPr>
      <w:rFonts w:ascii="Times New Roman" w:eastAsia="Times New Roman" w:hAnsi="Times New Roman" w:cs="Times New Roman"/>
      <w:kern w:val="0"/>
      <w:sz w:val="20"/>
      <w:szCs w:val="20"/>
      <w:lang w:eastAsia="en-GB"/>
      <w14:ligatures w14:val="none"/>
    </w:rPr>
  </w:style>
  <w:style w:type="paragraph" w:customStyle="1" w:styleId="Default">
    <w:name w:val="Default"/>
    <w:rsid w:val="00517119"/>
    <w:pPr>
      <w:autoSpaceDE w:val="0"/>
      <w:autoSpaceDN w:val="0"/>
      <w:adjustRightInd w:val="0"/>
    </w:pPr>
    <w:rPr>
      <w:rFonts w:ascii="Arial" w:hAnsi="Arial" w:cs="Arial"/>
      <w:color w:val="000000"/>
      <w:kern w:val="0"/>
      <w14:ligatures w14:val="none"/>
    </w:rPr>
  </w:style>
  <w:style w:type="paragraph" w:customStyle="1" w:styleId="msonormal0">
    <w:name w:val="msonormal"/>
    <w:basedOn w:val="Normal"/>
    <w:rsid w:val="00364C65"/>
    <w:pPr>
      <w:spacing w:before="100" w:beforeAutospacing="1" w:after="100" w:afterAutospacing="1"/>
    </w:pPr>
  </w:style>
  <w:style w:type="paragraph" w:customStyle="1" w:styleId="font5">
    <w:name w:val="font5"/>
    <w:basedOn w:val="Normal"/>
    <w:rsid w:val="00364C65"/>
    <w:pPr>
      <w:spacing w:before="100" w:beforeAutospacing="1" w:after="100" w:afterAutospacing="1"/>
    </w:pPr>
    <w:rPr>
      <w:rFonts w:ascii="Calibri" w:hAnsi="Calibri" w:cs="Calibri"/>
      <w:color w:val="000000"/>
      <w:sz w:val="20"/>
      <w:szCs w:val="20"/>
    </w:rPr>
  </w:style>
  <w:style w:type="paragraph" w:customStyle="1" w:styleId="font6">
    <w:name w:val="font6"/>
    <w:basedOn w:val="Normal"/>
    <w:rsid w:val="00364C65"/>
    <w:pPr>
      <w:spacing w:before="100" w:beforeAutospacing="1" w:after="100" w:afterAutospacing="1"/>
    </w:pPr>
    <w:rPr>
      <w:rFonts w:ascii="Calibri" w:hAnsi="Calibri" w:cs="Calibri"/>
      <w:color w:val="222222"/>
      <w:sz w:val="20"/>
      <w:szCs w:val="20"/>
    </w:rPr>
  </w:style>
  <w:style w:type="paragraph" w:customStyle="1" w:styleId="font7">
    <w:name w:val="font7"/>
    <w:basedOn w:val="Normal"/>
    <w:rsid w:val="00364C65"/>
    <w:pPr>
      <w:spacing w:before="100" w:beforeAutospacing="1" w:after="100" w:afterAutospacing="1"/>
    </w:pPr>
    <w:rPr>
      <w:rFonts w:ascii="Calibri" w:hAnsi="Calibri" w:cs="Calibri"/>
      <w:i/>
      <w:iCs/>
      <w:color w:val="222222"/>
      <w:sz w:val="20"/>
      <w:szCs w:val="20"/>
    </w:rPr>
  </w:style>
  <w:style w:type="paragraph" w:customStyle="1" w:styleId="font8">
    <w:name w:val="font8"/>
    <w:basedOn w:val="Normal"/>
    <w:rsid w:val="00364C65"/>
    <w:pPr>
      <w:spacing w:before="100" w:beforeAutospacing="1" w:after="100" w:afterAutospacing="1"/>
    </w:pPr>
    <w:rPr>
      <w:rFonts w:ascii="Calibri" w:hAnsi="Calibri" w:cs="Calibri"/>
      <w:i/>
      <w:iCs/>
      <w:color w:val="000000"/>
      <w:sz w:val="20"/>
      <w:szCs w:val="20"/>
    </w:rPr>
  </w:style>
  <w:style w:type="paragraph" w:customStyle="1" w:styleId="xl65">
    <w:name w:val="xl65"/>
    <w:basedOn w:val="Normal"/>
    <w:rsid w:val="00364C6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6">
    <w:name w:val="xl66"/>
    <w:basedOn w:val="Normal"/>
    <w:rsid w:val="00364C6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sz w:val="20"/>
      <w:szCs w:val="20"/>
    </w:rPr>
  </w:style>
  <w:style w:type="paragraph" w:customStyle="1" w:styleId="xl67">
    <w:name w:val="xl67"/>
    <w:basedOn w:val="Normal"/>
    <w:rsid w:val="00364C65"/>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8">
    <w:name w:val="xl68"/>
    <w:basedOn w:val="Normal"/>
    <w:rsid w:val="00364C6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sz w:val="20"/>
      <w:szCs w:val="20"/>
    </w:rPr>
  </w:style>
  <w:style w:type="paragraph" w:customStyle="1" w:styleId="xl69">
    <w:name w:val="xl69"/>
    <w:basedOn w:val="Normal"/>
    <w:rsid w:val="00364C6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color w:val="000000"/>
      <w:sz w:val="20"/>
      <w:szCs w:val="20"/>
    </w:rPr>
  </w:style>
  <w:style w:type="paragraph" w:customStyle="1" w:styleId="xl70">
    <w:name w:val="xl70"/>
    <w:basedOn w:val="Normal"/>
    <w:rsid w:val="00364C6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color w:val="000000"/>
      <w:sz w:val="20"/>
      <w:szCs w:val="20"/>
    </w:rPr>
  </w:style>
  <w:style w:type="paragraph" w:customStyle="1" w:styleId="xl71">
    <w:name w:val="xl71"/>
    <w:basedOn w:val="Normal"/>
    <w:rsid w:val="00364C6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color w:val="222222"/>
      <w:sz w:val="20"/>
      <w:szCs w:val="20"/>
    </w:rPr>
  </w:style>
  <w:style w:type="paragraph" w:customStyle="1" w:styleId="xl72">
    <w:name w:val="xl72"/>
    <w:basedOn w:val="Normal"/>
    <w:rsid w:val="00364C65"/>
    <w:pPr>
      <w:shd w:val="clear" w:color="000000" w:fill="FCE4D6"/>
      <w:spacing w:before="100" w:beforeAutospacing="1" w:after="100" w:afterAutospacing="1"/>
    </w:pPr>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2733261">
      <w:bodyDiv w:val="1"/>
      <w:marLeft w:val="0"/>
      <w:marRight w:val="0"/>
      <w:marTop w:val="0"/>
      <w:marBottom w:val="0"/>
      <w:divBdr>
        <w:top w:val="none" w:sz="0" w:space="0" w:color="auto"/>
        <w:left w:val="none" w:sz="0" w:space="0" w:color="auto"/>
        <w:bottom w:val="none" w:sz="0" w:space="0" w:color="auto"/>
        <w:right w:val="none" w:sz="0" w:space="0" w:color="auto"/>
      </w:divBdr>
    </w:div>
    <w:div w:id="1377317262">
      <w:bodyDiv w:val="1"/>
      <w:marLeft w:val="0"/>
      <w:marRight w:val="0"/>
      <w:marTop w:val="0"/>
      <w:marBottom w:val="0"/>
      <w:divBdr>
        <w:top w:val="none" w:sz="0" w:space="0" w:color="auto"/>
        <w:left w:val="none" w:sz="0" w:space="0" w:color="auto"/>
        <w:bottom w:val="none" w:sz="0" w:space="0" w:color="auto"/>
        <w:right w:val="none" w:sz="0" w:space="0" w:color="auto"/>
      </w:divBdr>
    </w:div>
    <w:div w:id="185946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lm.nih.gov/toxnet/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6674A-CF05-4A41-A192-8300C3177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47</Pages>
  <Words>37143</Words>
  <Characters>211721</Characters>
  <Application>Microsoft Office Word</Application>
  <DocSecurity>0</DocSecurity>
  <Lines>1764</Lines>
  <Paragraphs>496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Van Daalen</dc:creator>
  <cp:keywords/>
  <dc:description/>
  <cp:lastModifiedBy>Kim van Daalen</cp:lastModifiedBy>
  <cp:revision>12</cp:revision>
  <dcterms:created xsi:type="dcterms:W3CDTF">2025-03-07T10:18:00Z</dcterms:created>
  <dcterms:modified xsi:type="dcterms:W3CDTF">2025-05-16T15:12:00Z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http://www.zotero.org/styles/plos-medicine</vt:lpwstr>
  </property>
  <property fmtid="{D5CDD505-2E9C-101B-9397-08002B2CF9AE}" pid="17" name="Mendeley Recent Style Name 7_1">
    <vt:lpwstr>PLOS Medicine</vt:lpwstr>
  </property>
  <property fmtid="{D5CDD505-2E9C-101B-9397-08002B2CF9AE}" pid="18" name="Mendeley Recent Style Id 8_1">
    <vt:lpwstr>http://www.zotero.org/styles/the-lancet</vt:lpwstr>
  </property>
  <property fmtid="{D5CDD505-2E9C-101B-9397-08002B2CF9AE}" pid="19" name="Mendeley Recent Style Name 8_1">
    <vt:lpwstr>The Lancet</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http://www.zotero.org/styles/the-lancet</vt:lpwstr>
  </property>
  <property fmtid="{D5CDD505-2E9C-101B-9397-08002B2CF9AE}" pid="23" name="Mendeley Document_1">
    <vt:lpwstr>True</vt:lpwstr>
  </property>
  <property fmtid="{D5CDD505-2E9C-101B-9397-08002B2CF9AE}" pid="24" name="Mendeley Unique User Id_1">
    <vt:lpwstr>05c0e3c2-c258-3de9-86be-5b5c921c81e8</vt:lpwstr>
  </property>
  <property fmtid="{D5CDD505-2E9C-101B-9397-08002B2CF9AE}" pid="25" name="MSIP_Label_fb276786-cf20-4f9d-b5c6-e06f7f4594c5_Enabled">
    <vt:lpwstr>true</vt:lpwstr>
  </property>
  <property fmtid="{D5CDD505-2E9C-101B-9397-08002B2CF9AE}" pid="26" name="MSIP_Label_fb276786-cf20-4f9d-b5c6-e06f7f4594c5_SetDate">
    <vt:lpwstr>2023-08-07T13:57:49Z</vt:lpwstr>
  </property>
  <property fmtid="{D5CDD505-2E9C-101B-9397-08002B2CF9AE}" pid="27" name="MSIP_Label_fb276786-cf20-4f9d-b5c6-e06f7f4594c5_Method">
    <vt:lpwstr>Standard</vt:lpwstr>
  </property>
  <property fmtid="{D5CDD505-2E9C-101B-9397-08002B2CF9AE}" pid="28" name="MSIP_Label_fb276786-cf20-4f9d-b5c6-e06f7f4594c5_Name">
    <vt:lpwstr>defa4170-0d19-0005-0004-bc88714345d2</vt:lpwstr>
  </property>
  <property fmtid="{D5CDD505-2E9C-101B-9397-08002B2CF9AE}" pid="29" name="MSIP_Label_fb276786-cf20-4f9d-b5c6-e06f7f4594c5_SiteId">
    <vt:lpwstr>d884ae64-32b1-4130-a449-4aa655c9a330</vt:lpwstr>
  </property>
  <property fmtid="{D5CDD505-2E9C-101B-9397-08002B2CF9AE}" pid="30" name="MSIP_Label_fb276786-cf20-4f9d-b5c6-e06f7f4594c5_ActionId">
    <vt:lpwstr>3b607643-c4d4-4aee-a2f3-709a7789a59a</vt:lpwstr>
  </property>
  <property fmtid="{D5CDD505-2E9C-101B-9397-08002B2CF9AE}" pid="31" name="MSIP_Label_fb276786-cf20-4f9d-b5c6-e06f7f4594c5_ContentBits">
    <vt:lpwstr>0</vt:lpwstr>
  </property>
</Properties>
</file>