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792" w:rsidRPr="00953BEB" w:rsidRDefault="00A36792" w:rsidP="00A3679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BEB">
        <w:rPr>
          <w:rFonts w:ascii="Times New Roman" w:hAnsi="Times New Roman" w:cs="Times New Roman"/>
          <w:b/>
          <w:sz w:val="24"/>
          <w:szCs w:val="24"/>
        </w:rPr>
        <w:t>Supplementary Table 1: Characteristics of included studies.</w:t>
      </w:r>
      <w:bookmarkStart w:id="0" w:name="_GoBack"/>
      <w:bookmarkEnd w:id="0"/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9"/>
        <w:gridCol w:w="1574"/>
        <w:gridCol w:w="2789"/>
        <w:gridCol w:w="2259"/>
        <w:gridCol w:w="1470"/>
        <w:gridCol w:w="1723"/>
        <w:gridCol w:w="2805"/>
      </w:tblGrid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Study (year), country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Recruitment and baseline sample size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Intervention(s)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Control condition(s)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Duration of intervention</w:t>
            </w:r>
          </w:p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92" w:rsidRPr="00953BEB" w:rsidRDefault="00DE2D8B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A36792"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utcome measure(s)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b/>
                <w:sz w:val="24"/>
                <w:szCs w:val="24"/>
              </w:rPr>
              <w:t>Main findings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EF095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Adane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(202</w:t>
            </w:r>
            <w:r w:rsidR="00EF095D" w:rsidRPr="00953B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), Northwest Ethiopia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5,500 households with a child younger than 4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03772A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Biomass-fuel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ed “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Mirt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” IBS stove without chimney (n=2,750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Traditional open fire used for cooking (n=2,758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EF095D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Incidence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of acute respiratory infections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 intervention did not have a beneficial effect on the incidence of acute lower respiratory infection (AOR=0.95, 95% CI=0.89 to 1.02, p=0.18) and cooking-related burns (IRR=0.80; 95% CI=0.53 to 1.21) compared with open fire. In terms of location of cooking quarter, separate kitchen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was associated with lower odds of acute lower respiratory infection (AOR=0.78, 95% CI=0.73 to 0.83, p&lt;0.001).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Carrión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(2019), Ghana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1,414 households with a non-smoking pregnant woman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1. Improved biomass (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Biolite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) stove (n=525 households, 486 infants)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2. Liquefied petroleum gas (LPG) stove (n=365 households, 335 infants)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Traditional 3-stone fire stove (n=525 households, 467 infants)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Presence of respiratory microbes in nasopharyngeal swabs identified using 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MassTag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polymerase chain reaction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There were 130 pneumonia cases (63 in LPG stove group versus 67 in 3-stone fire stove group). Infants in 3-stone arm had a higher mean number of microbial species presence than LPG intervention arm (2.71 versus 3.34, p&lt;0.0001). The difference was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associated with increased bacterial (p&lt;0.0001) rather than viral species abundance. Results were pronounced in pneumonia cases and attenuated in healthy controls. Three bacteria, namely </w:t>
            </w:r>
            <w:r w:rsidRPr="00953B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Streptococcus </w:t>
            </w:r>
            <w:proofErr w:type="spellStart"/>
            <w:r w:rsidRPr="00953B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pneumoniae</w:t>
            </w:r>
            <w:proofErr w:type="spellEnd"/>
            <w:r w:rsidRPr="00953B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953B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Moraxella </w:t>
            </w:r>
            <w:proofErr w:type="spellStart"/>
            <w:r w:rsidRPr="00953B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catarrhalis</w:t>
            </w:r>
            <w:proofErr w:type="spellEnd"/>
            <w:r w:rsidRPr="00953BEB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953B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Haemophilus </w:t>
            </w:r>
            <w:proofErr w:type="spellStart"/>
            <w:r w:rsidRPr="00953B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influenzae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appeared more prevalent among cases in the 3-stone arm compared to cases in the LPG arm.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Hanna, et al. (2016), India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44 villages consisting of 2,651 households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Improved stove developed by the Appropriate Rural Technology Institute (ARTI) with a base enclosing the cooking flame, a chimney to direct smoke away from the user, and two pots to potentially reduce cooking time (n=23 households)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03772A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Solid-fuel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ed traditional stove with one pot (n=2,458 households)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48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Physician-diagnosed pneumonia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Women who cooked more meals with improved stove had fewer coughs or colds and a lower likelihood of sore eyes and wheezing. Cooki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>ng meal with an improved stove wa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s associated with lower smoke exposure, as measured by carbon monoxide for both women and prim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>ary cooks. For children, there wa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s a significantly negative correlation between each additional meal cooked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with a clean stove in th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e last week and smoke exposure.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Improved stove had no effect on the incidence of physician-diagnosed pneumonia and respiratory syncytia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virus infection among children.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Hartinger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(2016), Peru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51 rural communities of 534 households with a child aged 6 to 35 months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Improved solid-fuel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stove (OPTIMA-improved stove) and a kitchen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sink providing piped water within the household’s kitchen (n=25 communities, 267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No intervention (n=26 communities, 267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Episodes of acute respiratory infection and acute lower respiratory infection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The total number of episodes of acute respiratory infection was 831 in the intervention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group and 877 in the control group (RR=0.95, 95% CI=0.82 to 1.10, p=0.53). The total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numbers of acute lower respiratory infection episodes were 25 in the intervention arm versus 10 in the control arm (RR=2.45, 95% CI=0.82 to 7.39, p=0.11). Number of children with at least one acute lower respiratory infection episode was 17/248 (7%) in </w:t>
            </w:r>
            <w:r w:rsidR="002F34BD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intervention group compared to 10/251 (4%) in </w:t>
            </w:r>
            <w:r w:rsidR="002F34BD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control group.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Howden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-Chapman, et al. (2007), New Zealand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7 low-income communities containing 1,350 households of 4,407 participants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Installation of ceiling insulation, draught stopping around windows and doors, and fitting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sisalated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paper beneath floor joists and a polythene moisture barrier on the ground beneath the house  (n=679 households, 2,262 participants)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No intervention (n=671 households, 2,145 participants)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Incidence of colds or flu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 odds of reporting ineffective heating after intervention was significantly lower for insulated houses (AOR=0.38, 95% CI=0.25 to 0.57, p&lt;0.0001). People in insulated houses had about half the odds of respiratory symptoms, such as recent wheezing (AOR=0.57, 95% CI=0.47 to 0.70, p&lt;0.0001) and winter colds and flu (AOR=0.54, 95% CI=0.43 to 0.66, p&lt;0.0001) as </w:t>
            </w:r>
            <w:r w:rsidR="002F34BD"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compared to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those in the control group.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Howden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-Chapman, et al. (2008), New Zealand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409 households in 5 communities containing 409 children aged 6 to 12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Installation of a non-polluting, more effective home heater of types such as heat pump, wood pellet burner, or flued gas (n=175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No intervention (n=174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Episodes of colds or flu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Children in the intervention group had an average of 0.5 fewer episodes of cold and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flu (95% CI=0.14 to 0.79, p=0.01) and 0.27 fewer visits to the doctor (95% CI=0.01 to 0.46, p=0.04) compared to</w:t>
            </w:r>
            <w:r w:rsidR="002F34BD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control group. Heating intervention was associated with a significant reduction in lower respiratory tract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symptoms (AMR=0.77, 95% CI=0.73 to 0.81, p=0.013), cough (AMR=0.75, 95% CI=0.62 to 0.92, p=0.005), and wheeze (AMR=0.67, 95% CI=0.50 to 0.91, p=0.011).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Kirby, et al. (2019), Rwanda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1,582 households with a child under the age of 4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03772A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Intervention program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branded “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Tubeho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Neza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” (“Live Well” in Kinyarwanda), included a free tabletop gravity-based household water filter (the 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Vestergaard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Frandsen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LifeStraw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Family 2.0) 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comprising 5.5 liters of b</w:t>
            </w:r>
            <w:r w:rsidR="00B72035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uilt-in safe storage with a tap 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as well as a portable high-efficiency wood-burning </w:t>
            </w:r>
            <w:proofErr w:type="spellStart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cookstove</w:t>
            </w:r>
            <w:proofErr w:type="spellEnd"/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(Eco-Zoom Dura), community and household education (e.g., via skit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s and radio songs), and behavio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change messaging using culturally appropriate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prepiloted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materials informed by focus groups (n=789 households, 1,073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intervention (n=793 households, 1,101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Caregiver-reported acute respiratory infection in the past 7 days among all children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younger than 5 years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C1683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prevalence of caretaker-reported acute respiratory infection among children was 9.9% in the intervention arm and 14.3% in the control arm, implying a 25% decline in prevalence after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adjusting for age and gender (PR=0.75, 95% CI=0.60 to 0.93, p=0.009). Current pneumonia was diagnosed in 41/2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574 children in the intervention group (1.6%) and in 55/2</w:t>
            </w:r>
            <w:r w:rsidR="0003772A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829 children in the control group (1.9%). After adjusting for age and gender, th</w:t>
            </w:r>
            <w:r w:rsidR="00C16836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e difference was not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significant (PR=0.87, 95% CI=0.58 to 1.30, p=0.491). Prevalence of reported burns was lower in the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intervention arm compared to controls, with 1.8% prevalence in the intervention arm and 3.6% prevalence in the control arm (PR=0.51, 95% CI=0.36 to 0.74, p&lt;0.001).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Mortimer, et al. (2017 &amp; 2020), Malawi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8,626 households across 150 community-level clusters, involving 10</w:t>
            </w:r>
            <w:r w:rsidR="00C16836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750 children </w:t>
            </w:r>
            <w:r w:rsidRPr="00953B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under the age of 4.5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>wo cleaner burning biomass-fuel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cookstoves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(Philips HD4012LS), a solar panel to charge the battery for the stove fan, and user training (n=4</w:t>
            </w:r>
            <w:r w:rsidR="00C76480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339 households, 5,400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Traditional cooking methods, typically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open fires (n=4</w:t>
            </w:r>
            <w:r w:rsidR="00C76480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287 households, 5,350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WHO Integrated Management of Childhood Illness (IMCI)-defined pneumonia in children under 5 years of age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diagnosed by physicians, medical officers, or other appropriatel</w:t>
            </w:r>
            <w:r w:rsidR="00C76480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y trained staff at local health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care facilities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444D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IMCI pneumonia incidence rate in the intervention group was 15.76 (95% CI=14.89 to 16.63) per 100 child-years compared to 15.58 (95% CI=14.72 to 16.45) per 100 child-years in the control group, with an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IRR of 1.01 (95% CI=0.91 to 1.13, p=0·80). Cooking-related serious burns were seen 9 children in the intervention and 10 (1 death) in the control group (IRR=0.91, 95% CI=0.37 to 2.23, p=0.83). There was a significant 42% reduction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(IRR=0.58, 95% CI=0.51 to 0.65, p&lt;0·0001) in risk of non-serious burns in the intervention group (549 in the intervention group and 956 in the control group).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second study 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no association between carbon monoxide exposure (IRR=1.00, 95% CI=0.96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7 to 1.014, p=0.53)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and pneumonia incidence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Najnin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(2019), Bangladesh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60,000 low-income households (n=237,216 people)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1. Handwashing and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water treatment intervention hardware which included a bucket with a tap, soapy water bottle, and a bowl to collect rinse water after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washing hands at the compound level and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cholera-vaccine (n=80,634 people)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2. Cholera-vaccine-alone (n=80,161 people)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Regular habits and practices without any intervention (n=76,421 people)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24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Acute respiratory infections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Respiratory illness prevalence was similar across the groups. People who ha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d soap and water present in the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handwashing station reported lower respiratory illness prevalence (2.4% versus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3.0%, p&lt;0.001).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Ram, et al. (2015), Bangladesh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766 index-case patients with influenza-like illness (fever with cough or sore throat) who were the only symptomatic person in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their household (384 household compounds)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Provision of a handwashing station that consisted of a large water container with a tap, a plastic case for soap, and a bar of soap, in tandem with intensive handwashing promotion (n=193 patients)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No intervention (n=184 patients)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Influenza-like illness and laboratory-confirmed influenza infection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Influenza infection was confirmed in 20% of controls and 12% of intervention index case-patients. 158/1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661 (9.5%) susceptible household members were identified with influenza-like illness in the intervention arm in comparison to 115/1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498 (7.7%) in the control arm.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secondary attack ratio for influenza infection was 9.6% in the intervention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arm and 4.0% in the control arm (SAR ratio=2.40, 95% CI=0.68 to 8.47, p=0.17). Influenza infection was</w:t>
            </w:r>
          </w:p>
          <w:p w:rsidR="00A36792" w:rsidRPr="00953BEB" w:rsidRDefault="00A36792" w:rsidP="00444D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transmitted similarly among 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>both intervention and control groups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to members of all households in the compounds and to members of index case-patient households.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Schilmann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(2014), Mexico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2D55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668 households with a </w:t>
            </w:r>
            <w:r w:rsidR="002D5575" w:rsidRPr="00953BEB">
              <w:rPr>
                <w:rFonts w:ascii="Times New Roman" w:hAnsi="Times New Roman" w:cs="Times New Roman"/>
                <w:sz w:val="24"/>
                <w:szCs w:val="24"/>
              </w:rPr>
              <w:t>woman and a child under 4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Patsari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multi-pot wood-burning efficient chimney stove (n=338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Traditional wood fire (n=330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10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Upper and lower respiratory infection duration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444DC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 children of households using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Patsari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stove had reduced risk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of upper respiratory infection (OR=0.840, 95% CI=0.689 to 1.025) and lower respiratory infection episode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(OR=0.612, 95% CI=0.207 to 1.805) compared to </w:t>
            </w:r>
            <w:r w:rsidR="00444DCE" w:rsidRPr="00953BEB">
              <w:rPr>
                <w:rFonts w:ascii="Times New Roman" w:hAnsi="Times New Roman" w:cs="Times New Roman"/>
                <w:sz w:val="24"/>
                <w:szCs w:val="24"/>
              </w:rPr>
              <w:t>the control group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5575" w:rsidRPr="00953BEB">
              <w:rPr>
                <w:rFonts w:ascii="Times New Roman" w:hAnsi="Times New Roman" w:cs="Times New Roman"/>
                <w:sz w:val="24"/>
                <w:szCs w:val="24"/>
              </w:rPr>
              <w:t>Children of mothers who were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using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Patsari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stove had a 28% decrease (IRR=0.789, 95% CI=0.701 to 0.888, p&lt;0.001) for the mean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duration of upper respiratory infection episodes compared to those using the open fire, while the mean duration of lower respiratory infection</w:t>
            </w:r>
            <w:r w:rsidR="002D5575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episodes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was more than twofold shorter (IRR=0.411, 95% CI=0.212 to 0.796, p=0.008). Those who were using combined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Patsari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and open fire also showed a trend toward the reduction of upper respiratory infection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duration compared to households using open fire alone.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Smith, et al. (2011), Guatemala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534 households with a pregnant woman or child younger than 4 months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Woodstove with chimney (n=269 households, 265 children)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Traditional open fire used for cooking (n=265 households, 253 children)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12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Physician-diagnosed pneumonia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There were 72 cas</w:t>
            </w:r>
            <w:r w:rsidR="003B19F2" w:rsidRPr="00953BEB">
              <w:rPr>
                <w:rFonts w:ascii="Times New Roman" w:hAnsi="Times New Roman" w:cs="Times New Roman"/>
                <w:sz w:val="24"/>
                <w:szCs w:val="24"/>
              </w:rPr>
              <w:t>es of severe (hypox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emic) pneumonia in the intervention group and 101 in the control group (RR=0.67, 95% CI=0.45 to 0.98, p=0.042). A significant reduction in the intervention group was observed for respiratory syncytial virus-negative cases, but not for respiratory syncytial virus-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positive cases. Use of the intervention stove was not associated with any important adverse events, including burns.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Tielsch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(2014 &amp; 2016), Nepal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51 sectors of 20 to 30 households that had at least one child aged younger than 36 months or a married woman aged 15 to 30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Improved biomass stove with chimney (n=3,376 households, 5,254 children)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Traditional open burning biomass </w:t>
            </w: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cookstove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(n=3,376 households, 5,254 children, standard step-wedge trial design)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6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Incidence of acute lower respiratory infection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2D557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The intervention was associated with a 13% reduction in the incidence of acute lower respiratory </w:t>
            </w:r>
            <w:r w:rsidR="002D5575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infection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(RO=0.87, 95% CI=0.67 to 1.13). There were statistically significant reductions in persistent cough (RO=0.91, 0.85 to 0.97), wheeze (RO=0.87, 95%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CI=0.78 to 0.97), and burn injury (RO=0.68, 95% CI=0.48 to 0.95), but not for fever, severe acute lower respiratory infection, or ear discharge.</w:t>
            </w:r>
          </w:p>
        </w:tc>
      </w:tr>
      <w:tr w:rsidR="00A36792" w:rsidRPr="00953BEB" w:rsidTr="003B19F2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Wafula</w:t>
            </w:r>
            <w:proofErr w:type="spellEnd"/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, et al. (2000), Kenya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400 households that had a woman aged between 15 and</w:t>
            </w:r>
          </w:p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60 years and all children aged below 5 years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Improved stove (n=200 households, 321 participants)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2D5575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36792" w:rsidRPr="00953BEB">
              <w:rPr>
                <w:rFonts w:ascii="Times New Roman" w:hAnsi="Times New Roman" w:cs="Times New Roman"/>
                <w:sz w:val="24"/>
                <w:szCs w:val="24"/>
              </w:rPr>
              <w:t>raditional 3-stone stove (n=200 households, 327 participants)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2 months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Occurrence of acute respiratory infection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92" w:rsidRPr="00953BEB" w:rsidRDefault="00A36792" w:rsidP="0091636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>The week</w:t>
            </w:r>
            <w:r w:rsidR="002D5575" w:rsidRPr="00953BEB">
              <w:rPr>
                <w:rFonts w:ascii="Times New Roman" w:hAnsi="Times New Roman" w:cs="Times New Roman"/>
                <w:sz w:val="24"/>
                <w:szCs w:val="24"/>
              </w:rPr>
              <w:t>ly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prevalence for acute respiratory infection among children aged below 5 years from households with improved stove was</w:t>
            </w:r>
            <w:r w:rsidR="002D5575"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t xml:space="preserve">significantly lower than those from households using traditional 3-stone stove (28/121 versus 75/127, </w:t>
            </w:r>
            <w:r w:rsidRPr="00953B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RR=2.6, 95% CI=1.86 to 3.63, p&lt;0.0001). Similar benefit was observed among women aged between 15 and 60 years (27/200 versus 76/200, RR=2.8, 95% CI= 1.93 to 4.06, p&lt;0.0001).</w:t>
            </w:r>
          </w:p>
        </w:tc>
      </w:tr>
    </w:tbl>
    <w:p w:rsidR="00A36792" w:rsidRPr="00953BEB" w:rsidRDefault="00A36792" w:rsidP="002D557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EB">
        <w:rPr>
          <w:rFonts w:ascii="Times New Roman" w:hAnsi="Times New Roman" w:cs="Times New Roman"/>
          <w:b/>
          <w:sz w:val="24"/>
          <w:szCs w:val="24"/>
        </w:rPr>
        <w:lastRenderedPageBreak/>
        <w:t>CI</w:t>
      </w:r>
      <w:r w:rsidR="002D5575" w:rsidRPr="00953BEB">
        <w:rPr>
          <w:rFonts w:ascii="Times New Roman" w:hAnsi="Times New Roman" w:cs="Times New Roman"/>
          <w:sz w:val="24"/>
          <w:szCs w:val="24"/>
        </w:rPr>
        <w:t>: C</w:t>
      </w:r>
      <w:r w:rsidRPr="00953BEB">
        <w:rPr>
          <w:rFonts w:ascii="Times New Roman" w:hAnsi="Times New Roman" w:cs="Times New Roman"/>
          <w:sz w:val="24"/>
          <w:szCs w:val="24"/>
        </w:rPr>
        <w:t xml:space="preserve">onfidence interval; </w:t>
      </w:r>
      <w:r w:rsidRPr="00953BEB">
        <w:rPr>
          <w:rFonts w:ascii="Times New Roman" w:hAnsi="Times New Roman" w:cs="Times New Roman"/>
          <w:b/>
          <w:sz w:val="24"/>
          <w:szCs w:val="24"/>
        </w:rPr>
        <w:t>RR</w:t>
      </w:r>
      <w:r w:rsidR="002D5575" w:rsidRPr="00953BEB">
        <w:rPr>
          <w:rFonts w:ascii="Times New Roman" w:hAnsi="Times New Roman" w:cs="Times New Roman"/>
          <w:sz w:val="24"/>
          <w:szCs w:val="24"/>
        </w:rPr>
        <w:t>: R</w:t>
      </w:r>
      <w:r w:rsidRPr="00953BEB">
        <w:rPr>
          <w:rFonts w:ascii="Times New Roman" w:hAnsi="Times New Roman" w:cs="Times New Roman"/>
          <w:sz w:val="24"/>
          <w:szCs w:val="24"/>
        </w:rPr>
        <w:t xml:space="preserve">elative risk; </w:t>
      </w:r>
      <w:r w:rsidRPr="00953BEB">
        <w:rPr>
          <w:rFonts w:ascii="Times New Roman" w:hAnsi="Times New Roman" w:cs="Times New Roman"/>
          <w:b/>
          <w:sz w:val="24"/>
          <w:szCs w:val="24"/>
        </w:rPr>
        <w:t>IRR</w:t>
      </w:r>
      <w:r w:rsidR="002D5575" w:rsidRPr="00953BEB">
        <w:rPr>
          <w:rFonts w:ascii="Times New Roman" w:hAnsi="Times New Roman" w:cs="Times New Roman"/>
          <w:sz w:val="24"/>
          <w:szCs w:val="24"/>
        </w:rPr>
        <w:t>: I</w:t>
      </w:r>
      <w:r w:rsidRPr="00953BEB">
        <w:rPr>
          <w:rFonts w:ascii="Times New Roman" w:hAnsi="Times New Roman" w:cs="Times New Roman"/>
          <w:sz w:val="24"/>
          <w:szCs w:val="24"/>
        </w:rPr>
        <w:t xml:space="preserve">ncidence rate ratio; </w:t>
      </w:r>
      <w:r w:rsidRPr="00953BEB">
        <w:rPr>
          <w:rFonts w:ascii="Times New Roman" w:hAnsi="Times New Roman" w:cs="Times New Roman"/>
          <w:b/>
          <w:sz w:val="24"/>
          <w:szCs w:val="24"/>
        </w:rPr>
        <w:t>AOR</w:t>
      </w:r>
      <w:r w:rsidR="002D5575" w:rsidRPr="00953BEB">
        <w:rPr>
          <w:rFonts w:ascii="Times New Roman" w:hAnsi="Times New Roman" w:cs="Times New Roman"/>
          <w:sz w:val="24"/>
          <w:szCs w:val="24"/>
        </w:rPr>
        <w:t>: A</w:t>
      </w:r>
      <w:r w:rsidRPr="00953BEB">
        <w:rPr>
          <w:rFonts w:ascii="Times New Roman" w:hAnsi="Times New Roman" w:cs="Times New Roman"/>
          <w:sz w:val="24"/>
          <w:szCs w:val="24"/>
        </w:rPr>
        <w:t xml:space="preserve">djusted odds ratio; </w:t>
      </w:r>
      <w:r w:rsidRPr="00953BEB">
        <w:rPr>
          <w:rFonts w:ascii="Times New Roman" w:hAnsi="Times New Roman" w:cs="Times New Roman"/>
          <w:b/>
          <w:sz w:val="24"/>
          <w:szCs w:val="24"/>
        </w:rPr>
        <w:t>PR</w:t>
      </w:r>
      <w:r w:rsidR="002D5575" w:rsidRPr="00953BEB">
        <w:rPr>
          <w:rFonts w:ascii="Times New Roman" w:hAnsi="Times New Roman" w:cs="Times New Roman"/>
          <w:sz w:val="24"/>
          <w:szCs w:val="24"/>
        </w:rPr>
        <w:t>: P</w:t>
      </w:r>
      <w:r w:rsidRPr="00953BEB">
        <w:rPr>
          <w:rFonts w:ascii="Times New Roman" w:hAnsi="Times New Roman" w:cs="Times New Roman"/>
          <w:sz w:val="24"/>
          <w:szCs w:val="24"/>
        </w:rPr>
        <w:t xml:space="preserve">revalence ratio; </w:t>
      </w:r>
      <w:r w:rsidRPr="00953BEB">
        <w:rPr>
          <w:rFonts w:ascii="Times New Roman" w:hAnsi="Times New Roman" w:cs="Times New Roman"/>
          <w:b/>
          <w:sz w:val="24"/>
          <w:szCs w:val="24"/>
        </w:rPr>
        <w:t>RO</w:t>
      </w:r>
      <w:r w:rsidR="002D5575" w:rsidRPr="00953BEB">
        <w:rPr>
          <w:rFonts w:ascii="Times New Roman" w:hAnsi="Times New Roman" w:cs="Times New Roman"/>
          <w:sz w:val="24"/>
          <w:szCs w:val="24"/>
        </w:rPr>
        <w:t>: R</w:t>
      </w:r>
      <w:r w:rsidRPr="00953BEB">
        <w:rPr>
          <w:rFonts w:ascii="Times New Roman" w:hAnsi="Times New Roman" w:cs="Times New Roman"/>
          <w:sz w:val="24"/>
          <w:szCs w:val="24"/>
        </w:rPr>
        <w:t xml:space="preserve">elative odds; </w:t>
      </w:r>
      <w:r w:rsidRPr="00953BEB">
        <w:rPr>
          <w:rFonts w:ascii="Times New Roman" w:hAnsi="Times New Roman" w:cs="Times New Roman"/>
          <w:b/>
          <w:sz w:val="24"/>
          <w:szCs w:val="24"/>
        </w:rPr>
        <w:t>AMR</w:t>
      </w:r>
      <w:r w:rsidR="002D5575" w:rsidRPr="00953BEB">
        <w:rPr>
          <w:rFonts w:ascii="Times New Roman" w:hAnsi="Times New Roman" w:cs="Times New Roman"/>
          <w:sz w:val="24"/>
          <w:szCs w:val="24"/>
        </w:rPr>
        <w:t>: A</w:t>
      </w:r>
      <w:r w:rsidRPr="00953BEB">
        <w:rPr>
          <w:rFonts w:ascii="Times New Roman" w:hAnsi="Times New Roman" w:cs="Times New Roman"/>
          <w:sz w:val="24"/>
          <w:szCs w:val="24"/>
        </w:rPr>
        <w:t>djusted mean ratio</w:t>
      </w:r>
      <w:r w:rsidR="002D5575" w:rsidRPr="00953BEB">
        <w:rPr>
          <w:rFonts w:ascii="Times New Roman" w:hAnsi="Times New Roman" w:cs="Times New Roman"/>
          <w:sz w:val="24"/>
          <w:szCs w:val="24"/>
        </w:rPr>
        <w:t>.</w:t>
      </w:r>
    </w:p>
    <w:p w:rsidR="00A36792" w:rsidRPr="00953BEB" w:rsidRDefault="00A36792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5575" w:rsidRPr="00953BEB" w:rsidRDefault="002D5575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5575" w:rsidRPr="00953BEB" w:rsidRDefault="002D5575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5575" w:rsidRPr="00953BEB" w:rsidRDefault="002D5575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5575" w:rsidRPr="00953BEB" w:rsidRDefault="002D5575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D5575" w:rsidRPr="00953BEB" w:rsidRDefault="002D5575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6792" w:rsidRPr="00953BEB" w:rsidRDefault="00A36792" w:rsidP="00A3679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6792" w:rsidRPr="00953BEB" w:rsidRDefault="00A36792" w:rsidP="00A36792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MY"/>
        </w:rPr>
      </w:pPr>
      <w:r w:rsidRPr="00953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-MY"/>
        </w:rPr>
        <w:t>Supplementary Table 2: Certainty assessment of the included evidence via the GRADE approach.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1128"/>
        <w:gridCol w:w="727"/>
        <w:gridCol w:w="1258"/>
        <w:gridCol w:w="1158"/>
        <w:gridCol w:w="1138"/>
        <w:gridCol w:w="1328"/>
        <w:gridCol w:w="1158"/>
        <w:gridCol w:w="1077"/>
        <w:gridCol w:w="847"/>
        <w:gridCol w:w="897"/>
        <w:gridCol w:w="1218"/>
        <w:gridCol w:w="1268"/>
      </w:tblGrid>
      <w:tr w:rsidR="00A36792" w:rsidRPr="00953BEB" w:rsidTr="00916366">
        <w:tc>
          <w:tcPr>
            <w:tcW w:w="7599" w:type="dxa"/>
            <w:gridSpan w:val="7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Certainty assessment</w:t>
            </w:r>
          </w:p>
        </w:tc>
        <w:tc>
          <w:tcPr>
            <w:tcW w:w="2237" w:type="dxa"/>
            <w:gridSpan w:val="2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№ of patients</w:t>
            </w:r>
          </w:p>
        </w:tc>
        <w:tc>
          <w:tcPr>
            <w:tcW w:w="1728" w:type="dxa"/>
            <w:gridSpan w:val="2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Effect</w:t>
            </w:r>
          </w:p>
        </w:tc>
        <w:tc>
          <w:tcPr>
            <w:tcW w:w="1174" w:type="dxa"/>
            <w:vMerge w:val="restart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Certainty</w:t>
            </w:r>
          </w:p>
        </w:tc>
        <w:tc>
          <w:tcPr>
            <w:tcW w:w="1210" w:type="dxa"/>
            <w:vMerge w:val="restart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Importance</w:t>
            </w:r>
          </w:p>
        </w:tc>
      </w:tr>
      <w:tr w:rsidR="00A36792" w:rsidRPr="00953BEB" w:rsidTr="00916366">
        <w:tc>
          <w:tcPr>
            <w:tcW w:w="775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№ of studies</w:t>
            </w:r>
          </w:p>
        </w:tc>
        <w:tc>
          <w:tcPr>
            <w:tcW w:w="1164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Study design</w:t>
            </w:r>
          </w:p>
        </w:tc>
        <w:tc>
          <w:tcPr>
            <w:tcW w:w="761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Risk of bias</w:t>
            </w:r>
          </w:p>
        </w:tc>
        <w:tc>
          <w:tcPr>
            <w:tcW w:w="1280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Inconsistency</w:t>
            </w:r>
          </w:p>
        </w:tc>
        <w:tc>
          <w:tcPr>
            <w:tcW w:w="1156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Indirectness</w:t>
            </w:r>
          </w:p>
        </w:tc>
        <w:tc>
          <w:tcPr>
            <w:tcW w:w="1112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Imprecision</w:t>
            </w:r>
          </w:p>
        </w:tc>
        <w:tc>
          <w:tcPr>
            <w:tcW w:w="1351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Other considerations</w:t>
            </w:r>
          </w:p>
        </w:tc>
        <w:tc>
          <w:tcPr>
            <w:tcW w:w="1129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Housing intervention</w:t>
            </w:r>
          </w:p>
        </w:tc>
        <w:tc>
          <w:tcPr>
            <w:tcW w:w="1108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Control</w:t>
            </w:r>
          </w:p>
        </w:tc>
        <w:tc>
          <w:tcPr>
            <w:tcW w:w="829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Relative</w:t>
            </w:r>
          </w:p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(95% CI)</w:t>
            </w:r>
          </w:p>
        </w:tc>
        <w:tc>
          <w:tcPr>
            <w:tcW w:w="899" w:type="dxa"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Absolute</w:t>
            </w:r>
          </w:p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(95% CI)</w:t>
            </w:r>
          </w:p>
        </w:tc>
        <w:tc>
          <w:tcPr>
            <w:tcW w:w="1174" w:type="dxa"/>
            <w:vMerge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</w:p>
        </w:tc>
        <w:tc>
          <w:tcPr>
            <w:tcW w:w="1210" w:type="dxa"/>
            <w:vMerge/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</w:p>
        </w:tc>
      </w:tr>
      <w:tr w:rsidR="00A36792" w:rsidRPr="00953BEB" w:rsidTr="00916366">
        <w:tc>
          <w:tcPr>
            <w:tcW w:w="13948" w:type="dxa"/>
            <w:gridSpan w:val="13"/>
          </w:tcPr>
          <w:p w:rsidR="00A36792" w:rsidRPr="00953BEB" w:rsidRDefault="00A36792" w:rsidP="0091636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t>Any respiratory tract infection (primary outcome)</w:t>
            </w:r>
          </w:p>
        </w:tc>
      </w:tr>
      <w:tr w:rsidR="00A36792" w:rsidRPr="00953BEB" w:rsidTr="00916366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10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Randomized trials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Serious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None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4386/54997 (8.0%)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4467/42488 (10.5%)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RR 0.89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 xml:space="preserve">(0.78 to 1.01)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12 fewer per 1,000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 xml:space="preserve">(from 23 fewer 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lastRenderedPageBreak/>
              <w:t xml:space="preserve">to 1 more)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Cambria Math" w:eastAsia="Times New Roman" w:hAnsi="Cambria Math" w:cs="Cambria Math"/>
                <w:sz w:val="24"/>
                <w:szCs w:val="24"/>
                <w:lang w:eastAsia="en-MY"/>
              </w:rPr>
              <w:lastRenderedPageBreak/>
              <w:t>⨁⨁⨁</w:t>
            </w:r>
            <w:r w:rsidRPr="00953BEB">
              <w:rPr>
                <w:rFonts w:ascii="MS Mincho" w:eastAsia="MS Mincho" w:hAnsi="MS Mincho" w:cs="MS Mincho" w:hint="eastAsia"/>
                <w:sz w:val="24"/>
                <w:szCs w:val="24"/>
                <w:lang w:eastAsia="en-MY"/>
              </w:rPr>
              <w:t>◯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 xml:space="preserve">MODERATE 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CRITICAL </w:t>
            </w:r>
          </w:p>
        </w:tc>
      </w:tr>
      <w:tr w:rsidR="00A36792" w:rsidRPr="00953BEB" w:rsidTr="00916366">
        <w:tc>
          <w:tcPr>
            <w:tcW w:w="13948" w:type="dxa"/>
            <w:gridSpan w:val="13"/>
          </w:tcPr>
          <w:p w:rsidR="00A36792" w:rsidRPr="00953BEB" w:rsidRDefault="00A36792" w:rsidP="0091636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  <w:lastRenderedPageBreak/>
              <w:t>Upper respiratory tract infection / lower respiratory tract infection</w:t>
            </w:r>
          </w:p>
        </w:tc>
      </w:tr>
      <w:tr w:rsidR="00A36792" w:rsidRPr="00953BEB" w:rsidTr="00916366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7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Randomized trials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Serious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None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3215/26867 (12.0%)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cell-value"/>
                <w:rFonts w:ascii="Times New Roman" w:eastAsia="Times New Roman" w:hAnsi="Times New Roman" w:cs="Times New Roman"/>
                <w:sz w:val="24"/>
                <w:szCs w:val="24"/>
              </w:rPr>
              <w:t xml:space="preserve">3427/26573 (12.9%)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bloc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RR 0.94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53BEB">
              <w:rPr>
                <w:rStyle w:val="cell"/>
                <w:rFonts w:ascii="Times New Roman" w:eastAsia="Times New Roman" w:hAnsi="Times New Roman" w:cs="Times New Roman"/>
                <w:sz w:val="24"/>
                <w:szCs w:val="24"/>
              </w:rPr>
              <w:t>(0.84 to 1.05)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fewer per 1,000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(from 21 fewer to 6 more)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Cambria Math" w:eastAsia="Times New Roman" w:hAnsi="Cambria Math" w:cs="Cambria Math"/>
                <w:sz w:val="24"/>
                <w:szCs w:val="24"/>
                <w:lang w:eastAsia="en-MY"/>
              </w:rPr>
              <w:t>⨁⨁⨁</w:t>
            </w:r>
            <w:r w:rsidRPr="00953BEB">
              <w:rPr>
                <w:rFonts w:ascii="MS Mincho" w:eastAsia="MS Mincho" w:hAnsi="MS Mincho" w:cs="MS Mincho" w:hint="eastAsia"/>
                <w:sz w:val="24"/>
                <w:szCs w:val="24"/>
                <w:lang w:eastAsia="en-MY"/>
              </w:rPr>
              <w:t>◯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MODERATE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IMPORTANT</w:t>
            </w:r>
          </w:p>
        </w:tc>
      </w:tr>
      <w:tr w:rsidR="00A36792" w:rsidRPr="00953BEB" w:rsidTr="00916366">
        <w:tc>
          <w:tcPr>
            <w:tcW w:w="13948" w:type="dxa"/>
            <w:gridSpan w:val="13"/>
          </w:tcPr>
          <w:p w:rsidR="00A36792" w:rsidRPr="00953BEB" w:rsidRDefault="00A36792" w:rsidP="0091636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Pneumonia</w:t>
            </w:r>
          </w:p>
        </w:tc>
      </w:tr>
      <w:tr w:rsidR="00A36792" w:rsidRPr="00953BEB" w:rsidTr="00916366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Randomized trials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Serious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None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414/23535 (1.8%)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cell-value"/>
                <w:rFonts w:ascii="Times New Roman" w:eastAsia="Times New Roman" w:hAnsi="Times New Roman" w:cs="Times New Roman"/>
                <w:sz w:val="24"/>
                <w:szCs w:val="24"/>
              </w:rPr>
              <w:t xml:space="preserve">316/20651 (1.5%)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bloc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RR 1.01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53BEB">
              <w:rPr>
                <w:rStyle w:val="cell"/>
                <w:rFonts w:ascii="Times New Roman" w:eastAsia="Times New Roman" w:hAnsi="Times New Roman" w:cs="Times New Roman"/>
                <w:sz w:val="24"/>
                <w:szCs w:val="24"/>
              </w:rPr>
              <w:t xml:space="preserve">(0.70 </w:t>
            </w:r>
            <w:r w:rsidRPr="00953BEB">
              <w:rPr>
                <w:rStyle w:val="cell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to 1.47)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0 fewer per </w:t>
            </w: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1,000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(from 5 fewer to 7 more)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Cambria Math" w:eastAsia="Times New Roman" w:hAnsi="Cambria Math" w:cs="Cambria Math"/>
                <w:sz w:val="24"/>
                <w:szCs w:val="24"/>
                <w:lang w:eastAsia="en-MY"/>
              </w:rPr>
              <w:lastRenderedPageBreak/>
              <w:t>⨁⨁⨁</w:t>
            </w:r>
            <w:r w:rsidRPr="00953BEB">
              <w:rPr>
                <w:rFonts w:ascii="MS Mincho" w:eastAsia="MS Mincho" w:hAnsi="MS Mincho" w:cs="MS Mincho" w:hint="eastAsia"/>
                <w:sz w:val="24"/>
                <w:szCs w:val="24"/>
                <w:lang w:eastAsia="en-MY"/>
              </w:rPr>
              <w:t>◯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MODERATE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IMPORTANT</w:t>
            </w:r>
          </w:p>
        </w:tc>
      </w:tr>
      <w:tr w:rsidR="00A36792" w:rsidRPr="00953BEB" w:rsidTr="00916366">
        <w:tc>
          <w:tcPr>
            <w:tcW w:w="13948" w:type="dxa"/>
            <w:gridSpan w:val="13"/>
          </w:tcPr>
          <w:p w:rsidR="00A36792" w:rsidRPr="00953BEB" w:rsidRDefault="00A36792" w:rsidP="0091636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lastRenderedPageBreak/>
              <w:t>Severe pneumonia</w:t>
            </w:r>
          </w:p>
        </w:tc>
      </w:tr>
      <w:tr w:rsidR="00A36792" w:rsidRPr="00953BEB" w:rsidTr="00916366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3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Randomized trials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Serious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None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103/23424 (0.4%)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cell-value"/>
                <w:rFonts w:ascii="Times New Roman" w:eastAsia="Times New Roman" w:hAnsi="Times New Roman" w:cs="Times New Roman"/>
                <w:sz w:val="24"/>
                <w:szCs w:val="24"/>
              </w:rPr>
              <w:t xml:space="preserve">127/22966 (0.6%)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bloc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RR 0.84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53BEB">
              <w:rPr>
                <w:rStyle w:val="cell"/>
                <w:rFonts w:ascii="Times New Roman" w:eastAsia="Times New Roman" w:hAnsi="Times New Roman" w:cs="Times New Roman"/>
                <w:sz w:val="24"/>
                <w:szCs w:val="24"/>
              </w:rPr>
              <w:t>(0.59 to 1.20)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1 fewer per 1,000</w:t>
            </w: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br/>
              <w:t>(from 2 fewer to 1 more)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Cambria Math" w:eastAsia="Times New Roman" w:hAnsi="Cambria Math" w:cs="Cambria Math"/>
                <w:sz w:val="24"/>
                <w:szCs w:val="24"/>
                <w:lang w:eastAsia="en-MY"/>
              </w:rPr>
              <w:t>⨁⨁⨁</w:t>
            </w:r>
            <w:r w:rsidRPr="00953BEB">
              <w:rPr>
                <w:rFonts w:ascii="MS Mincho" w:eastAsia="MS Mincho" w:hAnsi="MS Mincho" w:cs="MS Mincho" w:hint="eastAsia"/>
                <w:sz w:val="24"/>
                <w:szCs w:val="24"/>
                <w:lang w:eastAsia="en-MY"/>
              </w:rPr>
              <w:t>◯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MODERATE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IMPORTANT</w:t>
            </w:r>
          </w:p>
        </w:tc>
      </w:tr>
      <w:tr w:rsidR="00A36792" w:rsidRPr="00953BEB" w:rsidTr="00916366">
        <w:tc>
          <w:tcPr>
            <w:tcW w:w="13948" w:type="dxa"/>
            <w:gridSpan w:val="13"/>
          </w:tcPr>
          <w:p w:rsidR="00A36792" w:rsidRPr="00953BEB" w:rsidRDefault="00A36792" w:rsidP="0091636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lastRenderedPageBreak/>
              <w:t>Cooking-related burns</w:t>
            </w:r>
          </w:p>
        </w:tc>
      </w:tr>
      <w:tr w:rsidR="00A36792" w:rsidRPr="00953BEB" w:rsidTr="00916366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2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Randomized trials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Not serious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Serious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None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50/15157 (0.3%)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61/15178 (0.4%)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RR 0.82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 xml:space="preserve">(0.57 to 1.20)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  <w:t>1 fewer per 1,000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 xml:space="preserve">(from 2 fewer to 1 more)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Cambria Math" w:eastAsia="Times New Roman" w:hAnsi="Cambria Math" w:cs="Cambria Math"/>
                <w:sz w:val="24"/>
                <w:szCs w:val="24"/>
                <w:lang w:eastAsia="en-MY"/>
              </w:rPr>
              <w:t>⨁⨁⨁</w:t>
            </w:r>
            <w:r w:rsidRPr="00953BEB">
              <w:rPr>
                <w:rFonts w:ascii="MS Mincho" w:eastAsia="MS Mincho" w:hAnsi="MS Mincho" w:cs="MS Mincho" w:hint="eastAsia"/>
                <w:sz w:val="24"/>
                <w:szCs w:val="24"/>
                <w:lang w:eastAsia="en-MY"/>
              </w:rPr>
              <w:t>◯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MODERATE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 xml:space="preserve">IMPORTANT </w:t>
            </w:r>
          </w:p>
        </w:tc>
      </w:tr>
      <w:tr w:rsidR="00A36792" w:rsidRPr="00953BEB" w:rsidTr="00916366">
        <w:tc>
          <w:tcPr>
            <w:tcW w:w="13948" w:type="dxa"/>
            <w:gridSpan w:val="13"/>
          </w:tcPr>
          <w:p w:rsidR="00A36792" w:rsidRPr="00953BEB" w:rsidRDefault="00A36792" w:rsidP="00916366">
            <w:pPr>
              <w:spacing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" w:eastAsia="en-MY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MY"/>
              </w:rPr>
              <w:t>Any adverse event</w:t>
            </w:r>
          </w:p>
        </w:tc>
      </w:tr>
      <w:tr w:rsidR="00A36792" w:rsidRPr="00953BEB" w:rsidTr="00916366"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Randomized trials 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serious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serious </w:t>
            </w:r>
          </w:p>
        </w:tc>
        <w:tc>
          <w:tcPr>
            <w:tcW w:w="1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Not serious 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Serious 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359/29913 (1.2%) 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cell-value"/>
                <w:rFonts w:ascii="Times New Roman" w:eastAsia="Times New Roman" w:hAnsi="Times New Roman" w:cs="Times New Roman"/>
                <w:sz w:val="24"/>
                <w:szCs w:val="24"/>
              </w:rPr>
              <w:t xml:space="preserve">329/29547 (1.1%) </w:t>
            </w:r>
          </w:p>
        </w:tc>
        <w:tc>
          <w:tcPr>
            <w:tcW w:w="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Style w:val="block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RR 1.01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53BEB">
              <w:rPr>
                <w:rStyle w:val="cell"/>
                <w:rFonts w:ascii="Times New Roman" w:eastAsia="Times New Roman" w:hAnsi="Times New Roman" w:cs="Times New Roman"/>
                <w:sz w:val="24"/>
                <w:szCs w:val="24"/>
              </w:rPr>
              <w:t>(0.74 to 1.38)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fewer per 1,000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(from 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fewer to 4 more)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BEB">
              <w:rPr>
                <w:rFonts w:ascii="Cambria Math" w:eastAsia="Times New Roman" w:hAnsi="Cambria Math" w:cs="Cambria Math"/>
                <w:sz w:val="24"/>
                <w:szCs w:val="24"/>
                <w:lang w:eastAsia="en-MY"/>
              </w:rPr>
              <w:lastRenderedPageBreak/>
              <w:t>⨁⨁⨁</w:t>
            </w:r>
            <w:r w:rsidRPr="00953BEB">
              <w:rPr>
                <w:rFonts w:ascii="MS Mincho" w:eastAsia="MS Mincho" w:hAnsi="MS Mincho" w:cs="MS Mincho" w:hint="eastAsia"/>
                <w:sz w:val="24"/>
                <w:szCs w:val="24"/>
                <w:lang w:eastAsia="en-MY"/>
              </w:rPr>
              <w:t>◯</w:t>
            </w: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br/>
              <w:t>MODERATE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6792" w:rsidRPr="00953BEB" w:rsidRDefault="00A36792" w:rsidP="0091636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953BEB"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  <w:t>IMPORTANT</w:t>
            </w:r>
          </w:p>
        </w:tc>
      </w:tr>
    </w:tbl>
    <w:p w:rsidR="007E6DE9" w:rsidRPr="00953BEB" w:rsidRDefault="00A36792" w:rsidP="00F164C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53BEB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lastRenderedPageBreak/>
        <w:t>CI</w:t>
      </w:r>
      <w:r w:rsidRPr="00953BEB">
        <w:rPr>
          <w:rFonts w:ascii="Times New Roman" w:hAnsi="Times New Roman" w:cs="Times New Roman"/>
          <w:bCs/>
          <w:color w:val="000000"/>
          <w:sz w:val="24"/>
          <w:szCs w:val="24"/>
          <w:lang w:val="en"/>
        </w:rPr>
        <w:t>:</w:t>
      </w:r>
      <w:r w:rsidRPr="00953BE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Confidence interval; </w:t>
      </w:r>
      <w:r w:rsidRPr="00953BEB">
        <w:rPr>
          <w:rFonts w:ascii="Times New Roman" w:hAnsi="Times New Roman" w:cs="Times New Roman"/>
          <w:b/>
          <w:bCs/>
          <w:color w:val="000000"/>
          <w:sz w:val="24"/>
          <w:szCs w:val="24"/>
          <w:lang w:val="en"/>
        </w:rPr>
        <w:t>RR</w:t>
      </w:r>
      <w:r w:rsidRPr="00953BEB">
        <w:rPr>
          <w:rFonts w:ascii="Times New Roman" w:hAnsi="Times New Roman" w:cs="Times New Roman"/>
          <w:bCs/>
          <w:color w:val="000000"/>
          <w:sz w:val="24"/>
          <w:szCs w:val="24"/>
          <w:lang w:val="en"/>
        </w:rPr>
        <w:t>:</w:t>
      </w:r>
      <w:r w:rsidRPr="00953BE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Risk ratio</w:t>
      </w:r>
      <w:r w:rsidR="002D5575" w:rsidRPr="00953BEB">
        <w:rPr>
          <w:rFonts w:ascii="Times New Roman" w:hAnsi="Times New Roman" w:cs="Times New Roman"/>
          <w:color w:val="000000"/>
          <w:sz w:val="24"/>
          <w:szCs w:val="24"/>
          <w:lang w:val="en"/>
        </w:rPr>
        <w:t>.</w:t>
      </w:r>
    </w:p>
    <w:sectPr w:rsidR="007E6DE9" w:rsidRPr="00953BEB" w:rsidSect="00A367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92"/>
    <w:rsid w:val="0003772A"/>
    <w:rsid w:val="002D5575"/>
    <w:rsid w:val="002F34BD"/>
    <w:rsid w:val="003B19F2"/>
    <w:rsid w:val="00444DCE"/>
    <w:rsid w:val="007E6DE9"/>
    <w:rsid w:val="00953BEB"/>
    <w:rsid w:val="00A36792"/>
    <w:rsid w:val="00B51D08"/>
    <w:rsid w:val="00B72035"/>
    <w:rsid w:val="00C16836"/>
    <w:rsid w:val="00C76480"/>
    <w:rsid w:val="00DE2D8B"/>
    <w:rsid w:val="00EF095D"/>
    <w:rsid w:val="00F1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F859"/>
  <w15:chartTrackingRefBased/>
  <w15:docId w15:val="{E04AF8C4-E2B4-44D5-A500-CFF40EB6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92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ll-value">
    <w:name w:val="cell-value"/>
    <w:basedOn w:val="DefaultParagraphFont"/>
    <w:rsid w:val="00A36792"/>
  </w:style>
  <w:style w:type="character" w:customStyle="1" w:styleId="cell">
    <w:name w:val="cell"/>
    <w:basedOn w:val="DefaultParagraphFont"/>
    <w:rsid w:val="00A36792"/>
  </w:style>
  <w:style w:type="character" w:customStyle="1" w:styleId="block">
    <w:name w:val="block"/>
    <w:basedOn w:val="DefaultParagraphFont"/>
    <w:rsid w:val="00A3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21FC-7759-4CCB-AE9B-A3D3DC85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26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win8</cp:lastModifiedBy>
  <cp:revision>11</cp:revision>
  <dcterms:created xsi:type="dcterms:W3CDTF">2020-12-17T15:15:00Z</dcterms:created>
  <dcterms:modified xsi:type="dcterms:W3CDTF">2021-01-08T12:58:00Z</dcterms:modified>
</cp:coreProperties>
</file>