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C1" w:rsidRPr="009F3070" w:rsidRDefault="00D25DC1" w:rsidP="00D25DC1">
      <w:pPr>
        <w:spacing w:after="0" w:line="240" w:lineRule="auto"/>
        <w:rPr>
          <w:b/>
          <w:sz w:val="24"/>
          <w:szCs w:val="24"/>
          <w:lang w:val="en-US"/>
        </w:rPr>
      </w:pPr>
      <w:bookmarkStart w:id="0" w:name="_GoBack"/>
      <w:bookmarkEnd w:id="0"/>
      <w:r w:rsidRPr="009F3070">
        <w:rPr>
          <w:b/>
          <w:sz w:val="24"/>
          <w:szCs w:val="24"/>
          <w:lang w:val="en-US"/>
        </w:rPr>
        <w:t>Supporting information</w:t>
      </w:r>
    </w:p>
    <w:p w:rsidR="00D25DC1" w:rsidRPr="009F3070" w:rsidRDefault="00D25DC1" w:rsidP="00D25DC1">
      <w:pPr>
        <w:spacing w:after="0" w:line="240" w:lineRule="auto"/>
        <w:rPr>
          <w:b/>
          <w:sz w:val="24"/>
          <w:szCs w:val="24"/>
          <w:lang w:val="en-US"/>
        </w:rPr>
      </w:pPr>
      <w:r w:rsidRPr="009F3070">
        <w:rPr>
          <w:b/>
          <w:sz w:val="24"/>
          <w:szCs w:val="24"/>
          <w:lang w:val="en-US"/>
        </w:rPr>
        <w:t>Table A.</w:t>
      </w:r>
      <w:r w:rsidRPr="009F3070">
        <w:rPr>
          <w:sz w:val="24"/>
          <w:szCs w:val="24"/>
          <w:lang w:val="en-US"/>
        </w:rPr>
        <w:t xml:space="preserve"> Electrophoretic </w:t>
      </w:r>
      <w:proofErr w:type="spellStart"/>
      <w:r w:rsidRPr="009F3070">
        <w:rPr>
          <w:sz w:val="24"/>
          <w:szCs w:val="24"/>
          <w:lang w:val="en-US"/>
        </w:rPr>
        <w:t>mobilities</w:t>
      </w:r>
      <w:proofErr w:type="spellEnd"/>
      <w:r w:rsidRPr="009F3070">
        <w:rPr>
          <w:sz w:val="24"/>
          <w:szCs w:val="24"/>
          <w:lang w:val="en-US"/>
        </w:rPr>
        <w:t xml:space="preserve"> of 10</w:t>
      </w:r>
      <w:r w:rsidRPr="009F3070">
        <w:rPr>
          <w:sz w:val="24"/>
          <w:szCs w:val="24"/>
          <w:vertAlign w:val="superscript"/>
          <w:lang w:val="en-US"/>
        </w:rPr>
        <w:t>−8</w:t>
      </w:r>
      <w:r w:rsidRPr="009F3070">
        <w:rPr>
          <w:sz w:val="24"/>
          <w:szCs w:val="24"/>
          <w:lang w:val="en-US"/>
        </w:rPr>
        <w:t xml:space="preserve">M </w:t>
      </w:r>
      <w:proofErr w:type="gramStart"/>
      <w:r w:rsidRPr="009F3070">
        <w:rPr>
          <w:sz w:val="24"/>
          <w:szCs w:val="24"/>
          <w:lang w:val="en-US"/>
        </w:rPr>
        <w:t>Pu(</w:t>
      </w:r>
      <w:proofErr w:type="gramEnd"/>
      <w:r w:rsidRPr="009F3070">
        <w:rPr>
          <w:sz w:val="24"/>
          <w:szCs w:val="24"/>
          <w:lang w:val="en-US"/>
        </w:rPr>
        <w:t>VI) in carbonate/NaClO</w:t>
      </w:r>
      <w:r w:rsidRPr="009F3070">
        <w:rPr>
          <w:sz w:val="24"/>
          <w:szCs w:val="24"/>
          <w:vertAlign w:val="subscript"/>
          <w:lang w:val="en-US"/>
        </w:rPr>
        <w:t>4</w:t>
      </w:r>
      <w:r w:rsidRPr="009F3070">
        <w:rPr>
          <w:sz w:val="24"/>
          <w:szCs w:val="24"/>
          <w:lang w:val="en-US"/>
        </w:rPr>
        <w:t xml:space="preserve"> media at </w:t>
      </w:r>
      <w:r w:rsidRPr="009F3070">
        <w:rPr>
          <w:i/>
          <w:sz w:val="24"/>
          <w:szCs w:val="24"/>
          <w:lang w:val="en-US"/>
        </w:rPr>
        <w:t>I</w:t>
      </w:r>
      <w:r w:rsidRPr="009F3070">
        <w:rPr>
          <w:sz w:val="24"/>
          <w:szCs w:val="24"/>
          <w:lang w:val="en-US"/>
        </w:rPr>
        <w:t xml:space="preserve"> = 0.202 m and T = 25 ± 1 °C.</w:t>
      </w:r>
    </w:p>
    <w:tbl>
      <w:tblPr>
        <w:tblStyle w:val="TableGrid"/>
        <w:tblW w:w="8226" w:type="dxa"/>
        <w:tblLook w:val="04A0" w:firstRow="1" w:lastRow="0" w:firstColumn="1" w:lastColumn="0" w:noHBand="0" w:noVBand="1"/>
      </w:tblPr>
      <w:tblGrid>
        <w:gridCol w:w="855"/>
        <w:gridCol w:w="1453"/>
        <w:gridCol w:w="1665"/>
        <w:gridCol w:w="1067"/>
        <w:gridCol w:w="1627"/>
        <w:gridCol w:w="1559"/>
      </w:tblGrid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F3070">
              <w:rPr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F3070">
              <w:rPr>
                <w:b/>
                <w:sz w:val="24"/>
                <w:szCs w:val="24"/>
                <w:lang w:val="en-US"/>
              </w:rPr>
              <w:t>[CO</w:t>
            </w:r>
            <w:r w:rsidRPr="009F3070"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9F3070">
              <w:rPr>
                <w:b/>
                <w:sz w:val="24"/>
                <w:szCs w:val="24"/>
                <w:vertAlign w:val="superscript"/>
                <w:lang w:val="en-US"/>
              </w:rPr>
              <w:t>2−</w:t>
            </w:r>
            <w:r w:rsidRPr="009F3070">
              <w:rPr>
                <w:b/>
                <w:sz w:val="24"/>
                <w:szCs w:val="24"/>
                <w:lang w:val="en-US"/>
              </w:rPr>
              <w:t>] (</w:t>
            </w:r>
            <w:proofErr w:type="spellStart"/>
            <w:r w:rsidRPr="009F3070">
              <w:rPr>
                <w:b/>
                <w:sz w:val="24"/>
                <w:szCs w:val="24"/>
                <w:lang w:val="en-US"/>
              </w:rPr>
              <w:t>mol</w:t>
            </w:r>
            <w:proofErr w:type="spellEnd"/>
            <w:r w:rsidRPr="009F3070">
              <w:rPr>
                <w:b/>
                <w:sz w:val="24"/>
                <w:szCs w:val="24"/>
                <w:lang w:val="en-US"/>
              </w:rPr>
              <w:t>/L)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F3070"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  <w:t>µ</w:t>
            </w:r>
            <w:proofErr w:type="spellStart"/>
            <w:r w:rsidRPr="009F3070">
              <w:rPr>
                <w:b/>
                <w:sz w:val="24"/>
                <w:szCs w:val="24"/>
                <w:vertAlign w:val="subscript"/>
                <w:lang w:val="en-US"/>
              </w:rPr>
              <w:t>ep</w:t>
            </w:r>
            <w:proofErr w:type="spellEnd"/>
            <w:r w:rsidRPr="009F3070">
              <w:rPr>
                <w:b/>
                <w:sz w:val="24"/>
                <w:szCs w:val="24"/>
                <w:lang w:val="en-US"/>
              </w:rPr>
              <w:t xml:space="preserve"> (cm².V</w:t>
            </w:r>
            <w:r w:rsidRPr="009F3070">
              <w:rPr>
                <w:b/>
                <w:sz w:val="24"/>
                <w:szCs w:val="24"/>
                <w:vertAlign w:val="superscript"/>
                <w:lang w:val="en-US"/>
              </w:rPr>
              <w:t>−1</w:t>
            </w:r>
            <w:r w:rsidRPr="009F3070">
              <w:rPr>
                <w:b/>
                <w:sz w:val="24"/>
                <w:szCs w:val="24"/>
                <w:lang w:val="en-US"/>
              </w:rPr>
              <w:t>.s</w:t>
            </w:r>
            <w:r w:rsidRPr="009F3070">
              <w:rPr>
                <w:b/>
                <w:sz w:val="24"/>
                <w:szCs w:val="24"/>
                <w:vertAlign w:val="superscript"/>
                <w:lang w:val="en-US"/>
              </w:rPr>
              <w:t>−1</w:t>
            </w:r>
            <w:r w:rsidRPr="009F3070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F3070">
              <w:rPr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  <w:r w:rsidRPr="009F3070">
              <w:rPr>
                <w:b/>
                <w:sz w:val="24"/>
                <w:szCs w:val="24"/>
                <w:lang w:val="en-US"/>
              </w:rPr>
              <w:t>[CO</w:t>
            </w:r>
            <w:r w:rsidRPr="009F3070">
              <w:rPr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9F3070">
              <w:rPr>
                <w:b/>
                <w:sz w:val="24"/>
                <w:szCs w:val="24"/>
                <w:vertAlign w:val="superscript"/>
                <w:lang w:val="en-US"/>
              </w:rPr>
              <w:t>2−</w:t>
            </w:r>
            <w:r w:rsidRPr="009F3070">
              <w:rPr>
                <w:b/>
                <w:sz w:val="24"/>
                <w:szCs w:val="24"/>
                <w:lang w:val="en-US"/>
              </w:rPr>
              <w:t>] (</w:t>
            </w:r>
            <w:proofErr w:type="spellStart"/>
            <w:r w:rsidRPr="009F3070">
              <w:rPr>
                <w:b/>
                <w:sz w:val="24"/>
                <w:szCs w:val="24"/>
                <w:lang w:val="en-US"/>
              </w:rPr>
              <w:t>mol</w:t>
            </w:r>
            <w:proofErr w:type="spellEnd"/>
            <w:r w:rsidRPr="009F3070">
              <w:rPr>
                <w:b/>
                <w:sz w:val="24"/>
                <w:szCs w:val="24"/>
                <w:lang w:val="en-US"/>
              </w:rPr>
              <w:t>/L)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F3070"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  <w:t>µ</w:t>
            </w:r>
            <w:proofErr w:type="spellStart"/>
            <w:r w:rsidRPr="009F3070">
              <w:rPr>
                <w:b/>
                <w:sz w:val="24"/>
                <w:szCs w:val="24"/>
                <w:vertAlign w:val="subscript"/>
                <w:lang w:val="en-US"/>
              </w:rPr>
              <w:t>ep</w:t>
            </w:r>
            <w:proofErr w:type="spellEnd"/>
            <w:r w:rsidRPr="009F3070">
              <w:rPr>
                <w:b/>
                <w:sz w:val="24"/>
                <w:szCs w:val="24"/>
                <w:lang w:val="en-US"/>
              </w:rPr>
              <w:t xml:space="preserve"> (cm².V</w:t>
            </w:r>
            <w:r w:rsidRPr="009F3070">
              <w:rPr>
                <w:b/>
                <w:sz w:val="24"/>
                <w:szCs w:val="24"/>
                <w:vertAlign w:val="superscript"/>
                <w:lang w:val="en-US"/>
              </w:rPr>
              <w:t>−1</w:t>
            </w:r>
            <w:r w:rsidRPr="009F3070">
              <w:rPr>
                <w:b/>
                <w:sz w:val="24"/>
                <w:szCs w:val="24"/>
                <w:lang w:val="en-US"/>
              </w:rPr>
              <w:t>.s</w:t>
            </w:r>
            <w:r w:rsidRPr="009F3070">
              <w:rPr>
                <w:b/>
                <w:sz w:val="24"/>
                <w:szCs w:val="24"/>
                <w:vertAlign w:val="superscript"/>
                <w:lang w:val="en-US"/>
              </w:rPr>
              <w:t>−1</w:t>
            </w:r>
            <w:r w:rsidRPr="009F3070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9.23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2.54 10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–2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−1.52 10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6.33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2.71 10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−7.31 10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</w:tr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9.08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1.94 10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–2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−1.51 10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6.04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1.03 10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−5.00 10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</w:tr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8.52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6.19 10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–3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−1.40 10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5.99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8.82 10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–6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−4.09 10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</w:tr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8.05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2.16 10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–3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−1.23 10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5.73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3.35 10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–6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−2.62 10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</w:tr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7.45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5.41 10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−1.03 10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4.50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1.66 10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–8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1.06 10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</w:tr>
      <w:tr w:rsidR="00D25DC1" w:rsidRPr="009F3070" w:rsidTr="005C292F">
        <w:tc>
          <w:tcPr>
            <w:tcW w:w="85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7.11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2.34 10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–4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−9.45 10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–5</w:t>
            </w:r>
          </w:p>
        </w:tc>
        <w:tc>
          <w:tcPr>
            <w:tcW w:w="106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</w:rPr>
              <w:t>3.39</w:t>
            </w:r>
          </w:p>
        </w:tc>
        <w:tc>
          <w:tcPr>
            <w:tcW w:w="1627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3070">
              <w:rPr>
                <w:sz w:val="24"/>
                <w:szCs w:val="24"/>
                <w:lang w:val="en-US"/>
              </w:rPr>
              <w:t>1.01 10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−10</w:t>
            </w:r>
          </w:p>
        </w:tc>
        <w:tc>
          <w:tcPr>
            <w:tcW w:w="1559" w:type="dxa"/>
          </w:tcPr>
          <w:p w:rsidR="00D25DC1" w:rsidRPr="009F3070" w:rsidRDefault="00D25DC1" w:rsidP="005C292F">
            <w:pPr>
              <w:spacing w:after="0" w:line="240" w:lineRule="auto"/>
              <w:rPr>
                <w:sz w:val="24"/>
                <w:szCs w:val="24"/>
              </w:rPr>
            </w:pPr>
            <w:r w:rsidRPr="009F3070">
              <w:rPr>
                <w:sz w:val="24"/>
                <w:szCs w:val="24"/>
                <w:lang w:val="en-US"/>
              </w:rPr>
              <w:t>2.22 10</w:t>
            </w:r>
            <w:r w:rsidRPr="009F3070">
              <w:rPr>
                <w:sz w:val="24"/>
                <w:szCs w:val="24"/>
                <w:vertAlign w:val="superscript"/>
                <w:lang w:val="en-US"/>
              </w:rPr>
              <w:t>−4</w:t>
            </w:r>
          </w:p>
        </w:tc>
      </w:tr>
    </w:tbl>
    <w:p w:rsidR="00D25DC1" w:rsidRPr="009F3070" w:rsidRDefault="00D25DC1" w:rsidP="00D25DC1">
      <w:pPr>
        <w:spacing w:after="0" w:line="240" w:lineRule="auto"/>
        <w:rPr>
          <w:b/>
          <w:sz w:val="24"/>
          <w:szCs w:val="24"/>
          <w:lang w:val="en-US"/>
        </w:rPr>
      </w:pPr>
    </w:p>
    <w:p w:rsidR="00D25DC1" w:rsidRPr="009F3070" w:rsidRDefault="00D25DC1" w:rsidP="00D25DC1">
      <w:pPr>
        <w:spacing w:after="0" w:line="240" w:lineRule="auto"/>
        <w:rPr>
          <w:sz w:val="24"/>
          <w:szCs w:val="24"/>
          <w:lang w:val="en-GB"/>
        </w:rPr>
      </w:pPr>
    </w:p>
    <w:p w:rsidR="00D419CB" w:rsidRDefault="00D419CB"/>
    <w:sectPr w:rsidR="00D419CB" w:rsidSect="00D2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C1"/>
    <w:rsid w:val="008878AC"/>
    <w:rsid w:val="00B61E14"/>
    <w:rsid w:val="00C46687"/>
    <w:rsid w:val="00CD3E57"/>
    <w:rsid w:val="00D25DC1"/>
    <w:rsid w:val="00D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2F0C7-DBFB-4F67-8140-8E01034D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AC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8878AC"/>
    <w:rPr>
      <w:sz w:val="22"/>
      <w:szCs w:val="22"/>
      <w:lang w:val="pt-BR"/>
    </w:rPr>
  </w:style>
  <w:style w:type="table" w:styleId="TableGrid">
    <w:name w:val="Table Grid"/>
    <w:basedOn w:val="TableNormal"/>
    <w:uiPriority w:val="59"/>
    <w:rsid w:val="00D25DC1"/>
    <w:rPr>
      <w:rFonts w:asciiTheme="minorHAnsi" w:eastAsiaTheme="minorHAnsi" w:hAnsiTheme="minorHAnsi" w:cstheme="minorBidi"/>
      <w:sz w:val="22"/>
      <w:szCs w:val="22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Jpre</dc:creator>
  <cp:keywords/>
  <dc:description/>
  <cp:lastModifiedBy>Jpre</cp:lastModifiedBy>
  <cp:revision>1</cp:revision>
  <dcterms:created xsi:type="dcterms:W3CDTF">2018-05-21T13:57:00Z</dcterms:created>
  <dcterms:modified xsi:type="dcterms:W3CDTF">2018-05-21T13:57:00Z</dcterms:modified>
</cp:coreProperties>
</file>