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64B722" w14:textId="77777777" w:rsidR="00193D48" w:rsidRDefault="00000000">
      <w:pPr>
        <w:spacing w:line="276" w:lineRule="auto"/>
        <w:rPr>
          <w:rFonts w:ascii="Times New Roman" w:hAnsi="Times New Roman"/>
          <w:sz w:val="24"/>
          <w:shd w:val="clear" w:color="auto" w:fill="FFFFFF"/>
        </w:rPr>
      </w:pPr>
      <w:r>
        <w:rPr>
          <w:rFonts w:ascii="Times New Roman" w:hAnsi="Times New Roman"/>
          <w:sz w:val="24"/>
          <w:shd w:val="clear" w:color="auto" w:fill="FFFFFF"/>
        </w:rPr>
        <w:t xml:space="preserve">Research Article </w:t>
      </w:r>
    </w:p>
    <w:p w14:paraId="3DD23A77" w14:textId="77777777" w:rsidR="00193D48" w:rsidRDefault="00000000">
      <w:pPr>
        <w:spacing w:line="276" w:lineRule="auto"/>
        <w:jc w:val="center"/>
        <w:rPr>
          <w:rFonts w:ascii="Times New Roman" w:hAnsi="Times New Roman"/>
          <w:b/>
          <w:bCs/>
          <w:sz w:val="24"/>
          <w:shd w:val="clear" w:color="auto" w:fill="FFFFFF"/>
        </w:rPr>
      </w:pPr>
      <w:r>
        <w:rPr>
          <w:rFonts w:ascii="Times New Roman" w:hAnsi="Times New Roman"/>
          <w:b/>
          <w:bCs/>
          <w:sz w:val="24"/>
          <w:shd w:val="clear" w:color="auto" w:fill="FFFFFF"/>
        </w:rPr>
        <w:t>The activity of base excision repair is positively correlated with the infiltration of CD4+ T cells in melanoma</w:t>
      </w:r>
    </w:p>
    <w:p w14:paraId="4519BA07" w14:textId="77777777" w:rsidR="00193D48" w:rsidRDefault="00000000">
      <w:pPr>
        <w:spacing w:before="240" w:line="276" w:lineRule="auto"/>
        <w:jc w:val="center"/>
        <w:rPr>
          <w:rFonts w:ascii="Times New Roman" w:eastAsia="等线" w:hAnsi="Times New Roman"/>
          <w:color w:val="000000"/>
          <w:sz w:val="24"/>
          <w:vertAlign w:val="superscript"/>
          <w:lang w:eastAsia="zh-TW"/>
        </w:rPr>
      </w:pPr>
      <w:bookmarkStart w:id="0" w:name="OLE_LINK3"/>
      <w:r>
        <w:rPr>
          <w:rFonts w:ascii="Times New Roman" w:hAnsi="Times New Roman"/>
          <w:sz w:val="24"/>
          <w:shd w:val="clear" w:color="auto" w:fill="FFFFFF"/>
        </w:rPr>
        <w:t xml:space="preserve">Jinli </w:t>
      </w:r>
      <w:proofErr w:type="gramStart"/>
      <w:r>
        <w:rPr>
          <w:rFonts w:ascii="Times New Roman" w:hAnsi="Times New Roman"/>
          <w:sz w:val="24"/>
          <w:shd w:val="clear" w:color="auto" w:fill="FFFFFF"/>
        </w:rPr>
        <w:t>Cheng</w:t>
      </w:r>
      <w:r>
        <w:rPr>
          <w:rFonts w:ascii="Times New Roman" w:hAnsi="Times New Roman"/>
          <w:sz w:val="24"/>
          <w:shd w:val="clear" w:color="auto" w:fill="FFFFFF"/>
          <w:vertAlign w:val="superscript"/>
        </w:rPr>
        <w:t>1</w:t>
      </w:r>
      <w:r>
        <w:rPr>
          <w:rFonts w:ascii="Times New Roman" w:hAnsi="Times New Roman"/>
          <w:color w:val="282828"/>
          <w:sz w:val="24"/>
          <w:vertAlign w:val="superscript"/>
        </w:rPr>
        <w:t>†</w:t>
      </w:r>
      <w:r>
        <w:rPr>
          <w:rFonts w:ascii="Times New Roman" w:hAnsi="Times New Roman"/>
          <w:sz w:val="24"/>
          <w:shd w:val="clear" w:color="auto" w:fill="FFFFFF"/>
        </w:rPr>
        <w:t>,</w:t>
      </w:r>
      <w:proofErr w:type="gramEnd"/>
      <w:r>
        <w:rPr>
          <w:rFonts w:ascii="Times New Roman" w:hAnsi="Times New Roman"/>
          <w:sz w:val="24"/>
          <w:shd w:val="clear" w:color="auto" w:fill="FFFFFF"/>
        </w:rPr>
        <w:t xml:space="preserve"> He </w:t>
      </w:r>
      <w:proofErr w:type="gramStart"/>
      <w:r>
        <w:rPr>
          <w:rFonts w:ascii="Times New Roman" w:hAnsi="Times New Roman"/>
          <w:sz w:val="24"/>
          <w:shd w:val="clear" w:color="auto" w:fill="FFFFFF"/>
        </w:rPr>
        <w:t>Xiao</w:t>
      </w:r>
      <w:bookmarkEnd w:id="0"/>
      <w:r>
        <w:rPr>
          <w:rFonts w:ascii="Times New Roman" w:hAnsi="Times New Roman"/>
          <w:sz w:val="24"/>
          <w:shd w:val="clear" w:color="auto" w:fill="FFFFFF"/>
          <w:vertAlign w:val="superscript"/>
        </w:rPr>
        <w:t>2</w:t>
      </w:r>
      <w:r>
        <w:rPr>
          <w:rFonts w:ascii="Times New Roman" w:hAnsi="Times New Roman"/>
          <w:color w:val="282828"/>
          <w:sz w:val="24"/>
          <w:vertAlign w:val="superscript"/>
        </w:rPr>
        <w:t>†</w:t>
      </w:r>
      <w:r>
        <w:rPr>
          <w:rFonts w:ascii="Times New Roman" w:hAnsi="Times New Roman"/>
          <w:sz w:val="24"/>
          <w:shd w:val="clear" w:color="auto" w:fill="FFFFFF"/>
        </w:rPr>
        <w:t>,</w:t>
      </w:r>
      <w:proofErr w:type="gramEnd"/>
      <w:r>
        <w:rPr>
          <w:rFonts w:ascii="Times New Roman" w:hAnsi="Times New Roman"/>
          <w:sz w:val="24"/>
          <w:shd w:val="clear" w:color="auto" w:fill="FFFFFF"/>
        </w:rPr>
        <w:t xml:space="preserve"> Yuxin Yang</w:t>
      </w:r>
      <w:r>
        <w:rPr>
          <w:rFonts w:ascii="Times New Roman" w:hAnsi="Times New Roman"/>
          <w:sz w:val="24"/>
          <w:shd w:val="clear" w:color="auto" w:fill="FFFFFF"/>
          <w:vertAlign w:val="superscript"/>
        </w:rPr>
        <w:t>2</w:t>
      </w:r>
      <w:r>
        <w:rPr>
          <w:rFonts w:ascii="Times New Roman" w:hAnsi="Times New Roman"/>
          <w:sz w:val="24"/>
          <w:shd w:val="clear" w:color="auto" w:fill="FFFFFF"/>
        </w:rPr>
        <w:t xml:space="preserve">, </w:t>
      </w:r>
      <w:proofErr w:type="spellStart"/>
      <w:r>
        <w:rPr>
          <w:rFonts w:ascii="Times New Roman" w:hAnsi="Times New Roman"/>
          <w:sz w:val="24"/>
          <w:shd w:val="clear" w:color="auto" w:fill="FFFFFF"/>
        </w:rPr>
        <w:t>Xunjie</w:t>
      </w:r>
      <w:proofErr w:type="spellEnd"/>
      <w:r>
        <w:rPr>
          <w:rFonts w:ascii="Times New Roman" w:hAnsi="Times New Roman"/>
          <w:sz w:val="24"/>
          <w:shd w:val="clear" w:color="auto" w:fill="FFFFFF"/>
        </w:rPr>
        <w:t xml:space="preserve"> Kuang</w:t>
      </w:r>
      <w:r>
        <w:rPr>
          <w:rFonts w:ascii="Times New Roman" w:hAnsi="Times New Roman"/>
          <w:sz w:val="24"/>
          <w:shd w:val="clear" w:color="auto" w:fill="FFFFFF"/>
          <w:vertAlign w:val="superscript"/>
        </w:rPr>
        <w:t>2</w:t>
      </w:r>
      <w:r>
        <w:rPr>
          <w:rFonts w:ascii="Times New Roman" w:hAnsi="Times New Roman"/>
          <w:sz w:val="24"/>
          <w:shd w:val="clear" w:color="auto" w:fill="FFFFFF"/>
        </w:rPr>
        <w:t xml:space="preserve">, </w:t>
      </w:r>
      <w:proofErr w:type="spellStart"/>
      <w:r>
        <w:rPr>
          <w:rFonts w:ascii="Times New Roman" w:hAnsi="Times New Roman"/>
          <w:sz w:val="24"/>
          <w:shd w:val="clear" w:color="auto" w:fill="FFFFFF"/>
        </w:rPr>
        <w:t>Lujie</w:t>
      </w:r>
      <w:proofErr w:type="spellEnd"/>
      <w:r>
        <w:rPr>
          <w:rFonts w:ascii="Times New Roman" w:hAnsi="Times New Roman"/>
          <w:sz w:val="24"/>
          <w:shd w:val="clear" w:color="auto" w:fill="FFFFFF"/>
        </w:rPr>
        <w:t xml:space="preserve"> Yang</w:t>
      </w:r>
      <w:r>
        <w:rPr>
          <w:rFonts w:ascii="Times New Roman" w:hAnsi="Times New Roman"/>
          <w:sz w:val="24"/>
          <w:shd w:val="clear" w:color="auto" w:fill="FFFFFF"/>
          <w:vertAlign w:val="superscript"/>
        </w:rPr>
        <w:t>2</w:t>
      </w:r>
      <w:r>
        <w:rPr>
          <w:rFonts w:ascii="Times New Roman" w:eastAsia="等线" w:hAnsi="Times New Roman"/>
          <w:color w:val="000000"/>
          <w:sz w:val="24"/>
          <w:vertAlign w:val="superscript"/>
          <w:lang w:eastAsia="zh-TW"/>
        </w:rPr>
        <w:t>*</w:t>
      </w:r>
      <w:r>
        <w:rPr>
          <w:rFonts w:ascii="Times New Roman" w:hAnsi="Times New Roman"/>
          <w:sz w:val="24"/>
          <w:shd w:val="clear" w:color="auto" w:fill="FFFFFF"/>
        </w:rPr>
        <w:t xml:space="preserve">, </w:t>
      </w:r>
      <w:proofErr w:type="spellStart"/>
      <w:r>
        <w:rPr>
          <w:rFonts w:ascii="Times New Roman" w:hAnsi="Times New Roman"/>
          <w:sz w:val="24"/>
          <w:shd w:val="clear" w:color="auto" w:fill="FFFFFF"/>
        </w:rPr>
        <w:t>Lin’ang</w:t>
      </w:r>
      <w:proofErr w:type="spellEnd"/>
      <w:r>
        <w:rPr>
          <w:rFonts w:ascii="Times New Roman" w:hAnsi="Times New Roman"/>
          <w:sz w:val="24"/>
          <w:shd w:val="clear" w:color="auto" w:fill="FFFFFF"/>
        </w:rPr>
        <w:t xml:space="preserve"> Wang</w:t>
      </w:r>
      <w:r>
        <w:rPr>
          <w:rFonts w:ascii="Times New Roman" w:hAnsi="Times New Roman"/>
          <w:sz w:val="24"/>
          <w:shd w:val="clear" w:color="auto" w:fill="FFFFFF"/>
          <w:vertAlign w:val="superscript"/>
        </w:rPr>
        <w:t>3</w:t>
      </w:r>
      <w:r>
        <w:rPr>
          <w:rFonts w:ascii="Times New Roman" w:eastAsia="等线" w:hAnsi="Times New Roman"/>
          <w:color w:val="000000"/>
          <w:sz w:val="24"/>
          <w:vertAlign w:val="superscript"/>
          <w:lang w:eastAsia="zh-TW"/>
        </w:rPr>
        <w:t>*</w:t>
      </w:r>
    </w:p>
    <w:p w14:paraId="3D934242" w14:textId="0575FC82" w:rsidR="00193D48" w:rsidRDefault="00000000">
      <w:pPr>
        <w:spacing w:before="240" w:line="276" w:lineRule="auto"/>
        <w:rPr>
          <w:rStyle w:val="af3"/>
          <w:sz w:val="24"/>
          <w:szCs w:val="24"/>
        </w:rPr>
      </w:pPr>
      <w:r>
        <w:rPr>
          <w:rFonts w:ascii="Times New Roman" w:hAnsi="Times New Roman"/>
          <w:b/>
          <w:bCs/>
          <w:kern w:val="0"/>
          <w:sz w:val="24"/>
          <w:shd w:val="clear" w:color="auto" w:fill="FFFFFF"/>
        </w:rPr>
        <w:t>Supplementary Materials</w:t>
      </w:r>
    </w:p>
    <w:p w14:paraId="5568DB4D" w14:textId="72950B3B" w:rsidR="00193D48" w:rsidRPr="00B96182" w:rsidRDefault="00000000" w:rsidP="00B96182">
      <w:pPr>
        <w:spacing w:line="276" w:lineRule="auto"/>
        <w:rPr>
          <w:rFonts w:ascii="Times New Roman" w:eastAsia="等线" w:hAnsi="Times New Roman"/>
          <w:kern w:val="0"/>
          <w:sz w:val="24"/>
          <w:shd w:val="clear" w:color="auto" w:fill="FFFFFF"/>
          <w:lang w:bidi="ar"/>
        </w:rPr>
      </w:pPr>
      <w:r w:rsidRPr="00B96182">
        <w:rPr>
          <w:rFonts w:ascii="Times New Roman" w:hAnsi="Times New Roman"/>
          <w:b/>
          <w:bCs/>
          <w:kern w:val="0"/>
          <w:sz w:val="24"/>
          <w:shd w:val="clear" w:color="auto" w:fill="FFFFFF"/>
        </w:rPr>
        <w:t xml:space="preserve">Supplementary </w:t>
      </w:r>
      <w:r w:rsidRPr="00B96182">
        <w:rPr>
          <w:rFonts w:ascii="Times New Roman" w:eastAsia="Segoe UI" w:hAnsi="Times New Roman"/>
          <w:b/>
          <w:bCs/>
          <w:kern w:val="0"/>
          <w:sz w:val="24"/>
          <w:shd w:val="clear" w:color="auto" w:fill="FFFFFF"/>
          <w:lang w:bidi="ar"/>
        </w:rPr>
        <w:t xml:space="preserve">Table </w:t>
      </w:r>
      <w:r w:rsidRPr="00B96182">
        <w:rPr>
          <w:rFonts w:ascii="Times New Roman" w:eastAsia="等线" w:hAnsi="Times New Roman"/>
          <w:b/>
          <w:bCs/>
          <w:kern w:val="0"/>
          <w:sz w:val="24"/>
          <w:shd w:val="clear" w:color="auto" w:fill="FFFFFF"/>
          <w:lang w:bidi="ar"/>
        </w:rPr>
        <w:t>S1</w:t>
      </w:r>
      <w:r w:rsidRPr="00B96182">
        <w:rPr>
          <w:rFonts w:ascii="Times New Roman" w:eastAsia="等线" w:hAnsi="Times New Roman"/>
          <w:kern w:val="0"/>
          <w:sz w:val="24"/>
          <w:shd w:val="clear" w:color="auto" w:fill="FFFFFF"/>
          <w:lang w:bidi="ar"/>
        </w:rPr>
        <w:t xml:space="preserve">: Baseline characteristics of the </w:t>
      </w:r>
      <w:r w:rsidRPr="00B96182">
        <w:rPr>
          <w:rFonts w:ascii="Times New Roman" w:hAnsi="Times New Roman"/>
          <w:sz w:val="24"/>
          <w:shd w:val="clear" w:color="auto" w:fill="FFFFFF"/>
        </w:rPr>
        <w:t>MGSP</w:t>
      </w:r>
      <w:r w:rsidRPr="00B96182">
        <w:rPr>
          <w:rFonts w:ascii="Times New Roman" w:eastAsia="等线" w:hAnsi="Times New Roman"/>
          <w:kern w:val="0"/>
          <w:sz w:val="24"/>
          <w:shd w:val="clear" w:color="auto" w:fill="FFFFFF"/>
          <w:lang w:bidi="ar"/>
        </w:rPr>
        <w:t xml:space="preserve"> cohort.</w:t>
      </w:r>
    </w:p>
    <w:p w14:paraId="3CAE8DEF" w14:textId="7573B288" w:rsidR="00193D48" w:rsidRPr="00B96182" w:rsidRDefault="00000000" w:rsidP="00B96182">
      <w:pPr>
        <w:spacing w:before="240" w:line="276" w:lineRule="auto"/>
        <w:rPr>
          <w:rFonts w:ascii="Times New Roman" w:hAnsi="Times New Roman"/>
          <w:kern w:val="0"/>
          <w:sz w:val="24"/>
          <w:shd w:val="clear" w:color="auto" w:fill="FFFFFF"/>
        </w:rPr>
      </w:pPr>
      <w:r w:rsidRPr="00B96182">
        <w:rPr>
          <w:rFonts w:ascii="Times New Roman" w:hAnsi="Times New Roman"/>
          <w:b/>
          <w:bCs/>
          <w:kern w:val="0"/>
          <w:sz w:val="24"/>
          <w:shd w:val="clear" w:color="auto" w:fill="FFFFFF"/>
        </w:rPr>
        <w:t xml:space="preserve">Supplementary Table S2: </w:t>
      </w:r>
      <w:r w:rsidRPr="00B96182">
        <w:rPr>
          <w:rFonts w:ascii="Times New Roman" w:hAnsi="Times New Roman"/>
          <w:kern w:val="0"/>
          <w:sz w:val="24"/>
          <w:shd w:val="clear" w:color="auto" w:fill="FFFFFF"/>
        </w:rPr>
        <w:t>Cox regression in MGSP cohort.</w:t>
      </w:r>
    </w:p>
    <w:p w14:paraId="4EEC8881" w14:textId="77777777" w:rsidR="00193D48" w:rsidRPr="00B96182" w:rsidRDefault="00000000" w:rsidP="00B96182">
      <w:pPr>
        <w:spacing w:before="240" w:line="276" w:lineRule="auto"/>
        <w:rPr>
          <w:rFonts w:ascii="Times New Roman" w:hAnsi="Times New Roman"/>
          <w:kern w:val="0"/>
          <w:sz w:val="24"/>
          <w:shd w:val="clear" w:color="auto" w:fill="FFFFFF"/>
        </w:rPr>
      </w:pPr>
      <w:r w:rsidRPr="00B96182">
        <w:rPr>
          <w:rFonts w:ascii="Times New Roman" w:hAnsi="Times New Roman"/>
          <w:b/>
          <w:bCs/>
          <w:kern w:val="0"/>
          <w:sz w:val="24"/>
          <w:shd w:val="clear" w:color="auto" w:fill="FFFFFF"/>
        </w:rPr>
        <w:t xml:space="preserve">Supplementary Table S3: </w:t>
      </w:r>
      <w:r w:rsidRPr="00B96182">
        <w:rPr>
          <w:rFonts w:ascii="Times New Roman" w:hAnsi="Times New Roman"/>
          <w:kern w:val="0"/>
          <w:sz w:val="24"/>
          <w:shd w:val="clear" w:color="auto" w:fill="FFFFFF"/>
        </w:rPr>
        <w:t>The number of major cell types from single cell RNA-seq data set GSE222446.</w:t>
      </w:r>
    </w:p>
    <w:p w14:paraId="6F8D19F7" w14:textId="77777777" w:rsidR="00193D48" w:rsidRPr="00B96182" w:rsidRDefault="00000000">
      <w:pPr>
        <w:spacing w:before="240" w:line="276" w:lineRule="auto"/>
        <w:rPr>
          <w:rFonts w:ascii="Times New Roman" w:hAnsi="Times New Roman"/>
          <w:kern w:val="0"/>
          <w:sz w:val="24"/>
          <w:shd w:val="clear" w:color="auto" w:fill="FFFFFF"/>
        </w:rPr>
      </w:pPr>
      <w:r w:rsidRPr="00B96182">
        <w:rPr>
          <w:rFonts w:ascii="Times New Roman" w:hAnsi="Times New Roman"/>
          <w:b/>
          <w:bCs/>
          <w:kern w:val="0"/>
          <w:sz w:val="24"/>
          <w:shd w:val="clear" w:color="auto" w:fill="FFFFFF"/>
        </w:rPr>
        <w:t>Supplementary Table S4:</w:t>
      </w:r>
      <w:r w:rsidRPr="00B96182">
        <w:rPr>
          <w:rFonts w:ascii="Times New Roman" w:hAnsi="Times New Roman"/>
          <w:kern w:val="0"/>
          <w:sz w:val="24"/>
          <w:shd w:val="clear" w:color="auto" w:fill="FFFFFF"/>
        </w:rPr>
        <w:t xml:space="preserve"> Marker genes identified for each of four subclusters of melanoma cells in GSE222446.</w:t>
      </w:r>
    </w:p>
    <w:p w14:paraId="32B1EEFE" w14:textId="77777777" w:rsidR="00193D48" w:rsidRPr="00B96182" w:rsidRDefault="00000000" w:rsidP="00B96182">
      <w:pPr>
        <w:spacing w:before="240" w:line="276" w:lineRule="auto"/>
        <w:rPr>
          <w:rFonts w:ascii="Times New Roman" w:eastAsia="等线" w:hAnsi="Times New Roman"/>
          <w:kern w:val="0"/>
          <w:sz w:val="24"/>
          <w:shd w:val="clear" w:color="auto" w:fill="FFFFFF"/>
          <w:lang w:bidi="ar"/>
        </w:rPr>
      </w:pPr>
      <w:r w:rsidRPr="00B96182">
        <w:rPr>
          <w:rFonts w:ascii="Times New Roman" w:hAnsi="Times New Roman"/>
          <w:b/>
          <w:bCs/>
          <w:kern w:val="0"/>
          <w:sz w:val="24"/>
          <w:shd w:val="clear" w:color="auto" w:fill="FFFFFF"/>
        </w:rPr>
        <w:t xml:space="preserve">Supplementary </w:t>
      </w:r>
      <w:r w:rsidRPr="00B96182">
        <w:rPr>
          <w:rFonts w:ascii="Times New Roman" w:eastAsia="Segoe UI" w:hAnsi="Times New Roman"/>
          <w:b/>
          <w:bCs/>
          <w:kern w:val="0"/>
          <w:sz w:val="24"/>
          <w:shd w:val="clear" w:color="auto" w:fill="FFFFFF"/>
          <w:lang w:bidi="ar"/>
        </w:rPr>
        <w:t xml:space="preserve">Table </w:t>
      </w:r>
      <w:r w:rsidRPr="00B96182">
        <w:rPr>
          <w:rFonts w:ascii="Times New Roman" w:eastAsia="等线" w:hAnsi="Times New Roman"/>
          <w:b/>
          <w:bCs/>
          <w:kern w:val="0"/>
          <w:sz w:val="24"/>
          <w:shd w:val="clear" w:color="auto" w:fill="FFFFFF"/>
          <w:lang w:bidi="ar"/>
        </w:rPr>
        <w:t>S5</w:t>
      </w:r>
      <w:r w:rsidRPr="00B96182">
        <w:rPr>
          <w:rFonts w:ascii="Times New Roman" w:eastAsia="Segoe UI" w:hAnsi="Times New Roman"/>
          <w:b/>
          <w:bCs/>
          <w:kern w:val="0"/>
          <w:sz w:val="24"/>
          <w:shd w:val="clear" w:color="auto" w:fill="FFFFFF"/>
          <w:lang w:bidi="ar"/>
        </w:rPr>
        <w:t xml:space="preserve">: </w:t>
      </w:r>
      <w:r w:rsidRPr="00B96182">
        <w:rPr>
          <w:rFonts w:ascii="Times New Roman" w:eastAsia="Segoe UI" w:hAnsi="Times New Roman"/>
          <w:kern w:val="0"/>
          <w:sz w:val="24"/>
          <w:shd w:val="clear" w:color="auto" w:fill="FFFFFF"/>
          <w:lang w:bidi="ar"/>
        </w:rPr>
        <w:t xml:space="preserve">Baseline characteristics of TCGA SKCM. </w:t>
      </w:r>
    </w:p>
    <w:p w14:paraId="28A107E1" w14:textId="77777777" w:rsidR="00193D48" w:rsidRPr="00B96182" w:rsidRDefault="00000000">
      <w:pPr>
        <w:spacing w:before="240" w:line="276" w:lineRule="auto"/>
        <w:rPr>
          <w:b/>
          <w:bCs/>
          <w:shd w:val="clear" w:color="auto" w:fill="FFFFFF"/>
        </w:rPr>
      </w:pPr>
      <w:r w:rsidRPr="00B96182">
        <w:rPr>
          <w:rFonts w:ascii="Times New Roman" w:hAnsi="Times New Roman"/>
          <w:b/>
          <w:bCs/>
          <w:kern w:val="0"/>
          <w:sz w:val="24"/>
          <w:shd w:val="clear" w:color="auto" w:fill="FFFFFF"/>
        </w:rPr>
        <w:t xml:space="preserve">Supplementary </w:t>
      </w:r>
      <w:r w:rsidRPr="00B96182">
        <w:rPr>
          <w:rFonts w:ascii="Times New Roman" w:eastAsia="Segoe UI" w:hAnsi="Times New Roman"/>
          <w:b/>
          <w:bCs/>
          <w:kern w:val="0"/>
          <w:sz w:val="24"/>
          <w:shd w:val="clear" w:color="auto" w:fill="FFFFFF"/>
          <w:lang w:bidi="ar"/>
        </w:rPr>
        <w:t xml:space="preserve">Table </w:t>
      </w:r>
      <w:r w:rsidRPr="00B96182">
        <w:rPr>
          <w:rFonts w:ascii="Times New Roman" w:eastAsia="等线" w:hAnsi="Times New Roman"/>
          <w:b/>
          <w:bCs/>
          <w:kern w:val="0"/>
          <w:sz w:val="24"/>
          <w:shd w:val="clear" w:color="auto" w:fill="FFFFFF"/>
          <w:lang w:bidi="ar"/>
        </w:rPr>
        <w:t>S6</w:t>
      </w:r>
      <w:r w:rsidRPr="00B96182">
        <w:rPr>
          <w:rFonts w:ascii="Times New Roman" w:eastAsia="等线" w:hAnsi="Times New Roman"/>
          <w:kern w:val="0"/>
          <w:sz w:val="24"/>
          <w:shd w:val="clear" w:color="auto" w:fill="FFFFFF"/>
          <w:lang w:bidi="ar"/>
        </w:rPr>
        <w:t xml:space="preserve">: Baseline characteristics of the </w:t>
      </w:r>
      <w:r w:rsidRPr="00B96182">
        <w:rPr>
          <w:rFonts w:ascii="Times New Roman" w:hAnsi="Times New Roman"/>
          <w:sz w:val="24"/>
          <w:shd w:val="clear" w:color="auto" w:fill="FFFFFF"/>
        </w:rPr>
        <w:t>of validating cohort.</w:t>
      </w:r>
    </w:p>
    <w:p w14:paraId="7755523D" w14:textId="77777777" w:rsidR="00193D48" w:rsidRDefault="00000000">
      <w:pPr>
        <w:pStyle w:val="ab"/>
        <w:widowControl/>
        <w:shd w:val="clear" w:color="auto" w:fill="FFFFFF"/>
        <w:spacing w:before="240" w:beforeAutospacing="0" w:after="0" w:afterAutospacing="0" w:line="276" w:lineRule="auto"/>
        <w:jc w:val="both"/>
        <w:rPr>
          <w:shd w:val="clear" w:color="auto" w:fill="FFFFFF"/>
        </w:rPr>
      </w:pPr>
      <w:r w:rsidRPr="00B96182">
        <w:rPr>
          <w:b/>
          <w:bCs/>
          <w:shd w:val="clear" w:color="auto" w:fill="FFFFFF"/>
        </w:rPr>
        <w:t>Supplementary Table S7:</w:t>
      </w:r>
      <w:r w:rsidRPr="00B96182">
        <w:rPr>
          <w:shd w:val="clear" w:color="auto" w:fill="FFFFFF"/>
        </w:rPr>
        <w:t xml:space="preserve"> Kruskal-Wallis test for association of APE1 and CD4 or CD8.</w:t>
      </w:r>
    </w:p>
    <w:p w14:paraId="6202BB6A" w14:textId="77777777" w:rsidR="00193D48" w:rsidRDefault="00000000">
      <w:pPr>
        <w:pStyle w:val="ab"/>
        <w:widowControl/>
        <w:shd w:val="clear" w:color="auto" w:fill="FFFFFF"/>
        <w:spacing w:before="240" w:beforeAutospacing="0" w:after="0" w:afterAutospacing="0" w:line="276" w:lineRule="auto"/>
        <w:jc w:val="both"/>
        <w:rPr>
          <w:shd w:val="clear" w:color="auto" w:fill="FFFFFF"/>
        </w:rPr>
      </w:pPr>
      <w:r>
        <w:rPr>
          <w:rFonts w:hint="eastAsia"/>
          <w:noProof/>
          <w:shd w:val="clear" w:color="auto" w:fill="FFFFFF"/>
        </w:rPr>
        <w:drawing>
          <wp:inline distT="0" distB="0" distL="114300" distR="114300" wp14:anchorId="5F6B363E" wp14:editId="2F0CCF7B">
            <wp:extent cx="6362700" cy="2292350"/>
            <wp:effectExtent l="0" t="0" r="0" b="6350"/>
            <wp:docPr id="30" name="图片 30" descr="Figure 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Figure S1"/>
                    <pic:cNvPicPr>
                      <a:picLocks noChangeAspect="1"/>
                    </pic:cNvPicPr>
                  </pic:nvPicPr>
                  <pic:blipFill>
                    <a:blip r:embed="rId8"/>
                    <a:srcRect l="5504" t="19096" r="11638" b="27848"/>
                    <a:stretch>
                      <a:fillRect/>
                    </a:stretch>
                  </pic:blipFill>
                  <pic:spPr>
                    <a:xfrm>
                      <a:off x="0" y="0"/>
                      <a:ext cx="6362700" cy="2292350"/>
                    </a:xfrm>
                    <a:prstGeom prst="rect">
                      <a:avLst/>
                    </a:prstGeom>
                  </pic:spPr>
                </pic:pic>
              </a:graphicData>
            </a:graphic>
          </wp:inline>
        </w:drawing>
      </w:r>
    </w:p>
    <w:p w14:paraId="2CB63B44" w14:textId="77777777" w:rsidR="00193D48" w:rsidRDefault="00193D48" w:rsidP="00B96182">
      <w:pPr>
        <w:pStyle w:val="ab"/>
        <w:widowControl/>
        <w:shd w:val="clear" w:color="auto" w:fill="FFFFFF"/>
        <w:spacing w:before="240" w:beforeAutospacing="0" w:after="0" w:afterAutospacing="0" w:line="276" w:lineRule="auto"/>
        <w:jc w:val="center"/>
        <w:rPr>
          <w:b/>
          <w:bCs/>
          <w:shd w:val="clear" w:color="auto" w:fill="FFFFFF"/>
        </w:rPr>
      </w:pPr>
    </w:p>
    <w:p w14:paraId="4280ABC4" w14:textId="40FAED70" w:rsidR="00193D48" w:rsidRDefault="00000000">
      <w:pPr>
        <w:pStyle w:val="ab"/>
        <w:widowControl/>
        <w:shd w:val="clear" w:color="auto" w:fill="FFFFFF"/>
        <w:spacing w:before="0" w:beforeAutospacing="0" w:after="120" w:afterAutospacing="0" w:line="480" w:lineRule="auto"/>
        <w:jc w:val="both"/>
        <w:rPr>
          <w:shd w:val="clear" w:color="auto" w:fill="FFFFFF"/>
        </w:rPr>
      </w:pPr>
      <w:r w:rsidRPr="00B96182">
        <w:rPr>
          <w:b/>
          <w:bCs/>
          <w:shd w:val="clear" w:color="auto" w:fill="FFFFFF"/>
        </w:rPr>
        <w:t>Supplementary Figure S1:</w:t>
      </w:r>
      <w:r w:rsidR="00B96182">
        <w:rPr>
          <w:rFonts w:hint="eastAsia"/>
          <w:b/>
          <w:bCs/>
          <w:shd w:val="clear" w:color="auto" w:fill="FFFFFF"/>
        </w:rPr>
        <w:t xml:space="preserve"> </w:t>
      </w:r>
      <w:r w:rsidRPr="00B96182">
        <w:rPr>
          <w:rFonts w:hint="eastAsia"/>
          <w:shd w:val="clear" w:color="auto" w:fill="FFFFFF"/>
        </w:rPr>
        <w:t>Scatter</w:t>
      </w:r>
      <w:r>
        <w:rPr>
          <w:rFonts w:hint="eastAsia"/>
          <w:shd w:val="clear" w:color="auto" w:fill="FFFFFF"/>
        </w:rPr>
        <w:t xml:space="preserve"> plots showing the association of melanoma cell subtypes and CD4+ T cells. (A) The proportion of CD4+ T cells within all T cells and lipid metabolic melanoma subtypes. (B) The proportion of CD4+ T cells within all T cells and MYC melanoma subtypes.</w:t>
      </w:r>
      <w:r w:rsidR="00B96182">
        <w:rPr>
          <w:rFonts w:hint="eastAsia"/>
          <w:shd w:val="clear" w:color="auto" w:fill="FFFFFF"/>
        </w:rPr>
        <w:t xml:space="preserve"> </w:t>
      </w:r>
      <w:r>
        <w:rPr>
          <w:rFonts w:hint="eastAsia"/>
          <w:shd w:val="clear" w:color="auto" w:fill="FFFFFF"/>
        </w:rPr>
        <w:t>(C)The proportion of CD4+ T cells within all T cells and inflammatory melanoma subtypes.</w:t>
      </w:r>
    </w:p>
    <w:p w14:paraId="3608EAA5" w14:textId="77777777" w:rsidR="00193D48" w:rsidRDefault="00000000" w:rsidP="00B96182">
      <w:pPr>
        <w:pStyle w:val="ab"/>
        <w:widowControl/>
        <w:shd w:val="clear" w:color="auto" w:fill="FFFFFF"/>
        <w:spacing w:before="240" w:beforeAutospacing="0" w:after="0" w:afterAutospacing="0" w:line="276" w:lineRule="auto"/>
        <w:jc w:val="both"/>
        <w:rPr>
          <w:b/>
          <w:bCs/>
          <w:shd w:val="clear" w:color="auto" w:fill="FFFFFF"/>
        </w:rPr>
      </w:pPr>
      <w:r>
        <w:rPr>
          <w:rFonts w:hint="eastAsia"/>
          <w:b/>
          <w:bCs/>
          <w:shd w:val="clear" w:color="auto" w:fill="FFFFFF"/>
        </w:rPr>
        <w:t xml:space="preserve">          </w:t>
      </w:r>
      <w:r>
        <w:rPr>
          <w:rFonts w:hint="eastAsia"/>
          <w:b/>
          <w:bCs/>
          <w:noProof/>
          <w:shd w:val="clear" w:color="auto" w:fill="FFFFFF"/>
        </w:rPr>
        <w:drawing>
          <wp:inline distT="0" distB="0" distL="114300" distR="114300" wp14:anchorId="19805BD5" wp14:editId="6C4FAC0E">
            <wp:extent cx="4807585" cy="4728210"/>
            <wp:effectExtent l="0" t="0" r="5715" b="8890"/>
            <wp:docPr id="31" name="图片 31" descr="Figure 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Figure S2"/>
                    <pic:cNvPicPr>
                      <a:picLocks noChangeAspect="1"/>
                    </pic:cNvPicPr>
                  </pic:nvPicPr>
                  <pic:blipFill>
                    <a:blip r:embed="rId9"/>
                    <a:srcRect l="31211" t="9801" r="20956" b="6564"/>
                    <a:stretch>
                      <a:fillRect/>
                    </a:stretch>
                  </pic:blipFill>
                  <pic:spPr>
                    <a:xfrm>
                      <a:off x="0" y="0"/>
                      <a:ext cx="4807585" cy="4728210"/>
                    </a:xfrm>
                    <a:prstGeom prst="rect">
                      <a:avLst/>
                    </a:prstGeom>
                  </pic:spPr>
                </pic:pic>
              </a:graphicData>
            </a:graphic>
          </wp:inline>
        </w:drawing>
      </w:r>
    </w:p>
    <w:p w14:paraId="24C34281" w14:textId="1A64BB3B" w:rsidR="00193D48" w:rsidRDefault="00000000">
      <w:pPr>
        <w:pStyle w:val="ab"/>
        <w:widowControl/>
        <w:shd w:val="clear" w:color="auto" w:fill="FFFFFF"/>
        <w:spacing w:before="0" w:beforeAutospacing="0" w:after="120" w:afterAutospacing="0" w:line="480" w:lineRule="auto"/>
        <w:jc w:val="both"/>
        <w:rPr>
          <w:shd w:val="clear" w:color="auto" w:fill="FFFFFF"/>
        </w:rPr>
      </w:pPr>
      <w:r w:rsidRPr="00B96182">
        <w:rPr>
          <w:b/>
          <w:bCs/>
          <w:shd w:val="clear" w:color="auto" w:fill="FFFFFF"/>
        </w:rPr>
        <w:t>Supplementary Figure S2:</w:t>
      </w:r>
      <w:r w:rsidR="00B96182">
        <w:rPr>
          <w:rFonts w:hint="eastAsia"/>
          <w:b/>
          <w:bCs/>
          <w:shd w:val="clear" w:color="auto" w:fill="FFFFFF"/>
        </w:rPr>
        <w:t xml:space="preserve"> </w:t>
      </w:r>
      <w:r>
        <w:rPr>
          <w:shd w:val="clear" w:color="auto" w:fill="FFFFFF"/>
        </w:rPr>
        <w:t>Correlation plot</w:t>
      </w:r>
      <w:r>
        <w:rPr>
          <w:rFonts w:hint="eastAsia"/>
          <w:shd w:val="clear" w:color="auto" w:fill="FFFFFF"/>
        </w:rPr>
        <w:t xml:space="preserve"> </w:t>
      </w:r>
      <w:r>
        <w:rPr>
          <w:shd w:val="clear" w:color="auto" w:fill="FFFFFF"/>
        </w:rPr>
        <w:t xml:space="preserve">of </w:t>
      </w:r>
      <w:r>
        <w:rPr>
          <w:rFonts w:hint="eastAsia"/>
          <w:shd w:val="clear" w:color="auto" w:fill="FFFFFF"/>
        </w:rPr>
        <w:t>relative abundance of four melanoma subtypes and tumor purity, immune score, two BER pathways and APE1 expression. The numeric values in the colored circles represent the spearman correlation coefficients with significance less than 0.01.</w:t>
      </w:r>
    </w:p>
    <w:p w14:paraId="499ECC00" w14:textId="77777777" w:rsidR="00193D48" w:rsidRDefault="00193D48">
      <w:pPr>
        <w:pStyle w:val="ab"/>
        <w:widowControl/>
        <w:shd w:val="clear" w:color="auto" w:fill="FFFFFF"/>
        <w:spacing w:before="0" w:beforeAutospacing="0" w:after="0" w:afterAutospacing="0" w:line="276" w:lineRule="auto"/>
        <w:jc w:val="both"/>
      </w:pPr>
    </w:p>
    <w:p w14:paraId="037D0EAE" w14:textId="77777777" w:rsidR="00193D48" w:rsidRDefault="00193D48">
      <w:pPr>
        <w:pStyle w:val="ab"/>
        <w:widowControl/>
        <w:shd w:val="clear" w:color="auto" w:fill="FFFFFF"/>
        <w:spacing w:before="0" w:beforeAutospacing="0" w:after="0" w:afterAutospacing="0" w:line="276" w:lineRule="auto"/>
        <w:jc w:val="both"/>
      </w:pPr>
    </w:p>
    <w:p w14:paraId="3821B54E" w14:textId="77777777" w:rsidR="00193D48" w:rsidRDefault="00000000">
      <w:pPr>
        <w:pStyle w:val="ab"/>
        <w:widowControl/>
        <w:shd w:val="clear" w:color="auto" w:fill="FFFFFF"/>
        <w:spacing w:before="0" w:beforeAutospacing="0" w:after="0" w:afterAutospacing="0" w:line="276" w:lineRule="auto"/>
        <w:jc w:val="both"/>
      </w:pPr>
      <w:r>
        <w:rPr>
          <w:rFonts w:hint="eastAsia"/>
          <w:noProof/>
        </w:rPr>
        <w:drawing>
          <wp:inline distT="0" distB="0" distL="114300" distR="114300" wp14:anchorId="47887F56" wp14:editId="5A89CF98">
            <wp:extent cx="5835015" cy="4435475"/>
            <wp:effectExtent l="0" t="0" r="0" b="0"/>
            <wp:docPr id="36" name="图片 36" descr="Figure 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Figure S3"/>
                    <pic:cNvPicPr>
                      <a:picLocks noChangeAspect="1"/>
                    </pic:cNvPicPr>
                  </pic:nvPicPr>
                  <pic:blipFill>
                    <a:blip r:embed="rId10"/>
                    <a:srcRect l="13565" t="3785" r="17711" b="3363"/>
                    <a:stretch>
                      <a:fillRect/>
                    </a:stretch>
                  </pic:blipFill>
                  <pic:spPr>
                    <a:xfrm>
                      <a:off x="0" y="0"/>
                      <a:ext cx="5835015" cy="4435475"/>
                    </a:xfrm>
                    <a:prstGeom prst="rect">
                      <a:avLst/>
                    </a:prstGeom>
                  </pic:spPr>
                </pic:pic>
              </a:graphicData>
            </a:graphic>
          </wp:inline>
        </w:drawing>
      </w:r>
    </w:p>
    <w:p w14:paraId="1DA9EEBA" w14:textId="2C2585A3" w:rsidR="00193D48" w:rsidRDefault="00000000">
      <w:pPr>
        <w:pStyle w:val="ab"/>
        <w:widowControl/>
        <w:shd w:val="clear" w:color="auto" w:fill="FFFFFF"/>
        <w:spacing w:before="0" w:beforeAutospacing="0" w:after="120" w:afterAutospacing="0" w:line="480" w:lineRule="auto"/>
        <w:jc w:val="both"/>
        <w:rPr>
          <w:shd w:val="clear" w:color="auto" w:fill="FFFFFF"/>
        </w:rPr>
      </w:pPr>
      <w:r w:rsidRPr="00B96182">
        <w:rPr>
          <w:b/>
          <w:bCs/>
          <w:shd w:val="clear" w:color="auto" w:fill="FFFFFF"/>
        </w:rPr>
        <w:t>Supplementary Figure S3:</w:t>
      </w:r>
      <w:r w:rsidR="00B96182" w:rsidRPr="00B96182">
        <w:rPr>
          <w:rFonts w:hint="eastAsia"/>
          <w:b/>
          <w:bCs/>
          <w:shd w:val="clear" w:color="auto" w:fill="FFFFFF"/>
        </w:rPr>
        <w:t xml:space="preserve"> </w:t>
      </w:r>
      <w:r w:rsidRPr="00B96182">
        <w:rPr>
          <w:rFonts w:hint="eastAsia"/>
          <w:shd w:val="clear" w:color="auto" w:fill="FFFFFF"/>
        </w:rPr>
        <w:t>Establishment</w:t>
      </w:r>
      <w:r>
        <w:rPr>
          <w:rFonts w:hint="eastAsia"/>
          <w:shd w:val="clear" w:color="auto" w:fill="FFFFFF"/>
        </w:rPr>
        <w:t xml:space="preserve"> of t</w:t>
      </w:r>
      <w:r>
        <w:rPr>
          <w:shd w:val="clear" w:color="auto" w:fill="FFFFFF"/>
        </w:rPr>
        <w:t>hree</w:t>
      </w:r>
      <w:r>
        <w:rPr>
          <w:rFonts w:hint="eastAsia"/>
          <w:shd w:val="clear" w:color="auto" w:fill="FFFFFF"/>
        </w:rPr>
        <w:t xml:space="preserve"> immune subtypes in melanoma based on TME. consensus matrix of </w:t>
      </w:r>
      <w:r w:rsidR="00B96182">
        <w:rPr>
          <w:rFonts w:hint="eastAsia"/>
          <w:shd w:val="clear" w:color="auto" w:fill="FFFFFF"/>
        </w:rPr>
        <w:t xml:space="preserve">(A) </w:t>
      </w:r>
      <w:r>
        <w:rPr>
          <w:rFonts w:hint="eastAsia"/>
          <w:shd w:val="clear" w:color="auto" w:fill="FFFFFF"/>
        </w:rPr>
        <w:t xml:space="preserve">TCGA SKCM, </w:t>
      </w:r>
      <w:r w:rsidR="00B96182">
        <w:rPr>
          <w:rFonts w:hint="eastAsia"/>
          <w:shd w:val="clear" w:color="auto" w:fill="FFFFFF"/>
        </w:rPr>
        <w:t xml:space="preserve">(B) </w:t>
      </w:r>
      <w:r>
        <w:rPr>
          <w:rFonts w:hint="eastAsia"/>
          <w:shd w:val="clear" w:color="auto" w:fill="FFFFFF"/>
        </w:rPr>
        <w:t>GSE65904</w:t>
      </w:r>
      <w:r w:rsidR="00B96182">
        <w:rPr>
          <w:rFonts w:hint="eastAsia"/>
          <w:shd w:val="clear" w:color="auto" w:fill="FFFFFF"/>
        </w:rPr>
        <w:t>,</w:t>
      </w:r>
      <w:r>
        <w:rPr>
          <w:rFonts w:hint="eastAsia"/>
          <w:shd w:val="clear" w:color="auto" w:fill="FFFFFF"/>
        </w:rPr>
        <w:t xml:space="preserve"> and </w:t>
      </w:r>
      <w:r w:rsidR="00B96182">
        <w:rPr>
          <w:rFonts w:hint="eastAsia"/>
          <w:shd w:val="clear" w:color="auto" w:fill="FFFFFF"/>
        </w:rPr>
        <w:t xml:space="preserve">(C) </w:t>
      </w:r>
      <w:r>
        <w:rPr>
          <w:rFonts w:hint="eastAsia"/>
          <w:shd w:val="clear" w:color="auto" w:fill="FFFFFF"/>
        </w:rPr>
        <w:t xml:space="preserve">GSE190113. Heatmap of the average enrichment score of 23 canonical pathways within each immune subtype of </w:t>
      </w:r>
      <w:r w:rsidR="00B96182">
        <w:rPr>
          <w:rFonts w:hint="eastAsia"/>
          <w:shd w:val="clear" w:color="auto" w:fill="FFFFFF"/>
        </w:rPr>
        <w:t xml:space="preserve">(D) </w:t>
      </w:r>
      <w:r>
        <w:rPr>
          <w:rFonts w:hint="eastAsia"/>
          <w:shd w:val="clear" w:color="auto" w:fill="FFFFFF"/>
        </w:rPr>
        <w:t xml:space="preserve">TCGA SKCM, </w:t>
      </w:r>
      <w:r w:rsidR="00B96182">
        <w:rPr>
          <w:rFonts w:hint="eastAsia"/>
          <w:shd w:val="clear" w:color="auto" w:fill="FFFFFF"/>
        </w:rPr>
        <w:t xml:space="preserve">(E) </w:t>
      </w:r>
      <w:r>
        <w:rPr>
          <w:rFonts w:hint="eastAsia"/>
          <w:shd w:val="clear" w:color="auto" w:fill="FFFFFF"/>
        </w:rPr>
        <w:t>GSE65904</w:t>
      </w:r>
      <w:r w:rsidR="00B96182">
        <w:rPr>
          <w:rFonts w:hint="eastAsia"/>
          <w:shd w:val="clear" w:color="auto" w:fill="FFFFFF"/>
        </w:rPr>
        <w:t>,</w:t>
      </w:r>
      <w:r>
        <w:rPr>
          <w:rFonts w:hint="eastAsia"/>
          <w:shd w:val="clear" w:color="auto" w:fill="FFFFFF"/>
        </w:rPr>
        <w:t xml:space="preserve"> and </w:t>
      </w:r>
      <w:r w:rsidR="00B96182">
        <w:rPr>
          <w:rFonts w:hint="eastAsia"/>
          <w:shd w:val="clear" w:color="auto" w:fill="FFFFFF"/>
        </w:rPr>
        <w:t xml:space="preserve">(F) </w:t>
      </w:r>
      <w:r>
        <w:rPr>
          <w:rFonts w:hint="eastAsia"/>
          <w:shd w:val="clear" w:color="auto" w:fill="FFFFFF"/>
        </w:rPr>
        <w:t>GSE190113.</w:t>
      </w:r>
    </w:p>
    <w:p w14:paraId="6E6D83B4" w14:textId="77777777" w:rsidR="00193D48" w:rsidRDefault="00193D48">
      <w:pPr>
        <w:pStyle w:val="ab"/>
        <w:widowControl/>
        <w:shd w:val="clear" w:color="auto" w:fill="FFFFFF"/>
        <w:spacing w:before="0" w:beforeAutospacing="0" w:after="0" w:afterAutospacing="0" w:line="276" w:lineRule="auto"/>
        <w:jc w:val="both"/>
        <w:rPr>
          <w:b/>
          <w:bCs/>
          <w:shd w:val="clear" w:color="auto" w:fill="FFFFFF"/>
        </w:rPr>
      </w:pPr>
    </w:p>
    <w:p w14:paraId="62017514" w14:textId="77777777" w:rsidR="00193D48" w:rsidRDefault="00000000" w:rsidP="00B96182">
      <w:pPr>
        <w:pStyle w:val="ab"/>
        <w:widowControl/>
        <w:shd w:val="clear" w:color="auto" w:fill="FFFFFF"/>
        <w:spacing w:before="240" w:beforeAutospacing="0" w:after="0" w:afterAutospacing="0" w:line="276" w:lineRule="auto"/>
        <w:jc w:val="center"/>
        <w:rPr>
          <w:b/>
          <w:bCs/>
          <w:shd w:val="clear" w:color="auto" w:fill="FFFFFF"/>
        </w:rPr>
      </w:pPr>
      <w:r>
        <w:rPr>
          <w:rFonts w:hint="eastAsia"/>
          <w:b/>
          <w:bCs/>
          <w:noProof/>
          <w:shd w:val="clear" w:color="auto" w:fill="FFFFFF"/>
        </w:rPr>
        <w:drawing>
          <wp:inline distT="0" distB="0" distL="114300" distR="114300" wp14:anchorId="73EDF3C0" wp14:editId="0AACFE6B">
            <wp:extent cx="5334635" cy="3121025"/>
            <wp:effectExtent l="0" t="0" r="12065" b="3175"/>
            <wp:docPr id="33" name="图片 33" descr="Figure 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Figure S4"/>
                    <pic:cNvPicPr>
                      <a:picLocks noChangeAspect="1"/>
                    </pic:cNvPicPr>
                  </pic:nvPicPr>
                  <pic:blipFill>
                    <a:blip r:embed="rId11"/>
                    <a:srcRect l="2014" t="6659" r="17909" b="10080"/>
                    <a:stretch>
                      <a:fillRect/>
                    </a:stretch>
                  </pic:blipFill>
                  <pic:spPr>
                    <a:xfrm>
                      <a:off x="0" y="0"/>
                      <a:ext cx="5334635" cy="3121025"/>
                    </a:xfrm>
                    <a:prstGeom prst="rect">
                      <a:avLst/>
                    </a:prstGeom>
                  </pic:spPr>
                </pic:pic>
              </a:graphicData>
            </a:graphic>
          </wp:inline>
        </w:drawing>
      </w:r>
    </w:p>
    <w:p w14:paraId="12D8320C" w14:textId="1F8D9A5A" w:rsidR="00193D48" w:rsidRDefault="00000000">
      <w:pPr>
        <w:pStyle w:val="ab"/>
        <w:widowControl/>
        <w:shd w:val="clear" w:color="auto" w:fill="FFFFFF"/>
        <w:spacing w:before="0" w:beforeAutospacing="0" w:after="120" w:afterAutospacing="0" w:line="480" w:lineRule="auto"/>
        <w:jc w:val="both"/>
        <w:rPr>
          <w:shd w:val="clear" w:color="auto" w:fill="FFFFFF"/>
        </w:rPr>
      </w:pPr>
      <w:r w:rsidRPr="00B96182">
        <w:rPr>
          <w:b/>
          <w:bCs/>
          <w:shd w:val="clear" w:color="auto" w:fill="FFFFFF"/>
        </w:rPr>
        <w:t>Supplementary Figure S4:</w:t>
      </w:r>
      <w:r w:rsidR="00B96182" w:rsidRPr="00B96182">
        <w:rPr>
          <w:rFonts w:hint="eastAsia"/>
          <w:b/>
          <w:bCs/>
          <w:shd w:val="clear" w:color="auto" w:fill="FFFFFF"/>
        </w:rPr>
        <w:t xml:space="preserve"> </w:t>
      </w:r>
      <w:r w:rsidRPr="00B96182">
        <w:rPr>
          <w:shd w:val="clear" w:color="auto" w:fill="FFFFFF"/>
        </w:rPr>
        <w:t>Heatmap</w:t>
      </w:r>
      <w:r>
        <w:rPr>
          <w:shd w:val="clear" w:color="auto" w:fill="FFFFFF"/>
        </w:rPr>
        <w:t xml:space="preserve"> show</w:t>
      </w:r>
      <w:r>
        <w:rPr>
          <w:rFonts w:hint="eastAsia"/>
          <w:shd w:val="clear" w:color="auto" w:fill="FFFFFF"/>
        </w:rPr>
        <w:t>ing</w:t>
      </w:r>
      <w:r>
        <w:rPr>
          <w:shd w:val="clear" w:color="auto" w:fill="FFFFFF"/>
        </w:rPr>
        <w:t xml:space="preserve"> the regression</w:t>
      </w:r>
      <w:r>
        <w:rPr>
          <w:rFonts w:hint="eastAsia"/>
          <w:shd w:val="clear" w:color="auto" w:fill="FFFFFF"/>
        </w:rPr>
        <w:t xml:space="preserve"> coefficients and their significance from univariate linear regression in each immune subtype in TCGA SKCM</w:t>
      </w:r>
      <w:r>
        <w:rPr>
          <w:shd w:val="clear" w:color="auto" w:fill="FFFFFF"/>
        </w:rPr>
        <w:t>.</w:t>
      </w:r>
      <w:r>
        <w:rPr>
          <w:rFonts w:hint="eastAsia"/>
          <w:shd w:val="clear" w:color="auto" w:fill="FFFFFF"/>
        </w:rPr>
        <w:t xml:space="preserve"> The asterisk</w:t>
      </w:r>
      <w:r w:rsidR="00B96182">
        <w:rPr>
          <w:rFonts w:hint="eastAsia"/>
          <w:shd w:val="clear" w:color="auto" w:fill="FFFFFF"/>
        </w:rPr>
        <w:t>s</w:t>
      </w:r>
      <w:r>
        <w:rPr>
          <w:rFonts w:hint="eastAsia"/>
          <w:shd w:val="clear" w:color="auto" w:fill="FFFFFF"/>
        </w:rPr>
        <w:t xml:space="preserve"> </w:t>
      </w:r>
      <w:r w:rsidR="00B96182" w:rsidRPr="00B96182">
        <w:rPr>
          <w:rFonts w:ascii="Segoe UI Symbol" w:hAnsi="Segoe UI Symbol" w:cs="Segoe UI Symbol"/>
          <w:shd w:val="clear" w:color="auto" w:fill="FFFFFF"/>
        </w:rPr>
        <w:t>★</w:t>
      </w:r>
      <w:r>
        <w:rPr>
          <w:rFonts w:hint="eastAsia"/>
          <w:shd w:val="clear" w:color="auto" w:fill="FFFFFF"/>
        </w:rPr>
        <w:t xml:space="preserve">, </w:t>
      </w:r>
      <w:r w:rsidR="00B96182" w:rsidRPr="00B96182">
        <w:rPr>
          <w:rFonts w:ascii="Segoe UI Symbol" w:hAnsi="Segoe UI Symbol" w:cs="Segoe UI Symbol"/>
          <w:shd w:val="clear" w:color="auto" w:fill="FFFFFF"/>
        </w:rPr>
        <w:t>★★</w:t>
      </w:r>
      <w:r>
        <w:rPr>
          <w:rFonts w:hint="eastAsia"/>
          <w:shd w:val="clear" w:color="auto" w:fill="FFFFFF"/>
        </w:rPr>
        <w:t xml:space="preserve">, </w:t>
      </w:r>
      <w:r w:rsidR="00B96182" w:rsidRPr="00B96182">
        <w:rPr>
          <w:rFonts w:ascii="Segoe UI Symbol" w:hAnsi="Segoe UI Symbol" w:cs="Segoe UI Symbol"/>
          <w:shd w:val="clear" w:color="auto" w:fill="FFFFFF"/>
        </w:rPr>
        <w:t>★★★</w:t>
      </w:r>
      <w:r>
        <w:rPr>
          <w:rFonts w:hint="eastAsia"/>
          <w:shd w:val="clear" w:color="auto" w:fill="FFFFFF"/>
        </w:rPr>
        <w:t xml:space="preserve"> labeled in the squares </w:t>
      </w:r>
      <w:r>
        <w:rPr>
          <w:shd w:val="clear" w:color="auto" w:fill="FFFFFF"/>
        </w:rPr>
        <w:t>indicate</w:t>
      </w:r>
      <w:r>
        <w:rPr>
          <w:rFonts w:hint="eastAsia"/>
          <w:shd w:val="clear" w:color="auto" w:fill="FFFFFF"/>
        </w:rPr>
        <w:t xml:space="preserve"> significance level of 0.05-0.01, 0.001-0.01</w:t>
      </w:r>
      <w:r w:rsidR="00B96182">
        <w:rPr>
          <w:shd w:val="clear" w:color="auto" w:fill="FFFFFF"/>
        </w:rPr>
        <w:t>,</w:t>
      </w:r>
      <w:r>
        <w:rPr>
          <w:rFonts w:hint="eastAsia"/>
          <w:shd w:val="clear" w:color="auto" w:fill="FFFFFF"/>
        </w:rPr>
        <w:t xml:space="preserve"> and less than 0.001</w:t>
      </w:r>
      <w:r w:rsidR="00B96182">
        <w:rPr>
          <w:shd w:val="clear" w:color="auto" w:fill="FFFFFF"/>
        </w:rPr>
        <w:t>,</w:t>
      </w:r>
      <w:r>
        <w:rPr>
          <w:rFonts w:hint="eastAsia"/>
          <w:shd w:val="clear" w:color="auto" w:fill="FFFFFF"/>
        </w:rPr>
        <w:t xml:space="preserve"> respectively</w:t>
      </w:r>
    </w:p>
    <w:p w14:paraId="6A9F66BA" w14:textId="77777777" w:rsidR="00193D48" w:rsidRDefault="00193D48" w:rsidP="00B96182">
      <w:pPr>
        <w:pStyle w:val="ab"/>
        <w:widowControl/>
        <w:shd w:val="clear" w:color="auto" w:fill="FFFFFF"/>
        <w:spacing w:before="0" w:beforeAutospacing="0" w:after="0" w:afterAutospacing="0" w:line="276" w:lineRule="auto"/>
        <w:jc w:val="both"/>
        <w:rPr>
          <w:b/>
          <w:bCs/>
          <w:shd w:val="clear" w:color="auto" w:fill="FFFFFF"/>
        </w:rPr>
      </w:pPr>
    </w:p>
    <w:p w14:paraId="782EE4AF" w14:textId="77777777" w:rsidR="00193D48" w:rsidRDefault="00193D48">
      <w:pPr>
        <w:spacing w:line="276" w:lineRule="auto"/>
        <w:rPr>
          <w:rFonts w:ascii="Times New Roman" w:hAnsi="Times New Roman"/>
          <w:sz w:val="24"/>
          <w:shd w:val="clear" w:color="auto" w:fill="FFFFFF"/>
        </w:rPr>
      </w:pPr>
    </w:p>
    <w:sectPr w:rsidR="00193D48">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7CAC73" w14:textId="77777777" w:rsidR="002D3B4D" w:rsidRDefault="002D3B4D" w:rsidP="0039705E">
      <w:r>
        <w:separator/>
      </w:r>
    </w:p>
  </w:endnote>
  <w:endnote w:type="continuationSeparator" w:id="0">
    <w:p w14:paraId="491BDC1F" w14:textId="77777777" w:rsidR="002D3B4D" w:rsidRDefault="002D3B4D" w:rsidP="003970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C7E1EE" w14:textId="77777777" w:rsidR="002D3B4D" w:rsidRDefault="002D3B4D" w:rsidP="0039705E">
      <w:r>
        <w:separator/>
      </w:r>
    </w:p>
  </w:footnote>
  <w:footnote w:type="continuationSeparator" w:id="0">
    <w:p w14:paraId="1F100A2E" w14:textId="77777777" w:rsidR="002D3B4D" w:rsidRDefault="002D3B4D" w:rsidP="0039705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lvl w:ilvl="0">
      <w:start w:val="1"/>
      <w:numFmt w:val="decimal"/>
      <w:suff w:val="space"/>
      <w:lvlText w:val="%1."/>
      <w:lvlJc w:val="left"/>
    </w:lvl>
  </w:abstractNum>
  <w:num w:numId="1" w16cid:durableId="10045515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94"/>
  <w:bordersDoNotSurroundHeader/>
  <w:bordersDoNotSurroundFooter/>
  <w:proofState w:spelling="clean" w:grammar="clean"/>
  <w:defaultTabStop w:val="420"/>
  <w:drawingGridVerticalSpacing w:val="156"/>
  <w:doNotShadeFormData/>
  <w:noPunctuationKerning/>
  <w:characterSpacingControl w:val="compressPunctuation"/>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993C01F4"/>
    <w:rsid w:val="9A2F1BD6"/>
    <w:rsid w:val="9A953BE1"/>
    <w:rsid w:val="9ADEB281"/>
    <w:rsid w:val="9B5053B7"/>
    <w:rsid w:val="9BF20BA9"/>
    <w:rsid w:val="9C4AB468"/>
    <w:rsid w:val="9C50D940"/>
    <w:rsid w:val="9C95A3FB"/>
    <w:rsid w:val="9CC169D5"/>
    <w:rsid w:val="9CFB566D"/>
    <w:rsid w:val="9D32ACCA"/>
    <w:rsid w:val="9D3B2839"/>
    <w:rsid w:val="9D4FECC6"/>
    <w:rsid w:val="9DB89750"/>
    <w:rsid w:val="9E7785AA"/>
    <w:rsid w:val="9E85801C"/>
    <w:rsid w:val="9EA7BB7C"/>
    <w:rsid w:val="9FCF032C"/>
    <w:rsid w:val="A064C99C"/>
    <w:rsid w:val="A18CEEB7"/>
    <w:rsid w:val="A197E200"/>
    <w:rsid w:val="A1E3723C"/>
    <w:rsid w:val="A2036F51"/>
    <w:rsid w:val="A24E16AD"/>
    <w:rsid w:val="A28713F9"/>
    <w:rsid w:val="A28CE026"/>
    <w:rsid w:val="A2DFC509"/>
    <w:rsid w:val="A2FB5CA5"/>
    <w:rsid w:val="A385FFE0"/>
    <w:rsid w:val="A3945AED"/>
    <w:rsid w:val="A4009E40"/>
    <w:rsid w:val="A4CA041C"/>
    <w:rsid w:val="A5059750"/>
    <w:rsid w:val="A51EFB9C"/>
    <w:rsid w:val="A5B8F654"/>
    <w:rsid w:val="A5E88D34"/>
    <w:rsid w:val="A5F6ABEF"/>
    <w:rsid w:val="A71E7777"/>
    <w:rsid w:val="A7E58490"/>
    <w:rsid w:val="A7EAA997"/>
    <w:rsid w:val="A85C4920"/>
    <w:rsid w:val="A87B8966"/>
    <w:rsid w:val="A8B20DB7"/>
    <w:rsid w:val="A95C7738"/>
    <w:rsid w:val="A9B9ED03"/>
    <w:rsid w:val="AA4DAC9A"/>
    <w:rsid w:val="AA87CE53"/>
    <w:rsid w:val="AAC2BBAF"/>
    <w:rsid w:val="AADC1448"/>
    <w:rsid w:val="AB108CCA"/>
    <w:rsid w:val="AB6197AB"/>
    <w:rsid w:val="ABCA2452"/>
    <w:rsid w:val="ABE9E0C8"/>
    <w:rsid w:val="AC4E44DD"/>
    <w:rsid w:val="AD9F1376"/>
    <w:rsid w:val="ADB5A000"/>
    <w:rsid w:val="AE1D8DE2"/>
    <w:rsid w:val="AF83A812"/>
    <w:rsid w:val="AF888749"/>
    <w:rsid w:val="B146F6B4"/>
    <w:rsid w:val="B166A513"/>
    <w:rsid w:val="B18E4303"/>
    <w:rsid w:val="B1A107F7"/>
    <w:rsid w:val="B1D2ED26"/>
    <w:rsid w:val="B23C4ADA"/>
    <w:rsid w:val="B24E0C15"/>
    <w:rsid w:val="B262007E"/>
    <w:rsid w:val="B2BCF850"/>
    <w:rsid w:val="B2F8D148"/>
    <w:rsid w:val="B3107AB1"/>
    <w:rsid w:val="B37BF782"/>
    <w:rsid w:val="B3D65685"/>
    <w:rsid w:val="B3E50ECA"/>
    <w:rsid w:val="B3ED145E"/>
    <w:rsid w:val="B41E0067"/>
    <w:rsid w:val="B4C22B9E"/>
    <w:rsid w:val="B4E90AA4"/>
    <w:rsid w:val="B51CF16F"/>
    <w:rsid w:val="B5C0C6F2"/>
    <w:rsid w:val="B5E9B693"/>
    <w:rsid w:val="B620D8E3"/>
    <w:rsid w:val="B676D341"/>
    <w:rsid w:val="B68DDEA0"/>
    <w:rsid w:val="B7A1036A"/>
    <w:rsid w:val="B7A12EEC"/>
    <w:rsid w:val="B7D310A9"/>
    <w:rsid w:val="B8D095A6"/>
    <w:rsid w:val="BA0C20C0"/>
    <w:rsid w:val="BA8C7C3D"/>
    <w:rsid w:val="BA8E7216"/>
    <w:rsid w:val="BA977E82"/>
    <w:rsid w:val="BAE0E9B0"/>
    <w:rsid w:val="BB651F3C"/>
    <w:rsid w:val="BC75A5D2"/>
    <w:rsid w:val="BE2FEAFD"/>
    <w:rsid w:val="BE400CDD"/>
    <w:rsid w:val="BE41A70E"/>
    <w:rsid w:val="BE71F5F3"/>
    <w:rsid w:val="BEA21831"/>
    <w:rsid w:val="BF2A1EFB"/>
    <w:rsid w:val="BF546F22"/>
    <w:rsid w:val="BFB3C4C3"/>
    <w:rsid w:val="C03710AA"/>
    <w:rsid w:val="C0A17DE6"/>
    <w:rsid w:val="C1F54FFC"/>
    <w:rsid w:val="C2621014"/>
    <w:rsid w:val="C2623E3D"/>
    <w:rsid w:val="C2A229BF"/>
    <w:rsid w:val="C2F1A4D1"/>
    <w:rsid w:val="C32D97DD"/>
    <w:rsid w:val="C3AA3F31"/>
    <w:rsid w:val="C3B3DF87"/>
    <w:rsid w:val="C3D3F009"/>
    <w:rsid w:val="C42543EE"/>
    <w:rsid w:val="C4360DC9"/>
    <w:rsid w:val="C448925B"/>
    <w:rsid w:val="C4B9371F"/>
    <w:rsid w:val="C4BE4177"/>
    <w:rsid w:val="C4DBD4AB"/>
    <w:rsid w:val="C53606DF"/>
    <w:rsid w:val="C53D34A7"/>
    <w:rsid w:val="C59EECF4"/>
    <w:rsid w:val="C5D49BFC"/>
    <w:rsid w:val="C6359F98"/>
    <w:rsid w:val="C6A6CF4A"/>
    <w:rsid w:val="C7C1BFCF"/>
    <w:rsid w:val="C846872E"/>
    <w:rsid w:val="C86D120C"/>
    <w:rsid w:val="C8A73880"/>
    <w:rsid w:val="CB1B3689"/>
    <w:rsid w:val="CB65B775"/>
    <w:rsid w:val="CC0DC951"/>
    <w:rsid w:val="CC5EE293"/>
    <w:rsid w:val="CC64B92D"/>
    <w:rsid w:val="CCBD5940"/>
    <w:rsid w:val="CCD61850"/>
    <w:rsid w:val="CCDD0C68"/>
    <w:rsid w:val="CCEEF6AF"/>
    <w:rsid w:val="CDBCB4A6"/>
    <w:rsid w:val="CE3964D3"/>
    <w:rsid w:val="CE8C9136"/>
    <w:rsid w:val="CEB2392F"/>
    <w:rsid w:val="CEF32DD9"/>
    <w:rsid w:val="CFED32C7"/>
    <w:rsid w:val="CFF1D40D"/>
    <w:rsid w:val="D04141C1"/>
    <w:rsid w:val="D06E0910"/>
    <w:rsid w:val="D0C78883"/>
    <w:rsid w:val="D0FA0E3D"/>
    <w:rsid w:val="D15DE455"/>
    <w:rsid w:val="D1B9E2D6"/>
    <w:rsid w:val="D1F04254"/>
    <w:rsid w:val="D386106E"/>
    <w:rsid w:val="D457FF35"/>
    <w:rsid w:val="D55AFE1B"/>
    <w:rsid w:val="D6044ACA"/>
    <w:rsid w:val="D62EBBC0"/>
    <w:rsid w:val="D644E2E5"/>
    <w:rsid w:val="D67083FE"/>
    <w:rsid w:val="D6C0EC7A"/>
    <w:rsid w:val="D7321C9A"/>
    <w:rsid w:val="D7C59532"/>
    <w:rsid w:val="D85E3512"/>
    <w:rsid w:val="D94B5CF2"/>
    <w:rsid w:val="D9CDDC1E"/>
    <w:rsid w:val="D9FF230E"/>
    <w:rsid w:val="DA412DF2"/>
    <w:rsid w:val="DA554B6A"/>
    <w:rsid w:val="DAA18476"/>
    <w:rsid w:val="DB06AE16"/>
    <w:rsid w:val="DB19C2B9"/>
    <w:rsid w:val="DBE8B720"/>
    <w:rsid w:val="DC0D3593"/>
    <w:rsid w:val="DC54D508"/>
    <w:rsid w:val="DC884C0C"/>
    <w:rsid w:val="DD7AA9CC"/>
    <w:rsid w:val="DDFA9C5C"/>
    <w:rsid w:val="DEA9C636"/>
    <w:rsid w:val="DEB282EF"/>
    <w:rsid w:val="DED2C21C"/>
    <w:rsid w:val="DF6810E1"/>
    <w:rsid w:val="DFDBFE00"/>
    <w:rsid w:val="E01861C2"/>
    <w:rsid w:val="E03B205D"/>
    <w:rsid w:val="E04665D1"/>
    <w:rsid w:val="E0D4FE58"/>
    <w:rsid w:val="E1DAB969"/>
    <w:rsid w:val="E240D2AD"/>
    <w:rsid w:val="E25B9630"/>
    <w:rsid w:val="E2BB1C72"/>
    <w:rsid w:val="E33EF4B1"/>
    <w:rsid w:val="E420706F"/>
    <w:rsid w:val="E55A06CC"/>
    <w:rsid w:val="E5B3103D"/>
    <w:rsid w:val="E5D598F6"/>
    <w:rsid w:val="E63982E6"/>
    <w:rsid w:val="E7FF378F"/>
    <w:rsid w:val="E86F503F"/>
    <w:rsid w:val="E8A456F4"/>
    <w:rsid w:val="E8D896EA"/>
    <w:rsid w:val="E8F008FB"/>
    <w:rsid w:val="E9B45DBF"/>
    <w:rsid w:val="EA873B9C"/>
    <w:rsid w:val="EA8C5011"/>
    <w:rsid w:val="EAC3946A"/>
    <w:rsid w:val="EAFA7CE9"/>
    <w:rsid w:val="EB5BF66D"/>
    <w:rsid w:val="EB694E14"/>
    <w:rsid w:val="EB7761F4"/>
    <w:rsid w:val="EBBE06DA"/>
    <w:rsid w:val="EBFBD192"/>
    <w:rsid w:val="ECCB448A"/>
    <w:rsid w:val="ECDCE01B"/>
    <w:rsid w:val="ED23DFC5"/>
    <w:rsid w:val="ED450C67"/>
    <w:rsid w:val="ED7C4B5F"/>
    <w:rsid w:val="ED8FE90C"/>
    <w:rsid w:val="EDDB3AD5"/>
    <w:rsid w:val="EE126DFA"/>
    <w:rsid w:val="EE250709"/>
    <w:rsid w:val="EF72668C"/>
    <w:rsid w:val="EF97C58C"/>
    <w:rsid w:val="F0B73275"/>
    <w:rsid w:val="F16ABC18"/>
    <w:rsid w:val="F16C0C29"/>
    <w:rsid w:val="F1DBAE4E"/>
    <w:rsid w:val="F1E69756"/>
    <w:rsid w:val="F2092248"/>
    <w:rsid w:val="F2B5B63F"/>
    <w:rsid w:val="F328960B"/>
    <w:rsid w:val="F337BAB2"/>
    <w:rsid w:val="F43C467D"/>
    <w:rsid w:val="F4A42848"/>
    <w:rsid w:val="F55E4030"/>
    <w:rsid w:val="F61D0FAE"/>
    <w:rsid w:val="F629A463"/>
    <w:rsid w:val="F6904A25"/>
    <w:rsid w:val="F69BA864"/>
    <w:rsid w:val="F729B629"/>
    <w:rsid w:val="F736C734"/>
    <w:rsid w:val="F7469417"/>
    <w:rsid w:val="F84AEB23"/>
    <w:rsid w:val="F85DECFE"/>
    <w:rsid w:val="F88C16CF"/>
    <w:rsid w:val="F8C4261F"/>
    <w:rsid w:val="F92A6C35"/>
    <w:rsid w:val="FA03A498"/>
    <w:rsid w:val="FB83447A"/>
    <w:rsid w:val="FBBBDB99"/>
    <w:rsid w:val="FC31D3AD"/>
    <w:rsid w:val="FCAF40B6"/>
    <w:rsid w:val="FCD3451E"/>
    <w:rsid w:val="FD4C783A"/>
    <w:rsid w:val="FD87DAC9"/>
    <w:rsid w:val="FD9AE475"/>
    <w:rsid w:val="FE060152"/>
    <w:rsid w:val="FE300648"/>
    <w:rsid w:val="FEF9A029"/>
    <w:rsid w:val="FF6203DD"/>
    <w:rsid w:val="FF7F970F"/>
    <w:rsid w:val="FFD4217F"/>
    <w:rsid w:val="00060F6C"/>
    <w:rsid w:val="000A57F6"/>
    <w:rsid w:val="000F478E"/>
    <w:rsid w:val="000F6EA9"/>
    <w:rsid w:val="001015A0"/>
    <w:rsid w:val="00137DE6"/>
    <w:rsid w:val="00163874"/>
    <w:rsid w:val="00163F70"/>
    <w:rsid w:val="00172A27"/>
    <w:rsid w:val="00193D48"/>
    <w:rsid w:val="001959DE"/>
    <w:rsid w:val="001A3F44"/>
    <w:rsid w:val="001C1006"/>
    <w:rsid w:val="00202E45"/>
    <w:rsid w:val="00263316"/>
    <w:rsid w:val="002A58F0"/>
    <w:rsid w:val="002C3EEE"/>
    <w:rsid w:val="002D3B4D"/>
    <w:rsid w:val="003020D9"/>
    <w:rsid w:val="0036222D"/>
    <w:rsid w:val="00372B92"/>
    <w:rsid w:val="0039705E"/>
    <w:rsid w:val="003A0C26"/>
    <w:rsid w:val="00400206"/>
    <w:rsid w:val="00413309"/>
    <w:rsid w:val="00414AC0"/>
    <w:rsid w:val="00417C33"/>
    <w:rsid w:val="0042486B"/>
    <w:rsid w:val="00444109"/>
    <w:rsid w:val="004B0357"/>
    <w:rsid w:val="00506A04"/>
    <w:rsid w:val="00551038"/>
    <w:rsid w:val="00551D0B"/>
    <w:rsid w:val="005715A7"/>
    <w:rsid w:val="005D20A1"/>
    <w:rsid w:val="0064957F"/>
    <w:rsid w:val="00707CE9"/>
    <w:rsid w:val="00741CDF"/>
    <w:rsid w:val="007E0461"/>
    <w:rsid w:val="008101F6"/>
    <w:rsid w:val="00825A0C"/>
    <w:rsid w:val="008403C5"/>
    <w:rsid w:val="009332D5"/>
    <w:rsid w:val="00965534"/>
    <w:rsid w:val="0099499B"/>
    <w:rsid w:val="009D5EBD"/>
    <w:rsid w:val="00A56384"/>
    <w:rsid w:val="00ACFFF7"/>
    <w:rsid w:val="00AD34AB"/>
    <w:rsid w:val="00AF03B4"/>
    <w:rsid w:val="00B63ADD"/>
    <w:rsid w:val="00B6419E"/>
    <w:rsid w:val="00B8552E"/>
    <w:rsid w:val="00B96182"/>
    <w:rsid w:val="00BC1C8A"/>
    <w:rsid w:val="00BE0A5A"/>
    <w:rsid w:val="00BE153E"/>
    <w:rsid w:val="00C05EDC"/>
    <w:rsid w:val="00C10C24"/>
    <w:rsid w:val="00C4633B"/>
    <w:rsid w:val="00C4745E"/>
    <w:rsid w:val="00CC2198"/>
    <w:rsid w:val="00CD59EF"/>
    <w:rsid w:val="00CE1CC9"/>
    <w:rsid w:val="00D01F71"/>
    <w:rsid w:val="00D55188"/>
    <w:rsid w:val="00D6186C"/>
    <w:rsid w:val="00D77F1E"/>
    <w:rsid w:val="00DE0AA0"/>
    <w:rsid w:val="00E0043D"/>
    <w:rsid w:val="00E14EB1"/>
    <w:rsid w:val="00E43033"/>
    <w:rsid w:val="00E5090D"/>
    <w:rsid w:val="00E85C68"/>
    <w:rsid w:val="00EA3D7D"/>
    <w:rsid w:val="00ED0ADC"/>
    <w:rsid w:val="00ED7B1C"/>
    <w:rsid w:val="00F350F1"/>
    <w:rsid w:val="00F42945"/>
    <w:rsid w:val="00F51C24"/>
    <w:rsid w:val="00F6316B"/>
    <w:rsid w:val="00F7496B"/>
    <w:rsid w:val="01C14107"/>
    <w:rsid w:val="020B30C6"/>
    <w:rsid w:val="02537EE3"/>
    <w:rsid w:val="0349E354"/>
    <w:rsid w:val="035C1D4A"/>
    <w:rsid w:val="03DAD54D"/>
    <w:rsid w:val="03EF4AE7"/>
    <w:rsid w:val="040D460C"/>
    <w:rsid w:val="0434C851"/>
    <w:rsid w:val="04914392"/>
    <w:rsid w:val="04A8FC71"/>
    <w:rsid w:val="052A5571"/>
    <w:rsid w:val="0530383A"/>
    <w:rsid w:val="0551216A"/>
    <w:rsid w:val="0581D41B"/>
    <w:rsid w:val="059350B1"/>
    <w:rsid w:val="05E17376"/>
    <w:rsid w:val="060792EB"/>
    <w:rsid w:val="069008A1"/>
    <w:rsid w:val="069C35FF"/>
    <w:rsid w:val="075C612B"/>
    <w:rsid w:val="07BE007D"/>
    <w:rsid w:val="086D3282"/>
    <w:rsid w:val="0A114D60"/>
    <w:rsid w:val="0A1AF5C3"/>
    <w:rsid w:val="0A629B67"/>
    <w:rsid w:val="0B4B9483"/>
    <w:rsid w:val="0C70B4B5"/>
    <w:rsid w:val="0CDDE3EE"/>
    <w:rsid w:val="0CE83A01"/>
    <w:rsid w:val="0D892919"/>
    <w:rsid w:val="0DDB3083"/>
    <w:rsid w:val="0E218195"/>
    <w:rsid w:val="0E23B10A"/>
    <w:rsid w:val="0E7AC5CB"/>
    <w:rsid w:val="0EB11DC2"/>
    <w:rsid w:val="0EB9C26B"/>
    <w:rsid w:val="0F04C28B"/>
    <w:rsid w:val="0F5EF6BD"/>
    <w:rsid w:val="0F7D1B6A"/>
    <w:rsid w:val="0F8CA8C4"/>
    <w:rsid w:val="0F9E866D"/>
    <w:rsid w:val="0FA8DDCA"/>
    <w:rsid w:val="0FB94899"/>
    <w:rsid w:val="0FD20718"/>
    <w:rsid w:val="0FD82268"/>
    <w:rsid w:val="100E6868"/>
    <w:rsid w:val="106F4971"/>
    <w:rsid w:val="109D4E4D"/>
    <w:rsid w:val="10DF311E"/>
    <w:rsid w:val="115E8460"/>
    <w:rsid w:val="1170CEAC"/>
    <w:rsid w:val="118BC652"/>
    <w:rsid w:val="122EE053"/>
    <w:rsid w:val="128C11FE"/>
    <w:rsid w:val="12C074D4"/>
    <w:rsid w:val="14B28121"/>
    <w:rsid w:val="15473944"/>
    <w:rsid w:val="15832CD0"/>
    <w:rsid w:val="15D71358"/>
    <w:rsid w:val="16652E37"/>
    <w:rsid w:val="169DB0C1"/>
    <w:rsid w:val="177574E1"/>
    <w:rsid w:val="178E6359"/>
    <w:rsid w:val="179F23F5"/>
    <w:rsid w:val="17B24DF8"/>
    <w:rsid w:val="17C90472"/>
    <w:rsid w:val="1818B804"/>
    <w:rsid w:val="18BEA01D"/>
    <w:rsid w:val="18CC5A7E"/>
    <w:rsid w:val="18E95AEA"/>
    <w:rsid w:val="19C18748"/>
    <w:rsid w:val="19DF62C3"/>
    <w:rsid w:val="1A06C442"/>
    <w:rsid w:val="1A6F959C"/>
    <w:rsid w:val="1A84456D"/>
    <w:rsid w:val="1AC8923C"/>
    <w:rsid w:val="1AE87407"/>
    <w:rsid w:val="1B7304D2"/>
    <w:rsid w:val="1C222F33"/>
    <w:rsid w:val="1C4F189B"/>
    <w:rsid w:val="1CA7576B"/>
    <w:rsid w:val="1D3AE8ED"/>
    <w:rsid w:val="1D8DBF69"/>
    <w:rsid w:val="1E9B2E7A"/>
    <w:rsid w:val="1F277561"/>
    <w:rsid w:val="1F413AC3"/>
    <w:rsid w:val="208B0452"/>
    <w:rsid w:val="20FA1FDF"/>
    <w:rsid w:val="218454B1"/>
    <w:rsid w:val="224A1B04"/>
    <w:rsid w:val="22EE2E0C"/>
    <w:rsid w:val="23092F62"/>
    <w:rsid w:val="2327BD80"/>
    <w:rsid w:val="239C361B"/>
    <w:rsid w:val="23BF7711"/>
    <w:rsid w:val="23C18C3E"/>
    <w:rsid w:val="23DF8421"/>
    <w:rsid w:val="243BFB36"/>
    <w:rsid w:val="247EA65F"/>
    <w:rsid w:val="24C792D9"/>
    <w:rsid w:val="24DCAE41"/>
    <w:rsid w:val="253AE446"/>
    <w:rsid w:val="259C0580"/>
    <w:rsid w:val="25BBCFD4"/>
    <w:rsid w:val="25E87B43"/>
    <w:rsid w:val="261FA70E"/>
    <w:rsid w:val="2682A4FA"/>
    <w:rsid w:val="26E4189D"/>
    <w:rsid w:val="271B55F6"/>
    <w:rsid w:val="274D62E4"/>
    <w:rsid w:val="284CCCA7"/>
    <w:rsid w:val="28AFAAB2"/>
    <w:rsid w:val="28EE2492"/>
    <w:rsid w:val="291C9498"/>
    <w:rsid w:val="29205E76"/>
    <w:rsid w:val="29365C01"/>
    <w:rsid w:val="2997B925"/>
    <w:rsid w:val="2A0556DC"/>
    <w:rsid w:val="2A0D0C86"/>
    <w:rsid w:val="2A0DCB7A"/>
    <w:rsid w:val="2A93DE0D"/>
    <w:rsid w:val="2AA150D0"/>
    <w:rsid w:val="2C60045F"/>
    <w:rsid w:val="2D09C2C2"/>
    <w:rsid w:val="2D176434"/>
    <w:rsid w:val="2D3761AF"/>
    <w:rsid w:val="2D843BC5"/>
    <w:rsid w:val="2DDBAC94"/>
    <w:rsid w:val="2DEF3028"/>
    <w:rsid w:val="2E74580C"/>
    <w:rsid w:val="2E7A5F65"/>
    <w:rsid w:val="2F1DF7F4"/>
    <w:rsid w:val="2F643BF6"/>
    <w:rsid w:val="2F6C1532"/>
    <w:rsid w:val="2FCE4067"/>
    <w:rsid w:val="30CE6C4C"/>
    <w:rsid w:val="3126863F"/>
    <w:rsid w:val="317C06FD"/>
    <w:rsid w:val="31B985C7"/>
    <w:rsid w:val="31EF9F4E"/>
    <w:rsid w:val="322A9F65"/>
    <w:rsid w:val="32778443"/>
    <w:rsid w:val="32BF18E7"/>
    <w:rsid w:val="33A19254"/>
    <w:rsid w:val="341A668E"/>
    <w:rsid w:val="34450597"/>
    <w:rsid w:val="34605730"/>
    <w:rsid w:val="346AB95F"/>
    <w:rsid w:val="359135DB"/>
    <w:rsid w:val="359A33E0"/>
    <w:rsid w:val="36307198"/>
    <w:rsid w:val="36602937"/>
    <w:rsid w:val="36A17142"/>
    <w:rsid w:val="36C348F8"/>
    <w:rsid w:val="3748B63E"/>
    <w:rsid w:val="374C46B8"/>
    <w:rsid w:val="3757BAFE"/>
    <w:rsid w:val="3759A340"/>
    <w:rsid w:val="375C39D3"/>
    <w:rsid w:val="37FFF5C9"/>
    <w:rsid w:val="383DD09B"/>
    <w:rsid w:val="388BFEF3"/>
    <w:rsid w:val="38F1EFA6"/>
    <w:rsid w:val="39067CB5"/>
    <w:rsid w:val="3939F189"/>
    <w:rsid w:val="3985E491"/>
    <w:rsid w:val="398BC864"/>
    <w:rsid w:val="39A43753"/>
    <w:rsid w:val="3A1D8811"/>
    <w:rsid w:val="3A20B7FD"/>
    <w:rsid w:val="3A2B3121"/>
    <w:rsid w:val="3A35E605"/>
    <w:rsid w:val="3A6C806C"/>
    <w:rsid w:val="3A71268E"/>
    <w:rsid w:val="3AD41400"/>
    <w:rsid w:val="3AD70B1E"/>
    <w:rsid w:val="3AFC95B0"/>
    <w:rsid w:val="3BEEDC42"/>
    <w:rsid w:val="3BFE9283"/>
    <w:rsid w:val="3C3FFAA2"/>
    <w:rsid w:val="3D49E079"/>
    <w:rsid w:val="3E030591"/>
    <w:rsid w:val="3E0841F1"/>
    <w:rsid w:val="3E2E32AD"/>
    <w:rsid w:val="3F8C298F"/>
    <w:rsid w:val="3FC83D69"/>
    <w:rsid w:val="3FEE224A"/>
    <w:rsid w:val="40325539"/>
    <w:rsid w:val="40526400"/>
    <w:rsid w:val="4069623B"/>
    <w:rsid w:val="4097FC41"/>
    <w:rsid w:val="40B9C70C"/>
    <w:rsid w:val="418C8952"/>
    <w:rsid w:val="426D0878"/>
    <w:rsid w:val="42A74E67"/>
    <w:rsid w:val="42C33727"/>
    <w:rsid w:val="42F07EF8"/>
    <w:rsid w:val="43303B53"/>
    <w:rsid w:val="4365F1DB"/>
    <w:rsid w:val="4597BC66"/>
    <w:rsid w:val="468DD804"/>
    <w:rsid w:val="46F9B3A9"/>
    <w:rsid w:val="46FB7331"/>
    <w:rsid w:val="47009FC9"/>
    <w:rsid w:val="476882A1"/>
    <w:rsid w:val="47DF020F"/>
    <w:rsid w:val="47F21F10"/>
    <w:rsid w:val="48648F62"/>
    <w:rsid w:val="486DC9BB"/>
    <w:rsid w:val="487AD250"/>
    <w:rsid w:val="48831D86"/>
    <w:rsid w:val="48843076"/>
    <w:rsid w:val="48B3438D"/>
    <w:rsid w:val="48E81BCB"/>
    <w:rsid w:val="4961E903"/>
    <w:rsid w:val="499C686D"/>
    <w:rsid w:val="4A3198B9"/>
    <w:rsid w:val="4A52C3E8"/>
    <w:rsid w:val="4A847AE3"/>
    <w:rsid w:val="4B365312"/>
    <w:rsid w:val="4B38F3FD"/>
    <w:rsid w:val="4C28C9F6"/>
    <w:rsid w:val="4CCDB007"/>
    <w:rsid w:val="4CCE889D"/>
    <w:rsid w:val="4D6D466D"/>
    <w:rsid w:val="4D93DC8E"/>
    <w:rsid w:val="4DAB9C37"/>
    <w:rsid w:val="4DEC07AE"/>
    <w:rsid w:val="4E44400B"/>
    <w:rsid w:val="4E63CA87"/>
    <w:rsid w:val="4F21059E"/>
    <w:rsid w:val="4F7143BE"/>
    <w:rsid w:val="4F83F2C1"/>
    <w:rsid w:val="502B571E"/>
    <w:rsid w:val="503E1624"/>
    <w:rsid w:val="504001D7"/>
    <w:rsid w:val="508D461E"/>
    <w:rsid w:val="50CB07C1"/>
    <w:rsid w:val="50D77F0D"/>
    <w:rsid w:val="50EDE9DB"/>
    <w:rsid w:val="51D80FB0"/>
    <w:rsid w:val="521B834D"/>
    <w:rsid w:val="52CDE300"/>
    <w:rsid w:val="530A3F50"/>
    <w:rsid w:val="53757982"/>
    <w:rsid w:val="5427998C"/>
    <w:rsid w:val="5436A375"/>
    <w:rsid w:val="543F20F8"/>
    <w:rsid w:val="54EDE6B3"/>
    <w:rsid w:val="557D7C84"/>
    <w:rsid w:val="560B9E21"/>
    <w:rsid w:val="5612E372"/>
    <w:rsid w:val="56769823"/>
    <w:rsid w:val="56BA2B1D"/>
    <w:rsid w:val="572CDE9D"/>
    <w:rsid w:val="5768D820"/>
    <w:rsid w:val="588126B0"/>
    <w:rsid w:val="58DD4522"/>
    <w:rsid w:val="593C204B"/>
    <w:rsid w:val="595B26E1"/>
    <w:rsid w:val="5A018F11"/>
    <w:rsid w:val="5A0D311E"/>
    <w:rsid w:val="5A503F23"/>
    <w:rsid w:val="5A6408FD"/>
    <w:rsid w:val="5A81E4E1"/>
    <w:rsid w:val="5ABF7C12"/>
    <w:rsid w:val="5AE7FCDF"/>
    <w:rsid w:val="5B599A9E"/>
    <w:rsid w:val="5BAAB7B3"/>
    <w:rsid w:val="5BDE2B1B"/>
    <w:rsid w:val="5BE2525D"/>
    <w:rsid w:val="5C4B4B66"/>
    <w:rsid w:val="5C6CF430"/>
    <w:rsid w:val="5C87D8C0"/>
    <w:rsid w:val="5CB541FB"/>
    <w:rsid w:val="5CC2110E"/>
    <w:rsid w:val="5D067A2D"/>
    <w:rsid w:val="5D21996F"/>
    <w:rsid w:val="5D31D411"/>
    <w:rsid w:val="5D7CBA0C"/>
    <w:rsid w:val="5D91F780"/>
    <w:rsid w:val="5DBF0704"/>
    <w:rsid w:val="5DE11C39"/>
    <w:rsid w:val="6010855B"/>
    <w:rsid w:val="606D4CD1"/>
    <w:rsid w:val="60A056E7"/>
    <w:rsid w:val="6111CA3C"/>
    <w:rsid w:val="61211B1A"/>
    <w:rsid w:val="614E93A4"/>
    <w:rsid w:val="62D81AB9"/>
    <w:rsid w:val="6326232D"/>
    <w:rsid w:val="638ACDBE"/>
    <w:rsid w:val="647BBB2A"/>
    <w:rsid w:val="650377C9"/>
    <w:rsid w:val="65327333"/>
    <w:rsid w:val="654399DA"/>
    <w:rsid w:val="658FF94D"/>
    <w:rsid w:val="6611264D"/>
    <w:rsid w:val="665B3699"/>
    <w:rsid w:val="6670D2B0"/>
    <w:rsid w:val="66ECEE49"/>
    <w:rsid w:val="6715E0CE"/>
    <w:rsid w:val="6786D93F"/>
    <w:rsid w:val="67F3E7B1"/>
    <w:rsid w:val="687B28C8"/>
    <w:rsid w:val="689B850D"/>
    <w:rsid w:val="69136070"/>
    <w:rsid w:val="69CB2AB1"/>
    <w:rsid w:val="6A1E3F15"/>
    <w:rsid w:val="6A3250D7"/>
    <w:rsid w:val="6A4E1FC9"/>
    <w:rsid w:val="6A7D54F4"/>
    <w:rsid w:val="6AF37B44"/>
    <w:rsid w:val="6AFEC86B"/>
    <w:rsid w:val="6B24242B"/>
    <w:rsid w:val="6B5E650C"/>
    <w:rsid w:val="6CCF0B17"/>
    <w:rsid w:val="6DFA380F"/>
    <w:rsid w:val="6E8955F9"/>
    <w:rsid w:val="6EBBE9B3"/>
    <w:rsid w:val="6F41B405"/>
    <w:rsid w:val="7029F1E9"/>
    <w:rsid w:val="708F9F2D"/>
    <w:rsid w:val="710BA50A"/>
    <w:rsid w:val="71F8A2C0"/>
    <w:rsid w:val="721E646B"/>
    <w:rsid w:val="7237EDAA"/>
    <w:rsid w:val="72404633"/>
    <w:rsid w:val="73357254"/>
    <w:rsid w:val="7391C385"/>
    <w:rsid w:val="73B75CFE"/>
    <w:rsid w:val="74626A47"/>
    <w:rsid w:val="748D160F"/>
    <w:rsid w:val="74BD38FB"/>
    <w:rsid w:val="750871F4"/>
    <w:rsid w:val="752D79CA"/>
    <w:rsid w:val="75804BF2"/>
    <w:rsid w:val="7619F173"/>
    <w:rsid w:val="7630FAB6"/>
    <w:rsid w:val="765DE1DC"/>
    <w:rsid w:val="76D67580"/>
    <w:rsid w:val="76D6B0D8"/>
    <w:rsid w:val="76F9F799"/>
    <w:rsid w:val="7760CCFF"/>
    <w:rsid w:val="78EA11FA"/>
    <w:rsid w:val="78F7C1BF"/>
    <w:rsid w:val="790EA568"/>
    <w:rsid w:val="7A105940"/>
    <w:rsid w:val="7A4D76A9"/>
    <w:rsid w:val="7A93F4C6"/>
    <w:rsid w:val="7ACE5A2F"/>
    <w:rsid w:val="7B6DC4FB"/>
    <w:rsid w:val="7BAF35C0"/>
    <w:rsid w:val="7D0B6E19"/>
    <w:rsid w:val="7D29892A"/>
    <w:rsid w:val="7D875626"/>
    <w:rsid w:val="7D9D6965"/>
    <w:rsid w:val="7DAE82E8"/>
    <w:rsid w:val="7DD50EA4"/>
    <w:rsid w:val="7DFF56A0"/>
    <w:rsid w:val="7E647B6B"/>
    <w:rsid w:val="7E6E387A"/>
    <w:rsid w:val="7E7EE7D1"/>
    <w:rsid w:val="7EC47386"/>
    <w:rsid w:val="7EEA8378"/>
    <w:rsid w:val="7EFC4336"/>
    <w:rsid w:val="7EFF5FDD"/>
    <w:rsid w:val="7F1D28CA"/>
    <w:rsid w:val="80D55456"/>
    <w:rsid w:val="80FE4AC4"/>
    <w:rsid w:val="81BB7212"/>
    <w:rsid w:val="82A95D33"/>
    <w:rsid w:val="82B7B344"/>
    <w:rsid w:val="84143E41"/>
    <w:rsid w:val="84D9E55F"/>
    <w:rsid w:val="84F794A9"/>
    <w:rsid w:val="851A5733"/>
    <w:rsid w:val="85B10910"/>
    <w:rsid w:val="869D1E00"/>
    <w:rsid w:val="87788E5F"/>
    <w:rsid w:val="87926048"/>
    <w:rsid w:val="87BCAA84"/>
    <w:rsid w:val="87CD6855"/>
    <w:rsid w:val="87F8F291"/>
    <w:rsid w:val="898A51F5"/>
    <w:rsid w:val="89B74A62"/>
    <w:rsid w:val="89D644A5"/>
    <w:rsid w:val="8A765056"/>
    <w:rsid w:val="8B2D2516"/>
    <w:rsid w:val="8B7FF55D"/>
    <w:rsid w:val="8B8B36E5"/>
    <w:rsid w:val="8C19A167"/>
    <w:rsid w:val="8C873D3C"/>
    <w:rsid w:val="8C903449"/>
    <w:rsid w:val="8D2D5A92"/>
    <w:rsid w:val="8D44E2BC"/>
    <w:rsid w:val="8D596A89"/>
    <w:rsid w:val="8D61F7F7"/>
    <w:rsid w:val="8D93AD20"/>
    <w:rsid w:val="8E367CDC"/>
    <w:rsid w:val="8E5CC5CB"/>
    <w:rsid w:val="8EF20106"/>
    <w:rsid w:val="8F65EB74"/>
    <w:rsid w:val="901CF532"/>
    <w:rsid w:val="9029CE28"/>
    <w:rsid w:val="903288AF"/>
    <w:rsid w:val="90B2EC2B"/>
    <w:rsid w:val="90E04E48"/>
    <w:rsid w:val="9134013B"/>
    <w:rsid w:val="91514601"/>
    <w:rsid w:val="91AF487E"/>
    <w:rsid w:val="91DCE7DA"/>
    <w:rsid w:val="920A173E"/>
    <w:rsid w:val="922AC59D"/>
    <w:rsid w:val="93693920"/>
    <w:rsid w:val="936D825D"/>
    <w:rsid w:val="937F7F12"/>
    <w:rsid w:val="93E32391"/>
    <w:rsid w:val="93E3C4C5"/>
    <w:rsid w:val="93F1F936"/>
    <w:rsid w:val="941C1815"/>
    <w:rsid w:val="945B226B"/>
    <w:rsid w:val="9495E6CF"/>
    <w:rsid w:val="94FC675A"/>
    <w:rsid w:val="95A7A4CC"/>
    <w:rsid w:val="9625253D"/>
    <w:rsid w:val="963CACA9"/>
    <w:rsid w:val="966D61E7"/>
    <w:rsid w:val="96970D65"/>
    <w:rsid w:val="96A993B0"/>
    <w:rsid w:val="977A2D03"/>
    <w:rsid w:val="97BD0CB9"/>
    <w:rsid w:val="97C6379F"/>
    <w:rsid w:val="97CE33EE"/>
    <w:rsid w:val="9881615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05286BE"/>
  <w15:docId w15:val="{FAC61E52-C55F-455F-860B-EB7F79A1B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header" w:qFormat="1"/>
    <w:lsdException w:name="footer" w:qFormat="1"/>
    <w:lsdException w:name="caption" w:semiHidden="1" w:unhideWhenUsed="1" w:qFormat="1"/>
    <w:lsdException w:name="annotation reference"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Preformatted"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Calibri" w:hAnsi="Calibr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qFormat/>
    <w:pPr>
      <w:jc w:val="left"/>
    </w:pPr>
    <w:rPr>
      <w:rFonts w:ascii="Times New Roman" w:hAnsi="Times New Roman"/>
    </w:rPr>
  </w:style>
  <w:style w:type="paragraph" w:styleId="a5">
    <w:name w:val="Balloon Text"/>
    <w:basedOn w:val="a"/>
    <w:link w:val="a6"/>
    <w:qFormat/>
    <w:rPr>
      <w:rFonts w:ascii="Times New Roman" w:hAnsi="Times New Roman"/>
      <w:sz w:val="18"/>
      <w:szCs w:val="18"/>
    </w:rPr>
  </w:style>
  <w:style w:type="paragraph" w:styleId="a7">
    <w:name w:val="footer"/>
    <w:basedOn w:val="a"/>
    <w:link w:val="a8"/>
    <w:qFormat/>
    <w:pPr>
      <w:tabs>
        <w:tab w:val="center" w:pos="4153"/>
        <w:tab w:val="right" w:pos="8306"/>
      </w:tabs>
    </w:pPr>
    <w:rPr>
      <w:rFonts w:ascii="Times New Roman" w:hAnsi="Times New Roman"/>
    </w:rPr>
  </w:style>
  <w:style w:type="paragraph" w:styleId="a9">
    <w:name w:val="header"/>
    <w:basedOn w:val="a"/>
    <w:link w:val="aa"/>
    <w:qFormat/>
    <w:pPr>
      <w:tabs>
        <w:tab w:val="center" w:pos="4153"/>
        <w:tab w:val="right" w:pos="8306"/>
      </w:tabs>
    </w:pPr>
    <w:rPr>
      <w:rFonts w:ascii="Times New Roman" w:hAnsi="Times New Roman"/>
    </w:rPr>
  </w:style>
  <w:style w:type="paragraph" w:styleId="HTML">
    <w:name w:val="HTML Preformatted"/>
    <w:basedOn w:val="a"/>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kern w:val="0"/>
      <w:sz w:val="24"/>
    </w:rPr>
  </w:style>
  <w:style w:type="paragraph" w:styleId="ab">
    <w:name w:val="Normal (Web)"/>
    <w:basedOn w:val="a"/>
    <w:qFormat/>
    <w:pPr>
      <w:spacing w:before="100" w:beforeAutospacing="1" w:after="100" w:afterAutospacing="1"/>
      <w:jc w:val="left"/>
    </w:pPr>
    <w:rPr>
      <w:rFonts w:ascii="Times New Roman" w:hAnsi="Times New Roman"/>
      <w:kern w:val="0"/>
      <w:sz w:val="24"/>
    </w:rPr>
  </w:style>
  <w:style w:type="paragraph" w:styleId="ac">
    <w:name w:val="annotation subject"/>
    <w:basedOn w:val="a3"/>
    <w:next w:val="a3"/>
    <w:link w:val="ad"/>
    <w:qFormat/>
    <w:rPr>
      <w:b/>
      <w:bCs/>
    </w:rPr>
  </w:style>
  <w:style w:type="table" w:styleId="ae">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Strong"/>
    <w:qFormat/>
    <w:rPr>
      <w:rFonts w:ascii="Times New Roman" w:eastAsia="宋体" w:hAnsi="Times New Roman" w:cs="Times New Roman"/>
      <w:b/>
    </w:rPr>
  </w:style>
  <w:style w:type="character" w:styleId="af0">
    <w:name w:val="FollowedHyperlink"/>
    <w:qFormat/>
    <w:rPr>
      <w:rFonts w:ascii="Times New Roman" w:eastAsia="宋体" w:hAnsi="Times New Roman" w:cs="Times New Roman"/>
      <w:color w:val="954F72"/>
      <w:u w:val="single"/>
    </w:rPr>
  </w:style>
  <w:style w:type="character" w:styleId="af1">
    <w:name w:val="Emphasis"/>
    <w:qFormat/>
    <w:rPr>
      <w:rFonts w:ascii="Times New Roman" w:eastAsia="宋体" w:hAnsi="Times New Roman" w:cs="Times New Roman"/>
      <w:i/>
    </w:rPr>
  </w:style>
  <w:style w:type="character" w:styleId="af2">
    <w:name w:val="Hyperlink"/>
    <w:qFormat/>
    <w:rPr>
      <w:rFonts w:ascii="Times New Roman" w:eastAsia="宋体" w:hAnsi="Times New Roman" w:cs="Times New Roman"/>
      <w:color w:val="0000FF"/>
      <w:u w:val="single"/>
    </w:rPr>
  </w:style>
  <w:style w:type="character" w:styleId="af3">
    <w:name w:val="annotation reference"/>
    <w:qFormat/>
    <w:rPr>
      <w:rFonts w:ascii="Times New Roman" w:eastAsia="宋体" w:hAnsi="Times New Roman" w:cs="Times New Roman"/>
      <w:sz w:val="21"/>
      <w:szCs w:val="21"/>
    </w:rPr>
  </w:style>
  <w:style w:type="character" w:customStyle="1" w:styleId="a4">
    <w:name w:val="批注文字 字符"/>
    <w:link w:val="a3"/>
    <w:qFormat/>
    <w:rPr>
      <w:rFonts w:ascii="Calibri" w:eastAsia="宋体" w:hAnsi="Calibri" w:cs="Times New Roman"/>
      <w:kern w:val="2"/>
      <w:sz w:val="21"/>
      <w:szCs w:val="24"/>
    </w:rPr>
  </w:style>
  <w:style w:type="character" w:customStyle="1" w:styleId="a6">
    <w:name w:val="批注框文本 字符"/>
    <w:link w:val="a5"/>
    <w:qFormat/>
    <w:rPr>
      <w:rFonts w:ascii="Calibri" w:eastAsia="宋体" w:hAnsi="Calibri" w:cs="Times New Roman"/>
      <w:kern w:val="2"/>
      <w:sz w:val="18"/>
      <w:szCs w:val="18"/>
    </w:rPr>
  </w:style>
  <w:style w:type="character" w:customStyle="1" w:styleId="a8">
    <w:name w:val="页脚 字符"/>
    <w:link w:val="a7"/>
    <w:qFormat/>
    <w:rPr>
      <w:rFonts w:ascii="Calibri" w:eastAsia="宋体" w:hAnsi="Calibri" w:cs="Times New Roman"/>
      <w:kern w:val="2"/>
      <w:sz w:val="21"/>
      <w:szCs w:val="24"/>
    </w:rPr>
  </w:style>
  <w:style w:type="character" w:customStyle="1" w:styleId="aa">
    <w:name w:val="页眉 字符"/>
    <w:link w:val="a9"/>
    <w:qFormat/>
    <w:rPr>
      <w:rFonts w:ascii="Calibri" w:eastAsia="宋体" w:hAnsi="Calibri" w:cs="Times New Roman"/>
      <w:kern w:val="2"/>
      <w:sz w:val="21"/>
      <w:szCs w:val="24"/>
    </w:rPr>
  </w:style>
  <w:style w:type="character" w:customStyle="1" w:styleId="ad">
    <w:name w:val="批注主题 字符"/>
    <w:link w:val="ac"/>
    <w:qFormat/>
    <w:rPr>
      <w:rFonts w:ascii="Calibri" w:eastAsia="宋体" w:hAnsi="Calibri" w:cs="Times New Roman"/>
      <w:b/>
      <w:bCs/>
      <w:kern w:val="2"/>
      <w:sz w:val="21"/>
      <w:szCs w:val="24"/>
    </w:rPr>
  </w:style>
  <w:style w:type="paragraph" w:customStyle="1" w:styleId="EndNoteBibliography">
    <w:name w:val="EndNote Bibliography"/>
    <w:qFormat/>
    <w:pPr>
      <w:jc w:val="both"/>
    </w:pPr>
    <w:rPr>
      <w:rFonts w:ascii="Calibri" w:hAnsi="Calibri" w:cs="Calibri"/>
      <w:kern w:val="2"/>
      <w:szCs w:val="24"/>
    </w:rPr>
  </w:style>
  <w:style w:type="paragraph" w:customStyle="1" w:styleId="EndNoteBibliographyTitle">
    <w:name w:val="EndNote Bibliography Title"/>
    <w:qFormat/>
    <w:pPr>
      <w:jc w:val="center"/>
    </w:pPr>
    <w:rPr>
      <w:rFonts w:ascii="Calibri" w:hAnsi="Calibri" w:cs="Calibri"/>
      <w:kern w:val="2"/>
      <w:szCs w:val="24"/>
    </w:rPr>
  </w:style>
  <w:style w:type="character" w:customStyle="1" w:styleId="1">
    <w:name w:val="未处理的提及1"/>
    <w:qFormat/>
    <w:rPr>
      <w:rFonts w:ascii="Times New Roman" w:eastAsia="宋体" w:hAnsi="Times New Roman" w:cs="Times New Roman"/>
      <w:color w:val="605E5C"/>
      <w:shd w:val="clear" w:color="auto" w:fill="E1DFDD"/>
    </w:rPr>
  </w:style>
  <w:style w:type="paragraph" w:customStyle="1" w:styleId="10">
    <w:name w:val="修订1"/>
    <w:qFormat/>
    <w:rPr>
      <w:rFonts w:ascii="Calibri" w:hAnsi="Calibri"/>
      <w:kern w:val="2"/>
      <w:sz w:val="21"/>
      <w:szCs w:val="24"/>
    </w:rPr>
  </w:style>
  <w:style w:type="character" w:customStyle="1" w:styleId="font11">
    <w:name w:val="font11"/>
    <w:basedOn w:val="a0"/>
    <w:rPr>
      <w:rFonts w:ascii="Times New Roman" w:hAnsi="Times New Roman" w:cs="Times New Roman" w:hint="default"/>
      <w:color w:val="000000"/>
      <w:sz w:val="22"/>
      <w:szCs w:val="22"/>
      <w:u w:val="none"/>
    </w:rPr>
  </w:style>
  <w:style w:type="character" w:customStyle="1" w:styleId="font01">
    <w:name w:val="font01"/>
    <w:basedOn w:val="a0"/>
    <w:rPr>
      <w:rFonts w:ascii="宋体" w:eastAsia="宋体" w:hAnsi="宋体" w:cs="宋体" w:hint="eastAsia"/>
      <w:color w:val="000000"/>
      <w:sz w:val="22"/>
      <w:szCs w:val="22"/>
      <w:u w:val="none"/>
    </w:rPr>
  </w:style>
  <w:style w:type="character" w:styleId="af4">
    <w:name w:val="Unresolved Mention"/>
    <w:basedOn w:val="a0"/>
    <w:uiPriority w:val="99"/>
    <w:semiHidden/>
    <w:unhideWhenUsed/>
    <w:rsid w:val="00B9618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5" Type="http://schemas.openxmlformats.org/officeDocument/2006/relationships/webSettings" Target="webSettings.xml"/><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63</TotalTime>
  <Pages>1</Pages>
  <Words>309</Words>
  <Characters>1765</Characters>
  <Application>Microsoft Office Word</Application>
  <DocSecurity>0</DocSecurity>
  <Lines>14</Lines>
  <Paragraphs>4</Paragraphs>
  <ScaleCrop>false</ScaleCrop>
  <Company>微软中国</Company>
  <LinksUpToDate>false</LinksUpToDate>
  <CharactersWithSpaces>2070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杨路杰</dc:creator>
  <cp:lastModifiedBy>a37277</cp:lastModifiedBy>
  <cp:revision>3</cp:revision>
  <dcterms:created xsi:type="dcterms:W3CDTF">2025-08-21T09:27:00Z</dcterms:created>
  <dcterms:modified xsi:type="dcterms:W3CDTF">2025-08-25T07:08:00Z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KSOTemplateDocerSaveRecord">
    <vt:lpwstr>eyJoZGlkIjoiMWEyYjY3Njg0MDdjYzU1Zjg3MTFjNzk3ZWNiNjMwYmUiLCJ1c2VySWQiOiIyMzc3MzkxMzAifQ==</vt:lpwstr>
  </property>
  <property fmtid="{D5CDD505-2E9C-101B-9397-08002B2CF9AE}" pid="4" name="ICV">
    <vt:lpwstr>C1D74E43AD0C4E41B28A9B7C9A82C13E_13</vt:lpwstr>
  </property>
  <property fmtid="{D5CDD505-2E9C-101B-9397-08002B2CF9AE}" pid="5" name="GrammarlyDocumentId">
    <vt:lpwstr>e0bdd470-8cc2-4095-9e5c-d060faf5f578</vt:lpwstr>
  </property>
</Properties>
</file>