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rPr>
      </w:pPr>
      <w:r w:rsidDel="00000000" w:rsidR="00000000" w:rsidRPr="00000000">
        <w:rPr>
          <w:rFonts w:ascii="Calibri" w:cs="Calibri" w:eastAsia="Calibri" w:hAnsi="Calibri"/>
          <w:b w:val="1"/>
          <w:rtl w:val="0"/>
        </w:rPr>
        <w:t xml:space="preserve">Supplemental information for “Quantum Efficiency Estimation of the B centres in hexagonal boron nitride”</w:t>
      </w:r>
    </w:p>
    <w:p w:rsidR="00000000" w:rsidDel="00000000" w:rsidP="00000000" w:rsidRDefault="00000000" w:rsidRPr="00000000" w14:paraId="00000002">
      <w:pPr>
        <w:rPr>
          <w:rFonts w:ascii="Calibri" w:cs="Calibri" w:eastAsia="Calibri" w:hAnsi="Calibri"/>
        </w:rPr>
      </w:pPr>
      <w:r w:rsidDel="00000000" w:rsidR="00000000" w:rsidRPr="00000000">
        <w:rPr>
          <w:rFonts w:ascii="Calibri" w:cs="Calibri" w:eastAsia="Calibri" w:hAnsi="Calibri"/>
          <w:rtl w:val="0"/>
        </w:rPr>
        <w:t xml:space="preserve">Karin Yamamura, Nathan Coste, Helen Zhi Jie Zeng, Milos Toth, Mehran Kianinia and Igor Aharonovich</w:t>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line="276" w:lineRule="auto"/>
        <w:rPr>
          <w:rFonts w:ascii="Calibri" w:cs="Calibri" w:eastAsia="Calibri" w:hAnsi="Calibri"/>
          <w:i w:val="1"/>
        </w:rPr>
      </w:pPr>
      <w:r w:rsidDel="00000000" w:rsidR="00000000" w:rsidRPr="00000000">
        <w:rPr>
          <w:rFonts w:ascii="Calibri" w:cs="Calibri" w:eastAsia="Calibri" w:hAnsi="Calibri"/>
          <w:i w:val="1"/>
          <w:vertAlign w:val="superscript"/>
          <w:rtl w:val="0"/>
        </w:rPr>
        <w:t xml:space="preserve">1</w:t>
      </w:r>
      <w:r w:rsidDel="00000000" w:rsidR="00000000" w:rsidRPr="00000000">
        <w:rPr>
          <w:rFonts w:ascii="Calibri" w:cs="Calibri" w:eastAsia="Calibri" w:hAnsi="Calibri"/>
          <w:i w:val="1"/>
          <w:rtl w:val="0"/>
        </w:rPr>
        <w:t xml:space="preserve"> School of Mathematical and Physical Sciences, University of Technology Sydney, Ultimo, New South Wales 2007, Australia</w:t>
      </w:r>
    </w:p>
    <w:p w:rsidR="00000000" w:rsidDel="00000000" w:rsidP="00000000" w:rsidRDefault="00000000" w:rsidRPr="00000000" w14:paraId="00000005">
      <w:pPr>
        <w:spacing w:line="276" w:lineRule="auto"/>
        <w:rPr>
          <w:rFonts w:ascii="Calibri" w:cs="Calibri" w:eastAsia="Calibri" w:hAnsi="Calibri"/>
          <w:i w:val="1"/>
        </w:rPr>
      </w:pPr>
      <w:r w:rsidDel="00000000" w:rsidR="00000000" w:rsidRPr="00000000">
        <w:rPr>
          <w:rFonts w:ascii="Calibri" w:cs="Calibri" w:eastAsia="Calibri" w:hAnsi="Calibri"/>
          <w:i w:val="1"/>
          <w:vertAlign w:val="superscript"/>
          <w:rtl w:val="0"/>
        </w:rPr>
        <w:t xml:space="preserve">2</w:t>
      </w:r>
      <w:r w:rsidDel="00000000" w:rsidR="00000000" w:rsidRPr="00000000">
        <w:rPr>
          <w:rFonts w:ascii="Calibri" w:cs="Calibri" w:eastAsia="Calibri" w:hAnsi="Calibri"/>
          <w:i w:val="1"/>
          <w:rtl w:val="0"/>
        </w:rPr>
        <w:t xml:space="preserve"> ARC Centre of Excellence for Transformative Meta-Optical Systems, University of Technology Sydney, Ultimo, New South Wales 2007, Australia </w:t>
      </w:r>
    </w:p>
    <w:p w:rsidR="00000000" w:rsidDel="00000000" w:rsidP="00000000" w:rsidRDefault="00000000" w:rsidRPr="00000000" w14:paraId="0000000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76" w:lineRule="auto"/>
        <w:rPr>
          <w:rFonts w:ascii="Calibri" w:cs="Calibri" w:eastAsia="Calibri" w:hAnsi="Calibri"/>
        </w:rPr>
      </w:pPr>
      <w:r w:rsidDel="00000000" w:rsidR="00000000" w:rsidRPr="00000000">
        <w:rPr>
          <w:rFonts w:ascii="Calibri" w:cs="Calibri" w:eastAsia="Calibri" w:hAnsi="Calibri"/>
          <w:rtl w:val="0"/>
        </w:rPr>
        <w:t xml:space="preserve">In this document, we provide supplementary information to “Quantum Efficiency Estimation of the B centres in hexagonal boron nitride”. It consists of two parts: (I) Optical measurement for confirmation of emitter wavelength, singleness and lifetime of B-centres (</w:t>
      </w:r>
      <w:r w:rsidDel="00000000" w:rsidR="00000000" w:rsidRPr="00000000">
        <w:rPr>
          <w:rFonts w:ascii="Calibri" w:cs="Calibri" w:eastAsia="Calibri" w:hAnsi="Calibri"/>
          <w:highlight w:val="yellow"/>
          <w:rtl w:val="0"/>
        </w:rPr>
        <w:t xml:space="preserve">SI1-4</w:t>
      </w:r>
      <w:r w:rsidDel="00000000" w:rsidR="00000000" w:rsidRPr="00000000">
        <w:rPr>
          <w:rFonts w:ascii="Calibri" w:cs="Calibri" w:eastAsia="Calibri" w:hAnsi="Calibri"/>
          <w:rtl w:val="0"/>
        </w:rPr>
        <w:t xml:space="preserve">), and (II) Estimation of the QE of B-centre in thick flake (</w:t>
      </w:r>
      <w:r w:rsidDel="00000000" w:rsidR="00000000" w:rsidRPr="00000000">
        <w:rPr>
          <w:rFonts w:ascii="Calibri" w:cs="Calibri" w:eastAsia="Calibri" w:hAnsi="Calibri"/>
          <w:highlight w:val="yellow"/>
          <w:rtl w:val="0"/>
        </w:rPr>
        <w:t xml:space="preserve">SI5</w:t>
      </w:r>
      <w:r w:rsidDel="00000000" w:rsidR="00000000" w:rsidRPr="00000000">
        <w:rPr>
          <w:rFonts w:ascii="Calibri" w:cs="Calibri" w:eastAsia="Calibri" w:hAnsi="Calibri"/>
          <w:rtl w:val="0"/>
        </w:rPr>
        <w:t xml:space="preserve">).</w:t>
      </w:r>
    </w:p>
    <w:p w:rsidR="00000000" w:rsidDel="00000000" w:rsidP="00000000" w:rsidRDefault="00000000" w:rsidRPr="00000000" w14:paraId="0000000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I. Optical measurement of B-centres</w:t>
      </w:r>
    </w:p>
    <w:p w:rsidR="00000000" w:rsidDel="00000000" w:rsidP="00000000" w:rsidRDefault="00000000" w:rsidRPr="00000000" w14:paraId="0000000A">
      <w:pPr>
        <w:spacing w:line="276" w:lineRule="auto"/>
        <w:rPr>
          <w:rFonts w:ascii="Calibri" w:cs="Calibri" w:eastAsia="Calibri" w:hAnsi="Calibri"/>
          <w:i w:val="1"/>
        </w:rPr>
      </w:pPr>
      <w:r w:rsidDel="00000000" w:rsidR="00000000" w:rsidRPr="00000000">
        <w:rPr>
          <w:rFonts w:ascii="Calibri" w:cs="Calibri" w:eastAsia="Calibri" w:hAnsi="Calibri"/>
          <w:rtl w:val="0"/>
        </w:rPr>
        <w:t xml:space="preserve">Figure SI1 shows the PL spectra of seven activated B-centres in hBN. The spectra were acquired under the 402 nm pulsed laser at 50 uW for 3</w:t>
      </w:r>
      <w:r w:rsidDel="00000000" w:rsidR="00000000" w:rsidRPr="00000000">
        <w:rPr>
          <w:rFonts w:ascii="Calibri" w:cs="Calibri" w:eastAsia="Calibri" w:hAnsi="Calibri"/>
          <w:rtl w:val="0"/>
        </w:rPr>
        <w:t xml:space="preserve">0 seconds</w:t>
      </w:r>
      <w:r w:rsidDel="00000000" w:rsidR="00000000" w:rsidRPr="00000000">
        <w:rPr>
          <w:rFonts w:ascii="Calibri" w:cs="Calibri" w:eastAsia="Calibri" w:hAnsi="Calibri"/>
          <w:rtl w:val="0"/>
        </w:rPr>
        <w:t xml:space="preserve">. All emitters show the typical B-centre emission from ZPL at 436 nm. After confirming the emission wavelength, auto-correlation measurement was performed on the same emitters under a 402 nm pulsed laser at 50 uW with a repetition rate of 40 MHz. All emitters show the nature of singleness with g2(0) values ranging from 0.15 to 0.26 (shown in Figure SI2).</w:t>
      </w:r>
      <w:r w:rsidDel="00000000" w:rsidR="00000000" w:rsidRPr="00000000">
        <w:rPr>
          <w:rFonts w:ascii="Calibri" w:cs="Calibri" w:eastAsia="Calibri" w:hAnsi="Calibri"/>
          <w:highlight w:val="yellow"/>
          <w:rtl w:val="0"/>
        </w:rPr>
        <w:t xml:space="preserve"> Figure SI3 shows the confocal PL map of </w:t>
      </w:r>
      <w:r w:rsidDel="00000000" w:rsidR="00000000" w:rsidRPr="00000000">
        <w:rPr>
          <w:rFonts w:ascii="Calibri" w:cs="Calibri" w:eastAsia="Calibri" w:hAnsi="Calibri"/>
          <w:i w:val="1"/>
          <w:highlight w:val="yellow"/>
          <w:rtl w:val="0"/>
        </w:rPr>
        <w:t xml:space="preserve">the pre-characterized B-centres after transfer of the top hBN flake. The pre-characterised B-centres remain clearly visible since hBN is transparent and does not exhibit PL emission prior to electron beam irradiation. The measured emitters E1- E6 are shown in circles, E7 is located out of the PL map range. </w:t>
      </w:r>
      <w:r w:rsidDel="00000000" w:rsidR="00000000" w:rsidRPr="00000000">
        <w:rPr>
          <w:rtl w:val="0"/>
        </w:rPr>
      </w:r>
    </w:p>
    <w:p w:rsidR="00000000" w:rsidDel="00000000" w:rsidP="00000000" w:rsidRDefault="00000000" w:rsidRPr="00000000" w14:paraId="0000000B">
      <w:pPr>
        <w:spacing w:line="276" w:lineRule="auto"/>
        <w:rPr>
          <w:rFonts w:ascii="Calibri" w:cs="Calibri" w:eastAsia="Calibri" w:hAnsi="Calibri"/>
        </w:rPr>
      </w:pPr>
      <w:r w:rsidDel="00000000" w:rsidR="00000000" w:rsidRPr="00000000">
        <w:rPr>
          <w:rFonts w:ascii="Calibri" w:cs="Calibri" w:eastAsia="Calibri" w:hAnsi="Calibri"/>
          <w:rtl w:val="0"/>
        </w:rPr>
        <w:t xml:space="preserve">The lifetime measurements of these B-centres were measured before and after transferring the thick hBN on top of the hBN with B-centres (shown in Figure </w:t>
      </w:r>
      <w:r w:rsidDel="00000000" w:rsidR="00000000" w:rsidRPr="00000000">
        <w:rPr>
          <w:rFonts w:ascii="Calibri" w:cs="Calibri" w:eastAsia="Calibri" w:hAnsi="Calibri"/>
          <w:highlight w:val="yellow"/>
          <w:rtl w:val="0"/>
        </w:rPr>
        <w:t xml:space="preserve">SI4</w:t>
      </w:r>
      <w:r w:rsidDel="00000000" w:rsidR="00000000" w:rsidRPr="00000000">
        <w:rPr>
          <w:rFonts w:ascii="Calibri" w:cs="Calibri" w:eastAsia="Calibri" w:hAnsi="Calibri"/>
          <w:rtl w:val="0"/>
        </w:rPr>
        <w:t xml:space="preserve">). The average lifetime of B-centre in thin hBN flake ranges from 2.26 ns to 2.58 ns before transferring the top thick flake, and 1.73 ns to 2.26 ns after transfer. </w:t>
      </w:r>
    </w:p>
    <w:p w:rsidR="00000000" w:rsidDel="00000000" w:rsidP="00000000" w:rsidRDefault="00000000" w:rsidRPr="00000000" w14:paraId="0000000C">
      <w:pPr>
        <w:spacing w:line="276"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984538" cy="3067013"/>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84538" cy="306701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Calibri" w:cs="Calibri" w:eastAsia="Calibri" w:hAnsi="Calibri"/>
          <w:i w:val="1"/>
        </w:rPr>
      </w:pPr>
      <w:r w:rsidDel="00000000" w:rsidR="00000000" w:rsidRPr="00000000">
        <w:rPr>
          <w:rFonts w:ascii="Calibri" w:cs="Calibri" w:eastAsia="Calibri" w:hAnsi="Calibri"/>
          <w:i w:val="1"/>
          <w:rtl w:val="0"/>
        </w:rPr>
        <w:t xml:space="preserve">Fig SI1. (a-g) PL spectra of seven investigated B centres in thin hBN.</w:t>
      </w:r>
    </w:p>
    <w:p w:rsidR="00000000" w:rsidDel="00000000" w:rsidP="00000000" w:rsidRDefault="00000000" w:rsidRPr="00000000" w14:paraId="0000000E">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622838" cy="5383333"/>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622838" cy="538333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Calibri" w:cs="Calibri" w:eastAsia="Calibri" w:hAnsi="Calibri"/>
        </w:rPr>
      </w:pPr>
      <w:r w:rsidDel="00000000" w:rsidR="00000000" w:rsidRPr="00000000">
        <w:rPr>
          <w:rFonts w:ascii="Calibri" w:cs="Calibri" w:eastAsia="Calibri" w:hAnsi="Calibri"/>
          <w:i w:val="1"/>
          <w:rtl w:val="0"/>
        </w:rPr>
        <w:t xml:space="preserve">Fig SI2. (a-g) </w:t>
      </w:r>
      <w:r w:rsidDel="00000000" w:rsidR="00000000" w:rsidRPr="00000000">
        <w:rPr>
          <w:rFonts w:ascii="Calibri" w:cs="Calibri" w:eastAsia="Calibri" w:hAnsi="Calibri"/>
          <w:i w:val="1"/>
          <w:rtl w:val="0"/>
        </w:rPr>
        <w:t xml:space="preserve">Second-order correlation measurement on the same seven B-centres under pulsed laser excitation.</w:t>
      </w:r>
      <w:r w:rsidDel="00000000" w:rsidR="00000000" w:rsidRPr="00000000">
        <w:rPr>
          <w:rtl w:val="0"/>
        </w:rPr>
      </w:r>
    </w:p>
    <w:p w:rsidR="00000000" w:rsidDel="00000000" w:rsidP="00000000" w:rsidRDefault="00000000" w:rsidRPr="00000000" w14:paraId="00000010">
      <w:pPr>
        <w:jc w:val="center"/>
        <w:rPr>
          <w:rFonts w:ascii="Calibri" w:cs="Calibri" w:eastAsia="Calibri" w:hAnsi="Calibri"/>
          <w:highlight w:val="yellow"/>
        </w:rPr>
      </w:pPr>
      <w:r w:rsidDel="00000000" w:rsidR="00000000" w:rsidRPr="00000000">
        <w:rPr>
          <w:rFonts w:ascii="Calibri" w:cs="Calibri" w:eastAsia="Calibri" w:hAnsi="Calibri"/>
          <w:highlight w:val="yellow"/>
        </w:rPr>
        <w:drawing>
          <wp:inline distB="114300" distT="114300" distL="114300" distR="114300">
            <wp:extent cx="2549363" cy="1957546"/>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549363" cy="195754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rFonts w:ascii="Calibri" w:cs="Calibri" w:eastAsia="Calibri" w:hAnsi="Calibri"/>
          <w:i w:val="1"/>
          <w:highlight w:val="yellow"/>
        </w:rPr>
      </w:pPr>
      <w:r w:rsidDel="00000000" w:rsidR="00000000" w:rsidRPr="00000000">
        <w:rPr>
          <w:rFonts w:ascii="Calibri" w:cs="Calibri" w:eastAsia="Calibri" w:hAnsi="Calibri"/>
          <w:i w:val="1"/>
          <w:highlight w:val="yellow"/>
          <w:rtl w:val="0"/>
        </w:rPr>
        <w:t xml:space="preserve">Fig SI3. Confocal PL map showing an array of B-centres after transferring the top hBN. Emitter positions are labelled E1- E6. The scale bar corresponds to 5 μm. </w:t>
      </w:r>
    </w:p>
    <w:p w:rsidR="00000000" w:rsidDel="00000000" w:rsidP="00000000" w:rsidRDefault="00000000" w:rsidRPr="00000000" w14:paraId="00000012">
      <w:pPr>
        <w:spacing w:after="240" w:befor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068600" cy="5859612"/>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068600" cy="585961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Calibri" w:cs="Calibri" w:eastAsia="Calibri" w:hAnsi="Calibri"/>
          <w:i w:val="1"/>
        </w:rPr>
      </w:pPr>
      <w:r w:rsidDel="00000000" w:rsidR="00000000" w:rsidRPr="00000000">
        <w:rPr>
          <w:rFonts w:ascii="Calibri" w:cs="Calibri" w:eastAsia="Calibri" w:hAnsi="Calibri"/>
          <w:i w:val="1"/>
          <w:rtl w:val="0"/>
        </w:rPr>
        <w:t xml:space="preserve">Fig SI4. (a-g) Lifetime measurement of measured seven B centres in thin hBN before (light blue dots) and after (purple dots) the addition of the top hBN flake.</w:t>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b w:val="1"/>
          <w:rtl w:val="0"/>
        </w:rPr>
        <w:t xml:space="preserve">(II) Estimation of the QE of B-centre in thick flake</w:t>
      </w:r>
      <w:r w:rsidDel="00000000" w:rsidR="00000000" w:rsidRPr="00000000">
        <w:rPr>
          <w:rtl w:val="0"/>
        </w:rPr>
      </w:r>
    </w:p>
    <w:p w:rsidR="00000000" w:rsidDel="00000000" w:rsidP="00000000" w:rsidRDefault="00000000" w:rsidRPr="00000000" w14:paraId="00000016">
      <w:pPr>
        <w:jc w:val="both"/>
        <w:rPr>
          <w:rFonts w:ascii="Calibri" w:cs="Calibri" w:eastAsia="Calibri" w:hAnsi="Calibri"/>
        </w:rPr>
      </w:pPr>
      <w:r w:rsidDel="00000000" w:rsidR="00000000" w:rsidRPr="00000000">
        <w:rPr>
          <w:rFonts w:ascii="Calibri" w:cs="Calibri" w:eastAsia="Calibri" w:hAnsi="Calibri"/>
          <w:rtl w:val="0"/>
        </w:rPr>
        <w:t xml:space="preserve">Figure SI5 shows the emission saturation curve for an emitter in the same flake as previously studied and for an emitter in a thick (250 nm height) hBN flake for reference. The experimental data were fitted using the equation: </w:t>
      </w:r>
    </w:p>
    <w:p w:rsidR="00000000" w:rsidDel="00000000" w:rsidP="00000000" w:rsidRDefault="00000000" w:rsidRPr="00000000" w14:paraId="00000017">
      <w:pPr>
        <w:jc w:val="right"/>
        <w:rPr>
          <w:rFonts w:ascii="Calibri" w:cs="Calibri" w:eastAsia="Calibri" w:hAnsi="Calibri"/>
        </w:rPr>
      </w:pPr>
      <m:oMath>
        <m:r>
          <w:rPr>
            <w:rFonts w:ascii="Calibri" w:cs="Calibri" w:eastAsia="Calibri" w:hAnsi="Calibri"/>
          </w:rPr>
          <m:t xml:space="preserve">I(P) = </m:t>
        </m:r>
        <m:f>
          <m:fPr>
            <m:ctrlPr>
              <w:rPr>
                <w:rFonts w:ascii="Calibri" w:cs="Calibri" w:eastAsia="Calibri" w:hAnsi="Calibri"/>
              </w:rPr>
            </m:ctrlPr>
          </m:fPr>
          <m:num>
            <m:sSub>
              <m:sSubPr>
                <m:ctrlPr>
                  <w:rPr>
                    <w:rFonts w:ascii="Calibri" w:cs="Calibri" w:eastAsia="Calibri" w:hAnsi="Calibri"/>
                  </w:rPr>
                </m:ctrlPr>
              </m:sSubPr>
              <m:e>
                <m:r>
                  <w:rPr>
                    <w:rFonts w:ascii="Calibri" w:cs="Calibri" w:eastAsia="Calibri" w:hAnsi="Calibri"/>
                  </w:rPr>
                  <m:t xml:space="preserve">I</m:t>
                </m:r>
              </m:e>
              <m:sub>
                <m:r>
                  <w:rPr>
                    <w:rFonts w:ascii="Calibri" w:cs="Calibri" w:eastAsia="Calibri" w:hAnsi="Calibri"/>
                  </w:rPr>
                  <m:t xml:space="preserve">sat</m:t>
                </m:r>
              </m:sub>
            </m:sSub>
            <m:r>
              <w:rPr>
                <w:rFonts w:ascii="Calibri" w:cs="Calibri" w:eastAsia="Calibri" w:hAnsi="Calibri"/>
              </w:rPr>
              <m:t>⋅</m:t>
            </m:r>
            <m:r>
              <w:rPr>
                <w:rFonts w:ascii="Calibri" w:cs="Calibri" w:eastAsia="Calibri" w:hAnsi="Calibri"/>
              </w:rPr>
              <m:t xml:space="preserve">P</m:t>
            </m:r>
          </m:num>
          <m:den>
            <m:sSub>
              <m:sSubPr>
                <m:ctrlPr>
                  <w:rPr>
                    <w:rFonts w:ascii="Calibri" w:cs="Calibri" w:eastAsia="Calibri" w:hAnsi="Calibri"/>
                  </w:rPr>
                </m:ctrlPr>
              </m:sSubPr>
              <m:e>
                <m:r>
                  <w:rPr>
                    <w:rFonts w:ascii="Calibri" w:cs="Calibri" w:eastAsia="Calibri" w:hAnsi="Calibri"/>
                  </w:rPr>
                  <m:t xml:space="preserve">P</m:t>
                </m:r>
              </m:e>
              <m:sub>
                <m:r>
                  <w:rPr>
                    <w:rFonts w:ascii="Calibri" w:cs="Calibri" w:eastAsia="Calibri" w:hAnsi="Calibri"/>
                  </w:rPr>
                  <m:t xml:space="preserve">sat</m:t>
                </m:r>
              </m:sub>
            </m:sSub>
            <m:r>
              <w:rPr>
                <w:rFonts w:ascii="Calibri" w:cs="Calibri" w:eastAsia="Calibri" w:hAnsi="Calibri"/>
              </w:rPr>
              <m:t xml:space="preserve"> + P</m:t>
            </m:r>
          </m:den>
        </m:f>
      </m:oMath>
      <w:r w:rsidDel="00000000" w:rsidR="00000000" w:rsidRPr="00000000">
        <w:rPr>
          <w:rFonts w:ascii="Calibri" w:cs="Calibri" w:eastAsia="Calibri" w:hAnsi="Calibri"/>
          <w:rtl w:val="0"/>
        </w:rPr>
        <w:tab/>
        <w:tab/>
        <w:tab/>
        <w:tab/>
        <w:tab/>
        <w:t xml:space="preserve">(SI E1)</w:t>
      </w:r>
    </w:p>
    <w:p w:rsidR="00000000" w:rsidDel="00000000" w:rsidP="00000000" w:rsidRDefault="00000000" w:rsidRPr="00000000" w14:paraId="00000018">
      <w:pPr>
        <w:jc w:val="both"/>
        <w:rPr>
          <w:rFonts w:ascii="Calibri" w:cs="Calibri" w:eastAsia="Calibri" w:hAnsi="Calibri"/>
          <w:color w:val="0000ff"/>
        </w:rPr>
      </w:pPr>
      <w:r w:rsidDel="00000000" w:rsidR="00000000" w:rsidRPr="00000000">
        <w:rPr>
          <w:rFonts w:ascii="Calibri" w:cs="Calibri" w:eastAsia="Calibri" w:hAnsi="Calibri"/>
          <w:rtl w:val="0"/>
        </w:rPr>
        <w:t xml:space="preserve">We observe a large difference in count rate at saturation, with almost a factor 10 brighter emission for the thicker flake. Emitters in thin and thick flakes were bleached at excitation power of 850 μW and 3500 μW, respectively. </w:t>
      </w:r>
      <w:r w:rsidDel="00000000" w:rsidR="00000000" w:rsidRPr="00000000">
        <w:rPr>
          <w:rtl w:val="0"/>
        </w:rPr>
      </w:r>
    </w:p>
    <w:p w:rsidR="00000000" w:rsidDel="00000000" w:rsidP="00000000" w:rsidRDefault="00000000" w:rsidRPr="00000000" w14:paraId="00000019">
      <w:pPr>
        <w:jc w:val="both"/>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rPr>
      </w:pPr>
      <w:r w:rsidDel="00000000" w:rsidR="00000000" w:rsidRPr="00000000">
        <w:rPr>
          <w:rFonts w:ascii="Calibri" w:cs="Calibri" w:eastAsia="Calibri" w:hAnsi="Calibri"/>
          <w:rtl w:val="0"/>
        </w:rPr>
        <w:t xml:space="preserve">From these data, taken under the same experimental conditions, the internal QE of the thick flake could be deduced from the previously measured QE in the thin flake, by calculating the total system efficiency SE at saturation (including excitation, collection and detection efficiency):</w:t>
      </w:r>
    </w:p>
    <w:p w:rsidR="00000000" w:rsidDel="00000000" w:rsidP="00000000" w:rsidRDefault="00000000" w:rsidRPr="00000000" w14:paraId="0000001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ind w:left="2160" w:firstLine="720"/>
        <w:jc w:val="right"/>
        <w:rPr>
          <w:rFonts w:ascii="Calibri" w:cs="Calibri" w:eastAsia="Calibri" w:hAnsi="Calibri"/>
        </w:rPr>
      </w:pPr>
      <m:oMath>
        <m:r>
          <w:rPr>
            <w:rFonts w:ascii="Calibri" w:cs="Calibri" w:eastAsia="Calibri" w:hAnsi="Calibri"/>
          </w:rPr>
          <m:t xml:space="preserve">SE =</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Q</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thin</m:t>
                </m:r>
              </m:sub>
            </m:sSub>
          </m:den>
        </m:f>
        <m:r>
          <w:rPr>
            <w:rFonts w:ascii="Calibri" w:cs="Calibri" w:eastAsia="Calibri" w:hAnsi="Calibri"/>
          </w:rPr>
          <m:t>⋅</m:t>
        </m:r>
        <m:sSub>
          <m:sSubPr>
            <m:ctrlPr>
              <w:rPr>
                <w:rFonts w:ascii="Calibri" w:cs="Calibri" w:eastAsia="Calibri" w:hAnsi="Calibri"/>
              </w:rPr>
            </m:ctrlPr>
          </m:sSubPr>
          <m:e>
            <m:r>
              <w:rPr>
                <w:rFonts w:ascii="Calibri" w:cs="Calibri" w:eastAsia="Calibri" w:hAnsi="Calibri"/>
              </w:rPr>
              <m:t>τ</m:t>
            </m:r>
          </m:e>
          <m:sub>
            <m:r>
              <w:rPr>
                <w:rFonts w:ascii="Calibri" w:cs="Calibri" w:eastAsia="Calibri" w:hAnsi="Calibri"/>
              </w:rPr>
              <m:t xml:space="preserve">thin</m:t>
            </m:r>
          </m:sub>
        </m:sSub>
        <m:r>
          <w:rPr>
            <w:rFonts w:ascii="Calibri" w:cs="Calibri" w:eastAsia="Calibri" w:hAnsi="Calibri"/>
          </w:rPr>
          <m:t>⋅</m:t>
        </m:r>
        <m:r>
          <w:rPr>
            <w:rFonts w:ascii="Calibri" w:cs="Calibri" w:eastAsia="Calibri" w:hAnsi="Calibri"/>
          </w:rPr>
          <m:t xml:space="preserve">Counts (saturation</m:t>
        </m:r>
        <m:sSub>
          <m:sSubPr>
            <m:ctrlPr>
              <w:rPr>
                <w:rFonts w:ascii="Calibri" w:cs="Calibri" w:eastAsia="Calibri" w:hAnsi="Calibri"/>
              </w:rPr>
            </m:ctrlPr>
          </m:sSubPr>
          <m:e>
            <m:r>
              <w:rPr>
                <w:rFonts w:ascii="Calibri" w:cs="Calibri" w:eastAsia="Calibri" w:hAnsi="Calibri"/>
              </w:rPr>
              <m:t xml:space="preserve">)</m:t>
            </m:r>
          </m:e>
          <m:sub>
            <m:r>
              <w:rPr>
                <w:rFonts w:ascii="Calibri" w:cs="Calibri" w:eastAsia="Calibri" w:hAnsi="Calibri"/>
              </w:rPr>
              <m:t xml:space="preserve">thin </m:t>
            </m:r>
          </m:sub>
        </m:sSub>
        <m:r>
          <w:rPr>
            <w:rFonts w:ascii="Calibri" w:cs="Calibri" w:eastAsia="Calibri" w:hAnsi="Calibri"/>
          </w:rPr>
          <m:t xml:space="preserve">  </m:t>
        </m:r>
      </m:oMath>
      <w:r w:rsidDel="00000000" w:rsidR="00000000" w:rsidRPr="00000000">
        <w:rPr>
          <w:rFonts w:ascii="Calibri" w:cs="Calibri" w:eastAsia="Calibri" w:hAnsi="Calibri"/>
          <w:rtl w:val="0"/>
        </w:rPr>
        <w:tab/>
        <w:t xml:space="preserve">(SI E2)</w:t>
      </w:r>
    </w:p>
    <w:p w:rsidR="00000000" w:rsidDel="00000000" w:rsidP="00000000" w:rsidRDefault="00000000" w:rsidRPr="00000000" w14:paraId="0000001D">
      <w:pPr>
        <w:ind w:left="1440" w:firstLine="720"/>
        <w:jc w:val="right"/>
        <w:rPr>
          <w:rFonts w:ascii="Calibri" w:cs="Calibri" w:eastAsia="Calibri" w:hAnsi="Calibri"/>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The QE in the reference thick flake can then be obtained by applying :</w:t>
      </w:r>
    </w:p>
    <w:p w:rsidR="00000000" w:rsidDel="00000000" w:rsidP="00000000" w:rsidRDefault="00000000" w:rsidRPr="00000000" w14:paraId="0000001F">
      <w:pPr>
        <w:ind w:left="1440" w:firstLine="720"/>
        <w:rPr>
          <w:rFonts w:ascii="Calibri" w:cs="Calibri" w:eastAsia="Calibri" w:hAnsi="Calibri"/>
        </w:rPr>
      </w:pPr>
      <w:r w:rsidDel="00000000" w:rsidR="00000000" w:rsidRPr="00000000">
        <w:rPr>
          <w:rtl w:val="0"/>
        </w:rPr>
      </w:r>
    </w:p>
    <w:p w:rsidR="00000000" w:rsidDel="00000000" w:rsidP="00000000" w:rsidRDefault="00000000" w:rsidRPr="00000000" w14:paraId="00000020">
      <w:pPr>
        <w:ind w:left="1440" w:firstLine="720"/>
        <w:jc w:val="right"/>
        <w:rPr>
          <w:rFonts w:ascii="Calibri" w:cs="Calibri" w:eastAsia="Calibri" w:hAnsi="Calibri"/>
        </w:rPr>
      </w:pPr>
      <m:oMath>
        <m:r>
          <w:rPr>
            <w:rFonts w:ascii="Calibri" w:cs="Calibri" w:eastAsia="Calibri" w:hAnsi="Calibri"/>
          </w:rPr>
          <m:t xml:space="preserve">Q</m:t>
        </m:r>
        <m:sSub>
          <m:sSubPr>
            <m:ctrlPr>
              <w:rPr>
                <w:rFonts w:ascii="Calibri" w:cs="Calibri" w:eastAsia="Calibri" w:hAnsi="Calibri"/>
              </w:rPr>
            </m:ctrlPr>
          </m:sSubPr>
          <m:e>
            <m:r>
              <w:rPr>
                <w:rFonts w:ascii="Calibri" w:cs="Calibri" w:eastAsia="Calibri" w:hAnsi="Calibri"/>
              </w:rPr>
              <m:t xml:space="preserve">E</m:t>
            </m:r>
          </m:e>
          <m:sub>
            <m:r>
              <w:rPr>
                <w:rFonts w:ascii="Calibri" w:cs="Calibri" w:eastAsia="Calibri" w:hAnsi="Calibri"/>
              </w:rPr>
              <m:t xml:space="preserve">thick</m:t>
            </m:r>
          </m:sub>
        </m:sSub>
        <m:r>
          <w:rPr>
            <w:rFonts w:ascii="Calibri" w:cs="Calibri" w:eastAsia="Calibri" w:hAnsi="Calibri"/>
          </w:rPr>
          <m:t xml:space="preserve"> = Counts(saturation</m:t>
        </m:r>
        <m:sSub>
          <m:sSubPr>
            <m:ctrlPr>
              <w:rPr>
                <w:rFonts w:ascii="Calibri" w:cs="Calibri" w:eastAsia="Calibri" w:hAnsi="Calibri"/>
              </w:rPr>
            </m:ctrlPr>
          </m:sSubPr>
          <m:e>
            <m:r>
              <w:rPr>
                <w:rFonts w:ascii="Calibri" w:cs="Calibri" w:eastAsia="Calibri" w:hAnsi="Calibri"/>
              </w:rPr>
              <m:t xml:space="preserve">)</m:t>
            </m:r>
          </m:e>
          <m:sub>
            <m:r>
              <w:rPr>
                <w:rFonts w:ascii="Calibri" w:cs="Calibri" w:eastAsia="Calibri" w:hAnsi="Calibri"/>
              </w:rPr>
              <m:t xml:space="preserve">thick</m:t>
            </m:r>
          </m:sub>
        </m:sSub>
        <m:r>
          <w:rPr>
            <w:rFonts w:ascii="Calibri" w:cs="Calibri" w:eastAsia="Calibri" w:hAnsi="Calibri"/>
          </w:rPr>
          <m:t>⋅</m:t>
        </m:r>
        <m:r>
          <w:rPr>
            <w:rFonts w:ascii="Calibri" w:cs="Calibri" w:eastAsia="Calibri" w:hAnsi="Calibri"/>
          </w:rPr>
          <m:t xml:space="preserve">  </m:t>
        </m:r>
        <m:sSub>
          <m:sSubPr>
            <m:ctrlPr>
              <w:rPr>
                <w:rFonts w:ascii="Calibri" w:cs="Calibri" w:eastAsia="Calibri" w:hAnsi="Calibri"/>
              </w:rPr>
            </m:ctrlPr>
          </m:sSubPr>
          <m:e>
            <m:r>
              <w:rPr>
                <w:rFonts w:ascii="Calibri" w:cs="Calibri" w:eastAsia="Calibri" w:hAnsi="Calibri"/>
              </w:rPr>
              <m:t xml:space="preserve">τ</m:t>
            </m:r>
          </m:e>
          <m:sub>
            <m:r>
              <w:rPr>
                <w:rFonts w:ascii="Calibri" w:cs="Calibri" w:eastAsia="Calibri" w:hAnsi="Calibri"/>
              </w:rPr>
              <m:t xml:space="preserve"> thick </m:t>
            </m:r>
          </m:sub>
        </m:sSub>
        <m:r>
          <w:rPr>
            <w:rFonts w:ascii="Calibri" w:cs="Calibri" w:eastAsia="Calibri" w:hAnsi="Calibri"/>
          </w:rPr>
          <m:t>⋅</m:t>
        </m:r>
        <m:r>
          <w:rPr>
            <w:rFonts w:ascii="Calibri" w:cs="Calibri" w:eastAsia="Calibri" w:hAnsi="Calibri"/>
          </w:rPr>
          <m:t xml:space="preserve">  </m:t>
        </m:r>
        <m:f>
          <m:fPr>
            <m:ctrlPr>
              <w:rPr>
                <w:rFonts w:ascii="Calibri" w:cs="Calibri" w:eastAsia="Calibri" w:hAnsi="Calibri"/>
              </w:rPr>
            </m:ctrlPr>
          </m:fPr>
          <m:num>
            <m:r>
              <w:rPr>
                <w:rFonts w:ascii="Calibri" w:cs="Calibri" w:eastAsia="Calibri" w:hAnsi="Calibri"/>
              </w:rPr>
              <m:t xml:space="preserve">1</m:t>
            </m:r>
          </m:num>
          <m:den>
            <m:r>
              <w:rPr>
                <w:rFonts w:ascii="Calibri" w:cs="Calibri" w:eastAsia="Calibri" w:hAnsi="Calibri"/>
              </w:rPr>
              <m:t xml:space="preserve">SE</m:t>
            </m:r>
          </m:den>
        </m:f>
        <m:r>
          <w:rPr>
            <w:rFonts w:ascii="Calibri" w:cs="Calibri" w:eastAsia="Calibri" w:hAnsi="Calibri"/>
          </w:rPr>
          <m:t xml:space="preserve">  </m:t>
        </m:r>
      </m:oMath>
      <w:r w:rsidDel="00000000" w:rsidR="00000000" w:rsidRPr="00000000">
        <w:rPr>
          <w:rFonts w:ascii="Calibri" w:cs="Calibri" w:eastAsia="Calibri" w:hAnsi="Calibri"/>
          <w:rtl w:val="0"/>
        </w:rPr>
        <w:tab/>
        <w:t xml:space="preserve">  </w:t>
        <w:tab/>
        <w:t xml:space="preserve">(SI E3)</w:t>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rPr>
      </w:pPr>
      <w:r w:rsidDel="00000000" w:rsidR="00000000" w:rsidRPr="00000000">
        <w:rPr>
          <w:rFonts w:ascii="Calibri" w:cs="Calibri" w:eastAsia="Calibri" w:hAnsi="Calibri"/>
          <w:rtl w:val="0"/>
        </w:rPr>
        <w:t xml:space="preserve">With</w:t>
      </w:r>
      <w:r w:rsidDel="00000000" w:rsidR="00000000" w:rsidRPr="00000000">
        <w:rPr>
          <w:rFonts w:ascii="Calibri" w:cs="Calibri" w:eastAsia="Calibri" w:hAnsi="Calibri"/>
          <w:color w:val="0000ff"/>
          <w:rtl w:val="0"/>
        </w:rPr>
        <w:t xml:space="preserve"> </w:t>
      </w:r>
      <m:oMath>
        <m:sSub>
          <m:sSubPr>
            <m:ctrlPr>
              <w:rPr>
                <w:rFonts w:ascii="Calibri" w:cs="Calibri" w:eastAsia="Calibri" w:hAnsi="Calibri"/>
              </w:rPr>
            </m:ctrlPr>
          </m:sSubPr>
          <m:e>
            <m:r>
              <m:t>τ</m:t>
            </m:r>
          </m:e>
          <m:sub>
            <m:r>
              <w:rPr>
                <w:rFonts w:ascii="Calibri" w:cs="Calibri" w:eastAsia="Calibri" w:hAnsi="Calibri"/>
              </w:rPr>
              <m:t xml:space="preserve">thin</m:t>
            </m:r>
          </m:sub>
        </m:sSub>
      </m:oMath>
      <w:r w:rsidDel="00000000" w:rsidR="00000000" w:rsidRPr="00000000">
        <w:rPr>
          <w:rFonts w:ascii="Calibri" w:cs="Calibri" w:eastAsia="Calibri" w:hAnsi="Calibri"/>
          <w:rtl w:val="0"/>
        </w:rPr>
        <w:t xml:space="preserve"> and </w:t>
      </w:r>
      <m:oMath>
        <m:r>
          <w:rPr>
            <w:rFonts w:ascii="Calibri" w:cs="Calibri" w:eastAsia="Calibri" w:hAnsi="Calibri"/>
          </w:rPr>
          <m:t xml:space="preserve"> </m:t>
        </m:r>
        <m:sSub>
          <m:sSubPr>
            <m:ctrlPr>
              <w:rPr>
                <w:rFonts w:ascii="Calibri" w:cs="Calibri" w:eastAsia="Calibri" w:hAnsi="Calibri"/>
              </w:rPr>
            </m:ctrlPr>
          </m:sSubPr>
          <m:e>
            <m:r>
              <w:rPr>
                <w:rFonts w:ascii="Calibri" w:cs="Calibri" w:eastAsia="Calibri" w:hAnsi="Calibri"/>
              </w:rPr>
              <m:t xml:space="preserve">τ</m:t>
            </m:r>
          </m:e>
          <m:sub>
            <m:r>
              <w:rPr>
                <w:rFonts w:ascii="Calibri" w:cs="Calibri" w:eastAsia="Calibri" w:hAnsi="Calibri"/>
              </w:rPr>
              <m:t xml:space="preserve"> thick </m:t>
            </m:r>
          </m:sub>
        </m:sSub>
      </m:oMath>
      <w:r w:rsidDel="00000000" w:rsidR="00000000" w:rsidRPr="00000000">
        <w:rPr>
          <w:rFonts w:ascii="Calibri" w:cs="Calibri" w:eastAsia="Calibri" w:hAnsi="Calibri"/>
          <w:rtl w:val="0"/>
        </w:rPr>
        <w:t xml:space="preserve">the measured lifetimes in the thin and reference thick flakes respectively. However, this method yields a QE value above unity. This is due to additional effects influencing the brightness, in particular the blinking of the emitter in the thin flake on a micro- to millisecond timescale</w:t>
      </w:r>
      <w:hyperlink r:id="rId10">
        <w:r w:rsidDel="00000000" w:rsidR="00000000" w:rsidRPr="00000000">
          <w:rPr>
            <w:rFonts w:ascii="Calibri" w:cs="Calibri" w:eastAsia="Calibri" w:hAnsi="Calibri"/>
            <w:shd w:fill="auto" w:val="clear"/>
            <w:vertAlign w:val="superscript"/>
            <w:rtl w:val="0"/>
          </w:rPr>
          <w:t xml:space="preserve">1</w:t>
        </w:r>
      </w:hyperlink>
      <w:r w:rsidDel="00000000" w:rsidR="00000000" w:rsidRPr="00000000">
        <w:rPr>
          <w:rFonts w:ascii="Calibri" w:cs="Calibri" w:eastAsia="Calibri" w:hAnsi="Calibri"/>
          <w:rtl w:val="0"/>
        </w:rPr>
        <w:t xml:space="preserve">, due to the proximity of emitters to the substrate</w:t>
      </w:r>
      <w:hyperlink r:id="rId11">
        <w:r w:rsidDel="00000000" w:rsidR="00000000" w:rsidRPr="00000000">
          <w:rPr>
            <w:rFonts w:ascii="Calibri" w:cs="Calibri" w:eastAsia="Calibri" w:hAnsi="Calibri"/>
            <w:shd w:fill="auto" w:val="clear"/>
            <w:vertAlign w:val="superscript"/>
            <w:rtl w:val="0"/>
          </w:rPr>
          <w:t xml:space="preserve">2,3</w:t>
        </w:r>
      </w:hyperlink>
      <w:r w:rsidDel="00000000" w:rsidR="00000000" w:rsidRPr="00000000">
        <w:rPr>
          <w:rFonts w:ascii="Calibri" w:cs="Calibri" w:eastAsia="Calibri" w:hAnsi="Calibri"/>
          <w:rtl w:val="0"/>
        </w:rPr>
        <w:t xml:space="preserve">. Characterising the blinking, especially at saturation power is challenging due to the bleaching of the emitter, however, performing the measurement after transferring the thin hBN flake on top of the hBN buffer, or on a suspended hBN membrane, could provide a solution to mitigate the effect of blinking and measure a more precise value of QE for emitters deep into the material.</w:t>
      </w:r>
    </w:p>
    <w:p w:rsidR="00000000" w:rsidDel="00000000" w:rsidP="00000000" w:rsidRDefault="00000000" w:rsidRPr="00000000" w14:paraId="00000023">
      <w:pPr>
        <w:jc w:val="both"/>
        <w:rPr>
          <w:rFonts w:ascii="Calibri" w:cs="Calibri" w:eastAsia="Calibri" w:hAnsi="Calibri"/>
          <w:color w:val="0000ff"/>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i w:val="1"/>
        </w:rPr>
      </w:pPr>
      <w:r w:rsidDel="00000000" w:rsidR="00000000" w:rsidRPr="00000000">
        <w:rPr>
          <w:rFonts w:ascii="Calibri" w:cs="Calibri" w:eastAsia="Calibri" w:hAnsi="Calibri"/>
          <w:i w:val="1"/>
        </w:rPr>
        <w:drawing>
          <wp:inline distB="114300" distT="114300" distL="114300" distR="114300">
            <wp:extent cx="2920168" cy="2199912"/>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920168" cy="219991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Calibri" w:cs="Calibri" w:eastAsia="Calibri" w:hAnsi="Calibri"/>
          <w:i w:val="1"/>
        </w:rPr>
      </w:pPr>
      <w:r w:rsidDel="00000000" w:rsidR="00000000" w:rsidRPr="00000000">
        <w:rPr>
          <w:rFonts w:ascii="Calibri" w:cs="Calibri" w:eastAsia="Calibri" w:hAnsi="Calibri"/>
          <w:i w:val="1"/>
          <w:rtl w:val="0"/>
        </w:rPr>
        <w:t xml:space="preserve">Fig </w:t>
      </w:r>
      <w:r w:rsidDel="00000000" w:rsidR="00000000" w:rsidRPr="00000000">
        <w:rPr>
          <w:rFonts w:ascii="Calibri" w:cs="Calibri" w:eastAsia="Calibri" w:hAnsi="Calibri"/>
          <w:i w:val="1"/>
          <w:highlight w:val="yellow"/>
          <w:rtl w:val="0"/>
        </w:rPr>
        <w:t xml:space="preserve">SI5</w:t>
      </w:r>
      <w:r w:rsidDel="00000000" w:rsidR="00000000" w:rsidRPr="00000000">
        <w:rPr>
          <w:rFonts w:ascii="Calibri" w:cs="Calibri" w:eastAsia="Calibri" w:hAnsi="Calibri"/>
          <w:i w:val="1"/>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Emission saturation measurements of single B-centres in 35 nm and 250 nm thickness reference hBN. </w:t>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rPr>
      </w:pPr>
      <w:r w:rsidDel="00000000" w:rsidR="00000000" w:rsidRPr="00000000">
        <w:rPr>
          <w:rFonts w:ascii="Calibri" w:cs="Calibri" w:eastAsia="Calibri" w:hAnsi="Calibri"/>
          <w:b w:val="1"/>
          <w:rtl w:val="0"/>
        </w:rPr>
        <w:t xml:space="preserve">References</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64" w:right="0" w:hanging="264"/>
        <w:jc w:val="left"/>
        <w:rPr>
          <w:rFonts w:ascii="Calibri" w:cs="Calibri" w:eastAsia="Calibri" w:hAnsi="Calibri"/>
        </w:rPr>
      </w:pPr>
      <w:hyperlink r:id="rId13">
        <w:r w:rsidDel="00000000" w:rsidR="00000000" w:rsidRPr="00000000">
          <w:rPr>
            <w:rFonts w:ascii="Calibri" w:cs="Calibri" w:eastAsia="Calibri" w:hAnsi="Calibri"/>
            <w:shd w:fill="auto" w:val="clear"/>
            <w:vertAlign w:val="baseline"/>
            <w:rtl w:val="0"/>
          </w:rPr>
          <w:t xml:space="preserve">1.</w:t>
          <w:tab/>
          <w:t xml:space="preserve">Nedić, S., Yamamura, K., Gale, A., Aharonovich, I. &amp; Toth, M. Electron Beam Restructuring of Quantum Emitters in Hexagonal Boron Nitride. </w:t>
        </w:r>
      </w:hyperlink>
      <w:hyperlink r:id="rId14">
        <w:r w:rsidDel="00000000" w:rsidR="00000000" w:rsidRPr="00000000">
          <w:rPr>
            <w:rFonts w:ascii="Calibri" w:cs="Calibri" w:eastAsia="Calibri" w:hAnsi="Calibri"/>
            <w:i w:val="1"/>
            <w:shd w:fill="auto" w:val="clear"/>
            <w:vertAlign w:val="baseline"/>
            <w:rtl w:val="0"/>
          </w:rPr>
          <w:t xml:space="preserve">Adv. Opt. Mater. </w:t>
        </w:r>
      </w:hyperlink>
      <w:hyperlink r:id="rId15">
        <w:r w:rsidDel="00000000" w:rsidR="00000000" w:rsidRPr="00000000">
          <w:rPr>
            <w:rFonts w:ascii="Calibri" w:cs="Calibri" w:eastAsia="Calibri" w:hAnsi="Calibri"/>
            <w:b w:val="1"/>
            <w:shd w:fill="auto" w:val="clear"/>
            <w:vertAlign w:val="baseline"/>
            <w:rtl w:val="0"/>
          </w:rPr>
          <w:t xml:space="preserve">n/a</w:t>
        </w:r>
      </w:hyperlink>
      <w:hyperlink r:id="rId16">
        <w:r w:rsidDel="00000000" w:rsidR="00000000" w:rsidRPr="00000000">
          <w:rPr>
            <w:rFonts w:ascii="Calibri" w:cs="Calibri" w:eastAsia="Calibri" w:hAnsi="Calibri"/>
            <w:shd w:fill="auto" w:val="clear"/>
            <w:vertAlign w:val="baseline"/>
            <w:rtl w:val="0"/>
          </w:rPr>
          <w:t xml:space="preserve">, 2400908.</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64" w:right="0" w:hanging="264"/>
        <w:jc w:val="left"/>
        <w:rPr>
          <w:rFonts w:ascii="Calibri" w:cs="Calibri" w:eastAsia="Calibri" w:hAnsi="Calibri"/>
        </w:rPr>
      </w:pPr>
      <w:hyperlink r:id="rId17">
        <w:r w:rsidDel="00000000" w:rsidR="00000000" w:rsidRPr="00000000">
          <w:rPr>
            <w:rFonts w:ascii="Calibri" w:cs="Calibri" w:eastAsia="Calibri" w:hAnsi="Calibri"/>
            <w:shd w:fill="auto" w:val="clear"/>
            <w:vertAlign w:val="baseline"/>
            <w:rtl w:val="0"/>
          </w:rPr>
          <w:t xml:space="preserve">2.</w:t>
          <w:tab/>
          <w:t xml:space="preserve">Li, X. </w:t>
        </w:r>
      </w:hyperlink>
      <w:hyperlink r:id="rId18">
        <w:r w:rsidDel="00000000" w:rsidR="00000000" w:rsidRPr="00000000">
          <w:rPr>
            <w:rFonts w:ascii="Calibri" w:cs="Calibri" w:eastAsia="Calibri" w:hAnsi="Calibri"/>
            <w:i w:val="1"/>
            <w:shd w:fill="auto" w:val="clear"/>
            <w:vertAlign w:val="baseline"/>
            <w:rtl w:val="0"/>
          </w:rPr>
          <w:t xml:space="preserve">et al.</w:t>
        </w:r>
      </w:hyperlink>
      <w:hyperlink r:id="rId19">
        <w:r w:rsidDel="00000000" w:rsidR="00000000" w:rsidRPr="00000000">
          <w:rPr>
            <w:rFonts w:ascii="Calibri" w:cs="Calibri" w:eastAsia="Calibri" w:hAnsi="Calibri"/>
            <w:shd w:fill="auto" w:val="clear"/>
            <w:vertAlign w:val="baseline"/>
            <w:rtl w:val="0"/>
          </w:rPr>
          <w:t xml:space="preserve"> Nonmagnetic Quantum Emitters in Boron Nitride with Ultranarrow and Sideband-Free Emission Spectra. </w:t>
        </w:r>
      </w:hyperlink>
      <w:hyperlink r:id="rId20">
        <w:r w:rsidDel="00000000" w:rsidR="00000000" w:rsidRPr="00000000">
          <w:rPr>
            <w:rFonts w:ascii="Calibri" w:cs="Calibri" w:eastAsia="Calibri" w:hAnsi="Calibri"/>
            <w:i w:val="1"/>
            <w:shd w:fill="auto" w:val="clear"/>
            <w:vertAlign w:val="baseline"/>
            <w:rtl w:val="0"/>
          </w:rPr>
          <w:t xml:space="preserve">ACS Nano </w:t>
        </w:r>
      </w:hyperlink>
      <w:hyperlink r:id="rId21">
        <w:r w:rsidDel="00000000" w:rsidR="00000000" w:rsidRPr="00000000">
          <w:rPr>
            <w:rFonts w:ascii="Calibri" w:cs="Calibri" w:eastAsia="Calibri" w:hAnsi="Calibri"/>
            <w:b w:val="1"/>
            <w:shd w:fill="auto" w:val="clear"/>
            <w:vertAlign w:val="baseline"/>
            <w:rtl w:val="0"/>
          </w:rPr>
          <w:t xml:space="preserve">11</w:t>
        </w:r>
      </w:hyperlink>
      <w:hyperlink r:id="rId22">
        <w:r w:rsidDel="00000000" w:rsidR="00000000" w:rsidRPr="00000000">
          <w:rPr>
            <w:rFonts w:ascii="Calibri" w:cs="Calibri" w:eastAsia="Calibri" w:hAnsi="Calibri"/>
            <w:shd w:fill="auto" w:val="clear"/>
            <w:vertAlign w:val="baseline"/>
            <w:rtl w:val="0"/>
          </w:rPr>
          <w:t xml:space="preserve">, 6652–6660 (2017).</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64" w:right="0" w:hanging="264"/>
        <w:jc w:val="left"/>
        <w:rPr>
          <w:rFonts w:ascii="Calibri" w:cs="Calibri" w:eastAsia="Calibri" w:hAnsi="Calibri"/>
        </w:rPr>
      </w:pPr>
      <w:hyperlink r:id="rId23">
        <w:r w:rsidDel="00000000" w:rsidR="00000000" w:rsidRPr="00000000">
          <w:rPr>
            <w:rFonts w:ascii="Calibri" w:cs="Calibri" w:eastAsia="Calibri" w:hAnsi="Calibri"/>
            <w:shd w:fill="auto" w:val="clear"/>
            <w:vertAlign w:val="baseline"/>
            <w:rtl w:val="0"/>
          </w:rPr>
          <w:t xml:space="preserve">3.</w:t>
          <w:tab/>
          <w:t xml:space="preserve">Stern, H. L. </w:t>
        </w:r>
      </w:hyperlink>
      <w:hyperlink r:id="rId24">
        <w:r w:rsidDel="00000000" w:rsidR="00000000" w:rsidRPr="00000000">
          <w:rPr>
            <w:rFonts w:ascii="Calibri" w:cs="Calibri" w:eastAsia="Calibri" w:hAnsi="Calibri"/>
            <w:i w:val="1"/>
            <w:shd w:fill="auto" w:val="clear"/>
            <w:vertAlign w:val="baseline"/>
            <w:rtl w:val="0"/>
          </w:rPr>
          <w:t xml:space="preserve">et al.</w:t>
        </w:r>
      </w:hyperlink>
      <w:hyperlink r:id="rId25">
        <w:r w:rsidDel="00000000" w:rsidR="00000000" w:rsidRPr="00000000">
          <w:rPr>
            <w:rFonts w:ascii="Calibri" w:cs="Calibri" w:eastAsia="Calibri" w:hAnsi="Calibri"/>
            <w:shd w:fill="auto" w:val="clear"/>
            <w:vertAlign w:val="baseline"/>
            <w:rtl w:val="0"/>
          </w:rPr>
          <w:t xml:space="preserve"> Spectrally Resolved Photodynamics of Individual Emitters in Large-Area Monolayers of Hexagonal Boron Nitride. </w:t>
        </w:r>
      </w:hyperlink>
      <w:hyperlink r:id="rId26">
        <w:r w:rsidDel="00000000" w:rsidR="00000000" w:rsidRPr="00000000">
          <w:rPr>
            <w:rFonts w:ascii="Calibri" w:cs="Calibri" w:eastAsia="Calibri" w:hAnsi="Calibri"/>
            <w:i w:val="1"/>
            <w:shd w:fill="auto" w:val="clear"/>
            <w:vertAlign w:val="baseline"/>
            <w:rtl w:val="0"/>
          </w:rPr>
          <w:t xml:space="preserve">ACS Nano </w:t>
        </w:r>
      </w:hyperlink>
      <w:hyperlink r:id="rId27">
        <w:r w:rsidDel="00000000" w:rsidR="00000000" w:rsidRPr="00000000">
          <w:rPr>
            <w:rFonts w:ascii="Calibri" w:cs="Calibri" w:eastAsia="Calibri" w:hAnsi="Calibri"/>
            <w:b w:val="1"/>
            <w:shd w:fill="auto" w:val="clear"/>
            <w:vertAlign w:val="baseline"/>
            <w:rtl w:val="0"/>
          </w:rPr>
          <w:t xml:space="preserve">13</w:t>
        </w:r>
      </w:hyperlink>
      <w:hyperlink r:id="rId28">
        <w:r w:rsidDel="00000000" w:rsidR="00000000" w:rsidRPr="00000000">
          <w:rPr>
            <w:rFonts w:ascii="Calibri" w:cs="Calibri" w:eastAsia="Calibri" w:hAnsi="Calibri"/>
            <w:shd w:fill="auto" w:val="clear"/>
            <w:vertAlign w:val="baseline"/>
            <w:rtl w:val="0"/>
          </w:rPr>
          <w:t xml:space="preserve">, 4538–4547 (2019).</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64" w:right="0" w:hanging="264"/>
        <w:jc w:val="left"/>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tl w:val="0"/>
        </w:rPr>
      </w:r>
    </w:p>
    <w:p w:rsidR="00000000" w:rsidDel="00000000" w:rsidP="00000000" w:rsidRDefault="00000000" w:rsidRPr="00000000" w14:paraId="0000002F">
      <w:pPr>
        <w:rPr>
          <w:rFonts w:ascii="Calibri" w:cs="Calibri" w:eastAsia="Calibri" w:hAnsi="Calibri"/>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zotero.org/google-docs/?lBeKSp" TargetMode="External"/><Relationship Id="rId22" Type="http://schemas.openxmlformats.org/officeDocument/2006/relationships/hyperlink" Target="https://www.zotero.org/google-docs/?lBeKSp" TargetMode="External"/><Relationship Id="rId21" Type="http://schemas.openxmlformats.org/officeDocument/2006/relationships/hyperlink" Target="https://www.zotero.org/google-docs/?lBeKSp" TargetMode="External"/><Relationship Id="rId24" Type="http://schemas.openxmlformats.org/officeDocument/2006/relationships/hyperlink" Target="https://www.zotero.org/google-docs/?lBeKSp" TargetMode="External"/><Relationship Id="rId23" Type="http://schemas.openxmlformats.org/officeDocument/2006/relationships/hyperlink" Target="https://www.zotero.org/google-docs/?lBeKS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www.zotero.org/google-docs/?lBeKSp" TargetMode="External"/><Relationship Id="rId25" Type="http://schemas.openxmlformats.org/officeDocument/2006/relationships/hyperlink" Target="https://www.zotero.org/google-docs/?lBeKSp" TargetMode="External"/><Relationship Id="rId28" Type="http://schemas.openxmlformats.org/officeDocument/2006/relationships/hyperlink" Target="https://www.zotero.org/google-docs/?lBeKSp" TargetMode="External"/><Relationship Id="rId27" Type="http://schemas.openxmlformats.org/officeDocument/2006/relationships/hyperlink" Target="https://www.zotero.org/google-docs/?lBeKSp"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 Id="rId11" Type="http://schemas.openxmlformats.org/officeDocument/2006/relationships/hyperlink" Target="https://www.zotero.org/google-docs/?VbwpbZ" TargetMode="External"/><Relationship Id="rId10" Type="http://schemas.openxmlformats.org/officeDocument/2006/relationships/hyperlink" Target="https://www.zotero.org/google-docs/?gfZDlJ" TargetMode="External"/><Relationship Id="rId13" Type="http://schemas.openxmlformats.org/officeDocument/2006/relationships/hyperlink" Target="https://www.zotero.org/google-docs/?lBeKSp" TargetMode="External"/><Relationship Id="rId12" Type="http://schemas.openxmlformats.org/officeDocument/2006/relationships/image" Target="media/image3.png"/><Relationship Id="rId15" Type="http://schemas.openxmlformats.org/officeDocument/2006/relationships/hyperlink" Target="https://www.zotero.org/google-docs/?lBeKSp" TargetMode="External"/><Relationship Id="rId14" Type="http://schemas.openxmlformats.org/officeDocument/2006/relationships/hyperlink" Target="https://www.zotero.org/google-docs/?lBeKSp" TargetMode="External"/><Relationship Id="rId17" Type="http://schemas.openxmlformats.org/officeDocument/2006/relationships/hyperlink" Target="https://www.zotero.org/google-docs/?lBeKSp" TargetMode="External"/><Relationship Id="rId16" Type="http://schemas.openxmlformats.org/officeDocument/2006/relationships/hyperlink" Target="https://www.zotero.org/google-docs/?lBeKSp" TargetMode="External"/><Relationship Id="rId19" Type="http://schemas.openxmlformats.org/officeDocument/2006/relationships/hyperlink" Target="https://www.zotero.org/google-docs/?lBeKSp" TargetMode="External"/><Relationship Id="rId18" Type="http://schemas.openxmlformats.org/officeDocument/2006/relationships/hyperlink" Target="https://www.zotero.org/google-docs/?lBeK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