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spacing w:line="360" w:lineRule="auto"/>
        <w:jc w:val="both"/>
        <w:rPr>
          <w:sz w:val="32"/>
          <w:szCs w:val="32"/>
        </w:rPr>
      </w:pPr>
      <w:r>
        <w:rPr>
          <w:sz w:val="32"/>
          <w:szCs w:val="32"/>
        </w:rPr>
        <w:t>Supporting Information</w:t>
      </w:r>
    </w:p>
    <w:p>
      <w:pPr>
        <w:spacing w:line="360" w:lineRule="auto"/>
        <w:rPr>
          <w:rFonts w:ascii="Times New Roman" w:hAnsi="Times New Roman" w:eastAsia="等线" w:cs="Times New Roman"/>
          <w:b/>
          <w:bCs/>
          <w:sz w:val="24"/>
          <w:szCs w:val="24"/>
        </w:rPr>
      </w:pPr>
    </w:p>
    <w:p>
      <w:pPr>
        <w:spacing w:line="360" w:lineRule="auto"/>
        <w:rPr>
          <w:rFonts w:ascii="Times New Roman" w:hAnsi="Times New Roman" w:eastAsia="等线" w:cs="Times New Roman"/>
          <w:b/>
          <w:bCs/>
          <w:sz w:val="24"/>
          <w:szCs w:val="24"/>
        </w:rPr>
      </w:pPr>
      <w:r>
        <w:rPr>
          <w:rFonts w:ascii="Times New Roman" w:hAnsi="Times New Roman" w:eastAsia="等线" w:cs="Times New Roman"/>
          <w:b/>
          <w:bCs/>
          <w:sz w:val="24"/>
          <w:szCs w:val="24"/>
        </w:rPr>
        <w:t>Miniature Spectrometer Based on Graded Bandgap Perovskite Filter</w:t>
      </w:r>
    </w:p>
    <w:p>
      <w:pPr>
        <w:spacing w:line="360" w:lineRule="auto"/>
        <w:rPr>
          <w:rFonts w:ascii="Times New Roman" w:hAnsi="Times New Roman" w:cs="Times New Roman"/>
          <w:i/>
          <w:iCs/>
          <w:sz w:val="24"/>
          <w:szCs w:val="24"/>
        </w:rPr>
      </w:pPr>
    </w:p>
    <w:p>
      <w:pPr>
        <w:spacing w:line="360" w:lineRule="auto"/>
        <w:rPr>
          <w:rFonts w:ascii="Times New Roman" w:hAnsi="Times New Roman" w:cs="Times New Roman"/>
          <w:i/>
          <w:iCs/>
          <w:sz w:val="24"/>
          <w:szCs w:val="24"/>
          <w:vertAlign w:val="superscript"/>
        </w:rPr>
      </w:pPr>
      <w:r>
        <w:rPr>
          <w:rFonts w:ascii="Times New Roman" w:hAnsi="Times New Roman" w:cs="Times New Roman"/>
          <w:i/>
          <w:iCs/>
          <w:sz w:val="24"/>
          <w:szCs w:val="24"/>
        </w:rPr>
        <w:t>Peihan Sun, Xiangmin Hu</w:t>
      </w:r>
      <w:r>
        <w:rPr>
          <w:rFonts w:ascii="Times New Roman" w:hAnsi="Times New Roman" w:cs="Times New Roman"/>
          <w:i/>
          <w:iCs/>
          <w:sz w:val="24"/>
          <w:szCs w:val="24"/>
          <w:vertAlign w:val="superscript"/>
        </w:rPr>
        <w:t>*</w:t>
      </w:r>
      <w:r>
        <w:rPr>
          <w:rFonts w:ascii="Times New Roman" w:hAnsi="Times New Roman" w:cs="Times New Roman"/>
          <w:i/>
          <w:iCs/>
          <w:sz w:val="24"/>
          <w:szCs w:val="24"/>
        </w:rPr>
        <w:t>, Shuhao Yuan, Yanyan Peng, Tingfa Xu, Haizheng Zhong</w:t>
      </w:r>
    </w:p>
    <w:p>
      <w:pPr>
        <w:pStyle w:val="27"/>
      </w:pPr>
    </w:p>
    <w:p>
      <w:pPr>
        <w:pStyle w:val="27"/>
      </w:pPr>
    </w:p>
    <w:p>
      <w:pPr>
        <w:pStyle w:val="27"/>
      </w:pPr>
      <w:bookmarkStart w:id="0" w:name="OLE_LINK1"/>
      <w:r>
        <w:rPr>
          <w:rFonts w:hint="eastAsia"/>
          <w:bCs/>
          <w:kern w:val="2"/>
        </w:rPr>
        <w:t>Table S1.</w:t>
      </w:r>
      <w:r>
        <w:rPr>
          <w:rFonts w:hint="eastAsia"/>
        </w:rPr>
        <w:t xml:space="preserve"> </w:t>
      </w:r>
      <w:r>
        <w:rPr>
          <w:rFonts w:hint="eastAsia"/>
          <w:b w:val="0"/>
          <w:bCs/>
        </w:rPr>
        <w:t>Comparison of filter methodology for reconstructive spectrometer.</w:t>
      </w:r>
    </w:p>
    <w:tbl>
      <w:tblPr>
        <w:tblStyle w:val="8"/>
        <w:tblW w:w="9178"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3282"/>
        <w:gridCol w:w="6"/>
        <w:gridCol w:w="3236"/>
        <w:gridCol w:w="6"/>
        <w:gridCol w:w="2642"/>
        <w:gridCol w:w="6"/>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gridAfter w:val="1"/>
          <w:wAfter w:w="6" w:type="dxa"/>
          <w:cantSplit/>
          <w:trHeight w:val="505" w:hRule="atLeast"/>
          <w:jc w:val="center"/>
        </w:trPr>
        <w:tc>
          <w:tcPr>
            <w:tcW w:w="3282"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Work</w:t>
            </w:r>
          </w:p>
        </w:tc>
        <w:tc>
          <w:tcPr>
            <w:tcW w:w="3242" w:type="dxa"/>
            <w:gridSpan w:val="2"/>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Principle of filter transmittance modulation</w:t>
            </w:r>
          </w:p>
        </w:tc>
        <w:tc>
          <w:tcPr>
            <w:tcW w:w="2648" w:type="dxa"/>
            <w:gridSpan w:val="2"/>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Feature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gridAfter w:val="1"/>
          <w:wAfter w:w="6" w:type="dxa"/>
          <w:cantSplit/>
          <w:trHeight w:val="980" w:hRule="atLeast"/>
          <w:jc w:val="center"/>
        </w:trPr>
        <w:tc>
          <w:tcPr>
            <w:tcW w:w="3282" w:type="dxa"/>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
                <w:iCs/>
                <w:kern w:val="0"/>
                <w:sz w:val="18"/>
                <w:szCs w:val="18"/>
              </w:rPr>
              <w:t>Advanced Materials</w:t>
            </w:r>
            <w:r>
              <w:rPr>
                <w:rFonts w:hint="eastAsia" w:ascii="Times New Roman" w:hAnsi="Times New Roman" w:cs="Times New Roman"/>
                <w:iCs/>
                <w:kern w:val="0"/>
                <w:sz w:val="18"/>
                <w:szCs w:val="18"/>
              </w:rPr>
              <w:t xml:space="preserve">, Vol. </w:t>
            </w:r>
            <w:r>
              <w:rPr>
                <w:rFonts w:ascii="Times New Roman" w:hAnsi="Times New Roman" w:cs="Times New Roman"/>
                <w:iCs/>
                <w:kern w:val="0"/>
                <w:sz w:val="18"/>
                <w:szCs w:val="18"/>
              </w:rPr>
              <w:t>34</w:t>
            </w:r>
            <w:r>
              <w:rPr>
                <w:rFonts w:hint="eastAsia" w:ascii="Times New Roman" w:hAnsi="Times New Roman" w:cs="Times New Roman"/>
                <w:iCs/>
                <w:kern w:val="0"/>
                <w:sz w:val="18"/>
                <w:szCs w:val="18"/>
              </w:rPr>
              <w:t xml:space="preserve">, pp. 2200221, </w:t>
            </w:r>
            <w:r>
              <w:rPr>
                <w:rFonts w:ascii="Times New Roman" w:hAnsi="Times New Roman" w:cs="Times New Roman"/>
                <w:iCs/>
                <w:kern w:val="0"/>
                <w:sz w:val="18"/>
                <w:szCs w:val="18"/>
              </w:rPr>
              <w:t>2022</w:t>
            </w:r>
          </w:p>
        </w:tc>
        <w:tc>
          <w:tcPr>
            <w:tcW w:w="3242" w:type="dxa"/>
            <w:gridSpan w:val="2"/>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Cs/>
                <w:kern w:val="0"/>
                <w:sz w:val="18"/>
                <w:szCs w:val="18"/>
              </w:rPr>
              <w:drawing>
                <wp:inline distT="0" distB="0" distL="114300" distR="114300">
                  <wp:extent cx="2011045" cy="880110"/>
                  <wp:effectExtent l="0" t="0" r="635"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2011045" cy="880110"/>
                          </a:xfrm>
                          <a:prstGeom prst="rect">
                            <a:avLst/>
                          </a:prstGeom>
                          <a:noFill/>
                          <a:ln>
                            <a:noFill/>
                          </a:ln>
                        </pic:spPr>
                      </pic:pic>
                    </a:graphicData>
                  </a:graphic>
                </wp:inline>
              </w:drawing>
            </w:r>
          </w:p>
        </w:tc>
        <w:tc>
          <w:tcPr>
            <w:tcW w:w="2648" w:type="dxa"/>
            <w:gridSpan w:val="2"/>
            <w:vAlign w:val="center"/>
          </w:tcPr>
          <w:p>
            <w:pPr>
              <w:widowControl/>
              <w:numPr>
                <w:ilvl w:val="0"/>
                <w:numId w:val="1"/>
              </w:numPr>
              <w:snapToGrid w:val="0"/>
              <w:jc w:val="left"/>
              <w:rPr>
                <w:rFonts w:ascii="Times New Roman" w:hAnsi="Times New Roman" w:cs="Times New Roman"/>
                <w:iCs/>
                <w:kern w:val="0"/>
                <w:sz w:val="18"/>
                <w:szCs w:val="18"/>
              </w:rPr>
            </w:pPr>
            <w:r>
              <w:rPr>
                <w:rFonts w:ascii="Times New Roman" w:hAnsi="Times New Roman" w:cs="Times New Roman"/>
                <w:iCs/>
                <w:kern w:val="0"/>
                <w:sz w:val="18"/>
                <w:szCs w:val="18"/>
              </w:rPr>
              <w:t>U</w:t>
            </w:r>
            <w:r>
              <w:rPr>
                <w:rFonts w:hint="eastAsia" w:ascii="Times New Roman" w:hAnsi="Times New Roman" w:cs="Times New Roman"/>
                <w:iCs/>
                <w:kern w:val="0"/>
                <w:sz w:val="18"/>
                <w:szCs w:val="18"/>
              </w:rPr>
              <w:t>se only one photodetector</w:t>
            </w:r>
          </w:p>
          <w:p>
            <w:pPr>
              <w:widowControl/>
              <w:numPr>
                <w:ilvl w:val="0"/>
                <w:numId w:val="1"/>
              </w:numPr>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Time modulated spectral response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567" w:hRule="atLeast"/>
          <w:jc w:val="center"/>
        </w:trPr>
        <w:tc>
          <w:tcPr>
            <w:tcW w:w="3288" w:type="dxa"/>
            <w:gridSpan w:val="2"/>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
                <w:iCs/>
                <w:kern w:val="0"/>
                <w:sz w:val="18"/>
                <w:szCs w:val="18"/>
              </w:rPr>
              <w:t>Nature</w:t>
            </w:r>
            <w:r>
              <w:rPr>
                <w:rFonts w:ascii="Times New Roman" w:hAnsi="Times New Roman" w:cs="Times New Roman"/>
                <w:iCs/>
                <w:kern w:val="0"/>
                <w:sz w:val="18"/>
                <w:szCs w:val="18"/>
              </w:rPr>
              <w:t>, vol. 523, pp. 67-</w:t>
            </w:r>
            <w:r>
              <w:rPr>
                <w:rFonts w:hint="eastAsia" w:ascii="Times New Roman" w:hAnsi="Times New Roman" w:cs="Times New Roman"/>
                <w:iCs/>
                <w:kern w:val="0"/>
                <w:sz w:val="18"/>
                <w:szCs w:val="18"/>
              </w:rPr>
              <w:t>70</w:t>
            </w:r>
            <w:r>
              <w:rPr>
                <w:rFonts w:ascii="Times New Roman" w:hAnsi="Times New Roman" w:cs="Times New Roman"/>
                <w:iCs/>
                <w:kern w:val="0"/>
                <w:sz w:val="18"/>
                <w:szCs w:val="18"/>
              </w:rPr>
              <w:t>, 2015</w:t>
            </w:r>
            <w:r>
              <w:rPr>
                <w:rFonts w:hint="eastAsia" w:ascii="Times New Roman" w:hAnsi="Times New Roman" w:cs="Times New Roman"/>
                <w:iCs/>
                <w:kern w:val="0"/>
                <w:sz w:val="18"/>
                <w:szCs w:val="18"/>
              </w:rPr>
              <w:t xml:space="preserve"> (First work)</w:t>
            </w:r>
          </w:p>
        </w:tc>
        <w:tc>
          <w:tcPr>
            <w:tcW w:w="3242" w:type="dxa"/>
            <w:gridSpan w:val="2"/>
            <w:vMerge w:val="restart"/>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Cs/>
                <w:kern w:val="0"/>
                <w:sz w:val="18"/>
                <w:szCs w:val="18"/>
              </w:rPr>
              <w:drawing>
                <wp:inline distT="0" distB="0" distL="114300" distR="114300">
                  <wp:extent cx="1983740" cy="959485"/>
                  <wp:effectExtent l="0" t="0" r="12700" b="63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1983740" cy="959485"/>
                          </a:xfrm>
                          <a:prstGeom prst="rect">
                            <a:avLst/>
                          </a:prstGeom>
                          <a:noFill/>
                          <a:ln>
                            <a:noFill/>
                          </a:ln>
                        </pic:spPr>
                      </pic:pic>
                    </a:graphicData>
                  </a:graphic>
                </wp:inline>
              </w:drawing>
            </w:r>
          </w:p>
        </w:tc>
        <w:tc>
          <w:tcPr>
            <w:tcW w:w="2648" w:type="dxa"/>
            <w:gridSpan w:val="2"/>
            <w:vMerge w:val="restart"/>
            <w:vAlign w:val="center"/>
          </w:tcPr>
          <w:p>
            <w:pPr>
              <w:widowControl/>
              <w:numPr>
                <w:ilvl w:val="0"/>
                <w:numId w:val="1"/>
              </w:numPr>
              <w:snapToGrid w:val="0"/>
              <w:jc w:val="left"/>
              <w:rPr>
                <w:rFonts w:ascii="Times New Roman" w:hAnsi="Times New Roman" w:cs="Times New Roman"/>
                <w:iCs/>
                <w:kern w:val="0"/>
                <w:sz w:val="18"/>
                <w:szCs w:val="18"/>
              </w:rPr>
            </w:pPr>
            <w:r>
              <w:rPr>
                <w:rFonts w:ascii="Times New Roman" w:hAnsi="Times New Roman" w:cs="Times New Roman"/>
                <w:iCs/>
                <w:kern w:val="0"/>
                <w:sz w:val="18"/>
                <w:szCs w:val="18"/>
              </w:rPr>
              <w:t>S</w:t>
            </w:r>
            <w:r>
              <w:rPr>
                <w:rFonts w:hint="eastAsia" w:ascii="Times New Roman" w:hAnsi="Times New Roman" w:cs="Times New Roman"/>
                <w:iCs/>
                <w:kern w:val="0"/>
                <w:sz w:val="18"/>
                <w:szCs w:val="18"/>
              </w:rPr>
              <w:t>ynthesis materials in multistep</w:t>
            </w:r>
          </w:p>
          <w:p>
            <w:pPr>
              <w:widowControl/>
              <w:numPr>
                <w:ilvl w:val="0"/>
                <w:numId w:val="1"/>
              </w:numPr>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Fabricate filter array in multistep</w:t>
            </w:r>
          </w:p>
          <w:p>
            <w:pPr>
              <w:widowControl/>
              <w:numPr>
                <w:ilvl w:val="0"/>
                <w:numId w:val="1"/>
              </w:numPr>
              <w:snapToGrid w:val="0"/>
              <w:jc w:val="left"/>
              <w:rPr>
                <w:rFonts w:ascii="Times New Roman" w:hAnsi="Times New Roman" w:cs="Times New Roman"/>
                <w:iCs/>
                <w:kern w:val="0"/>
                <w:sz w:val="18"/>
                <w:szCs w:val="18"/>
              </w:rPr>
            </w:pPr>
            <w:r>
              <w:rPr>
                <w:rFonts w:ascii="Times New Roman" w:hAnsi="Times New Roman" w:cs="Times New Roman"/>
                <w:iCs/>
                <w:kern w:val="0"/>
                <w:sz w:val="18"/>
                <w:szCs w:val="18"/>
              </w:rPr>
              <w:t>L</w:t>
            </w:r>
            <w:r>
              <w:rPr>
                <w:rFonts w:hint="eastAsia" w:ascii="Times New Roman" w:hAnsi="Times New Roman" w:cs="Times New Roman"/>
                <w:iCs/>
                <w:kern w:val="0"/>
                <w:sz w:val="18"/>
                <w:szCs w:val="18"/>
              </w:rPr>
              <w:t>imited amount of filter components by multistep fabrication procedure</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567" w:hRule="atLeast"/>
          <w:jc w:val="center"/>
        </w:trPr>
        <w:tc>
          <w:tcPr>
            <w:tcW w:w="3288" w:type="dxa"/>
            <w:gridSpan w:val="2"/>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
                <w:iCs/>
                <w:kern w:val="0"/>
                <w:sz w:val="18"/>
                <w:szCs w:val="18"/>
              </w:rPr>
              <w:t>Light: Science &amp; Applications</w:t>
            </w:r>
            <w:r>
              <w:rPr>
                <w:rFonts w:ascii="Times New Roman" w:hAnsi="Times New Roman" w:cs="Times New Roman"/>
                <w:iCs/>
                <w:kern w:val="0"/>
                <w:sz w:val="18"/>
                <w:szCs w:val="18"/>
              </w:rPr>
              <w:t>, vol. 9, pp. 73, 2020</w:t>
            </w:r>
            <w:r>
              <w:rPr>
                <w:rFonts w:hint="eastAsia" w:ascii="Times New Roman" w:hAnsi="Times New Roman" w:cs="Times New Roman"/>
                <w:iCs/>
                <w:kern w:val="0"/>
                <w:sz w:val="18"/>
                <w:szCs w:val="18"/>
              </w:rPr>
              <w:t xml:space="preserve"> (Our previous work)</w:t>
            </w:r>
          </w:p>
        </w:tc>
        <w:tc>
          <w:tcPr>
            <w:tcW w:w="3242" w:type="dxa"/>
            <w:gridSpan w:val="2"/>
            <w:vMerge w:val="continue"/>
            <w:vAlign w:val="center"/>
          </w:tcPr>
          <w:p>
            <w:pPr>
              <w:widowControl/>
              <w:snapToGrid w:val="0"/>
              <w:jc w:val="left"/>
              <w:rPr>
                <w:rFonts w:ascii="Times New Roman" w:hAnsi="Times New Roman" w:cs="Times New Roman"/>
                <w:iCs/>
                <w:kern w:val="0"/>
                <w:sz w:val="18"/>
                <w:szCs w:val="18"/>
              </w:rPr>
            </w:pPr>
          </w:p>
        </w:tc>
        <w:tc>
          <w:tcPr>
            <w:tcW w:w="2648" w:type="dxa"/>
            <w:gridSpan w:val="2"/>
            <w:vMerge w:val="continue"/>
            <w:vAlign w:val="center"/>
          </w:tcPr>
          <w:p>
            <w:pPr>
              <w:widowControl/>
              <w:snapToGrid w:val="0"/>
              <w:jc w:val="left"/>
              <w:rPr>
                <w:rFonts w:ascii="Times New Roman" w:hAnsi="Times New Roman" w:cs="Times New Roman"/>
                <w:iCs/>
                <w:kern w:val="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567" w:hRule="atLeast"/>
          <w:jc w:val="center"/>
        </w:trPr>
        <w:tc>
          <w:tcPr>
            <w:tcW w:w="3288" w:type="dxa"/>
            <w:gridSpan w:val="2"/>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
                <w:iCs/>
                <w:kern w:val="0"/>
                <w:sz w:val="18"/>
                <w:szCs w:val="18"/>
              </w:rPr>
              <w:t>Adv. Opt. Mater.</w:t>
            </w:r>
            <w:r>
              <w:rPr>
                <w:rFonts w:hint="eastAsia" w:ascii="Times New Roman" w:hAnsi="Times New Roman" w:cs="Times New Roman"/>
                <w:iCs/>
                <w:kern w:val="0"/>
                <w:sz w:val="18"/>
                <w:szCs w:val="18"/>
              </w:rPr>
              <w:t>, vol. 9, pp. 2100376, 2021 (Our previous work)</w:t>
            </w:r>
          </w:p>
        </w:tc>
        <w:tc>
          <w:tcPr>
            <w:tcW w:w="3242" w:type="dxa"/>
            <w:gridSpan w:val="2"/>
            <w:vMerge w:val="continue"/>
            <w:vAlign w:val="center"/>
          </w:tcPr>
          <w:p>
            <w:pPr>
              <w:widowControl/>
              <w:snapToGrid w:val="0"/>
              <w:jc w:val="left"/>
              <w:rPr>
                <w:rFonts w:ascii="Times New Roman" w:hAnsi="Times New Roman" w:cs="Times New Roman"/>
                <w:iCs/>
                <w:kern w:val="0"/>
                <w:sz w:val="18"/>
                <w:szCs w:val="18"/>
              </w:rPr>
            </w:pPr>
          </w:p>
        </w:tc>
        <w:tc>
          <w:tcPr>
            <w:tcW w:w="2648" w:type="dxa"/>
            <w:gridSpan w:val="2"/>
            <w:vMerge w:val="continue"/>
            <w:vAlign w:val="center"/>
          </w:tcPr>
          <w:p>
            <w:pPr>
              <w:widowControl/>
              <w:snapToGrid w:val="0"/>
              <w:jc w:val="left"/>
              <w:rPr>
                <w:rFonts w:ascii="Times New Roman" w:hAnsi="Times New Roman" w:cs="Times New Roman"/>
                <w:iCs/>
                <w:kern w:val="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567" w:hRule="atLeast"/>
          <w:jc w:val="center"/>
        </w:trPr>
        <w:tc>
          <w:tcPr>
            <w:tcW w:w="3288" w:type="dxa"/>
            <w:gridSpan w:val="2"/>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
                <w:kern w:val="0"/>
                <w:sz w:val="18"/>
                <w:szCs w:val="18"/>
              </w:rPr>
              <w:t>ACS Applied Materials &amp; Interfaces</w:t>
            </w:r>
            <w:r>
              <w:rPr>
                <w:rFonts w:ascii="Times New Roman" w:hAnsi="Times New Roman" w:cs="Times New Roman"/>
                <w:iCs/>
                <w:kern w:val="0"/>
                <w:sz w:val="18"/>
                <w:szCs w:val="18"/>
              </w:rPr>
              <w:t>, vol. 15, pp. 7129-7136, 2023</w:t>
            </w:r>
          </w:p>
        </w:tc>
        <w:tc>
          <w:tcPr>
            <w:tcW w:w="3242" w:type="dxa"/>
            <w:gridSpan w:val="2"/>
            <w:vMerge w:val="continue"/>
            <w:vAlign w:val="center"/>
          </w:tcPr>
          <w:p>
            <w:pPr>
              <w:widowControl/>
              <w:snapToGrid w:val="0"/>
              <w:jc w:val="left"/>
              <w:rPr>
                <w:rFonts w:ascii="Times New Roman" w:hAnsi="Times New Roman" w:cs="Times New Roman"/>
                <w:iCs/>
                <w:kern w:val="0"/>
                <w:sz w:val="18"/>
                <w:szCs w:val="18"/>
              </w:rPr>
            </w:pPr>
          </w:p>
        </w:tc>
        <w:tc>
          <w:tcPr>
            <w:tcW w:w="2648" w:type="dxa"/>
            <w:gridSpan w:val="2"/>
            <w:vMerge w:val="continue"/>
            <w:vAlign w:val="center"/>
          </w:tcPr>
          <w:p>
            <w:pPr>
              <w:widowControl/>
              <w:snapToGrid w:val="0"/>
              <w:jc w:val="left"/>
              <w:rPr>
                <w:rFonts w:ascii="Times New Roman" w:hAnsi="Times New Roman" w:cs="Times New Roman"/>
                <w:iCs/>
                <w:kern w:val="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gridAfter w:val="1"/>
          <w:wAfter w:w="6" w:type="dxa"/>
          <w:cantSplit/>
          <w:trHeight w:val="1424" w:hRule="atLeast"/>
          <w:jc w:val="center"/>
        </w:trPr>
        <w:tc>
          <w:tcPr>
            <w:tcW w:w="3282" w:type="dxa"/>
            <w:vAlign w:val="center"/>
          </w:tcPr>
          <w:p>
            <w:pPr>
              <w:widowControl/>
              <w:snapToGrid w:val="0"/>
              <w:jc w:val="left"/>
              <w:rPr>
                <w:rFonts w:ascii="Times New Roman" w:hAnsi="Times New Roman" w:eastAsia="等线" w:cs="Times New Roman"/>
                <w:iCs/>
                <w:kern w:val="0"/>
                <w:sz w:val="18"/>
                <w:szCs w:val="18"/>
              </w:rPr>
            </w:pPr>
            <w:r>
              <w:rPr>
                <w:rFonts w:ascii="Times New Roman" w:hAnsi="Times New Roman" w:eastAsia="等线" w:cs="Times New Roman"/>
                <w:i/>
                <w:iCs/>
                <w:kern w:val="0"/>
                <w:sz w:val="18"/>
                <w:szCs w:val="18"/>
              </w:rPr>
              <w:t>Adv. Mater.</w:t>
            </w:r>
            <w:r>
              <w:rPr>
                <w:rFonts w:ascii="Times New Roman" w:hAnsi="Times New Roman" w:eastAsia="等线" w:cs="Times New Roman"/>
                <w:iCs/>
                <w:kern w:val="0"/>
                <w:sz w:val="18"/>
                <w:szCs w:val="18"/>
              </w:rPr>
              <w:t>, vol. 32, pp. 1908108, 2020</w:t>
            </w:r>
          </w:p>
          <w:p>
            <w:pPr>
              <w:widowControl/>
              <w:snapToGrid w:val="0"/>
              <w:jc w:val="left"/>
              <w:rPr>
                <w:rFonts w:ascii="Times New Roman" w:hAnsi="Times New Roman" w:eastAsia="等线" w:cs="Times New Roman"/>
                <w:iCs/>
                <w:kern w:val="0"/>
                <w:sz w:val="18"/>
                <w:szCs w:val="18"/>
              </w:rPr>
            </w:pPr>
            <w:r>
              <w:rPr>
                <w:rFonts w:ascii="Times New Roman" w:hAnsi="Times New Roman" w:eastAsia="等线" w:cs="Times New Roman"/>
                <w:i/>
                <w:iCs/>
                <w:kern w:val="0"/>
                <w:sz w:val="18"/>
                <w:szCs w:val="18"/>
              </w:rPr>
              <w:t>Nano Research</w:t>
            </w:r>
            <w:r>
              <w:rPr>
                <w:rFonts w:ascii="Times New Roman" w:hAnsi="Times New Roman" w:eastAsia="等线" w:cs="Times New Roman"/>
                <w:iCs/>
                <w:kern w:val="0"/>
                <w:sz w:val="18"/>
                <w:szCs w:val="18"/>
              </w:rPr>
              <w:t>, vol. 16, pp. 10256-10262, 2023</w:t>
            </w:r>
          </w:p>
          <w:p>
            <w:pPr>
              <w:widowControl/>
              <w:snapToGrid w:val="0"/>
              <w:jc w:val="left"/>
              <w:rPr>
                <w:rFonts w:ascii="Times New Roman" w:hAnsi="Times New Roman" w:cs="Times New Roman"/>
                <w:iCs/>
                <w:kern w:val="0"/>
                <w:sz w:val="18"/>
                <w:szCs w:val="18"/>
              </w:rPr>
            </w:pPr>
            <w:r>
              <w:rPr>
                <w:rFonts w:ascii="Times New Roman" w:hAnsi="Times New Roman" w:eastAsia="等线" w:cs="Times New Roman"/>
                <w:i/>
                <w:iCs/>
                <w:kern w:val="0"/>
                <w:sz w:val="18"/>
                <w:szCs w:val="18"/>
              </w:rPr>
              <w:t>Adv. Mater.</w:t>
            </w:r>
            <w:r>
              <w:rPr>
                <w:rFonts w:ascii="Times New Roman" w:hAnsi="Times New Roman" w:eastAsia="等线" w:cs="Times New Roman"/>
                <w:iCs/>
                <w:kern w:val="0"/>
                <w:sz w:val="18"/>
                <w:szCs w:val="18"/>
              </w:rPr>
              <w:t>, vol. 34, pp. 2108408, 2022</w:t>
            </w:r>
          </w:p>
        </w:tc>
        <w:tc>
          <w:tcPr>
            <w:tcW w:w="3242" w:type="dxa"/>
            <w:gridSpan w:val="2"/>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Cs/>
                <w:kern w:val="0"/>
                <w:sz w:val="18"/>
                <w:szCs w:val="18"/>
              </w:rPr>
              <w:drawing>
                <wp:inline distT="0" distB="0" distL="114300" distR="114300">
                  <wp:extent cx="2028190" cy="975995"/>
                  <wp:effectExtent l="0" t="0" r="13970" b="146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2028190" cy="975995"/>
                          </a:xfrm>
                          <a:prstGeom prst="rect">
                            <a:avLst/>
                          </a:prstGeom>
                          <a:noFill/>
                          <a:ln>
                            <a:noFill/>
                          </a:ln>
                        </pic:spPr>
                      </pic:pic>
                    </a:graphicData>
                  </a:graphic>
                </wp:inline>
              </w:drawing>
            </w:r>
          </w:p>
        </w:tc>
        <w:tc>
          <w:tcPr>
            <w:tcW w:w="2648" w:type="dxa"/>
            <w:gridSpan w:val="2"/>
            <w:vAlign w:val="center"/>
          </w:tcPr>
          <w:p>
            <w:pPr>
              <w:widowControl/>
              <w:numPr>
                <w:ilvl w:val="0"/>
                <w:numId w:val="2"/>
              </w:numPr>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Fabricate spatial varying filter components in one step</w:t>
            </w:r>
          </w:p>
          <w:p>
            <w:pPr>
              <w:widowControl/>
              <w:numPr>
                <w:ilvl w:val="0"/>
                <w:numId w:val="2"/>
              </w:numPr>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Facile and fast fabrication</w:t>
            </w:r>
          </w:p>
          <w:p>
            <w:pPr>
              <w:widowControl/>
              <w:numPr>
                <w:ilvl w:val="0"/>
                <w:numId w:val="2"/>
              </w:numPr>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Large amount of filters with different spectral responses</w:t>
            </w:r>
          </w:p>
        </w:tc>
      </w:tr>
    </w:tbl>
    <w:p>
      <w:pPr>
        <w:pStyle w:val="27"/>
      </w:pPr>
    </w:p>
    <w:p>
      <w:pPr>
        <w:rPr>
          <w:sz w:val="24"/>
          <w:szCs w:val="24"/>
        </w:rPr>
      </w:pPr>
      <w:r>
        <w:rPr>
          <w:rFonts w:hint="eastAsia"/>
          <w:sz w:val="24"/>
          <w:szCs w:val="24"/>
        </w:rPr>
        <w:br w:type="page"/>
      </w:r>
    </w:p>
    <w:bookmarkEnd w:id="0"/>
    <w:p>
      <w:pPr>
        <w:widowControl/>
        <w:jc w:val="left"/>
        <w:rPr>
          <w:rFonts w:ascii="Times New Roman" w:hAnsi="Times New Roman" w:eastAsia="等线" w:cs="Times New Roman"/>
          <w:iCs/>
          <w:kern w:val="0"/>
          <w:sz w:val="24"/>
        </w:rPr>
      </w:pPr>
      <w:bookmarkStart w:id="1" w:name="_Hlk163548647"/>
      <w:bookmarkStart w:id="2" w:name="OLE_LINK2"/>
      <w:r>
        <w:rPr>
          <w:rFonts w:hint="eastAsia" w:ascii="Times New Roman" w:hAnsi="Times New Roman" w:eastAsia="等线" w:cs="Times New Roman"/>
          <w:b/>
          <w:bCs/>
          <w:iCs/>
          <w:kern w:val="0"/>
          <w:sz w:val="24"/>
        </w:rPr>
        <w:t>Table S2</w:t>
      </w:r>
      <w:r>
        <w:rPr>
          <w:rFonts w:hint="eastAsia" w:ascii="Times New Roman" w:hAnsi="Times New Roman" w:eastAsia="等线" w:cs="Times New Roman"/>
          <w:iCs/>
          <w:kern w:val="0"/>
          <w:sz w:val="24"/>
        </w:rPr>
        <w:t xml:space="preserve">. </w:t>
      </w:r>
      <w:r>
        <w:rPr>
          <w:rFonts w:ascii="Times New Roman" w:hAnsi="Times New Roman" w:eastAsia="等线" w:cs="Times New Roman"/>
          <w:iCs/>
          <w:kern w:val="0"/>
          <w:sz w:val="24"/>
        </w:rPr>
        <w:t>Comparison of fabrication methodology, spectrum reconstruction algorithm, and spectrometer performance for bandgap graded perovskite</w:t>
      </w:r>
      <w:r>
        <w:rPr>
          <w:rFonts w:hint="eastAsia" w:ascii="Times New Roman" w:hAnsi="Times New Roman" w:eastAsia="等线" w:cs="Times New Roman"/>
          <w:iCs/>
          <w:kern w:val="0"/>
          <w:sz w:val="24"/>
        </w:rPr>
        <w:t>.</w:t>
      </w:r>
    </w:p>
    <w:tbl>
      <w:tblPr>
        <w:tblStyle w:val="8"/>
        <w:tblW w:w="8647"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558"/>
        <w:gridCol w:w="2126"/>
        <w:gridCol w:w="1136"/>
        <w:gridCol w:w="1134"/>
        <w:gridCol w:w="1276"/>
        <w:gridCol w:w="1417"/>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566" w:hRule="atLeast"/>
        </w:trPr>
        <w:tc>
          <w:tcPr>
            <w:tcW w:w="1558"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Work</w:t>
            </w:r>
          </w:p>
        </w:tc>
        <w:tc>
          <w:tcPr>
            <w:tcW w:w="2126" w:type="dxa"/>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Cs/>
                <w:kern w:val="0"/>
                <w:sz w:val="18"/>
                <w:szCs w:val="18"/>
              </w:rPr>
              <w:t>B</w:t>
            </w:r>
            <w:r>
              <w:rPr>
                <w:rFonts w:hint="eastAsia" w:ascii="Times New Roman" w:hAnsi="Times New Roman" w:cs="Times New Roman"/>
                <w:iCs/>
                <w:kern w:val="0"/>
                <w:sz w:val="18"/>
                <w:szCs w:val="18"/>
              </w:rPr>
              <w:t>andgap graded perovskite fabrication</w:t>
            </w:r>
          </w:p>
        </w:tc>
        <w:tc>
          <w:tcPr>
            <w:tcW w:w="1136" w:type="dxa"/>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Cs/>
                <w:kern w:val="0"/>
                <w:sz w:val="18"/>
                <w:szCs w:val="18"/>
              </w:rPr>
              <w:t>F</w:t>
            </w:r>
            <w:r>
              <w:rPr>
                <w:rFonts w:hint="eastAsia" w:ascii="Times New Roman" w:hAnsi="Times New Roman" w:cs="Times New Roman"/>
                <w:iCs/>
                <w:kern w:val="0"/>
                <w:sz w:val="18"/>
                <w:szCs w:val="18"/>
              </w:rPr>
              <w:t>abrication speed</w:t>
            </w:r>
          </w:p>
        </w:tc>
        <w:tc>
          <w:tcPr>
            <w:tcW w:w="1134" w:type="dxa"/>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Cs/>
                <w:kern w:val="0"/>
                <w:sz w:val="18"/>
                <w:szCs w:val="18"/>
              </w:rPr>
              <w:t>S</w:t>
            </w:r>
            <w:r>
              <w:rPr>
                <w:rFonts w:hint="eastAsia" w:ascii="Times New Roman" w:hAnsi="Times New Roman" w:cs="Times New Roman"/>
                <w:iCs/>
                <w:kern w:val="0"/>
                <w:sz w:val="18"/>
                <w:szCs w:val="18"/>
              </w:rPr>
              <w:t>pectral range</w:t>
            </w:r>
          </w:p>
        </w:tc>
        <w:tc>
          <w:tcPr>
            <w:tcW w:w="1276" w:type="dxa"/>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Cs/>
                <w:kern w:val="0"/>
                <w:sz w:val="18"/>
                <w:szCs w:val="18"/>
              </w:rPr>
              <w:t>S</w:t>
            </w:r>
            <w:r>
              <w:rPr>
                <w:rFonts w:hint="eastAsia" w:ascii="Times New Roman" w:hAnsi="Times New Roman" w:cs="Times New Roman"/>
                <w:iCs/>
                <w:kern w:val="0"/>
                <w:sz w:val="18"/>
                <w:szCs w:val="18"/>
              </w:rPr>
              <w:t>pectrometer resolution</w:t>
            </w:r>
          </w:p>
        </w:tc>
        <w:tc>
          <w:tcPr>
            <w:tcW w:w="1417"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Reconstruction algorithm</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1701" w:hRule="atLeast"/>
        </w:trPr>
        <w:tc>
          <w:tcPr>
            <w:tcW w:w="1558" w:type="dxa"/>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
                <w:kern w:val="0"/>
                <w:sz w:val="18"/>
                <w:szCs w:val="18"/>
              </w:rPr>
              <w:t>ACS Applied Materials &amp; Interfaces</w:t>
            </w:r>
            <w:r>
              <w:rPr>
                <w:rFonts w:ascii="Times New Roman" w:hAnsi="Times New Roman" w:cs="Times New Roman"/>
                <w:iCs/>
                <w:kern w:val="0"/>
                <w:sz w:val="18"/>
                <w:szCs w:val="18"/>
              </w:rPr>
              <w:t>, vol. 15, pp. 7129-7136, 2023</w:t>
            </w:r>
          </w:p>
        </w:tc>
        <w:tc>
          <w:tcPr>
            <w:tcW w:w="2126" w:type="dxa"/>
            <w:vAlign w:val="center"/>
          </w:tcPr>
          <w:p>
            <w:pPr>
              <w:widowControl/>
              <w:snapToGrid w:val="0"/>
              <w:jc w:val="center"/>
              <w:rPr>
                <w:rFonts w:ascii="Times New Roman" w:hAnsi="Times New Roman" w:cs="Times New Roman"/>
                <w:iCs/>
                <w:kern w:val="0"/>
                <w:sz w:val="18"/>
                <w:szCs w:val="18"/>
              </w:rPr>
            </w:pPr>
            <w:r>
              <w:rPr>
                <w:rFonts w:ascii="Times New Roman" w:hAnsi="Times New Roman" w:cs="Times New Roman"/>
                <w:iCs/>
                <w:kern w:val="0"/>
                <w:sz w:val="18"/>
                <w:szCs w:val="18"/>
              </w:rPr>
              <w:drawing>
                <wp:inline distT="0" distB="0" distL="0" distR="0">
                  <wp:extent cx="1000125" cy="752475"/>
                  <wp:effectExtent l="0" t="0" r="5715"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05088" cy="756185"/>
                          </a:xfrm>
                          <a:prstGeom prst="rect">
                            <a:avLst/>
                          </a:prstGeom>
                          <a:noFill/>
                          <a:ln>
                            <a:noFill/>
                          </a:ln>
                        </pic:spPr>
                      </pic:pic>
                    </a:graphicData>
                  </a:graphic>
                </wp:inline>
              </w:drawing>
            </w:r>
          </w:p>
        </w:tc>
        <w:tc>
          <w:tcPr>
            <w:tcW w:w="1136"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multistep</w:t>
            </w:r>
          </w:p>
        </w:tc>
        <w:tc>
          <w:tcPr>
            <w:tcW w:w="1134"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450-700 nm</w:t>
            </w:r>
          </w:p>
        </w:tc>
        <w:tc>
          <w:tcPr>
            <w:tcW w:w="1276"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10 nm</w:t>
            </w:r>
          </w:p>
        </w:tc>
        <w:tc>
          <w:tcPr>
            <w:tcW w:w="1417"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Gaussian basis function fitting optimized by regularized non-negative</w:t>
            </w:r>
          </w:p>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least squares</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1701" w:hRule="atLeast"/>
        </w:trPr>
        <w:tc>
          <w:tcPr>
            <w:tcW w:w="1558" w:type="dxa"/>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
                <w:iCs/>
                <w:kern w:val="0"/>
                <w:sz w:val="18"/>
                <w:szCs w:val="18"/>
              </w:rPr>
              <w:t>Adv. Mater.</w:t>
            </w:r>
            <w:r>
              <w:rPr>
                <w:rFonts w:ascii="Times New Roman" w:hAnsi="Times New Roman" w:cs="Times New Roman"/>
                <w:iCs/>
                <w:kern w:val="0"/>
                <w:sz w:val="18"/>
                <w:szCs w:val="18"/>
              </w:rPr>
              <w:t>, vol. 32, pp. 1908108, 2020</w:t>
            </w:r>
          </w:p>
        </w:tc>
        <w:tc>
          <w:tcPr>
            <w:tcW w:w="2126" w:type="dxa"/>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Cs/>
                <w:kern w:val="0"/>
                <w:sz w:val="18"/>
                <w:szCs w:val="18"/>
              </w:rPr>
              <w:drawing>
                <wp:inline distT="0" distB="0" distL="0" distR="0">
                  <wp:extent cx="1214755" cy="905510"/>
                  <wp:effectExtent l="0" t="0" r="4445" b="889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27094" cy="914790"/>
                          </a:xfrm>
                          <a:prstGeom prst="rect">
                            <a:avLst/>
                          </a:prstGeom>
                          <a:noFill/>
                          <a:ln>
                            <a:noFill/>
                          </a:ln>
                        </pic:spPr>
                      </pic:pic>
                    </a:graphicData>
                  </a:graphic>
                </wp:inline>
              </w:drawing>
            </w:r>
          </w:p>
        </w:tc>
        <w:tc>
          <w:tcPr>
            <w:tcW w:w="1136"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 20 min</w:t>
            </w:r>
          </w:p>
        </w:tc>
        <w:tc>
          <w:tcPr>
            <w:tcW w:w="1134"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410-750 nm</w:t>
            </w:r>
          </w:p>
        </w:tc>
        <w:tc>
          <w:tcPr>
            <w:tcW w:w="1276"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80 nm</w:t>
            </w:r>
          </w:p>
        </w:tc>
        <w:tc>
          <w:tcPr>
            <w:tcW w:w="1417"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Without reconstruction</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1288" w:hRule="atLeast"/>
        </w:trPr>
        <w:tc>
          <w:tcPr>
            <w:tcW w:w="1558" w:type="dxa"/>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
                <w:iCs/>
                <w:kern w:val="0"/>
                <w:sz w:val="18"/>
                <w:szCs w:val="18"/>
              </w:rPr>
              <w:t>Adv. Mater.</w:t>
            </w:r>
            <w:r>
              <w:rPr>
                <w:rFonts w:ascii="Times New Roman" w:hAnsi="Times New Roman" w:cs="Times New Roman"/>
                <w:iCs/>
                <w:kern w:val="0"/>
                <w:sz w:val="18"/>
                <w:szCs w:val="18"/>
              </w:rPr>
              <w:t>, vol. 34, pp. 2108408, 2022</w:t>
            </w:r>
          </w:p>
        </w:tc>
        <w:tc>
          <w:tcPr>
            <w:tcW w:w="2126" w:type="dxa"/>
            <w:vMerge w:val="restart"/>
            <w:vAlign w:val="center"/>
          </w:tcPr>
          <w:p>
            <w:pPr>
              <w:widowControl/>
              <w:snapToGrid w:val="0"/>
              <w:jc w:val="center"/>
              <w:rPr>
                <w:rFonts w:ascii="Times New Roman" w:hAnsi="Times New Roman" w:cs="Times New Roman"/>
                <w:iCs/>
                <w:kern w:val="0"/>
                <w:sz w:val="18"/>
                <w:szCs w:val="18"/>
              </w:rPr>
            </w:pPr>
            <w:r>
              <w:rPr>
                <w:rFonts w:ascii="Times New Roman" w:hAnsi="Times New Roman" w:cs="Times New Roman"/>
                <w:iCs/>
                <w:kern w:val="0"/>
                <w:sz w:val="18"/>
                <w:szCs w:val="18"/>
              </w:rPr>
              <w:drawing>
                <wp:inline distT="0" distB="0" distL="0" distR="0">
                  <wp:extent cx="966470" cy="1075055"/>
                  <wp:effectExtent l="0" t="0" r="8890" b="698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66470" cy="1075055"/>
                          </a:xfrm>
                          <a:prstGeom prst="rect">
                            <a:avLst/>
                          </a:prstGeom>
                          <a:noFill/>
                          <a:ln>
                            <a:noFill/>
                          </a:ln>
                        </pic:spPr>
                      </pic:pic>
                    </a:graphicData>
                  </a:graphic>
                </wp:inline>
              </w:drawing>
            </w:r>
          </w:p>
        </w:tc>
        <w:tc>
          <w:tcPr>
            <w:tcW w:w="1136"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&lt; 10 s</w:t>
            </w:r>
          </w:p>
        </w:tc>
        <w:tc>
          <w:tcPr>
            <w:tcW w:w="1134"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450-790 nm</w:t>
            </w:r>
          </w:p>
        </w:tc>
        <w:tc>
          <w:tcPr>
            <w:tcW w:w="1276"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25 nm</w:t>
            </w:r>
          </w:p>
        </w:tc>
        <w:tc>
          <w:tcPr>
            <w:tcW w:w="1417"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 xml:space="preserve">Gaussian basis function fitting optimized by </w:t>
            </w:r>
            <w:r>
              <w:rPr>
                <w:rFonts w:ascii="Times New Roman" w:hAnsi="Times New Roman" w:cs="Times New Roman"/>
                <w:iCs/>
                <w:kern w:val="0"/>
                <w:sz w:val="18"/>
                <w:szCs w:val="18"/>
              </w:rPr>
              <w:t>Tikhonov</w:t>
            </w:r>
            <w:r>
              <w:rPr>
                <w:rFonts w:hint="eastAsia" w:ascii="Times New Roman" w:hAnsi="Times New Roman" w:cs="Times New Roman"/>
                <w:iCs/>
                <w:kern w:val="0"/>
                <w:sz w:val="18"/>
                <w:szCs w:val="18"/>
              </w:rPr>
              <w:t xml:space="preserve"> </w:t>
            </w:r>
            <w:r>
              <w:rPr>
                <w:rFonts w:ascii="Times New Roman" w:hAnsi="Times New Roman" w:cs="Times New Roman"/>
                <w:iCs/>
                <w:kern w:val="0"/>
                <w:sz w:val="18"/>
                <w:szCs w:val="18"/>
              </w:rPr>
              <w:t>regularization</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Pr>
        <w:tc>
          <w:tcPr>
            <w:tcW w:w="1558" w:type="dxa"/>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
                <w:iCs/>
                <w:kern w:val="0"/>
                <w:sz w:val="18"/>
                <w:szCs w:val="18"/>
              </w:rPr>
              <w:t>Light Sci Appl</w:t>
            </w:r>
            <w:r>
              <w:rPr>
                <w:rFonts w:ascii="Times New Roman" w:hAnsi="Times New Roman" w:cs="Times New Roman"/>
                <w:iCs/>
                <w:kern w:val="0"/>
                <w:sz w:val="18"/>
                <w:szCs w:val="18"/>
              </w:rPr>
              <w:t>, vol. 9, pp. 162, 2020</w:t>
            </w:r>
          </w:p>
        </w:tc>
        <w:tc>
          <w:tcPr>
            <w:tcW w:w="2126" w:type="dxa"/>
            <w:vMerge w:val="continue"/>
            <w:vAlign w:val="center"/>
          </w:tcPr>
          <w:p>
            <w:pPr>
              <w:widowControl/>
              <w:snapToGrid w:val="0"/>
              <w:jc w:val="left"/>
              <w:rPr>
                <w:rFonts w:ascii="Times New Roman" w:hAnsi="Times New Roman" w:cs="Times New Roman"/>
                <w:iCs/>
                <w:kern w:val="0"/>
                <w:sz w:val="18"/>
                <w:szCs w:val="18"/>
              </w:rPr>
            </w:pPr>
          </w:p>
        </w:tc>
        <w:tc>
          <w:tcPr>
            <w:tcW w:w="1136"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&lt; 10 s</w:t>
            </w:r>
          </w:p>
        </w:tc>
        <w:tc>
          <w:tcPr>
            <w:tcW w:w="3827" w:type="dxa"/>
            <w:gridSpan w:val="3"/>
            <w:vAlign w:val="center"/>
          </w:tcPr>
          <w:p>
            <w:pPr>
              <w:widowControl/>
              <w:snapToGrid w:val="0"/>
              <w:jc w:val="center"/>
              <w:rPr>
                <w:rFonts w:ascii="Times New Roman" w:hAnsi="Times New Roman" w:cs="Times New Roman"/>
                <w:iCs/>
                <w:kern w:val="0"/>
                <w:sz w:val="18"/>
                <w:szCs w:val="18"/>
              </w:rPr>
            </w:pPr>
            <w:r>
              <w:rPr>
                <w:rFonts w:hint="eastAsia" w:ascii="Times New Roman" w:hAnsi="Times New Roman" w:cs="Times New Roman"/>
                <w:iCs/>
                <w:kern w:val="0"/>
                <w:sz w:val="18"/>
                <w:szCs w:val="18"/>
              </w:rPr>
              <w:t>Without spectrometer demonstration</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1701" w:hRule="atLeast"/>
        </w:trPr>
        <w:tc>
          <w:tcPr>
            <w:tcW w:w="1558" w:type="dxa"/>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
                <w:iCs/>
                <w:kern w:val="0"/>
                <w:sz w:val="18"/>
                <w:szCs w:val="18"/>
              </w:rPr>
              <w:t>Nano Research</w:t>
            </w:r>
            <w:r>
              <w:rPr>
                <w:rFonts w:ascii="Times New Roman" w:hAnsi="Times New Roman" w:cs="Times New Roman"/>
                <w:iCs/>
                <w:kern w:val="0"/>
                <w:sz w:val="18"/>
                <w:szCs w:val="18"/>
              </w:rPr>
              <w:t>, vol. 16, pp. 10256-10262, 2023</w:t>
            </w:r>
          </w:p>
        </w:tc>
        <w:tc>
          <w:tcPr>
            <w:tcW w:w="2126" w:type="dxa"/>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Cs/>
                <w:kern w:val="0"/>
                <w:sz w:val="18"/>
                <w:szCs w:val="18"/>
              </w:rPr>
              <w:drawing>
                <wp:inline distT="0" distB="0" distL="0" distR="0">
                  <wp:extent cx="1195705" cy="880110"/>
                  <wp:effectExtent l="0" t="0" r="8255" b="38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195705" cy="880110"/>
                          </a:xfrm>
                          <a:prstGeom prst="rect">
                            <a:avLst/>
                          </a:prstGeom>
                          <a:noFill/>
                          <a:ln>
                            <a:noFill/>
                          </a:ln>
                        </pic:spPr>
                      </pic:pic>
                    </a:graphicData>
                  </a:graphic>
                </wp:inline>
              </w:drawing>
            </w:r>
          </w:p>
        </w:tc>
        <w:tc>
          <w:tcPr>
            <w:tcW w:w="1136"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 100 s</w:t>
            </w:r>
          </w:p>
        </w:tc>
        <w:tc>
          <w:tcPr>
            <w:tcW w:w="1134"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455-760 nm</w:t>
            </w:r>
          </w:p>
        </w:tc>
        <w:tc>
          <w:tcPr>
            <w:tcW w:w="1276"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19.8 nm</w:t>
            </w:r>
          </w:p>
        </w:tc>
        <w:tc>
          <w:tcPr>
            <w:tcW w:w="1417"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 xml:space="preserve">Gaussian basis function fitting optimized by </w:t>
            </w:r>
            <w:r>
              <w:rPr>
                <w:rFonts w:ascii="Times New Roman" w:hAnsi="Times New Roman" w:cs="Times New Roman"/>
                <w:iCs/>
                <w:kern w:val="0"/>
                <w:sz w:val="18"/>
                <w:szCs w:val="18"/>
              </w:rPr>
              <w:t>Tikhonov</w:t>
            </w:r>
            <w:r>
              <w:rPr>
                <w:rFonts w:hint="eastAsia" w:ascii="Times New Roman" w:hAnsi="Times New Roman" w:cs="Times New Roman"/>
                <w:iCs/>
                <w:kern w:val="0"/>
                <w:sz w:val="18"/>
                <w:szCs w:val="18"/>
              </w:rPr>
              <w:t xml:space="preserve"> </w:t>
            </w:r>
            <w:r>
              <w:rPr>
                <w:rFonts w:ascii="Times New Roman" w:hAnsi="Times New Roman" w:cs="Times New Roman"/>
                <w:iCs/>
                <w:kern w:val="0"/>
                <w:sz w:val="18"/>
                <w:szCs w:val="18"/>
              </w:rPr>
              <w:t>regularization</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1701" w:hRule="atLeast"/>
        </w:trPr>
        <w:tc>
          <w:tcPr>
            <w:tcW w:w="1558" w:type="dxa"/>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
                <w:kern w:val="0"/>
                <w:sz w:val="18"/>
                <w:szCs w:val="18"/>
              </w:rPr>
              <w:t>Communications Materials</w:t>
            </w:r>
            <w:r>
              <w:rPr>
                <w:rFonts w:ascii="Times New Roman" w:hAnsi="Times New Roman" w:cs="Times New Roman"/>
                <w:iCs/>
                <w:kern w:val="0"/>
                <w:sz w:val="18"/>
                <w:szCs w:val="18"/>
              </w:rPr>
              <w:t>, vol. 3, pp. 13, 2022</w:t>
            </w:r>
          </w:p>
        </w:tc>
        <w:tc>
          <w:tcPr>
            <w:tcW w:w="2126" w:type="dxa"/>
            <w:vAlign w:val="center"/>
          </w:tcPr>
          <w:p>
            <w:pPr>
              <w:widowControl/>
              <w:snapToGrid w:val="0"/>
              <w:jc w:val="center"/>
              <w:rPr>
                <w:rFonts w:ascii="Times New Roman" w:hAnsi="Times New Roman" w:cs="Times New Roman"/>
                <w:iCs/>
                <w:kern w:val="0"/>
                <w:sz w:val="18"/>
                <w:szCs w:val="18"/>
              </w:rPr>
            </w:pPr>
            <w:r>
              <w:rPr>
                <w:rFonts w:ascii="Times New Roman" w:hAnsi="Times New Roman" w:cs="Times New Roman"/>
                <w:iCs/>
                <w:kern w:val="0"/>
                <w:sz w:val="18"/>
                <w:szCs w:val="18"/>
              </w:rPr>
              <w:drawing>
                <wp:inline distT="0" distB="0" distL="114300" distR="114300">
                  <wp:extent cx="1053465" cy="955040"/>
                  <wp:effectExtent l="0" t="0" r="13335" b="508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3"/>
                          <a:stretch>
                            <a:fillRect/>
                          </a:stretch>
                        </pic:blipFill>
                        <pic:spPr>
                          <a:xfrm>
                            <a:off x="0" y="0"/>
                            <a:ext cx="1053465" cy="955040"/>
                          </a:xfrm>
                          <a:prstGeom prst="rect">
                            <a:avLst/>
                          </a:prstGeom>
                          <a:noFill/>
                          <a:ln>
                            <a:noFill/>
                          </a:ln>
                        </pic:spPr>
                      </pic:pic>
                    </a:graphicData>
                  </a:graphic>
                </wp:inline>
              </w:drawing>
            </w:r>
          </w:p>
        </w:tc>
        <w:tc>
          <w:tcPr>
            <w:tcW w:w="1136"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&lt; 60 s</w:t>
            </w:r>
          </w:p>
        </w:tc>
        <w:tc>
          <w:tcPr>
            <w:tcW w:w="3827" w:type="dxa"/>
            <w:gridSpan w:val="3"/>
            <w:vAlign w:val="center"/>
          </w:tcPr>
          <w:p>
            <w:pPr>
              <w:widowControl/>
              <w:snapToGrid w:val="0"/>
              <w:jc w:val="center"/>
              <w:rPr>
                <w:rFonts w:ascii="Times New Roman" w:hAnsi="Times New Roman" w:cs="Times New Roman"/>
                <w:iCs/>
                <w:kern w:val="0"/>
                <w:sz w:val="18"/>
                <w:szCs w:val="18"/>
              </w:rPr>
            </w:pPr>
            <w:r>
              <w:rPr>
                <w:rFonts w:hint="eastAsia" w:ascii="Times New Roman" w:hAnsi="Times New Roman" w:cs="Times New Roman"/>
                <w:iCs/>
                <w:kern w:val="0"/>
                <w:sz w:val="18"/>
                <w:szCs w:val="18"/>
              </w:rPr>
              <w:t>Without spectrometer demonstration</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1701" w:hRule="atLeast"/>
        </w:trPr>
        <w:tc>
          <w:tcPr>
            <w:tcW w:w="1558"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This work</w:t>
            </w:r>
          </w:p>
        </w:tc>
        <w:tc>
          <w:tcPr>
            <w:tcW w:w="2126" w:type="dxa"/>
            <w:vAlign w:val="center"/>
          </w:tcPr>
          <w:p>
            <w:pPr>
              <w:widowControl/>
              <w:snapToGrid w:val="0"/>
              <w:jc w:val="left"/>
              <w:rPr>
                <w:rFonts w:ascii="Times New Roman" w:hAnsi="Times New Roman" w:cs="Times New Roman"/>
                <w:iCs/>
                <w:kern w:val="0"/>
                <w:sz w:val="18"/>
                <w:szCs w:val="18"/>
              </w:rPr>
            </w:pPr>
            <w:r>
              <w:rPr>
                <w:rFonts w:ascii="Times New Roman" w:hAnsi="Times New Roman" w:cs="Times New Roman"/>
                <w:iCs/>
                <w:kern w:val="0"/>
                <w:sz w:val="18"/>
                <w:szCs w:val="18"/>
              </w:rPr>
              <w:drawing>
                <wp:inline distT="0" distB="0" distL="0" distR="0">
                  <wp:extent cx="1148715" cy="723900"/>
                  <wp:effectExtent l="0" t="0" r="9525" b="762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48715" cy="723900"/>
                          </a:xfrm>
                          <a:prstGeom prst="rect">
                            <a:avLst/>
                          </a:prstGeom>
                          <a:noFill/>
                          <a:ln>
                            <a:noFill/>
                          </a:ln>
                        </pic:spPr>
                      </pic:pic>
                    </a:graphicData>
                  </a:graphic>
                </wp:inline>
              </w:drawing>
            </w:r>
          </w:p>
        </w:tc>
        <w:tc>
          <w:tcPr>
            <w:tcW w:w="1136"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 120 s</w:t>
            </w:r>
          </w:p>
        </w:tc>
        <w:tc>
          <w:tcPr>
            <w:tcW w:w="1134"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450-750 nm</w:t>
            </w:r>
          </w:p>
        </w:tc>
        <w:tc>
          <w:tcPr>
            <w:tcW w:w="1276"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~1 nm</w:t>
            </w:r>
          </w:p>
        </w:tc>
        <w:tc>
          <w:tcPr>
            <w:tcW w:w="1417" w:type="dxa"/>
            <w:vAlign w:val="center"/>
          </w:tcPr>
          <w:p>
            <w:pPr>
              <w:widowControl/>
              <w:snapToGrid w:val="0"/>
              <w:jc w:val="left"/>
              <w:rPr>
                <w:rFonts w:ascii="Times New Roman" w:hAnsi="Times New Roman" w:cs="Times New Roman"/>
                <w:iCs/>
                <w:kern w:val="0"/>
                <w:sz w:val="18"/>
                <w:szCs w:val="18"/>
              </w:rPr>
            </w:pPr>
            <w:r>
              <w:rPr>
                <w:rFonts w:hint="eastAsia" w:ascii="Times New Roman" w:hAnsi="Times New Roman" w:cs="Times New Roman"/>
                <w:iCs/>
                <w:kern w:val="0"/>
                <w:sz w:val="18"/>
                <w:szCs w:val="18"/>
              </w:rPr>
              <w:t>Residual neural network</w:t>
            </w:r>
          </w:p>
        </w:tc>
      </w:tr>
      <w:bookmarkEnd w:id="1"/>
      <w:bookmarkEnd w:id="2"/>
    </w:tbl>
    <w:p>
      <w:pPr>
        <w:pStyle w:val="27"/>
        <w:rPr>
          <w:rFonts w:eastAsiaTheme="minorEastAsia"/>
          <w:lang w:eastAsia="zh-CN"/>
        </w:rPr>
      </w:pPr>
    </w:p>
    <w:p>
      <w:pPr>
        <w:spacing w:line="360" w:lineRule="auto"/>
        <w:jc w:val="center"/>
        <w:rPr>
          <w:rFonts w:ascii="Times New Roman" w:hAnsi="Times New Roman" w:cs="Times New Roman"/>
          <w:b/>
          <w:bCs/>
          <w:sz w:val="24"/>
          <w:szCs w:val="24"/>
        </w:rPr>
      </w:pPr>
      <w:r>
        <w:drawing>
          <wp:inline distT="0" distB="0" distL="0" distR="0">
            <wp:extent cx="2839085" cy="2286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1518" cy="2287842"/>
                    </a:xfrm>
                    <a:prstGeom prst="rect">
                      <a:avLst/>
                    </a:prstGeom>
                    <a:noFill/>
                    <a:ln>
                      <a:noFill/>
                    </a:ln>
                  </pic:spPr>
                </pic:pic>
              </a:graphicData>
            </a:graphic>
          </wp:inline>
        </w:drawing>
      </w:r>
    </w:p>
    <w:p>
      <w:pPr>
        <w:spacing w:after="156" w:afterLines="50" w:line="360" w:lineRule="auto"/>
        <w:rPr>
          <w:rFonts w:ascii="Times New Roman" w:hAnsi="Times New Roman" w:cs="Times New Roman"/>
          <w:sz w:val="24"/>
          <w:szCs w:val="24"/>
        </w:rPr>
      </w:pPr>
      <w:r>
        <w:rPr>
          <w:rFonts w:hint="eastAsia" w:ascii="Times New Roman" w:hAnsi="Times New Roman" w:cs="Times New Roman"/>
          <w:b/>
          <w:bCs/>
          <w:sz w:val="24"/>
          <w:szCs w:val="24"/>
        </w:rPr>
        <w:t>F</w:t>
      </w:r>
      <w:r>
        <w:rPr>
          <w:rFonts w:ascii="Times New Roman" w:hAnsi="Times New Roman" w:cs="Times New Roman"/>
          <w:b/>
          <w:bCs/>
          <w:sz w:val="24"/>
          <w:szCs w:val="24"/>
        </w:rPr>
        <w:t>igure S1.</w:t>
      </w:r>
      <w:r>
        <w:rPr>
          <w:rFonts w:ascii="Times New Roman" w:hAnsi="Times New Roman" w:cs="Times New Roman"/>
          <w:sz w:val="24"/>
          <w:szCs w:val="24"/>
        </w:rPr>
        <w:t xml:space="preserve"> Calculation of bandgap for position X5 at MAPb</w:t>
      </w:r>
      <w:r>
        <w:rPr>
          <w:rFonts w:hint="eastAsia" w:ascii="Times New Roman" w:hAnsi="Times New Roman" w:cs="Times New Roman"/>
          <w:sz w:val="24"/>
          <w:szCs w:val="24"/>
        </w:rPr>
        <w:t>Br</w:t>
      </w:r>
      <w:r>
        <w:rPr>
          <w:rFonts w:ascii="Times New Roman" w:hAnsi="Times New Roman" w:cs="Times New Roman"/>
          <w:sz w:val="24"/>
          <w:szCs w:val="24"/>
          <w:vertAlign w:val="subscript"/>
        </w:rPr>
        <w:t>3</w:t>
      </w:r>
      <w:r>
        <w:rPr>
          <w:rFonts w:ascii="Times New Roman" w:hAnsi="Times New Roman" w:cs="Times New Roman"/>
          <w:sz w:val="24"/>
          <w:szCs w:val="24"/>
        </w:rPr>
        <w:t>- MAPbCl</w:t>
      </w:r>
      <w:r>
        <w:rPr>
          <w:rFonts w:ascii="Times New Roman" w:hAnsi="Times New Roman" w:cs="Times New Roman"/>
          <w:sz w:val="24"/>
          <w:szCs w:val="24"/>
          <w:vertAlign w:val="subscript"/>
        </w:rPr>
        <w:t>3</w:t>
      </w:r>
      <w:r>
        <w:rPr>
          <w:rFonts w:ascii="Times New Roman" w:hAnsi="Times New Roman" w:cs="Times New Roman"/>
          <w:sz w:val="24"/>
          <w:szCs w:val="24"/>
        </w:rPr>
        <w:t>.</w:t>
      </w:r>
    </w:p>
    <w:p>
      <w:pPr>
        <w:spacing w:line="360" w:lineRule="auto"/>
        <w:ind w:firstLine="420"/>
        <w:rPr>
          <w:rFonts w:ascii="Times New Roman" w:hAnsi="Times New Roman" w:cs="Times New Roman"/>
          <w:sz w:val="24"/>
          <w:szCs w:val="24"/>
        </w:rPr>
      </w:pPr>
      <w:r>
        <w:rPr>
          <w:rFonts w:ascii="Times New Roman" w:hAnsi="Times New Roman" w:cs="Times New Roman"/>
          <w:sz w:val="24"/>
          <w:szCs w:val="24"/>
        </w:rPr>
        <w:t>The Tauc plot method is a method for calculating the band gap width of semiconductors, which is based on the formula proposed by Tauc Davis and Mott et al.</w:t>
      </w:r>
    </w:p>
    <w:p>
      <w:pPr>
        <w:pStyle w:val="32"/>
      </w:pPr>
      <m:oMathPara>
        <m:oMath>
          <m:sSup>
            <m:sSupPr>
              <m:ctrlPr>
                <w:rPr>
                  <w:rFonts w:ascii="Cambria Math" w:hAnsi="Cambria Math"/>
                  <w:i/>
                </w:rPr>
              </m:ctrlPr>
            </m:sSupPr>
            <m:e>
              <m:r>
                <m:rPr/>
                <w:rPr>
                  <w:rFonts w:ascii="Cambria Math" w:hAnsi="Cambria Math"/>
                </w:rPr>
                <m:t>(αℎν)</m:t>
              </m:r>
              <m:ctrlPr>
                <w:rPr>
                  <w:rFonts w:ascii="Cambria Math" w:hAnsi="Cambria Math"/>
                  <w:i/>
                </w:rPr>
              </m:ctrlPr>
            </m:e>
            <m:sup>
              <m:r>
                <m:rPr/>
                <w:rPr>
                  <w:rFonts w:ascii="Cambria Math" w:hAnsi="Cambria Math"/>
                </w:rPr>
                <m:t>1/</m:t>
              </m:r>
              <m:r>
                <m:rPr/>
                <w:rPr>
                  <w:rFonts w:ascii="Cambria Math" w:hAnsi="Cambria Math" w:eastAsia="Cambria Math"/>
                </w:rPr>
                <m:t>n</m:t>
              </m:r>
              <m:ctrlPr>
                <w:rPr>
                  <w:rFonts w:ascii="Cambria Math" w:hAnsi="Cambria Math"/>
                  <w:i/>
                </w:rPr>
              </m:ctrlPr>
            </m:sup>
          </m:sSup>
          <m:r>
            <m:rPr/>
            <w:rPr>
              <w:rFonts w:ascii="Cambria Math" w:hAnsi="Cambria Math"/>
            </w:rPr>
            <m:t>=Α(ℎν−Εg)</m:t>
          </m:r>
          <m:r>
            <m:rPr>
              <m:sty m:val="p"/>
            </m:rPr>
            <w:rPr>
              <w:rFonts w:ascii="Cambria Math" w:hAnsi="Cambria Math"/>
            </w:rPr>
            <m:t xml:space="preserve"> </m:t>
          </m:r>
        </m:oMath>
      </m:oMathPara>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Where α is the light absorption index, </w:t>
      </w:r>
      <w:r>
        <w:rPr>
          <w:rFonts w:ascii="Times New Roman" w:hAnsi="Times New Roman" w:cs="Times New Roman"/>
          <w:i/>
          <w:iCs/>
          <w:sz w:val="24"/>
          <w:szCs w:val="24"/>
        </w:rPr>
        <w:t>h</w:t>
      </w:r>
      <w:r>
        <w:rPr>
          <w:rFonts w:ascii="Times New Roman" w:hAnsi="Times New Roman" w:cs="Times New Roman"/>
          <w:sz w:val="24"/>
          <w:szCs w:val="24"/>
        </w:rPr>
        <w:t xml:space="preserve"> is Planck's constant, </w:t>
      </w:r>
      <m:oMath>
        <m:r>
          <m:rPr/>
          <w:rPr>
            <w:rFonts w:ascii="Cambria Math" w:hAnsi="Cambria Math"/>
          </w:rPr>
          <m:t>ν</m:t>
        </m:r>
      </m:oMath>
      <w:r>
        <w:rPr>
          <w:rFonts w:ascii="Times New Roman" w:hAnsi="Times New Roman" w:eastAsia="等线" w:cs="Times New Roman"/>
          <w:sz w:val="24"/>
          <w:szCs w:val="24"/>
        </w:rPr>
        <w:t xml:space="preserve"> </w:t>
      </w:r>
      <w:r>
        <w:rPr>
          <w:rFonts w:ascii="Times New Roman" w:hAnsi="Times New Roman" w:cs="Times New Roman"/>
          <w:sz w:val="24"/>
          <w:szCs w:val="24"/>
        </w:rPr>
        <w:t xml:space="preserve">is the frequency, and </w:t>
      </w:r>
      <w:r>
        <w:rPr>
          <w:rFonts w:ascii="Times New Roman" w:hAnsi="Times New Roman" w:cs="Times New Roman"/>
          <w:i/>
          <w:iCs/>
          <w:sz w:val="24"/>
          <w:szCs w:val="24"/>
        </w:rPr>
        <w:t>Eg</w:t>
      </w:r>
      <w:r>
        <w:rPr>
          <w:rFonts w:ascii="Times New Roman" w:hAnsi="Times New Roman" w:cs="Times New Roman"/>
          <w:sz w:val="24"/>
          <w:szCs w:val="24"/>
        </w:rPr>
        <w:t xml:space="preserve"> is the semiconductor bandgap. The exponential </w:t>
      </w:r>
      <w:r>
        <w:rPr>
          <w:rFonts w:ascii="Times New Roman" w:hAnsi="Times New Roman" w:cs="Times New Roman"/>
          <w:i/>
          <w:iCs/>
          <w:sz w:val="24"/>
          <w:szCs w:val="24"/>
        </w:rPr>
        <w:t>n</w:t>
      </w:r>
      <w:r>
        <w:rPr>
          <w:rFonts w:ascii="Times New Roman" w:hAnsi="Times New Roman" w:cs="Times New Roman"/>
          <w:sz w:val="24"/>
          <w:szCs w:val="24"/>
        </w:rPr>
        <w:t xml:space="preserve"> is dependent on the type of semiconductor, with </w:t>
      </w:r>
      <w:r>
        <w:rPr>
          <w:rFonts w:ascii="Times New Roman" w:hAnsi="Times New Roman" w:cs="Times New Roman"/>
          <w:i/>
          <w:iCs/>
          <w:sz w:val="24"/>
          <w:szCs w:val="24"/>
        </w:rPr>
        <w:t>n</w:t>
      </w:r>
      <w:r>
        <w:rPr>
          <w:rFonts w:ascii="Times New Roman" w:hAnsi="Times New Roman" w:cs="Times New Roman"/>
          <w:sz w:val="24"/>
          <w:szCs w:val="24"/>
        </w:rPr>
        <w:t xml:space="preserve">=1/2 for direct bandgap semiconductors and </w:t>
      </w:r>
      <w:r>
        <w:rPr>
          <w:rFonts w:ascii="Times New Roman" w:hAnsi="Times New Roman" w:cs="Times New Roman"/>
          <w:i/>
          <w:iCs/>
          <w:sz w:val="24"/>
          <w:szCs w:val="24"/>
        </w:rPr>
        <w:t>n</w:t>
      </w:r>
      <w:r>
        <w:rPr>
          <w:rFonts w:ascii="Times New Roman" w:hAnsi="Times New Roman" w:cs="Times New Roman"/>
          <w:sz w:val="24"/>
          <w:szCs w:val="24"/>
        </w:rPr>
        <w:t xml:space="preserve">=2 for indirect bandgap semiconductors. Perovskites are direct bandgap semiconductors, so take </w:t>
      </w:r>
      <w:r>
        <w:rPr>
          <w:rFonts w:ascii="Times New Roman" w:hAnsi="Times New Roman" w:cs="Times New Roman"/>
          <w:i/>
          <w:iCs/>
          <w:sz w:val="24"/>
          <w:szCs w:val="24"/>
        </w:rPr>
        <w:t>n</w:t>
      </w:r>
      <w:r>
        <w:rPr>
          <w:rFonts w:ascii="Times New Roman" w:hAnsi="Times New Roman" w:cs="Times New Roman"/>
          <w:sz w:val="24"/>
          <w:szCs w:val="24"/>
        </w:rPr>
        <w:t xml:space="preserve">=1/2. As shown in Fig. S1, </w:t>
      </w:r>
      <m:oMath>
        <m:sSup>
          <m:sSupPr>
            <m:ctrlPr>
              <w:rPr>
                <w:rFonts w:ascii="Cambria Math" w:hAnsi="Cambria Math" w:cs="Times New Roman"/>
                <w:i/>
                <w:sz w:val="24"/>
                <w:szCs w:val="24"/>
              </w:rPr>
            </m:ctrlPr>
          </m:sSupPr>
          <m:e>
            <m:r>
              <m:rPr/>
              <w:rPr>
                <w:rFonts w:ascii="Cambria Math" w:hAnsi="Cambria Math"/>
              </w:rPr>
              <m:t>(αℎν)</m:t>
            </m:r>
            <m:ctrlPr>
              <w:rPr>
                <w:rFonts w:ascii="Cambria Math" w:hAnsi="Cambria Math" w:cs="Times New Roman"/>
                <w:i/>
                <w:sz w:val="24"/>
                <w:szCs w:val="24"/>
              </w:rPr>
            </m:ctrlPr>
          </m:e>
          <m:sup>
            <m:r>
              <m:rPr/>
              <w:rPr>
                <w:rFonts w:ascii="Cambria Math" w:hAnsi="Cambria Math"/>
              </w:rPr>
              <m:t>2</m:t>
            </m:r>
            <m:ctrlPr>
              <w:rPr>
                <w:rFonts w:ascii="Cambria Math" w:hAnsi="Cambria Math" w:cs="Times New Roman"/>
                <w:i/>
                <w:sz w:val="24"/>
                <w:szCs w:val="24"/>
              </w:rPr>
            </m:ctrlPr>
          </m:sup>
        </m:sSup>
      </m:oMath>
      <w:r>
        <w:rPr>
          <w:rFonts w:hint="eastAsia" w:hAnsi="Cambria Math" w:cs="Times New Roman"/>
          <w:sz w:val="24"/>
          <w:szCs w:val="24"/>
        </w:rPr>
        <w:t xml:space="preserve"> </w:t>
      </w:r>
      <w:r>
        <w:rPr>
          <w:rFonts w:ascii="Times New Roman" w:hAnsi="Times New Roman" w:cs="Times New Roman"/>
          <w:sz w:val="24"/>
          <w:szCs w:val="24"/>
        </w:rPr>
        <w:t xml:space="preserve">is taken as the vertical coordinate and </w:t>
      </w:r>
      <m:oMath>
        <m:r>
          <m:rPr/>
          <w:rPr>
            <w:rFonts w:ascii="Cambria Math" w:hAnsi="Cambria Math"/>
          </w:rPr>
          <m:t>ℎν</m:t>
        </m:r>
      </m:oMath>
      <w:r>
        <w:rPr>
          <w:rFonts w:ascii="Times New Roman" w:hAnsi="Times New Roman" w:cs="Times New Roman"/>
          <w:sz w:val="24"/>
          <w:szCs w:val="24"/>
        </w:rPr>
        <w:t xml:space="preserve"> as the horizontal coordinate. The intercept between the line segment and the x-axis is taken as the bandgap width.</w:t>
      </w:r>
    </w:p>
    <w:p>
      <w:pPr>
        <w:spacing w:line="360" w:lineRule="auto"/>
        <w:jc w:val="center"/>
        <w:rPr>
          <w:rFonts w:ascii="Times New Roman" w:hAnsi="Times New Roman" w:cs="Times New Roman"/>
          <w:sz w:val="24"/>
          <w:szCs w:val="24"/>
        </w:rPr>
      </w:pPr>
      <w:r>
        <w:drawing>
          <wp:inline distT="0" distB="0" distL="0" distR="0">
            <wp:extent cx="2992755" cy="2525395"/>
            <wp:effectExtent l="0" t="0" r="0" b="8255"/>
            <wp:docPr id="2771479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47985"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96600" cy="2528382"/>
                    </a:xfrm>
                    <a:prstGeom prst="rect">
                      <a:avLst/>
                    </a:prstGeom>
                    <a:noFill/>
                    <a:ln>
                      <a:noFill/>
                    </a:ln>
                  </pic:spPr>
                </pic:pic>
              </a:graphicData>
            </a:graphic>
          </wp:inline>
        </w:drawing>
      </w:r>
    </w:p>
    <w:p>
      <w:pPr>
        <w:spacing w:line="360" w:lineRule="auto"/>
        <w:rPr>
          <w:rFonts w:ascii="Times New Roman" w:hAnsi="Times New Roman" w:cs="Times New Roman"/>
          <w:sz w:val="24"/>
          <w:szCs w:val="24"/>
        </w:rPr>
      </w:pPr>
      <w:r>
        <w:rPr>
          <w:rFonts w:hint="eastAsia" w:ascii="Times New Roman" w:hAnsi="Times New Roman" w:cs="Times New Roman"/>
          <w:b/>
          <w:bCs/>
          <w:sz w:val="24"/>
          <w:szCs w:val="24"/>
        </w:rPr>
        <w:t>Figure</w:t>
      </w:r>
      <w:r>
        <w:rPr>
          <w:rFonts w:ascii="Times New Roman" w:hAnsi="Times New Roman" w:cs="Times New Roman"/>
          <w:b/>
          <w:bCs/>
          <w:sz w:val="24"/>
          <w:szCs w:val="24"/>
        </w:rPr>
        <w:t xml:space="preserve"> S2. </w:t>
      </w:r>
      <w:r>
        <w:rPr>
          <w:rFonts w:ascii="Times New Roman" w:hAnsi="Times New Roman" w:cs="Times New Roman"/>
          <w:sz w:val="24"/>
          <w:szCs w:val="24"/>
        </w:rPr>
        <w:t>In-situ measured UV-vis spectra of Br-Cl exchange process with a DMPO: benzyl chloride volume ratio of 1:10.</w:t>
      </w:r>
    </w:p>
    <w:p>
      <w:pPr>
        <w:spacing w:line="360" w:lineRule="auto"/>
        <w:jc w:val="center"/>
        <w:rPr>
          <w:rFonts w:ascii="Times New Roman" w:hAnsi="Times New Roman" w:cs="Times New Roman"/>
          <w:sz w:val="24"/>
          <w:szCs w:val="24"/>
        </w:rPr>
      </w:pPr>
      <w:r>
        <w:drawing>
          <wp:inline distT="0" distB="0" distL="0" distR="0">
            <wp:extent cx="5274310" cy="3465195"/>
            <wp:effectExtent l="0" t="0" r="2540" b="1905"/>
            <wp:docPr id="49278888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88882" name="图片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3465195"/>
                    </a:xfrm>
                    <a:prstGeom prst="rect">
                      <a:avLst/>
                    </a:prstGeom>
                    <a:noFill/>
                    <a:ln>
                      <a:noFill/>
                    </a:ln>
                  </pic:spPr>
                </pic:pic>
              </a:graphicData>
            </a:graphic>
          </wp:inline>
        </w:drawing>
      </w:r>
    </w:p>
    <w:p>
      <w:pPr>
        <w:spacing w:line="360" w:lineRule="auto"/>
        <w:rPr>
          <w:rFonts w:ascii="Times New Roman" w:hAnsi="Times New Roman" w:cs="Times New Roman"/>
          <w:sz w:val="24"/>
          <w:szCs w:val="24"/>
        </w:rPr>
      </w:pPr>
      <w:r>
        <w:rPr>
          <w:rFonts w:hint="eastAsia" w:ascii="Times New Roman" w:hAnsi="Times New Roman" w:cs="Times New Roman"/>
          <w:b/>
          <w:bCs/>
          <w:sz w:val="24"/>
          <w:szCs w:val="24"/>
        </w:rPr>
        <w:t>F</w:t>
      </w:r>
      <w:r>
        <w:rPr>
          <w:rFonts w:ascii="Times New Roman" w:hAnsi="Times New Roman" w:cs="Times New Roman"/>
          <w:b/>
          <w:bCs/>
          <w:sz w:val="24"/>
          <w:szCs w:val="24"/>
        </w:rPr>
        <w:t>igure S3</w:t>
      </w:r>
      <w:r>
        <w:rPr>
          <w:rFonts w:ascii="Times New Roman" w:hAnsi="Times New Roman" w:cs="Times New Roman"/>
          <w:sz w:val="24"/>
          <w:szCs w:val="24"/>
        </w:rPr>
        <w:t>. SEM image of different position of a-c) MAPb</w:t>
      </w:r>
      <w:r>
        <w:rPr>
          <w:rFonts w:hint="eastAsia" w:ascii="Times New Roman" w:hAnsi="Times New Roman" w:cs="Times New Roman"/>
          <w:sz w:val="24"/>
          <w:szCs w:val="24"/>
        </w:rPr>
        <w:t>Br</w:t>
      </w:r>
      <w:r>
        <w:rPr>
          <w:rFonts w:ascii="Times New Roman" w:hAnsi="Times New Roman" w:cs="Times New Roman"/>
          <w:sz w:val="24"/>
          <w:szCs w:val="24"/>
          <w:vertAlign w:val="subscript"/>
        </w:rPr>
        <w:t>3</w:t>
      </w:r>
      <w:r>
        <w:rPr>
          <w:rFonts w:ascii="Times New Roman" w:hAnsi="Times New Roman" w:cs="Times New Roman"/>
          <w:sz w:val="24"/>
          <w:szCs w:val="24"/>
        </w:rPr>
        <w:t>- MAPbCl</w:t>
      </w:r>
      <w:r>
        <w:rPr>
          <w:rFonts w:ascii="Times New Roman" w:hAnsi="Times New Roman" w:cs="Times New Roman"/>
          <w:sz w:val="24"/>
          <w:szCs w:val="24"/>
          <w:vertAlign w:val="subscript"/>
        </w:rPr>
        <w:t>3</w:t>
      </w:r>
      <w:r>
        <w:rPr>
          <w:rFonts w:ascii="Times New Roman" w:hAnsi="Times New Roman" w:cs="Times New Roman"/>
          <w:sz w:val="24"/>
          <w:szCs w:val="24"/>
        </w:rPr>
        <w:t xml:space="preserve"> film, d-f) MAPbI</w:t>
      </w:r>
      <w:r>
        <w:rPr>
          <w:rFonts w:ascii="Times New Roman" w:hAnsi="Times New Roman" w:cs="Times New Roman"/>
          <w:sz w:val="24"/>
          <w:szCs w:val="24"/>
          <w:vertAlign w:val="subscript"/>
        </w:rPr>
        <w:t>3</w:t>
      </w:r>
      <w:r>
        <w:rPr>
          <w:rFonts w:ascii="Times New Roman" w:hAnsi="Times New Roman" w:cs="Times New Roman"/>
          <w:sz w:val="24"/>
          <w:szCs w:val="24"/>
        </w:rPr>
        <w:t>- MAPbBr</w:t>
      </w:r>
      <w:r>
        <w:rPr>
          <w:rFonts w:ascii="Times New Roman" w:hAnsi="Times New Roman" w:cs="Times New Roman"/>
          <w:sz w:val="24"/>
          <w:szCs w:val="24"/>
          <w:vertAlign w:val="subscript"/>
        </w:rPr>
        <w:t>3</w:t>
      </w:r>
      <w:r>
        <w:rPr>
          <w:rFonts w:ascii="Times New Roman" w:hAnsi="Times New Roman" w:cs="Times New Roman"/>
          <w:sz w:val="24"/>
          <w:szCs w:val="24"/>
        </w:rPr>
        <w:t xml:space="preserve"> film and g-h) MAPbI</w:t>
      </w:r>
      <w:r>
        <w:rPr>
          <w:rFonts w:ascii="Times New Roman" w:hAnsi="Times New Roman" w:cs="Times New Roman"/>
          <w:sz w:val="24"/>
          <w:szCs w:val="24"/>
          <w:vertAlign w:val="subscript"/>
        </w:rPr>
        <w:t>3</w:t>
      </w:r>
      <w:r>
        <w:rPr>
          <w:rFonts w:ascii="Times New Roman" w:hAnsi="Times New Roman" w:cs="Times New Roman"/>
          <w:sz w:val="24"/>
          <w:szCs w:val="24"/>
        </w:rPr>
        <w:t>- MAPbBr</w:t>
      </w:r>
      <w:r>
        <w:rPr>
          <w:rFonts w:ascii="Times New Roman" w:hAnsi="Times New Roman" w:cs="Times New Roman"/>
          <w:sz w:val="24"/>
          <w:szCs w:val="24"/>
          <w:vertAlign w:val="subscript"/>
        </w:rPr>
        <w:t>3</w:t>
      </w:r>
      <w:r>
        <w:rPr>
          <w:rFonts w:ascii="Times New Roman" w:hAnsi="Times New Roman" w:cs="Times New Roman"/>
          <w:sz w:val="24"/>
          <w:szCs w:val="24"/>
        </w:rPr>
        <w:t>- MAPbCl</w:t>
      </w:r>
      <w:r>
        <w:rPr>
          <w:rFonts w:ascii="Times New Roman" w:hAnsi="Times New Roman" w:cs="Times New Roman"/>
          <w:sz w:val="24"/>
          <w:szCs w:val="24"/>
          <w:vertAlign w:val="subscript"/>
        </w:rPr>
        <w:t>3</w:t>
      </w:r>
      <w:r>
        <w:rPr>
          <w:rFonts w:ascii="Times New Roman" w:hAnsi="Times New Roman" w:cs="Times New Roman"/>
          <w:sz w:val="24"/>
          <w:szCs w:val="24"/>
        </w:rPr>
        <w:t xml:space="preserve"> film, the scale bar equals to 1 um.</w:t>
      </w:r>
    </w:p>
    <w:p>
      <w:pPr>
        <w:spacing w:line="360" w:lineRule="auto"/>
        <w:ind w:firstLine="420"/>
        <w:rPr>
          <w:rFonts w:ascii="Times New Roman" w:hAnsi="Times New Roman" w:cs="Times New Roman"/>
          <w:sz w:val="24"/>
          <w:szCs w:val="24"/>
        </w:rPr>
      </w:pPr>
    </w:p>
    <w:p>
      <w:pPr>
        <w:spacing w:line="360" w:lineRule="auto"/>
        <w:jc w:val="center"/>
        <w:rPr>
          <w:rFonts w:ascii="Times New Roman" w:hAnsi="Times New Roman" w:cs="Times New Roman"/>
          <w:b/>
          <w:bCs/>
          <w:sz w:val="24"/>
          <w:szCs w:val="24"/>
        </w:rPr>
      </w:pPr>
      <w:r>
        <w:drawing>
          <wp:inline distT="0" distB="0" distL="0" distR="0">
            <wp:extent cx="5289550" cy="2263775"/>
            <wp:effectExtent l="0" t="0" r="6350" b="3175"/>
            <wp:docPr id="14439105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10532"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92118" cy="2265109"/>
                    </a:xfrm>
                    <a:prstGeom prst="rect">
                      <a:avLst/>
                    </a:prstGeom>
                    <a:noFill/>
                    <a:ln>
                      <a:noFill/>
                    </a:ln>
                  </pic:spPr>
                </pic:pic>
              </a:graphicData>
            </a:graphic>
          </wp:inline>
        </w:drawing>
      </w:r>
    </w:p>
    <w:p>
      <w:pPr>
        <w:spacing w:line="360" w:lineRule="auto"/>
        <w:rPr>
          <w:rFonts w:ascii="Times New Roman" w:hAnsi="Times New Roman" w:cs="Times New Roman"/>
          <w:sz w:val="24"/>
          <w:szCs w:val="24"/>
        </w:rPr>
      </w:pPr>
      <w:r>
        <w:rPr>
          <w:rFonts w:hint="eastAsia" w:ascii="Times New Roman" w:hAnsi="Times New Roman" w:cs="Times New Roman"/>
          <w:b/>
          <w:bCs/>
          <w:sz w:val="24"/>
          <w:szCs w:val="24"/>
        </w:rPr>
        <w:t>F</w:t>
      </w:r>
      <w:r>
        <w:rPr>
          <w:rFonts w:ascii="Times New Roman" w:hAnsi="Times New Roman" w:cs="Times New Roman"/>
          <w:b/>
          <w:bCs/>
          <w:sz w:val="24"/>
          <w:szCs w:val="24"/>
        </w:rPr>
        <w:t xml:space="preserve">igure S4. </w:t>
      </w:r>
      <w:r>
        <w:rPr>
          <w:rFonts w:ascii="Times New Roman" w:hAnsi="Times New Roman" w:cs="Times New Roman"/>
          <w:sz w:val="24"/>
          <w:szCs w:val="24"/>
        </w:rPr>
        <w:t>Comparation of UV-vis spectra in and out of solution after 2min of reaction during a) MAPbBr</w:t>
      </w:r>
      <w:r>
        <w:rPr>
          <w:rFonts w:ascii="Times New Roman" w:hAnsi="Times New Roman" w:cs="Times New Roman"/>
          <w:sz w:val="24"/>
          <w:szCs w:val="24"/>
          <w:vertAlign w:val="subscript"/>
        </w:rPr>
        <w:t>3</w:t>
      </w:r>
      <w:r>
        <w:rPr>
          <w:rFonts w:ascii="Times New Roman" w:hAnsi="Times New Roman" w:cs="Times New Roman"/>
          <w:sz w:val="24"/>
          <w:szCs w:val="24"/>
        </w:rPr>
        <w:t>- MAPbCl</w:t>
      </w:r>
      <w:r>
        <w:rPr>
          <w:rFonts w:ascii="Times New Roman" w:hAnsi="Times New Roman" w:cs="Times New Roman"/>
          <w:sz w:val="24"/>
          <w:szCs w:val="24"/>
          <w:vertAlign w:val="subscript"/>
        </w:rPr>
        <w:t>3</w:t>
      </w:r>
      <w:r>
        <w:rPr>
          <w:rFonts w:ascii="Times New Roman" w:hAnsi="Times New Roman" w:cs="Times New Roman"/>
          <w:sz w:val="24"/>
          <w:szCs w:val="24"/>
        </w:rPr>
        <w:t xml:space="preserve"> and b) MAPbI</w:t>
      </w:r>
      <w:r>
        <w:rPr>
          <w:rFonts w:ascii="Times New Roman" w:hAnsi="Times New Roman" w:cs="Times New Roman"/>
          <w:sz w:val="24"/>
          <w:szCs w:val="24"/>
          <w:vertAlign w:val="subscript"/>
        </w:rPr>
        <w:t>3</w:t>
      </w:r>
      <w:r>
        <w:rPr>
          <w:rFonts w:ascii="Times New Roman" w:hAnsi="Times New Roman" w:cs="Times New Roman"/>
          <w:sz w:val="24"/>
          <w:szCs w:val="24"/>
        </w:rPr>
        <w:t>- MAPbBr</w:t>
      </w:r>
      <w:r>
        <w:rPr>
          <w:rFonts w:ascii="Times New Roman" w:hAnsi="Times New Roman" w:cs="Times New Roman"/>
          <w:sz w:val="24"/>
          <w:szCs w:val="24"/>
          <w:vertAlign w:val="subscript"/>
        </w:rPr>
        <w:t xml:space="preserve">3 </w:t>
      </w:r>
      <w:r>
        <w:rPr>
          <w:rFonts w:ascii="Times New Roman" w:hAnsi="Times New Roman" w:cs="Times New Roman"/>
          <w:sz w:val="24"/>
          <w:szCs w:val="24"/>
        </w:rPr>
        <w:t>exchange</w:t>
      </w:r>
      <w:r>
        <w:rPr>
          <w:rFonts w:ascii="Times New Roman" w:hAnsi="Times New Roman" w:cs="Times New Roman"/>
          <w:sz w:val="24"/>
          <w:szCs w:val="24"/>
          <w:vertAlign w:val="subscript"/>
        </w:rPr>
        <w:t xml:space="preserve"> </w:t>
      </w:r>
      <w:r>
        <w:rPr>
          <w:rFonts w:ascii="Times New Roman" w:hAnsi="Times New Roman" w:cs="Times New Roman"/>
          <w:sz w:val="24"/>
          <w:szCs w:val="24"/>
        </w:rPr>
        <w:t>process).</w:t>
      </w:r>
    </w:p>
    <w:p>
      <w:pPr>
        <w:spacing w:line="360" w:lineRule="auto"/>
        <w:rPr>
          <w:rFonts w:ascii="Times New Roman" w:hAnsi="Times New Roman" w:cs="Times New Roman"/>
          <w:sz w:val="24"/>
          <w:szCs w:val="24"/>
        </w:rPr>
      </w:pPr>
    </w:p>
    <w:p>
      <w:pPr>
        <w:spacing w:line="360" w:lineRule="auto"/>
        <w:ind w:firstLine="420"/>
        <w:rPr>
          <w:rFonts w:ascii="Times New Roman" w:hAnsi="Times New Roman" w:cs="Times New Roman"/>
          <w:sz w:val="24"/>
          <w:szCs w:val="24"/>
        </w:rPr>
      </w:pPr>
      <w:r>
        <w:rPr>
          <w:rFonts w:ascii="Times New Roman" w:hAnsi="Times New Roman" w:cs="Times New Roman"/>
          <w:sz w:val="24"/>
          <w:szCs w:val="24"/>
        </w:rPr>
        <w:t>The MAPbI</w:t>
      </w:r>
      <w:r>
        <w:rPr>
          <w:rFonts w:ascii="Times New Roman" w:hAnsi="Times New Roman" w:cs="Times New Roman"/>
          <w:sz w:val="24"/>
          <w:szCs w:val="24"/>
          <w:vertAlign w:val="subscript"/>
        </w:rPr>
        <w:t>3</w:t>
      </w:r>
      <w:r>
        <w:rPr>
          <w:rFonts w:ascii="Times New Roman" w:hAnsi="Times New Roman" w:cs="Times New Roman"/>
          <w:sz w:val="24"/>
          <w:szCs w:val="24"/>
        </w:rPr>
        <w:t xml:space="preserve"> film was removed from the solution after 2min and then immersed in toluene anti-solvent to terminate the exchange. The absorption spectrum obtained was shown in Figure S4b. The results measured outside the solution have a clear absorption onset at ~625 nm, indicating the exchange reaction was processing but cannot be measured in the solution because of the effect of the exchange solution. Similarly, the he absorption spectrum of MAPbBr</w:t>
      </w:r>
      <w:r>
        <w:rPr>
          <w:rFonts w:ascii="Times New Roman" w:hAnsi="Times New Roman" w:cs="Times New Roman"/>
          <w:sz w:val="24"/>
          <w:szCs w:val="24"/>
          <w:vertAlign w:val="subscript"/>
        </w:rPr>
        <w:t>3</w:t>
      </w:r>
      <w:r>
        <w:rPr>
          <w:rFonts w:ascii="Times New Roman" w:hAnsi="Times New Roman" w:cs="Times New Roman"/>
          <w:sz w:val="24"/>
          <w:szCs w:val="24"/>
        </w:rPr>
        <w:t xml:space="preserve"> film (Figure S4a) under same condition also showed an absorption onset at ~485 nm, which could not be measured in solution. Therefore, the evolving of absorption onset persisted during ion exchange reaction, the observed spectrum can be used to study the reaction kinetic.</w:t>
      </w:r>
    </w:p>
    <w:p>
      <w:pPr>
        <w:spacing w:line="360" w:lineRule="auto"/>
        <w:rPr>
          <w:rFonts w:ascii="Times New Roman" w:hAnsi="Times New Roman" w:cs="Times New Roman"/>
          <w:sz w:val="24"/>
          <w:szCs w:val="24"/>
        </w:rPr>
      </w:pPr>
    </w:p>
    <w:p>
      <w:pPr>
        <w:spacing w:line="360" w:lineRule="auto"/>
        <w:jc w:val="center"/>
        <w:rPr>
          <w:rFonts w:ascii="Times New Roman" w:hAnsi="Times New Roman" w:cs="Times New Roman"/>
          <w:b/>
          <w:bCs/>
          <w:sz w:val="24"/>
          <w:szCs w:val="24"/>
        </w:rPr>
      </w:pPr>
      <w:r>
        <w:drawing>
          <wp:inline distT="0" distB="0" distL="0" distR="0">
            <wp:extent cx="5111750" cy="2339975"/>
            <wp:effectExtent l="0" t="0" r="0" b="3175"/>
            <wp:docPr id="13426013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01342"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118803" cy="2343549"/>
                    </a:xfrm>
                    <a:prstGeom prst="rect">
                      <a:avLst/>
                    </a:prstGeom>
                    <a:noFill/>
                    <a:ln>
                      <a:noFill/>
                    </a:ln>
                  </pic:spPr>
                </pic:pic>
              </a:graphicData>
            </a:graphic>
          </wp:inline>
        </w:drawing>
      </w:r>
    </w:p>
    <w:p>
      <w:pPr>
        <w:spacing w:line="360" w:lineRule="auto"/>
        <w:rPr>
          <w:rFonts w:ascii="Times New Roman" w:hAnsi="Times New Roman" w:cs="Times New Roman"/>
          <w:b/>
          <w:bCs/>
          <w:sz w:val="24"/>
          <w:szCs w:val="24"/>
        </w:rPr>
      </w:pPr>
      <w:r>
        <w:rPr>
          <w:rFonts w:hint="eastAsia" w:ascii="Times New Roman" w:hAnsi="Times New Roman" w:cs="Times New Roman"/>
          <w:b/>
          <w:bCs/>
          <w:sz w:val="24"/>
          <w:szCs w:val="24"/>
        </w:rPr>
        <w:t>Fi</w:t>
      </w:r>
      <w:r>
        <w:rPr>
          <w:rFonts w:ascii="Times New Roman" w:hAnsi="Times New Roman" w:cs="Times New Roman"/>
          <w:b/>
          <w:bCs/>
          <w:sz w:val="24"/>
          <w:szCs w:val="24"/>
        </w:rPr>
        <w:t xml:space="preserve">gure S5. </w:t>
      </w:r>
      <w:r>
        <w:rPr>
          <w:rFonts w:ascii="Times New Roman" w:hAnsi="Times New Roman" w:cs="Times New Roman"/>
          <w:sz w:val="24"/>
          <w:szCs w:val="24"/>
        </w:rPr>
        <w:t>XRD spectrum at different position of a) MAPbBr</w:t>
      </w:r>
      <w:r>
        <w:rPr>
          <w:rFonts w:ascii="Times New Roman" w:hAnsi="Times New Roman" w:cs="Times New Roman"/>
          <w:sz w:val="24"/>
          <w:szCs w:val="24"/>
          <w:vertAlign w:val="subscript"/>
        </w:rPr>
        <w:t>3</w:t>
      </w:r>
      <w:r>
        <w:rPr>
          <w:rFonts w:ascii="Times New Roman" w:hAnsi="Times New Roman" w:cs="Times New Roman"/>
          <w:sz w:val="24"/>
          <w:szCs w:val="24"/>
        </w:rPr>
        <w:t>- MAPbCl</w:t>
      </w:r>
      <w:r>
        <w:rPr>
          <w:rFonts w:ascii="Times New Roman" w:hAnsi="Times New Roman" w:cs="Times New Roman"/>
          <w:sz w:val="24"/>
          <w:szCs w:val="24"/>
          <w:vertAlign w:val="subscript"/>
        </w:rPr>
        <w:t>3</w:t>
      </w:r>
      <w:r>
        <w:rPr>
          <w:rFonts w:ascii="Times New Roman" w:hAnsi="Times New Roman" w:cs="Times New Roman"/>
          <w:sz w:val="24"/>
          <w:szCs w:val="24"/>
        </w:rPr>
        <w:t xml:space="preserve"> film and b) MAPbI</w:t>
      </w:r>
      <w:r>
        <w:rPr>
          <w:rFonts w:ascii="Times New Roman" w:hAnsi="Times New Roman" w:cs="Times New Roman"/>
          <w:sz w:val="24"/>
          <w:szCs w:val="24"/>
          <w:vertAlign w:val="subscript"/>
        </w:rPr>
        <w:t>3</w:t>
      </w:r>
      <w:r>
        <w:rPr>
          <w:rFonts w:ascii="Times New Roman" w:hAnsi="Times New Roman" w:cs="Times New Roman"/>
          <w:sz w:val="24"/>
          <w:szCs w:val="24"/>
        </w:rPr>
        <w:t>- MAPbBr</w:t>
      </w:r>
      <w:r>
        <w:rPr>
          <w:rFonts w:ascii="Times New Roman" w:hAnsi="Times New Roman" w:cs="Times New Roman"/>
          <w:sz w:val="24"/>
          <w:szCs w:val="24"/>
          <w:vertAlign w:val="subscript"/>
        </w:rPr>
        <w:t>3</w:t>
      </w:r>
      <w:r>
        <w:rPr>
          <w:rFonts w:ascii="Times New Roman" w:hAnsi="Times New Roman" w:cs="Times New Roman"/>
          <w:sz w:val="24"/>
          <w:szCs w:val="24"/>
        </w:rPr>
        <w:t xml:space="preserve"> GBPF.</w:t>
      </w:r>
    </w:p>
    <w:p>
      <w:pPr>
        <w:spacing w:line="360" w:lineRule="auto"/>
        <w:rPr>
          <w:rFonts w:ascii="Times New Roman" w:hAnsi="Times New Roman" w:cs="Times New Roman"/>
          <w:sz w:val="24"/>
          <w:szCs w:val="24"/>
        </w:rPr>
      </w:pPr>
    </w:p>
    <w:p>
      <w:pPr>
        <w:spacing w:line="360" w:lineRule="auto"/>
        <w:jc w:val="center"/>
        <w:rPr>
          <w:rFonts w:ascii="Times New Roman" w:hAnsi="Times New Roman" w:cs="Times New Roman"/>
          <w:b/>
          <w:bCs/>
          <w:sz w:val="24"/>
          <w:szCs w:val="24"/>
        </w:rPr>
      </w:pPr>
      <w:r>
        <w:drawing>
          <wp:inline distT="0" distB="0" distL="0" distR="0">
            <wp:extent cx="2819400" cy="2378710"/>
            <wp:effectExtent l="0" t="0" r="0" b="2540"/>
            <wp:docPr id="17654453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45315"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26459" cy="2384825"/>
                    </a:xfrm>
                    <a:prstGeom prst="rect">
                      <a:avLst/>
                    </a:prstGeom>
                    <a:noFill/>
                    <a:ln>
                      <a:noFill/>
                    </a:ln>
                  </pic:spPr>
                </pic:pic>
              </a:graphicData>
            </a:graphic>
          </wp:inline>
        </w:drawing>
      </w:r>
    </w:p>
    <w:p>
      <w:pPr>
        <w:spacing w:line="360" w:lineRule="auto"/>
        <w:rPr>
          <w:rFonts w:ascii="Times New Roman" w:hAnsi="Times New Roman" w:cs="Times New Roman"/>
          <w:sz w:val="24"/>
          <w:szCs w:val="24"/>
        </w:rPr>
      </w:pPr>
      <w:r>
        <w:rPr>
          <w:rFonts w:hint="eastAsia" w:ascii="Times New Roman" w:hAnsi="Times New Roman" w:cs="Times New Roman"/>
          <w:b/>
          <w:bCs/>
          <w:sz w:val="24"/>
          <w:szCs w:val="24"/>
        </w:rPr>
        <w:t>F</w:t>
      </w:r>
      <w:r>
        <w:rPr>
          <w:rFonts w:ascii="Times New Roman" w:hAnsi="Times New Roman" w:cs="Times New Roman"/>
          <w:b/>
          <w:bCs/>
          <w:sz w:val="24"/>
          <w:szCs w:val="24"/>
        </w:rPr>
        <w:t xml:space="preserve">igure S6. </w:t>
      </w:r>
      <w:r>
        <w:rPr>
          <w:rFonts w:ascii="Times New Roman" w:hAnsi="Times New Roman" w:cs="Times New Roman"/>
          <w:sz w:val="24"/>
          <w:szCs w:val="24"/>
        </w:rPr>
        <w:t>Comparation of bandgaps at different position when exchanged with volume ratio of 10:1, reaction time of 2 min and 2 min 30 s of MAPb</w:t>
      </w:r>
      <w:r>
        <w:rPr>
          <w:rFonts w:hint="eastAsia" w:ascii="Times New Roman" w:hAnsi="Times New Roman" w:cs="Times New Roman"/>
          <w:sz w:val="24"/>
          <w:szCs w:val="24"/>
        </w:rPr>
        <w:t>Br</w:t>
      </w:r>
      <w:r>
        <w:rPr>
          <w:rFonts w:ascii="Times New Roman" w:hAnsi="Times New Roman" w:cs="Times New Roman"/>
          <w:sz w:val="24"/>
          <w:szCs w:val="24"/>
          <w:vertAlign w:val="subscript"/>
        </w:rPr>
        <w:t>3</w:t>
      </w:r>
      <w:r>
        <w:rPr>
          <w:rFonts w:ascii="Times New Roman" w:hAnsi="Times New Roman" w:cs="Times New Roman"/>
          <w:sz w:val="24"/>
          <w:szCs w:val="24"/>
        </w:rPr>
        <w:t>- MAPbCl</w:t>
      </w:r>
      <w:r>
        <w:rPr>
          <w:rFonts w:ascii="Times New Roman" w:hAnsi="Times New Roman" w:cs="Times New Roman"/>
          <w:sz w:val="24"/>
          <w:szCs w:val="24"/>
          <w:vertAlign w:val="subscript"/>
        </w:rPr>
        <w:t>3</w:t>
      </w:r>
      <w:r>
        <w:rPr>
          <w:rFonts w:ascii="Times New Roman" w:hAnsi="Times New Roman" w:cs="Times New Roman"/>
          <w:sz w:val="24"/>
          <w:szCs w:val="24"/>
        </w:rPr>
        <w:t xml:space="preserve"> film.</w:t>
      </w:r>
    </w:p>
    <w:p>
      <w:pPr>
        <w:spacing w:line="360" w:lineRule="auto"/>
        <w:rPr>
          <w:rFonts w:ascii="Times New Roman" w:hAnsi="Times New Roman" w:cs="Times New Roman"/>
          <w:b/>
          <w:bCs/>
          <w:sz w:val="24"/>
          <w:szCs w:val="24"/>
        </w:rPr>
      </w:pPr>
    </w:p>
    <w:p>
      <w:pPr>
        <w:spacing w:line="360" w:lineRule="auto"/>
        <w:jc w:val="center"/>
        <w:rPr>
          <w:rFonts w:ascii="Times New Roman" w:hAnsi="Times New Roman" w:cs="Times New Roman"/>
          <w:b/>
          <w:bCs/>
          <w:sz w:val="24"/>
          <w:szCs w:val="24"/>
        </w:rPr>
      </w:pPr>
      <w:r>
        <w:drawing>
          <wp:inline distT="0" distB="0" distL="0" distR="0">
            <wp:extent cx="5624195" cy="2590800"/>
            <wp:effectExtent l="0" t="0" r="0" b="0"/>
            <wp:docPr id="8017260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26075"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632072" cy="2594301"/>
                    </a:xfrm>
                    <a:prstGeom prst="rect">
                      <a:avLst/>
                    </a:prstGeom>
                    <a:noFill/>
                    <a:ln>
                      <a:noFill/>
                    </a:ln>
                  </pic:spPr>
                </pic:pic>
              </a:graphicData>
            </a:graphic>
          </wp:inline>
        </w:drawing>
      </w:r>
    </w:p>
    <w:p>
      <w:pPr>
        <w:spacing w:line="360" w:lineRule="auto"/>
        <w:rPr>
          <w:rFonts w:ascii="Times New Roman" w:hAnsi="Times New Roman" w:cs="Times New Roman"/>
          <w:sz w:val="24"/>
          <w:szCs w:val="24"/>
        </w:rPr>
      </w:pPr>
      <w:r>
        <w:rPr>
          <w:rFonts w:hint="eastAsia" w:ascii="Times New Roman" w:hAnsi="Times New Roman" w:cs="Times New Roman"/>
          <w:b/>
          <w:bCs/>
          <w:sz w:val="24"/>
          <w:szCs w:val="24"/>
        </w:rPr>
        <w:t>F</w:t>
      </w:r>
      <w:r>
        <w:rPr>
          <w:rFonts w:ascii="Times New Roman" w:hAnsi="Times New Roman" w:cs="Times New Roman"/>
          <w:b/>
          <w:bCs/>
          <w:sz w:val="24"/>
          <w:szCs w:val="24"/>
        </w:rPr>
        <w:t>igure S7.</w:t>
      </w:r>
      <w:r>
        <w:rPr>
          <w:rFonts w:ascii="Times New Roman" w:hAnsi="Times New Roman" w:cs="Times New Roman"/>
          <w:sz w:val="24"/>
          <w:szCs w:val="24"/>
        </w:rPr>
        <w:t xml:space="preserve"> a) UV-vis spectra measured at different position in the graded region of </w:t>
      </w:r>
      <w:bookmarkStart w:id="3" w:name="OLE_LINK5"/>
      <w:r>
        <w:rPr>
          <w:rFonts w:ascii="Times New Roman" w:hAnsi="Times New Roman" w:cs="Times New Roman"/>
          <w:sz w:val="24"/>
          <w:szCs w:val="24"/>
        </w:rPr>
        <w:t>MAPbI</w:t>
      </w:r>
      <w:r>
        <w:rPr>
          <w:rFonts w:ascii="Times New Roman" w:hAnsi="Times New Roman" w:cs="Times New Roman"/>
          <w:sz w:val="24"/>
          <w:szCs w:val="24"/>
          <w:vertAlign w:val="subscript"/>
        </w:rPr>
        <w:t>3</w:t>
      </w:r>
      <w:r>
        <w:rPr>
          <w:rFonts w:ascii="Times New Roman" w:hAnsi="Times New Roman" w:cs="Times New Roman"/>
          <w:sz w:val="24"/>
          <w:szCs w:val="24"/>
        </w:rPr>
        <w:t>- MAPbBr</w:t>
      </w:r>
      <w:r>
        <w:rPr>
          <w:rFonts w:ascii="Times New Roman" w:hAnsi="Times New Roman" w:cs="Times New Roman"/>
          <w:sz w:val="24"/>
          <w:szCs w:val="24"/>
          <w:vertAlign w:val="subscript"/>
        </w:rPr>
        <w:t>3</w:t>
      </w:r>
      <w:bookmarkEnd w:id="3"/>
      <w:r>
        <w:rPr>
          <w:rFonts w:ascii="Times New Roman" w:hAnsi="Times New Roman" w:cs="Times New Roman"/>
          <w:sz w:val="24"/>
          <w:szCs w:val="24"/>
        </w:rPr>
        <w:t xml:space="preserve"> with volume ratio of 70:1, reaction time of 2min. b) Bandgaps at different position when exchanged with different volume ratio of MAPbI</w:t>
      </w:r>
      <w:r>
        <w:rPr>
          <w:rFonts w:ascii="Times New Roman" w:hAnsi="Times New Roman" w:cs="Times New Roman"/>
          <w:sz w:val="24"/>
          <w:szCs w:val="24"/>
          <w:vertAlign w:val="subscript"/>
        </w:rPr>
        <w:t>3</w:t>
      </w:r>
      <w:r>
        <w:rPr>
          <w:rFonts w:ascii="Times New Roman" w:hAnsi="Times New Roman" w:cs="Times New Roman"/>
          <w:sz w:val="24"/>
          <w:szCs w:val="24"/>
        </w:rPr>
        <w:t>- MAPbBr</w:t>
      </w:r>
      <w:r>
        <w:rPr>
          <w:rFonts w:ascii="Times New Roman" w:hAnsi="Times New Roman" w:cs="Times New Roman"/>
          <w:sz w:val="24"/>
          <w:szCs w:val="24"/>
          <w:vertAlign w:val="subscript"/>
        </w:rPr>
        <w:t>3</w:t>
      </w:r>
      <w:r>
        <w:rPr>
          <w:rFonts w:ascii="Times New Roman" w:hAnsi="Times New Roman" w:cs="Times New Roman"/>
          <w:sz w:val="24"/>
          <w:szCs w:val="24"/>
        </w:rPr>
        <w:t xml:space="preserve"> film).</w:t>
      </w:r>
    </w:p>
    <w:p>
      <w:pPr>
        <w:spacing w:line="360" w:lineRule="auto"/>
        <w:rPr>
          <w:rFonts w:ascii="Times New Roman" w:hAnsi="Times New Roman" w:cs="Times New Roman"/>
          <w:b/>
          <w:bCs/>
          <w:sz w:val="24"/>
          <w:szCs w:val="24"/>
        </w:rPr>
      </w:pPr>
    </w:p>
    <w:p>
      <w:pPr>
        <w:spacing w:line="360" w:lineRule="auto"/>
        <w:jc w:val="center"/>
        <w:rPr>
          <w:rFonts w:ascii="Times New Roman" w:hAnsi="Times New Roman" w:cs="Times New Roman"/>
          <w:b/>
          <w:bCs/>
          <w:sz w:val="24"/>
          <w:szCs w:val="24"/>
        </w:rPr>
      </w:pPr>
      <w:r>
        <w:drawing>
          <wp:inline distT="0" distB="0" distL="0" distR="0">
            <wp:extent cx="2876550" cy="2426970"/>
            <wp:effectExtent l="0" t="0" r="0" b="0"/>
            <wp:docPr id="3247240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24042" name="图片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880326" cy="2430275"/>
                    </a:xfrm>
                    <a:prstGeom prst="rect">
                      <a:avLst/>
                    </a:prstGeom>
                    <a:noFill/>
                    <a:ln>
                      <a:noFill/>
                    </a:ln>
                  </pic:spPr>
                </pic:pic>
              </a:graphicData>
            </a:graphic>
          </wp:inline>
        </w:drawing>
      </w:r>
    </w:p>
    <w:p>
      <w:pPr>
        <w:spacing w:line="360" w:lineRule="auto"/>
        <w:rPr>
          <w:rFonts w:ascii="Times New Roman" w:hAnsi="Times New Roman" w:cs="Times New Roman"/>
          <w:b/>
          <w:bCs/>
          <w:sz w:val="24"/>
          <w:szCs w:val="24"/>
        </w:rPr>
      </w:pPr>
      <w:r>
        <w:rPr>
          <w:rFonts w:hint="eastAsia" w:ascii="Times New Roman" w:hAnsi="Times New Roman" w:cs="Times New Roman"/>
          <w:b/>
          <w:bCs/>
          <w:sz w:val="24"/>
          <w:szCs w:val="24"/>
        </w:rPr>
        <w:t>F</w:t>
      </w:r>
      <w:r>
        <w:rPr>
          <w:rFonts w:ascii="Times New Roman" w:hAnsi="Times New Roman" w:cs="Times New Roman"/>
          <w:b/>
          <w:bCs/>
          <w:sz w:val="24"/>
          <w:szCs w:val="24"/>
        </w:rPr>
        <w:t>igure S8.</w:t>
      </w:r>
      <w:r>
        <w:rPr>
          <w:rFonts w:ascii="Times New Roman" w:hAnsi="Times New Roman" w:cs="Times New Roman"/>
          <w:sz w:val="24"/>
          <w:szCs w:val="24"/>
        </w:rPr>
        <w:t xml:space="preserve"> Bandgaps of I part at different position when exchanged with different volume ratio of </w:t>
      </w:r>
      <w:bookmarkStart w:id="4" w:name="OLE_LINK4"/>
      <w:r>
        <w:rPr>
          <w:rFonts w:ascii="Times New Roman" w:hAnsi="Times New Roman" w:cs="Times New Roman"/>
          <w:sz w:val="24"/>
          <w:szCs w:val="24"/>
        </w:rPr>
        <w:t>MAPbI</w:t>
      </w:r>
      <w:r>
        <w:rPr>
          <w:rFonts w:ascii="Times New Roman" w:hAnsi="Times New Roman" w:cs="Times New Roman"/>
          <w:sz w:val="24"/>
          <w:szCs w:val="24"/>
          <w:vertAlign w:val="subscript"/>
        </w:rPr>
        <w:t>3</w:t>
      </w:r>
      <w:r>
        <w:rPr>
          <w:rFonts w:ascii="Times New Roman" w:hAnsi="Times New Roman" w:cs="Times New Roman"/>
          <w:sz w:val="24"/>
          <w:szCs w:val="24"/>
        </w:rPr>
        <w:t>- MAPbBr</w:t>
      </w:r>
      <w:r>
        <w:rPr>
          <w:rFonts w:ascii="Times New Roman" w:hAnsi="Times New Roman" w:cs="Times New Roman"/>
          <w:sz w:val="24"/>
          <w:szCs w:val="24"/>
          <w:vertAlign w:val="subscript"/>
        </w:rPr>
        <w:t>3</w:t>
      </w:r>
      <w:bookmarkEnd w:id="4"/>
      <w:r>
        <w:rPr>
          <w:rFonts w:ascii="Times New Roman" w:hAnsi="Times New Roman" w:cs="Times New Roman"/>
          <w:sz w:val="24"/>
          <w:szCs w:val="24"/>
        </w:rPr>
        <w:t xml:space="preserve"> film after 2 day.</w:t>
      </w:r>
    </w:p>
    <w:p>
      <w:pPr>
        <w:spacing w:line="360" w:lineRule="auto"/>
        <w:rPr>
          <w:rFonts w:ascii="Times New Roman" w:hAnsi="Times New Roman" w:cs="Times New Roman"/>
          <w:b/>
          <w:bCs/>
          <w:sz w:val="24"/>
          <w:szCs w:val="24"/>
        </w:rPr>
      </w:pPr>
    </w:p>
    <w:p>
      <w:pPr>
        <w:spacing w:line="360" w:lineRule="auto"/>
        <w:rPr>
          <w:rFonts w:ascii="Times New Roman" w:hAnsi="Times New Roman" w:cs="Times New Roman"/>
          <w:b/>
          <w:bCs/>
          <w:sz w:val="24"/>
          <w:szCs w:val="24"/>
        </w:rPr>
      </w:pPr>
      <w:r>
        <w:drawing>
          <wp:inline distT="0" distB="0" distL="0" distR="0">
            <wp:extent cx="5735320" cy="3221990"/>
            <wp:effectExtent l="0" t="0" r="0" b="0"/>
            <wp:docPr id="11294677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67731" name="图片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45369" cy="3227533"/>
                    </a:xfrm>
                    <a:prstGeom prst="rect">
                      <a:avLst/>
                    </a:prstGeom>
                    <a:noFill/>
                    <a:ln>
                      <a:noFill/>
                    </a:ln>
                  </pic:spPr>
                </pic:pic>
              </a:graphicData>
            </a:graphic>
          </wp:inline>
        </w:drawing>
      </w:r>
    </w:p>
    <w:p>
      <w:pPr>
        <w:spacing w:line="360" w:lineRule="auto"/>
        <w:rPr>
          <w:rFonts w:ascii="Times New Roman" w:hAnsi="Times New Roman" w:cs="Times New Roman"/>
          <w:sz w:val="24"/>
          <w:szCs w:val="24"/>
        </w:rPr>
      </w:pPr>
      <w:r>
        <w:rPr>
          <w:rFonts w:hint="eastAsia" w:ascii="Times New Roman" w:hAnsi="Times New Roman" w:cs="Times New Roman"/>
          <w:b/>
          <w:bCs/>
          <w:sz w:val="24"/>
          <w:szCs w:val="24"/>
        </w:rPr>
        <w:t>F</w:t>
      </w:r>
      <w:r>
        <w:rPr>
          <w:rFonts w:ascii="Times New Roman" w:hAnsi="Times New Roman" w:cs="Times New Roman"/>
          <w:b/>
          <w:bCs/>
          <w:sz w:val="24"/>
          <w:szCs w:val="24"/>
        </w:rPr>
        <w:t xml:space="preserve">igure S9. </w:t>
      </w:r>
      <w:r>
        <w:rPr>
          <w:rFonts w:ascii="Times New Roman" w:hAnsi="Times New Roman" w:cs="Times New Roman"/>
          <w:sz w:val="24"/>
          <w:szCs w:val="24"/>
        </w:rPr>
        <w:t>a) UV-vis spectra measured at different position of MAPbBr</w:t>
      </w:r>
      <w:r>
        <w:rPr>
          <w:rFonts w:ascii="Times New Roman" w:hAnsi="Times New Roman" w:cs="Times New Roman"/>
          <w:sz w:val="24"/>
          <w:szCs w:val="24"/>
          <w:vertAlign w:val="subscript"/>
        </w:rPr>
        <w:t>3</w:t>
      </w:r>
      <w:r>
        <w:rPr>
          <w:rFonts w:ascii="Times New Roman" w:hAnsi="Times New Roman" w:cs="Times New Roman"/>
          <w:sz w:val="24"/>
          <w:szCs w:val="24"/>
        </w:rPr>
        <w:t>- MAPbCl</w:t>
      </w:r>
      <w:r>
        <w:rPr>
          <w:rFonts w:ascii="Times New Roman" w:hAnsi="Times New Roman" w:cs="Times New Roman"/>
          <w:sz w:val="24"/>
          <w:szCs w:val="24"/>
          <w:vertAlign w:val="subscript"/>
        </w:rPr>
        <w:t>3</w:t>
      </w:r>
      <w:r>
        <w:rPr>
          <w:rFonts w:ascii="Times New Roman" w:hAnsi="Times New Roman" w:cs="Times New Roman"/>
          <w:sz w:val="24"/>
          <w:szCs w:val="24"/>
        </w:rPr>
        <w:t xml:space="preserve"> GBPF after 1 day and b) 46 days with volume ratio of 10:1, reaction time of 2min. c) Comparation of bandgaps at different position of MAPbBr</w:t>
      </w:r>
      <w:r>
        <w:rPr>
          <w:rFonts w:ascii="Times New Roman" w:hAnsi="Times New Roman" w:cs="Times New Roman"/>
          <w:sz w:val="24"/>
          <w:szCs w:val="24"/>
          <w:vertAlign w:val="subscript"/>
        </w:rPr>
        <w:t>3</w:t>
      </w:r>
      <w:r>
        <w:rPr>
          <w:rFonts w:ascii="Times New Roman" w:hAnsi="Times New Roman" w:cs="Times New Roman"/>
          <w:sz w:val="24"/>
          <w:szCs w:val="24"/>
        </w:rPr>
        <w:t>- MAPbCl</w:t>
      </w:r>
      <w:r>
        <w:rPr>
          <w:rFonts w:ascii="Times New Roman" w:hAnsi="Times New Roman" w:cs="Times New Roman"/>
          <w:sz w:val="24"/>
          <w:szCs w:val="24"/>
          <w:vertAlign w:val="subscript"/>
        </w:rPr>
        <w:t>3</w:t>
      </w:r>
      <w:r>
        <w:rPr>
          <w:rFonts w:ascii="Times New Roman" w:hAnsi="Times New Roman" w:cs="Times New Roman"/>
          <w:sz w:val="24"/>
          <w:szCs w:val="24"/>
        </w:rPr>
        <w:t xml:space="preserve"> GBPF after 1 day and 46 days. d) UV-vis spectra measured at different position of MAPbI</w:t>
      </w:r>
      <w:r>
        <w:rPr>
          <w:rFonts w:ascii="Times New Roman" w:hAnsi="Times New Roman" w:cs="Times New Roman"/>
          <w:sz w:val="24"/>
          <w:szCs w:val="24"/>
          <w:vertAlign w:val="subscript"/>
        </w:rPr>
        <w:t>3</w:t>
      </w:r>
      <w:r>
        <w:rPr>
          <w:rFonts w:ascii="Times New Roman" w:hAnsi="Times New Roman" w:cs="Times New Roman"/>
          <w:sz w:val="24"/>
          <w:szCs w:val="24"/>
        </w:rPr>
        <w:t>- MAPbBr</w:t>
      </w:r>
      <w:r>
        <w:rPr>
          <w:rFonts w:ascii="Times New Roman" w:hAnsi="Times New Roman" w:cs="Times New Roman"/>
          <w:sz w:val="24"/>
          <w:szCs w:val="24"/>
          <w:vertAlign w:val="subscript"/>
        </w:rPr>
        <w:t>3</w:t>
      </w:r>
      <w:r>
        <w:rPr>
          <w:rFonts w:ascii="Times New Roman" w:hAnsi="Times New Roman" w:cs="Times New Roman"/>
          <w:sz w:val="24"/>
          <w:szCs w:val="24"/>
        </w:rPr>
        <w:t xml:space="preserve"> GBPF after 2 days and e) 42 days with volume ratio of 70:1, reaction time of 2min. f) Comparation of bandgaps at different position of MAPbI</w:t>
      </w:r>
      <w:r>
        <w:rPr>
          <w:rFonts w:ascii="Times New Roman" w:hAnsi="Times New Roman" w:cs="Times New Roman"/>
          <w:sz w:val="24"/>
          <w:szCs w:val="24"/>
          <w:vertAlign w:val="subscript"/>
        </w:rPr>
        <w:t>3</w:t>
      </w:r>
      <w:r>
        <w:rPr>
          <w:rFonts w:ascii="Times New Roman" w:hAnsi="Times New Roman" w:cs="Times New Roman"/>
          <w:sz w:val="24"/>
          <w:szCs w:val="24"/>
        </w:rPr>
        <w:t>- MAPbBr</w:t>
      </w:r>
      <w:r>
        <w:rPr>
          <w:rFonts w:ascii="Times New Roman" w:hAnsi="Times New Roman" w:cs="Times New Roman"/>
          <w:sz w:val="24"/>
          <w:szCs w:val="24"/>
          <w:vertAlign w:val="subscript"/>
        </w:rPr>
        <w:t>3</w:t>
      </w:r>
      <w:r>
        <w:rPr>
          <w:rFonts w:ascii="Times New Roman" w:hAnsi="Times New Roman" w:cs="Times New Roman"/>
          <w:sz w:val="24"/>
          <w:szCs w:val="24"/>
        </w:rPr>
        <w:t xml:space="preserve"> after 2 days and 42 days.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hint="eastAsia" w:ascii="Times New Roman" w:hAnsi="Times New Roman" w:cs="Times New Roman"/>
          <w:sz w:val="24"/>
          <w:szCs w:val="24"/>
        </w:rPr>
        <w:drawing>
          <wp:inline distT="0" distB="0" distL="114300" distR="114300">
            <wp:extent cx="5744210" cy="2307590"/>
            <wp:effectExtent l="0" t="0" r="8890" b="0"/>
            <wp:docPr id="4" name="图片 4" descr="图4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4 - 副本"/>
                    <pic:cNvPicPr>
                      <a:picLocks noChangeAspect="1"/>
                    </pic:cNvPicPr>
                  </pic:nvPicPr>
                  <pic:blipFill>
                    <a:blip r:embed="rId24"/>
                    <a:stretch>
                      <a:fillRect/>
                    </a:stretch>
                  </pic:blipFill>
                  <pic:spPr>
                    <a:xfrm>
                      <a:off x="0" y="0"/>
                      <a:ext cx="5760157" cy="2314051"/>
                    </a:xfrm>
                    <a:prstGeom prst="rect">
                      <a:avLst/>
                    </a:prstGeom>
                  </pic:spPr>
                </pic:pic>
              </a:graphicData>
            </a:graphic>
          </wp:inline>
        </w:drawing>
      </w:r>
    </w:p>
    <w:p>
      <w:pPr>
        <w:spacing w:line="360" w:lineRule="auto"/>
        <w:rPr>
          <w:rFonts w:ascii="Times New Roman" w:hAnsi="Times New Roman" w:cs="Times New Roman"/>
          <w:sz w:val="24"/>
          <w:szCs w:val="28"/>
        </w:rPr>
      </w:pPr>
      <w:r>
        <w:rPr>
          <w:rFonts w:hint="eastAsia" w:ascii="Times New Roman" w:hAnsi="Times New Roman" w:cs="Times New Roman"/>
          <w:b/>
          <w:bCs/>
          <w:sz w:val="24"/>
          <w:szCs w:val="24"/>
        </w:rPr>
        <w:t>F</w:t>
      </w:r>
      <w:r>
        <w:rPr>
          <w:rFonts w:ascii="Times New Roman" w:hAnsi="Times New Roman" w:cs="Times New Roman"/>
          <w:b/>
          <w:bCs/>
          <w:sz w:val="24"/>
          <w:szCs w:val="24"/>
        </w:rPr>
        <w:t xml:space="preserve">igure S10. </w:t>
      </w:r>
      <w:r>
        <w:rPr>
          <w:rFonts w:hint="eastAsia" w:ascii="Times New Roman" w:hAnsi="Times New Roman" w:cs="Times New Roman"/>
          <w:sz w:val="24"/>
          <w:szCs w:val="24"/>
        </w:rPr>
        <w:t>The</w:t>
      </w:r>
      <w:r>
        <w:rPr>
          <w:rFonts w:hint="eastAsia" w:ascii="Times New Roman" w:hAnsi="Times New Roman" w:cs="Times New Roman"/>
          <w:sz w:val="24"/>
          <w:szCs w:val="28"/>
        </w:rPr>
        <w:t xml:space="preserve"> spectrum testing system. a) Spectrum testing setup integrating a lamp, the </w:t>
      </w:r>
      <w:r>
        <w:rPr>
          <w:rFonts w:ascii="Times New Roman" w:hAnsi="Times New Roman" w:cs="Times New Roman"/>
          <w:sz w:val="24"/>
          <w:szCs w:val="24"/>
        </w:rPr>
        <w:t>graded bandgap perovskite filter (GBPF)</w:t>
      </w:r>
      <w:r>
        <w:rPr>
          <w:rFonts w:hint="eastAsia" w:ascii="Times New Roman" w:hAnsi="Times New Roman" w:cs="Times New Roman"/>
          <w:sz w:val="24"/>
          <w:szCs w:val="28"/>
        </w:rPr>
        <w:t xml:space="preserve">, and a CMOS image sensing chip. b) The photographs of </w:t>
      </w:r>
      <w:r>
        <w:rPr>
          <w:rFonts w:ascii="Times New Roman" w:hAnsi="Times New Roman" w:cs="Times New Roman"/>
          <w:sz w:val="24"/>
          <w:szCs w:val="24"/>
        </w:rPr>
        <w:t>graded perovskite filter</w:t>
      </w:r>
      <w:r>
        <w:rPr>
          <w:rFonts w:hint="eastAsia" w:ascii="Times New Roman" w:hAnsi="Times New Roman" w:cs="Times New Roman"/>
          <w:sz w:val="24"/>
          <w:szCs w:val="28"/>
        </w:rPr>
        <w:t xml:space="preserve"> in darkroom using transmitted illumination and the corresponding light source spectra. </w:t>
      </w:r>
    </w:p>
    <w:p>
      <w:pPr>
        <w:rPr>
          <w:rFonts w:ascii="Times New Roman" w:hAnsi="Times New Roman" w:cs="Times New Roman"/>
          <w:sz w:val="24"/>
          <w:szCs w:val="24"/>
        </w:rPr>
      </w:pPr>
      <w:r>
        <w:rPr>
          <w:rFonts w:hint="eastAsia" w:ascii="Times New Roman" w:hAnsi="Times New Roman" w:cs="Times New Roman"/>
          <w:sz w:val="24"/>
          <w:szCs w:val="24"/>
        </w:rPr>
        <w:drawing>
          <wp:inline distT="0" distB="0" distL="114300" distR="114300">
            <wp:extent cx="5742305" cy="4397375"/>
            <wp:effectExtent l="0" t="0" r="0" b="3175"/>
            <wp:docPr id="1" name="图片 1" descr="CRF计算原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RF计算原图1"/>
                    <pic:cNvPicPr>
                      <a:picLocks noChangeAspect="1"/>
                    </pic:cNvPicPr>
                  </pic:nvPicPr>
                  <pic:blipFill>
                    <a:blip r:embed="rId25"/>
                    <a:stretch>
                      <a:fillRect/>
                    </a:stretch>
                  </pic:blipFill>
                  <pic:spPr>
                    <a:xfrm>
                      <a:off x="0" y="0"/>
                      <a:ext cx="5746843" cy="4401159"/>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Times New Roman" w:hAnsi="Times New Roman" w:cs="Times New Roman"/>
          <w:sz w:val="24"/>
          <w:szCs w:val="24"/>
        </w:rPr>
      </w:pPr>
      <w:r>
        <w:rPr>
          <w:rFonts w:hint="eastAsia" w:ascii="Times New Roman" w:hAnsi="Times New Roman" w:cs="Times New Roman"/>
          <w:b/>
          <w:bCs/>
          <w:sz w:val="24"/>
          <w:szCs w:val="24"/>
        </w:rPr>
        <w:t>F</w:t>
      </w:r>
      <w:r>
        <w:rPr>
          <w:rFonts w:ascii="Times New Roman" w:hAnsi="Times New Roman" w:cs="Times New Roman"/>
          <w:b/>
          <w:bCs/>
          <w:sz w:val="24"/>
          <w:szCs w:val="24"/>
        </w:rPr>
        <w:t>igure S1</w:t>
      </w:r>
      <w:r>
        <w:rPr>
          <w:rFonts w:hint="eastAsia" w:ascii="Times New Roman" w:hAnsi="Times New Roman" w:cs="Times New Roman"/>
          <w:b/>
          <w:bCs/>
          <w:sz w:val="24"/>
          <w:szCs w:val="24"/>
        </w:rPr>
        <w:t>1</w:t>
      </w:r>
      <w:r>
        <w:rPr>
          <w:rFonts w:ascii="Times New Roman" w:hAnsi="Times New Roman" w:cs="Times New Roman"/>
          <w:b/>
          <w:bCs/>
          <w:sz w:val="24"/>
          <w:szCs w:val="24"/>
        </w:rPr>
        <w:t>.</w:t>
      </w:r>
      <w:r>
        <w:rPr>
          <w:rFonts w:hint="eastAsia" w:ascii="Times New Roman" w:hAnsi="Times New Roman" w:cs="Times New Roman"/>
          <w:b/>
          <w:bCs/>
          <w:sz w:val="24"/>
          <w:szCs w:val="24"/>
        </w:rPr>
        <w:t xml:space="preserve"> </w:t>
      </w:r>
      <w:r>
        <w:rPr>
          <w:rFonts w:hint="eastAsia" w:ascii="Times New Roman" w:hAnsi="Times New Roman" w:cs="Times New Roman"/>
          <w:sz w:val="24"/>
          <w:szCs w:val="24"/>
        </w:rPr>
        <w:t xml:space="preserve">The reconstruction of the camera response function uses differently exposed photographs (from -10 to -4). </w:t>
      </w:r>
      <w:r>
        <w:rPr>
          <w:rFonts w:ascii="Times New Roman" w:hAnsi="Times New Roman" w:cs="Times New Roman"/>
          <w:sz w:val="24"/>
          <w:szCs w:val="24"/>
        </w:rPr>
        <w:t>a</w:t>
      </w:r>
      <w:r>
        <w:rPr>
          <w:rFonts w:hint="eastAsia" w:ascii="Times New Roman" w:hAnsi="Times New Roman" w:cs="Times New Roman"/>
          <w:sz w:val="24"/>
          <w:szCs w:val="24"/>
        </w:rPr>
        <w:t>-g</w:t>
      </w:r>
      <w:r>
        <w:rPr>
          <w:rFonts w:ascii="Times New Roman" w:hAnsi="Times New Roman" w:cs="Times New Roman"/>
          <w:sz w:val="24"/>
          <w:szCs w:val="24"/>
        </w:rPr>
        <w:t xml:space="preserve">) </w:t>
      </w:r>
      <w:r>
        <w:rPr>
          <w:rFonts w:hint="eastAsia" w:ascii="Times New Roman" w:hAnsi="Times New Roman" w:cs="Times New Roman"/>
          <w:sz w:val="24"/>
          <w:szCs w:val="24"/>
        </w:rPr>
        <w:t>The photographs of an X-Rite ColorChecker uses differently exposure mode from -10 to -4. h</w:t>
      </w:r>
      <w:r>
        <w:rPr>
          <w:rFonts w:ascii="Times New Roman" w:hAnsi="Times New Roman" w:cs="Times New Roman"/>
          <w:sz w:val="24"/>
          <w:szCs w:val="24"/>
        </w:rPr>
        <w:t xml:space="preserve">) </w:t>
      </w:r>
      <w:r>
        <w:rPr>
          <w:rFonts w:hint="eastAsia" w:ascii="Times New Roman" w:hAnsi="Times New Roman" w:cs="Times New Roman"/>
          <w:sz w:val="24"/>
          <w:szCs w:val="24"/>
        </w:rPr>
        <w:t>The reconstructed photograph from using exposure mode -10 to using that of -5, which matches the photo e) well. i) The reconstructed camera response function curve.</w:t>
      </w:r>
    </w:p>
    <w:p>
      <w:pPr>
        <w:spacing w:line="360" w:lineRule="auto"/>
        <w:jc w:val="center"/>
        <w:rPr>
          <w:rFonts w:hint="eastAsia" w:ascii="Times New Roman" w:hAnsi="Times New Roman" w:cs="Times New Roman" w:eastAsiaTheme="minorEastAsia"/>
          <w:sz w:val="24"/>
          <w:szCs w:val="24"/>
          <w:lang w:eastAsia="zh-CN"/>
        </w:rPr>
      </w:pPr>
      <w:r>
        <w:rPr>
          <w:rFonts w:hint="eastAsia" w:ascii="Times New Roman" w:hAnsi="Times New Roman" w:cs="Times New Roman" w:eastAsiaTheme="minorEastAsia"/>
          <w:sz w:val="24"/>
          <w:szCs w:val="24"/>
          <w:lang w:eastAsia="zh-CN"/>
        </w:rPr>
        <w:drawing>
          <wp:inline distT="0" distB="0" distL="114300" distR="114300">
            <wp:extent cx="5746750" cy="2293620"/>
            <wp:effectExtent l="0" t="0" r="13970" b="7620"/>
            <wp:docPr id="2" name="图片 2" descr="Fig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S13"/>
                    <pic:cNvPicPr>
                      <a:picLocks noChangeAspect="1"/>
                    </pic:cNvPicPr>
                  </pic:nvPicPr>
                  <pic:blipFill>
                    <a:blip r:embed="rId26"/>
                    <a:stretch>
                      <a:fillRect/>
                    </a:stretch>
                  </pic:blipFill>
                  <pic:spPr>
                    <a:xfrm>
                      <a:off x="0" y="0"/>
                      <a:ext cx="5746750" cy="22936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156" w:afterLines="50" w:line="400" w:lineRule="exact"/>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b/>
          <w:bCs/>
          <w:sz w:val="24"/>
          <w:szCs w:val="24"/>
        </w:rPr>
        <w:t>F</w:t>
      </w:r>
      <w:r>
        <w:rPr>
          <w:rFonts w:ascii="Times New Roman" w:hAnsi="Times New Roman" w:cs="Times New Roman"/>
          <w:b/>
          <w:bCs/>
          <w:sz w:val="24"/>
          <w:szCs w:val="24"/>
        </w:rPr>
        <w:t>igure S1</w:t>
      </w:r>
      <w:r>
        <w:rPr>
          <w:rFonts w:hint="eastAsia" w:ascii="Times New Roman" w:hAnsi="Times New Roman" w:cs="Times New Roman"/>
          <w:b/>
          <w:bCs/>
          <w:sz w:val="24"/>
          <w:szCs w:val="24"/>
        </w:rPr>
        <w:t>2</w:t>
      </w:r>
      <w:r>
        <w:rPr>
          <w:rFonts w:ascii="Times New Roman" w:hAnsi="Times New Roman" w:cs="Times New Roman"/>
          <w:b/>
          <w:bCs/>
          <w:sz w:val="24"/>
          <w:szCs w:val="24"/>
        </w:rPr>
        <w:t xml:space="preserve">. </w:t>
      </w:r>
      <w:r>
        <w:rPr>
          <w:rFonts w:hint="eastAsia" w:ascii="Times New Roman" w:hAnsi="Times New Roman" w:cs="Times New Roman"/>
          <w:b w:val="0"/>
          <w:bCs w:val="0"/>
          <w:sz w:val="24"/>
          <w:szCs w:val="24"/>
          <w:lang w:val="en-US" w:eastAsia="zh-CN"/>
        </w:rPr>
        <w:t xml:space="preserve">The </w:t>
      </w:r>
      <w:r>
        <w:rPr>
          <w:rFonts w:hint="eastAsia" w:ascii="Times New Roman" w:hAnsi="Times New Roman" w:cs="Times New Roman"/>
          <w:sz w:val="24"/>
          <w:szCs w:val="24"/>
        </w:rPr>
        <w:t>spectrum response curve</w:t>
      </w:r>
      <w:r>
        <w:rPr>
          <w:rFonts w:hint="eastAsia" w:ascii="Times New Roman" w:hAnsi="Times New Roman" w:cs="Times New Roman"/>
          <w:sz w:val="24"/>
          <w:szCs w:val="24"/>
          <w:lang w:val="en-US" w:eastAsia="zh-CN"/>
        </w:rPr>
        <w:t xml:space="preserve"> and pixel simulation result. </w:t>
      </w:r>
      <w:r>
        <w:rPr>
          <w:rFonts w:hint="eastAsia" w:ascii="Times New Roman" w:hAnsi="Times New Roman" w:cs="Times New Roman"/>
          <w:b w:val="0"/>
          <w:bCs w:val="0"/>
          <w:sz w:val="24"/>
          <w:szCs w:val="24"/>
          <w:lang w:val="en-US" w:eastAsia="zh-CN"/>
        </w:rPr>
        <w:t xml:space="preserve">a) The </w:t>
      </w:r>
      <w:r>
        <w:rPr>
          <w:rFonts w:hint="eastAsia" w:ascii="Times New Roman" w:hAnsi="Times New Roman" w:cs="Times New Roman"/>
          <w:sz w:val="24"/>
          <w:szCs w:val="24"/>
        </w:rPr>
        <w:t>OV7251 spectrum response curve from the camera datasheet provided by OmniVision company.</w:t>
      </w:r>
      <w:r>
        <w:rPr>
          <w:rFonts w:hint="eastAsia" w:ascii="Times New Roman" w:hAnsi="Times New Roman" w:cs="Times New Roman"/>
          <w:sz w:val="24"/>
          <w:szCs w:val="24"/>
          <w:lang w:val="en-US" w:eastAsia="zh-CN"/>
        </w:rPr>
        <w:t xml:space="preserve"> b) The comparison of experimental (photographs from Fig. S10b) and simulated pixel vales.</w:t>
      </w:r>
      <w:bookmarkStart w:id="5" w:name="_GoBack"/>
      <w:bookmarkEnd w:id="5"/>
    </w:p>
    <w:p>
      <w:pPr>
        <w:spacing w:after="156" w:afterLines="50"/>
        <w:rPr>
          <w:rFonts w:ascii="Times New Roman" w:hAnsi="Times New Roman" w:cs="Times New Roman"/>
          <w:sz w:val="24"/>
          <w:szCs w:val="24"/>
        </w:rPr>
      </w:pPr>
      <w:r>
        <w:rPr>
          <w:rFonts w:hint="eastAsia" w:ascii="Times New Roman" w:hAnsi="Times New Roman" w:cs="Times New Roman"/>
          <w:sz w:val="24"/>
          <w:szCs w:val="24"/>
        </w:rPr>
        <w:drawing>
          <wp:inline distT="0" distB="0" distL="114300" distR="114300">
            <wp:extent cx="5743575" cy="2282190"/>
            <wp:effectExtent l="0" t="0" r="1905" b="3810"/>
            <wp:docPr id="12" name="图片 12" desc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res"/>
                    <pic:cNvPicPr>
                      <a:picLocks noChangeAspect="1"/>
                    </pic:cNvPicPr>
                  </pic:nvPicPr>
                  <pic:blipFill>
                    <a:blip r:embed="rId27"/>
                    <a:stretch>
                      <a:fillRect/>
                    </a:stretch>
                  </pic:blipFill>
                  <pic:spPr>
                    <a:xfrm>
                      <a:off x="0" y="0"/>
                      <a:ext cx="5743575" cy="2282190"/>
                    </a:xfrm>
                    <a:prstGeom prst="rect">
                      <a:avLst/>
                    </a:prstGeom>
                  </pic:spPr>
                </pic:pic>
              </a:graphicData>
            </a:graphic>
          </wp:inline>
        </w:drawing>
      </w:r>
    </w:p>
    <w:p>
      <w:pPr>
        <w:spacing w:after="156" w:afterLines="50" w:line="360" w:lineRule="auto"/>
        <w:rPr>
          <w:rFonts w:ascii="Times New Roman" w:hAnsi="Times New Roman" w:cs="Times New Roman"/>
          <w:sz w:val="24"/>
          <w:szCs w:val="24"/>
        </w:rPr>
      </w:pPr>
      <w:r>
        <w:rPr>
          <w:rFonts w:ascii="Times New Roman" w:hAnsi="Times New Roman" w:cs="Times New Roman"/>
          <w:b/>
          <w:bCs/>
          <w:sz w:val="24"/>
          <w:szCs w:val="24"/>
        </w:rPr>
        <w:t>Figure S13.</w:t>
      </w:r>
      <w:r>
        <w:rPr>
          <w:rFonts w:ascii="Times New Roman" w:hAnsi="Times New Roman" w:cs="Times New Roman"/>
          <w:sz w:val="24"/>
          <w:szCs w:val="24"/>
        </w:rPr>
        <w:t xml:space="preserve"> The spectral resolution analysis of the spectrometer based on graded bandgap per-ovskite filter. a) The equivalent spectral response function plot with the response over-lap diagram. b) The relative signal difference curve to the center wavelength difference of two adjacent sites on the bandgap-graded perovskite filter.</w:t>
      </w:r>
    </w:p>
    <w:p>
      <w:pPr>
        <w:spacing w:after="156" w:afterLines="50" w:line="360" w:lineRule="auto"/>
        <w:rPr>
          <w:rFonts w:ascii="Times New Roman" w:hAnsi="Times New Roman" w:cs="Times New Roman"/>
          <w:sz w:val="24"/>
          <w:szCs w:val="24"/>
        </w:rPr>
      </w:pPr>
    </w:p>
    <w:p>
      <w:pPr>
        <w:spacing w:after="156" w:afterLines="50" w:line="360" w:lineRule="auto"/>
        <w:ind w:firstLine="240" w:firstLineChars="100"/>
        <w:rPr>
          <w:rFonts w:ascii="Times New Roman" w:hAnsi="Times New Roman" w:cs="Times New Roman"/>
          <w:sz w:val="24"/>
          <w:szCs w:val="24"/>
        </w:rPr>
      </w:pPr>
      <w:r>
        <w:rPr>
          <w:rFonts w:ascii="Times New Roman" w:hAnsi="Times New Roman" w:cs="Times New Roman"/>
          <w:sz w:val="24"/>
          <w:szCs w:val="24"/>
        </w:rPr>
        <w:t>Considering the transmittance spectra of two sites of the bandgap graded perovskite filter, it is equivalent to express the spectral response function as the first-order derivative of the transmittance spectra. The transmittance signals would be distinguishable if the spectral response function overlaps too much. As the center wavelength of two spectral response function become closer, the corresponding two signal value difference, defined as (A-A</w:t>
      </w:r>
      <w:r>
        <w:rPr>
          <w:rFonts w:ascii="Times New Roman" w:hAnsi="Times New Roman" w:cs="Times New Roman"/>
          <w:sz w:val="24"/>
          <w:szCs w:val="24"/>
          <w:vertAlign w:val="subscript"/>
        </w:rPr>
        <w:t>overlap</w:t>
      </w:r>
      <w:r>
        <w:rPr>
          <w:rFonts w:ascii="Times New Roman" w:hAnsi="Times New Roman" w:cs="Times New Roman"/>
          <w:sz w:val="24"/>
          <w:szCs w:val="24"/>
        </w:rPr>
        <w:t xml:space="preserve">)/A, where A is the integral of spectral response functions, becomes smaller. The signal will be submerged in noise if the relative signal difference smaller than noise/signal (i.e. 1/SNR). The typical SNR of 50 dB for industrial camera, will allow a 0.05 nm spectral resolution as </w:t>
      </w:r>
      <w:r>
        <w:rPr>
          <w:rFonts w:hint="eastAsia" w:ascii="Times New Roman" w:hAnsi="Times New Roman" w:cs="Times New Roman"/>
          <w:sz w:val="24"/>
          <w:szCs w:val="24"/>
        </w:rPr>
        <w:t>marked star</w:t>
      </w:r>
      <w:r>
        <w:rPr>
          <w:rFonts w:ascii="Times New Roman" w:hAnsi="Times New Roman" w:cs="Times New Roman"/>
          <w:sz w:val="24"/>
          <w:szCs w:val="24"/>
        </w:rPr>
        <w:t xml:space="preserve"> in Fig</w:t>
      </w:r>
      <w:r>
        <w:rPr>
          <w:rFonts w:hint="eastAsia" w:ascii="Times New Roman" w:hAnsi="Times New Roman" w:cs="Times New Roman"/>
          <w:sz w:val="24"/>
          <w:szCs w:val="24"/>
        </w:rPr>
        <w:t>ure</w:t>
      </w:r>
      <w:r>
        <w:rPr>
          <w:rFonts w:ascii="Times New Roman" w:hAnsi="Times New Roman" w:cs="Times New Roman"/>
          <w:sz w:val="24"/>
          <w:szCs w:val="24"/>
        </w:rPr>
        <w:t xml:space="preserve"> S13</w:t>
      </w:r>
      <w:r>
        <w:rPr>
          <w:rFonts w:hint="eastAsia" w:ascii="Times New Roman" w:hAnsi="Times New Roman" w:cs="Times New Roman"/>
          <w:sz w:val="24"/>
          <w:szCs w:val="24"/>
        </w:rPr>
        <w:t>.</w:t>
      </w:r>
    </w:p>
    <w:p>
      <w:pPr>
        <w:spacing w:after="156" w:afterLines="50"/>
        <w:ind w:firstLine="240" w:firstLineChars="100"/>
        <w:rPr>
          <w:rFonts w:ascii="Times New Roman" w:hAnsi="Times New Roman" w:cs="Times New Roman"/>
          <w:sz w:val="24"/>
          <w:szCs w:val="24"/>
        </w:rPr>
      </w:pPr>
    </w:p>
    <w:p>
      <w:pPr>
        <w:spacing w:after="156" w:afterLines="50"/>
        <w:ind w:firstLine="240" w:firstLineChars="100"/>
        <w:rPr>
          <w:rFonts w:ascii="Times New Roman" w:hAnsi="Times New Roman" w:cs="Times New Roman"/>
          <w:sz w:val="24"/>
          <w:szCs w:val="24"/>
        </w:rPr>
      </w:pPr>
    </w:p>
    <w:p>
      <w:pPr>
        <w:spacing w:after="156" w:afterLines="50"/>
        <w:ind w:firstLine="240" w:firstLineChars="100"/>
        <w:rPr>
          <w:rFonts w:ascii="Times New Roman" w:hAnsi="Times New Roman" w:cs="Times New Roman"/>
          <w:sz w:val="24"/>
          <w:szCs w:val="24"/>
        </w:rPr>
      </w:pPr>
    </w:p>
    <w:sectPr>
      <w:headerReference r:id="rId3" w:type="default"/>
      <w:footerReference r:id="rId4" w:type="default"/>
      <w:pgSz w:w="11906" w:h="16838"/>
      <w:pgMar w:top="1418" w:right="1418" w:bottom="1134" w:left="1418" w:header="709" w:footer="709"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8000012" w:usb3="00000000" w:csb0="0002009F" w:csb1="00000000"/>
  </w:font>
  <w:font w:name="Cambria Math">
    <w:panose1 w:val="02040503050406030204"/>
    <w:charset w:val="00"/>
    <w:family w:val="roman"/>
    <w:pitch w:val="default"/>
    <w:sig w:usb0="E00006FF" w:usb1="420024FF" w:usb2="02000000" w:usb3="00000000" w:csb0="200001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61735510"/>
    </w:sdtPr>
    <w:sdtEndPr>
      <w:rPr>
        <w:rFonts w:ascii="Times New Roman" w:hAnsi="Times New Roman" w:cs="Times New Roman"/>
        <w:sz w:val="24"/>
        <w:szCs w:val="24"/>
      </w:rPr>
    </w:sdtEndPr>
    <w:sdtContent>
      <w:p>
        <w:pPr>
          <w:pStyle w:val="4"/>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PAGE   \* MERGEFORMAT</w:instrText>
        </w:r>
        <w:r>
          <w:rPr>
            <w:rFonts w:ascii="Times New Roman" w:hAnsi="Times New Roman" w:cs="Times New Roman"/>
            <w:sz w:val="24"/>
            <w:szCs w:val="24"/>
          </w:rPr>
          <w:fldChar w:fldCharType="separate"/>
        </w:r>
        <w:r>
          <w:rPr>
            <w:rFonts w:ascii="Times New Roman" w:hAnsi="Times New Roman" w:cs="Times New Roman"/>
            <w:sz w:val="24"/>
            <w:szCs w:val="24"/>
            <w:lang w:val="zh-CN"/>
          </w:rPr>
          <w:t>2</w:t>
        </w:r>
        <w:r>
          <w:rPr>
            <w:rFonts w:ascii="Times New Roman" w:hAnsi="Times New Roman" w:cs="Times New Roman"/>
            <w:sz w:val="24"/>
            <w:szCs w:val="24"/>
          </w:rPr>
          <w:fldChar w:fldCharType="end"/>
        </w:r>
      </w:p>
      <w:p>
        <w:pPr>
          <w:pStyle w:val="4"/>
          <w:jc w:val="center"/>
          <w:rPr>
            <w:rFonts w:ascii="Times New Roman" w:hAnsi="Times New Roman" w:cs="Times New Roman"/>
            <w:sz w:val="24"/>
            <w:szCs w:val="24"/>
          </w:rPr>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DD0F18"/>
    <w:multiLevelType w:val="multilevel"/>
    <w:tmpl w:val="4FDD0F18"/>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7C1F7699"/>
    <w:multiLevelType w:val="multilevel"/>
    <w:tmpl w:val="7C1F7699"/>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autoHyphenation/>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YwNzg3MWZhYzE4ODdiNmMyMTlkNzllNTZmZDZlOGEifQ=="/>
    <w:docVar w:name="EN.InstantFormat" w:val="&lt;ENInstantFormat&gt;&lt;Enabled&gt;1&lt;/Enabled&gt;&lt;ScanUnformatted&gt;1&lt;/ScanUnformatted&gt;&lt;ScanChanges&gt;1&lt;/ScanChanges&gt;&lt;Suspended&gt;0&lt;/Suspended&gt;&lt;/ENInstantFormat&gt;"/>
    <w:docVar w:name="EN.Layout" w:val="&lt;ENLayout&gt;&lt;Style&gt;Doctor thesi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fsfrpfor5d0bed9zoxftrxvvd0ewpe2vzx&quot;&gt;My EndNote Library&lt;record-ids&gt;&lt;item&gt;256&lt;/item&gt;&lt;item&gt;259&lt;/item&gt;&lt;item&gt;262&lt;/item&gt;&lt;item&gt;269&lt;/item&gt;&lt;item&gt;274&lt;/item&gt;&lt;item&gt;275&lt;/item&gt;&lt;item&gt;279&lt;/item&gt;&lt;item&gt;280&lt;/item&gt;&lt;item&gt;281&lt;/item&gt;&lt;item&gt;286&lt;/item&gt;&lt;item&gt;298&lt;/item&gt;&lt;item&gt;318&lt;/item&gt;&lt;item&gt;323&lt;/item&gt;&lt;item&gt;325&lt;/item&gt;&lt;item&gt;328&lt;/item&gt;&lt;item&gt;331&lt;/item&gt;&lt;item&gt;332&lt;/item&gt;&lt;item&gt;333&lt;/item&gt;&lt;item&gt;334&lt;/item&gt;&lt;item&gt;341&lt;/item&gt;&lt;item&gt;342&lt;/item&gt;&lt;item&gt;343&lt;/item&gt;&lt;item&gt;344&lt;/item&gt;&lt;item&gt;345&lt;/item&gt;&lt;item&gt;349&lt;/item&gt;&lt;item&gt;351&lt;/item&gt;&lt;item&gt;352&lt;/item&gt;&lt;item&gt;353&lt;/item&gt;&lt;item&gt;355&lt;/item&gt;&lt;item&gt;358&lt;/item&gt;&lt;item&gt;359&lt;/item&gt;&lt;item&gt;360&lt;/item&gt;&lt;item&gt;361&lt;/item&gt;&lt;item&gt;372&lt;/item&gt;&lt;item&gt;373&lt;/item&gt;&lt;item&gt;374&lt;/item&gt;&lt;item&gt;375&lt;/item&gt;&lt;item&gt;383&lt;/item&gt;&lt;item&gt;384&lt;/item&gt;&lt;item&gt;385&lt;/item&gt;&lt;item&gt;386&lt;/item&gt;&lt;item&gt;387&lt;/item&gt;&lt;item&gt;388&lt;/item&gt;&lt;item&gt;389&lt;/item&gt;&lt;item&gt;390&lt;/item&gt;&lt;/record-ids&gt;&lt;/item&gt;&lt;/Libraries&gt;"/>
  </w:docVars>
  <w:rsids>
    <w:rsidRoot w:val="009801C7"/>
    <w:rsid w:val="00001775"/>
    <w:rsid w:val="00001A13"/>
    <w:rsid w:val="00002029"/>
    <w:rsid w:val="000021AA"/>
    <w:rsid w:val="00003F2E"/>
    <w:rsid w:val="000060AE"/>
    <w:rsid w:val="000062F6"/>
    <w:rsid w:val="00006A0B"/>
    <w:rsid w:val="00007F7D"/>
    <w:rsid w:val="00012318"/>
    <w:rsid w:val="000127E2"/>
    <w:rsid w:val="00012A9E"/>
    <w:rsid w:val="000134D5"/>
    <w:rsid w:val="00015558"/>
    <w:rsid w:val="00015826"/>
    <w:rsid w:val="00016F62"/>
    <w:rsid w:val="00016FC9"/>
    <w:rsid w:val="00017E84"/>
    <w:rsid w:val="0002288C"/>
    <w:rsid w:val="00022950"/>
    <w:rsid w:val="00023128"/>
    <w:rsid w:val="000242BD"/>
    <w:rsid w:val="00024E6D"/>
    <w:rsid w:val="00025259"/>
    <w:rsid w:val="00027511"/>
    <w:rsid w:val="00030175"/>
    <w:rsid w:val="000309AA"/>
    <w:rsid w:val="000314AF"/>
    <w:rsid w:val="00032019"/>
    <w:rsid w:val="000361F7"/>
    <w:rsid w:val="000366B0"/>
    <w:rsid w:val="000375AE"/>
    <w:rsid w:val="000375ED"/>
    <w:rsid w:val="000376DA"/>
    <w:rsid w:val="00041573"/>
    <w:rsid w:val="0004172B"/>
    <w:rsid w:val="00041938"/>
    <w:rsid w:val="00041A6F"/>
    <w:rsid w:val="00042EB6"/>
    <w:rsid w:val="00043588"/>
    <w:rsid w:val="00043EAE"/>
    <w:rsid w:val="00044740"/>
    <w:rsid w:val="00044DC0"/>
    <w:rsid w:val="00045D9A"/>
    <w:rsid w:val="0005104D"/>
    <w:rsid w:val="00051F0C"/>
    <w:rsid w:val="00053DA8"/>
    <w:rsid w:val="00053ED8"/>
    <w:rsid w:val="000549BB"/>
    <w:rsid w:val="000552CD"/>
    <w:rsid w:val="000559F8"/>
    <w:rsid w:val="00055DCF"/>
    <w:rsid w:val="000570C6"/>
    <w:rsid w:val="00057EE9"/>
    <w:rsid w:val="00063178"/>
    <w:rsid w:val="0006377B"/>
    <w:rsid w:val="00064FAE"/>
    <w:rsid w:val="00066E16"/>
    <w:rsid w:val="000675F2"/>
    <w:rsid w:val="00072119"/>
    <w:rsid w:val="000727D5"/>
    <w:rsid w:val="000738DD"/>
    <w:rsid w:val="00074DC7"/>
    <w:rsid w:val="000764FC"/>
    <w:rsid w:val="000777DB"/>
    <w:rsid w:val="000778E1"/>
    <w:rsid w:val="00077EE6"/>
    <w:rsid w:val="00080944"/>
    <w:rsid w:val="0008137F"/>
    <w:rsid w:val="0008173F"/>
    <w:rsid w:val="0008245E"/>
    <w:rsid w:val="000831AB"/>
    <w:rsid w:val="00084E7F"/>
    <w:rsid w:val="00085254"/>
    <w:rsid w:val="00085884"/>
    <w:rsid w:val="00085A0A"/>
    <w:rsid w:val="00086285"/>
    <w:rsid w:val="0008667B"/>
    <w:rsid w:val="000869C2"/>
    <w:rsid w:val="00087D5F"/>
    <w:rsid w:val="00090A6F"/>
    <w:rsid w:val="00090D77"/>
    <w:rsid w:val="00092B7A"/>
    <w:rsid w:val="000931DB"/>
    <w:rsid w:val="00093622"/>
    <w:rsid w:val="000946C3"/>
    <w:rsid w:val="00094979"/>
    <w:rsid w:val="0009497F"/>
    <w:rsid w:val="00096588"/>
    <w:rsid w:val="00097CAB"/>
    <w:rsid w:val="000A0093"/>
    <w:rsid w:val="000A0ADE"/>
    <w:rsid w:val="000A171E"/>
    <w:rsid w:val="000A2338"/>
    <w:rsid w:val="000A297A"/>
    <w:rsid w:val="000A2DB9"/>
    <w:rsid w:val="000A3CAC"/>
    <w:rsid w:val="000A3E5F"/>
    <w:rsid w:val="000A6767"/>
    <w:rsid w:val="000B01A3"/>
    <w:rsid w:val="000B0851"/>
    <w:rsid w:val="000B0B5F"/>
    <w:rsid w:val="000B1397"/>
    <w:rsid w:val="000B1E48"/>
    <w:rsid w:val="000B3552"/>
    <w:rsid w:val="000B3D39"/>
    <w:rsid w:val="000B4583"/>
    <w:rsid w:val="000B6B74"/>
    <w:rsid w:val="000B7348"/>
    <w:rsid w:val="000B7725"/>
    <w:rsid w:val="000C083E"/>
    <w:rsid w:val="000C0F46"/>
    <w:rsid w:val="000C1ABA"/>
    <w:rsid w:val="000C1CB2"/>
    <w:rsid w:val="000C2693"/>
    <w:rsid w:val="000C2C21"/>
    <w:rsid w:val="000C2F92"/>
    <w:rsid w:val="000C44F8"/>
    <w:rsid w:val="000C61DA"/>
    <w:rsid w:val="000C6464"/>
    <w:rsid w:val="000C732F"/>
    <w:rsid w:val="000C7358"/>
    <w:rsid w:val="000C78B5"/>
    <w:rsid w:val="000C7AF1"/>
    <w:rsid w:val="000C7E3E"/>
    <w:rsid w:val="000D0098"/>
    <w:rsid w:val="000D06A2"/>
    <w:rsid w:val="000D0B10"/>
    <w:rsid w:val="000D0E69"/>
    <w:rsid w:val="000D0ECD"/>
    <w:rsid w:val="000D0ED1"/>
    <w:rsid w:val="000D21E5"/>
    <w:rsid w:val="000D413F"/>
    <w:rsid w:val="000D6317"/>
    <w:rsid w:val="000D6FF7"/>
    <w:rsid w:val="000D7902"/>
    <w:rsid w:val="000E0F3E"/>
    <w:rsid w:val="000E0FFA"/>
    <w:rsid w:val="000E32BA"/>
    <w:rsid w:val="000E46D0"/>
    <w:rsid w:val="000E5828"/>
    <w:rsid w:val="000E5CDD"/>
    <w:rsid w:val="000E72F9"/>
    <w:rsid w:val="000F03D8"/>
    <w:rsid w:val="000F12DC"/>
    <w:rsid w:val="000F13DB"/>
    <w:rsid w:val="000F15E4"/>
    <w:rsid w:val="000F171C"/>
    <w:rsid w:val="000F20C9"/>
    <w:rsid w:val="000F2CA2"/>
    <w:rsid w:val="000F5CE7"/>
    <w:rsid w:val="000F5EA9"/>
    <w:rsid w:val="000F6A83"/>
    <w:rsid w:val="000F6BAD"/>
    <w:rsid w:val="000F7CB0"/>
    <w:rsid w:val="0010177B"/>
    <w:rsid w:val="00103B24"/>
    <w:rsid w:val="00103D62"/>
    <w:rsid w:val="00107FF9"/>
    <w:rsid w:val="001103F4"/>
    <w:rsid w:val="001105A6"/>
    <w:rsid w:val="00110E82"/>
    <w:rsid w:val="001117CF"/>
    <w:rsid w:val="001120EA"/>
    <w:rsid w:val="00113766"/>
    <w:rsid w:val="0011422C"/>
    <w:rsid w:val="00115A55"/>
    <w:rsid w:val="00116607"/>
    <w:rsid w:val="00116DF8"/>
    <w:rsid w:val="00116F03"/>
    <w:rsid w:val="00116FA2"/>
    <w:rsid w:val="0012102B"/>
    <w:rsid w:val="00122015"/>
    <w:rsid w:val="001221AB"/>
    <w:rsid w:val="00123536"/>
    <w:rsid w:val="0012358F"/>
    <w:rsid w:val="00123A2D"/>
    <w:rsid w:val="00123C3A"/>
    <w:rsid w:val="00124AEC"/>
    <w:rsid w:val="001269D8"/>
    <w:rsid w:val="0013044F"/>
    <w:rsid w:val="00130E07"/>
    <w:rsid w:val="0013108C"/>
    <w:rsid w:val="0013278A"/>
    <w:rsid w:val="001331C6"/>
    <w:rsid w:val="00134512"/>
    <w:rsid w:val="001370E3"/>
    <w:rsid w:val="00137259"/>
    <w:rsid w:val="00137697"/>
    <w:rsid w:val="00137EB4"/>
    <w:rsid w:val="0014012A"/>
    <w:rsid w:val="00140848"/>
    <w:rsid w:val="00140C13"/>
    <w:rsid w:val="00141049"/>
    <w:rsid w:val="00141D9B"/>
    <w:rsid w:val="00141ED7"/>
    <w:rsid w:val="00142BE0"/>
    <w:rsid w:val="0014321D"/>
    <w:rsid w:val="0014330B"/>
    <w:rsid w:val="00143E00"/>
    <w:rsid w:val="001445E5"/>
    <w:rsid w:val="00144A82"/>
    <w:rsid w:val="00144BEC"/>
    <w:rsid w:val="00145546"/>
    <w:rsid w:val="0014565E"/>
    <w:rsid w:val="00147C96"/>
    <w:rsid w:val="00150123"/>
    <w:rsid w:val="00150A29"/>
    <w:rsid w:val="00150B28"/>
    <w:rsid w:val="001519C5"/>
    <w:rsid w:val="00152AB5"/>
    <w:rsid w:val="00152BD0"/>
    <w:rsid w:val="001547AB"/>
    <w:rsid w:val="0015502B"/>
    <w:rsid w:val="00155AF9"/>
    <w:rsid w:val="00155E3C"/>
    <w:rsid w:val="001561E5"/>
    <w:rsid w:val="00157AE8"/>
    <w:rsid w:val="001617A5"/>
    <w:rsid w:val="001629AF"/>
    <w:rsid w:val="00164325"/>
    <w:rsid w:val="00167407"/>
    <w:rsid w:val="0016741B"/>
    <w:rsid w:val="0016745C"/>
    <w:rsid w:val="0017028A"/>
    <w:rsid w:val="00170EDC"/>
    <w:rsid w:val="00172757"/>
    <w:rsid w:val="00172BE7"/>
    <w:rsid w:val="00172F84"/>
    <w:rsid w:val="00173BDF"/>
    <w:rsid w:val="00173E78"/>
    <w:rsid w:val="00174309"/>
    <w:rsid w:val="00174B08"/>
    <w:rsid w:val="00175A89"/>
    <w:rsid w:val="001767AA"/>
    <w:rsid w:val="001774EC"/>
    <w:rsid w:val="00180AA5"/>
    <w:rsid w:val="00181601"/>
    <w:rsid w:val="00182354"/>
    <w:rsid w:val="00183196"/>
    <w:rsid w:val="001855CD"/>
    <w:rsid w:val="00185CDC"/>
    <w:rsid w:val="00186027"/>
    <w:rsid w:val="001861C1"/>
    <w:rsid w:val="00187393"/>
    <w:rsid w:val="00187850"/>
    <w:rsid w:val="00187D8A"/>
    <w:rsid w:val="0019319E"/>
    <w:rsid w:val="001931CF"/>
    <w:rsid w:val="00193D6B"/>
    <w:rsid w:val="00196F62"/>
    <w:rsid w:val="00197E06"/>
    <w:rsid w:val="001A04B1"/>
    <w:rsid w:val="001A098D"/>
    <w:rsid w:val="001A151A"/>
    <w:rsid w:val="001A2442"/>
    <w:rsid w:val="001A2B59"/>
    <w:rsid w:val="001A2CB9"/>
    <w:rsid w:val="001A2F61"/>
    <w:rsid w:val="001A3828"/>
    <w:rsid w:val="001A3C9D"/>
    <w:rsid w:val="001A49D8"/>
    <w:rsid w:val="001A4E6B"/>
    <w:rsid w:val="001A50A3"/>
    <w:rsid w:val="001A6845"/>
    <w:rsid w:val="001A77DD"/>
    <w:rsid w:val="001B0055"/>
    <w:rsid w:val="001B08F1"/>
    <w:rsid w:val="001B1507"/>
    <w:rsid w:val="001B1AFB"/>
    <w:rsid w:val="001B3097"/>
    <w:rsid w:val="001B57FB"/>
    <w:rsid w:val="001B5E17"/>
    <w:rsid w:val="001B623F"/>
    <w:rsid w:val="001B7283"/>
    <w:rsid w:val="001B7B0F"/>
    <w:rsid w:val="001C048E"/>
    <w:rsid w:val="001C05A0"/>
    <w:rsid w:val="001C16B4"/>
    <w:rsid w:val="001C1B81"/>
    <w:rsid w:val="001C2249"/>
    <w:rsid w:val="001C252B"/>
    <w:rsid w:val="001C2A02"/>
    <w:rsid w:val="001C2BD3"/>
    <w:rsid w:val="001C2E62"/>
    <w:rsid w:val="001C2FDF"/>
    <w:rsid w:val="001C3DC6"/>
    <w:rsid w:val="001C410A"/>
    <w:rsid w:val="001C4D59"/>
    <w:rsid w:val="001C505A"/>
    <w:rsid w:val="001C558F"/>
    <w:rsid w:val="001C6014"/>
    <w:rsid w:val="001C7588"/>
    <w:rsid w:val="001C796F"/>
    <w:rsid w:val="001C79A0"/>
    <w:rsid w:val="001D0548"/>
    <w:rsid w:val="001D2B08"/>
    <w:rsid w:val="001D2E1E"/>
    <w:rsid w:val="001D340F"/>
    <w:rsid w:val="001D4CD8"/>
    <w:rsid w:val="001D68BF"/>
    <w:rsid w:val="001D6A89"/>
    <w:rsid w:val="001D72B3"/>
    <w:rsid w:val="001D7307"/>
    <w:rsid w:val="001D779A"/>
    <w:rsid w:val="001E28F2"/>
    <w:rsid w:val="001E3498"/>
    <w:rsid w:val="001E42B5"/>
    <w:rsid w:val="001E4F26"/>
    <w:rsid w:val="001E7033"/>
    <w:rsid w:val="001E72C0"/>
    <w:rsid w:val="001E7B35"/>
    <w:rsid w:val="001F12B1"/>
    <w:rsid w:val="001F219E"/>
    <w:rsid w:val="001F2A10"/>
    <w:rsid w:val="001F2AA0"/>
    <w:rsid w:val="001F2FA2"/>
    <w:rsid w:val="001F3206"/>
    <w:rsid w:val="001F5C9A"/>
    <w:rsid w:val="0020290E"/>
    <w:rsid w:val="00202EE9"/>
    <w:rsid w:val="002059CD"/>
    <w:rsid w:val="00205E58"/>
    <w:rsid w:val="002060F0"/>
    <w:rsid w:val="00207B45"/>
    <w:rsid w:val="0021080C"/>
    <w:rsid w:val="00210D0A"/>
    <w:rsid w:val="00210E4B"/>
    <w:rsid w:val="00213F82"/>
    <w:rsid w:val="00215572"/>
    <w:rsid w:val="00216B43"/>
    <w:rsid w:val="00220290"/>
    <w:rsid w:val="002222FE"/>
    <w:rsid w:val="0022316E"/>
    <w:rsid w:val="00225A38"/>
    <w:rsid w:val="00226487"/>
    <w:rsid w:val="00226BBB"/>
    <w:rsid w:val="00227009"/>
    <w:rsid w:val="00227233"/>
    <w:rsid w:val="00227CE2"/>
    <w:rsid w:val="00230445"/>
    <w:rsid w:val="00230BB4"/>
    <w:rsid w:val="00231F0E"/>
    <w:rsid w:val="00233907"/>
    <w:rsid w:val="0023402E"/>
    <w:rsid w:val="00234CDC"/>
    <w:rsid w:val="00235041"/>
    <w:rsid w:val="0023596C"/>
    <w:rsid w:val="00235BDE"/>
    <w:rsid w:val="00236963"/>
    <w:rsid w:val="00236B58"/>
    <w:rsid w:val="0023780A"/>
    <w:rsid w:val="00237D9F"/>
    <w:rsid w:val="00237E6D"/>
    <w:rsid w:val="0024000D"/>
    <w:rsid w:val="00240DB3"/>
    <w:rsid w:val="00240E41"/>
    <w:rsid w:val="0024268A"/>
    <w:rsid w:val="00244456"/>
    <w:rsid w:val="002448DA"/>
    <w:rsid w:val="00244DA1"/>
    <w:rsid w:val="0024553A"/>
    <w:rsid w:val="002455C2"/>
    <w:rsid w:val="00245727"/>
    <w:rsid w:val="00245DBC"/>
    <w:rsid w:val="0024783A"/>
    <w:rsid w:val="002509CE"/>
    <w:rsid w:val="00250C58"/>
    <w:rsid w:val="002511CB"/>
    <w:rsid w:val="0025251A"/>
    <w:rsid w:val="00252BA0"/>
    <w:rsid w:val="002533F8"/>
    <w:rsid w:val="0025383C"/>
    <w:rsid w:val="002539D2"/>
    <w:rsid w:val="00254989"/>
    <w:rsid w:val="002619A7"/>
    <w:rsid w:val="00262D76"/>
    <w:rsid w:val="002649C7"/>
    <w:rsid w:val="00265402"/>
    <w:rsid w:val="00265603"/>
    <w:rsid w:val="0026735B"/>
    <w:rsid w:val="002701FF"/>
    <w:rsid w:val="002711A0"/>
    <w:rsid w:val="002726B8"/>
    <w:rsid w:val="00272BAA"/>
    <w:rsid w:val="00273773"/>
    <w:rsid w:val="00275451"/>
    <w:rsid w:val="0027782F"/>
    <w:rsid w:val="00281149"/>
    <w:rsid w:val="00281E85"/>
    <w:rsid w:val="0028203A"/>
    <w:rsid w:val="00282B6A"/>
    <w:rsid w:val="00282DEA"/>
    <w:rsid w:val="002832E4"/>
    <w:rsid w:val="00283A5A"/>
    <w:rsid w:val="0028410C"/>
    <w:rsid w:val="00284401"/>
    <w:rsid w:val="002927EF"/>
    <w:rsid w:val="002929D4"/>
    <w:rsid w:val="00294EC5"/>
    <w:rsid w:val="0029676F"/>
    <w:rsid w:val="0029755E"/>
    <w:rsid w:val="00297B7A"/>
    <w:rsid w:val="002A05F0"/>
    <w:rsid w:val="002A0C69"/>
    <w:rsid w:val="002A112B"/>
    <w:rsid w:val="002A13B3"/>
    <w:rsid w:val="002A1543"/>
    <w:rsid w:val="002A1726"/>
    <w:rsid w:val="002A3126"/>
    <w:rsid w:val="002A39F8"/>
    <w:rsid w:val="002A5771"/>
    <w:rsid w:val="002A5AB0"/>
    <w:rsid w:val="002A7E95"/>
    <w:rsid w:val="002B22B1"/>
    <w:rsid w:val="002B2AA3"/>
    <w:rsid w:val="002B5DAA"/>
    <w:rsid w:val="002B5F7D"/>
    <w:rsid w:val="002B6ADD"/>
    <w:rsid w:val="002B6B0E"/>
    <w:rsid w:val="002C0107"/>
    <w:rsid w:val="002C0847"/>
    <w:rsid w:val="002C12A2"/>
    <w:rsid w:val="002C1692"/>
    <w:rsid w:val="002C1F30"/>
    <w:rsid w:val="002C2AB5"/>
    <w:rsid w:val="002C54C0"/>
    <w:rsid w:val="002C5EE0"/>
    <w:rsid w:val="002D0253"/>
    <w:rsid w:val="002D1419"/>
    <w:rsid w:val="002D2075"/>
    <w:rsid w:val="002D3179"/>
    <w:rsid w:val="002D3579"/>
    <w:rsid w:val="002D37DB"/>
    <w:rsid w:val="002D3AAF"/>
    <w:rsid w:val="002D3F51"/>
    <w:rsid w:val="002D407D"/>
    <w:rsid w:val="002D4D1A"/>
    <w:rsid w:val="002D4D6C"/>
    <w:rsid w:val="002D518C"/>
    <w:rsid w:val="002D575F"/>
    <w:rsid w:val="002D5AF7"/>
    <w:rsid w:val="002D5FA0"/>
    <w:rsid w:val="002D634F"/>
    <w:rsid w:val="002D65DB"/>
    <w:rsid w:val="002D7087"/>
    <w:rsid w:val="002D77C7"/>
    <w:rsid w:val="002D79DA"/>
    <w:rsid w:val="002E1593"/>
    <w:rsid w:val="002E2D8F"/>
    <w:rsid w:val="002E3110"/>
    <w:rsid w:val="002E3BBE"/>
    <w:rsid w:val="002E3E1F"/>
    <w:rsid w:val="002E3EDD"/>
    <w:rsid w:val="002E502A"/>
    <w:rsid w:val="002E551E"/>
    <w:rsid w:val="002E55BD"/>
    <w:rsid w:val="002E58B0"/>
    <w:rsid w:val="002E59C2"/>
    <w:rsid w:val="002E662F"/>
    <w:rsid w:val="002E66D8"/>
    <w:rsid w:val="002E7601"/>
    <w:rsid w:val="002E7C55"/>
    <w:rsid w:val="002E7F1B"/>
    <w:rsid w:val="002E7F28"/>
    <w:rsid w:val="002F0796"/>
    <w:rsid w:val="002F0C6A"/>
    <w:rsid w:val="002F0F22"/>
    <w:rsid w:val="002F1486"/>
    <w:rsid w:val="002F1584"/>
    <w:rsid w:val="002F1685"/>
    <w:rsid w:val="002F241C"/>
    <w:rsid w:val="002F2AC0"/>
    <w:rsid w:val="002F350B"/>
    <w:rsid w:val="002F375A"/>
    <w:rsid w:val="002F4128"/>
    <w:rsid w:val="002F48DD"/>
    <w:rsid w:val="002F5755"/>
    <w:rsid w:val="002F58FA"/>
    <w:rsid w:val="002F5969"/>
    <w:rsid w:val="002F5AC7"/>
    <w:rsid w:val="002F675B"/>
    <w:rsid w:val="002F6CD4"/>
    <w:rsid w:val="002F6FE1"/>
    <w:rsid w:val="00301CA3"/>
    <w:rsid w:val="0030335E"/>
    <w:rsid w:val="003045E5"/>
    <w:rsid w:val="003046CA"/>
    <w:rsid w:val="00304C47"/>
    <w:rsid w:val="003060FA"/>
    <w:rsid w:val="00306AC4"/>
    <w:rsid w:val="00306CCE"/>
    <w:rsid w:val="00306D70"/>
    <w:rsid w:val="0030730A"/>
    <w:rsid w:val="00307584"/>
    <w:rsid w:val="00307666"/>
    <w:rsid w:val="00307D6C"/>
    <w:rsid w:val="00307D87"/>
    <w:rsid w:val="00310C3A"/>
    <w:rsid w:val="003121AF"/>
    <w:rsid w:val="00313D38"/>
    <w:rsid w:val="003144F5"/>
    <w:rsid w:val="0031523C"/>
    <w:rsid w:val="00315458"/>
    <w:rsid w:val="00315905"/>
    <w:rsid w:val="00315AEC"/>
    <w:rsid w:val="00316951"/>
    <w:rsid w:val="00316ACD"/>
    <w:rsid w:val="00316E71"/>
    <w:rsid w:val="003177E6"/>
    <w:rsid w:val="00320B33"/>
    <w:rsid w:val="00322C9A"/>
    <w:rsid w:val="00323FF2"/>
    <w:rsid w:val="00331000"/>
    <w:rsid w:val="0033160F"/>
    <w:rsid w:val="00331813"/>
    <w:rsid w:val="00331820"/>
    <w:rsid w:val="00331915"/>
    <w:rsid w:val="00331AFB"/>
    <w:rsid w:val="00332548"/>
    <w:rsid w:val="00332B25"/>
    <w:rsid w:val="00332CBD"/>
    <w:rsid w:val="00334020"/>
    <w:rsid w:val="00336586"/>
    <w:rsid w:val="00336907"/>
    <w:rsid w:val="00337507"/>
    <w:rsid w:val="003376D9"/>
    <w:rsid w:val="0033784B"/>
    <w:rsid w:val="00337DC3"/>
    <w:rsid w:val="0034019E"/>
    <w:rsid w:val="0034043A"/>
    <w:rsid w:val="00341F05"/>
    <w:rsid w:val="00342437"/>
    <w:rsid w:val="00342657"/>
    <w:rsid w:val="00343023"/>
    <w:rsid w:val="00343060"/>
    <w:rsid w:val="00344AE5"/>
    <w:rsid w:val="00346D13"/>
    <w:rsid w:val="0034722A"/>
    <w:rsid w:val="003506B1"/>
    <w:rsid w:val="003522A2"/>
    <w:rsid w:val="0035257C"/>
    <w:rsid w:val="003539A7"/>
    <w:rsid w:val="003542DC"/>
    <w:rsid w:val="003547C3"/>
    <w:rsid w:val="0035510D"/>
    <w:rsid w:val="003565A7"/>
    <w:rsid w:val="003565E2"/>
    <w:rsid w:val="00356872"/>
    <w:rsid w:val="0035697D"/>
    <w:rsid w:val="00360056"/>
    <w:rsid w:val="00361E70"/>
    <w:rsid w:val="0036395B"/>
    <w:rsid w:val="00365630"/>
    <w:rsid w:val="0036592A"/>
    <w:rsid w:val="0036698C"/>
    <w:rsid w:val="00366B5E"/>
    <w:rsid w:val="00367888"/>
    <w:rsid w:val="00367E8B"/>
    <w:rsid w:val="00370981"/>
    <w:rsid w:val="00371D4A"/>
    <w:rsid w:val="00371F8D"/>
    <w:rsid w:val="00373919"/>
    <w:rsid w:val="003765BD"/>
    <w:rsid w:val="00377039"/>
    <w:rsid w:val="0037714A"/>
    <w:rsid w:val="00380D72"/>
    <w:rsid w:val="00380F90"/>
    <w:rsid w:val="003820C1"/>
    <w:rsid w:val="00382C65"/>
    <w:rsid w:val="00384530"/>
    <w:rsid w:val="003847A5"/>
    <w:rsid w:val="00384C05"/>
    <w:rsid w:val="00385C4C"/>
    <w:rsid w:val="00386C74"/>
    <w:rsid w:val="00387A90"/>
    <w:rsid w:val="00387A92"/>
    <w:rsid w:val="0039084D"/>
    <w:rsid w:val="00392614"/>
    <w:rsid w:val="0039492B"/>
    <w:rsid w:val="00394AD5"/>
    <w:rsid w:val="00395451"/>
    <w:rsid w:val="003954CE"/>
    <w:rsid w:val="00396112"/>
    <w:rsid w:val="0039656E"/>
    <w:rsid w:val="00396B11"/>
    <w:rsid w:val="00397684"/>
    <w:rsid w:val="00397780"/>
    <w:rsid w:val="00397863"/>
    <w:rsid w:val="00397C1C"/>
    <w:rsid w:val="00397FDB"/>
    <w:rsid w:val="003A061D"/>
    <w:rsid w:val="003A1094"/>
    <w:rsid w:val="003A19E4"/>
    <w:rsid w:val="003A1E6E"/>
    <w:rsid w:val="003A2966"/>
    <w:rsid w:val="003A3E60"/>
    <w:rsid w:val="003A4032"/>
    <w:rsid w:val="003A4B37"/>
    <w:rsid w:val="003A5A9C"/>
    <w:rsid w:val="003A5F87"/>
    <w:rsid w:val="003A6137"/>
    <w:rsid w:val="003A6316"/>
    <w:rsid w:val="003B0FBE"/>
    <w:rsid w:val="003B1CDD"/>
    <w:rsid w:val="003B233A"/>
    <w:rsid w:val="003B2B1C"/>
    <w:rsid w:val="003B37F6"/>
    <w:rsid w:val="003B410F"/>
    <w:rsid w:val="003B425A"/>
    <w:rsid w:val="003B469A"/>
    <w:rsid w:val="003B47AA"/>
    <w:rsid w:val="003B4CCB"/>
    <w:rsid w:val="003B5C26"/>
    <w:rsid w:val="003B6C7A"/>
    <w:rsid w:val="003C1634"/>
    <w:rsid w:val="003C24E9"/>
    <w:rsid w:val="003C2930"/>
    <w:rsid w:val="003C2979"/>
    <w:rsid w:val="003C3341"/>
    <w:rsid w:val="003C39DD"/>
    <w:rsid w:val="003C3E36"/>
    <w:rsid w:val="003C4AB4"/>
    <w:rsid w:val="003C4B35"/>
    <w:rsid w:val="003C663A"/>
    <w:rsid w:val="003C71F0"/>
    <w:rsid w:val="003D12EC"/>
    <w:rsid w:val="003D2A44"/>
    <w:rsid w:val="003D322C"/>
    <w:rsid w:val="003D4257"/>
    <w:rsid w:val="003D71AA"/>
    <w:rsid w:val="003D78C7"/>
    <w:rsid w:val="003E1261"/>
    <w:rsid w:val="003E2EDC"/>
    <w:rsid w:val="003E3036"/>
    <w:rsid w:val="003E35EC"/>
    <w:rsid w:val="003E4DB2"/>
    <w:rsid w:val="003E5310"/>
    <w:rsid w:val="003E5B6F"/>
    <w:rsid w:val="003E6258"/>
    <w:rsid w:val="003E662A"/>
    <w:rsid w:val="003E7780"/>
    <w:rsid w:val="003E7CB2"/>
    <w:rsid w:val="003F004E"/>
    <w:rsid w:val="003F0815"/>
    <w:rsid w:val="003F2408"/>
    <w:rsid w:val="003F2CF7"/>
    <w:rsid w:val="003F41EA"/>
    <w:rsid w:val="003F42BD"/>
    <w:rsid w:val="003F5381"/>
    <w:rsid w:val="003F5599"/>
    <w:rsid w:val="003F69E8"/>
    <w:rsid w:val="003F7971"/>
    <w:rsid w:val="003F7E5D"/>
    <w:rsid w:val="0040032D"/>
    <w:rsid w:val="004010C1"/>
    <w:rsid w:val="00401ACB"/>
    <w:rsid w:val="00401B5E"/>
    <w:rsid w:val="00401C90"/>
    <w:rsid w:val="00401CF9"/>
    <w:rsid w:val="00404700"/>
    <w:rsid w:val="00405EE4"/>
    <w:rsid w:val="0040604E"/>
    <w:rsid w:val="004066F3"/>
    <w:rsid w:val="00406DB8"/>
    <w:rsid w:val="00407955"/>
    <w:rsid w:val="00407A54"/>
    <w:rsid w:val="00407DB3"/>
    <w:rsid w:val="0041002F"/>
    <w:rsid w:val="004104BE"/>
    <w:rsid w:val="00410E52"/>
    <w:rsid w:val="00411E31"/>
    <w:rsid w:val="00412175"/>
    <w:rsid w:val="00414547"/>
    <w:rsid w:val="00414998"/>
    <w:rsid w:val="00414FB6"/>
    <w:rsid w:val="00415C2C"/>
    <w:rsid w:val="00416E00"/>
    <w:rsid w:val="00417EC3"/>
    <w:rsid w:val="00420397"/>
    <w:rsid w:val="00420479"/>
    <w:rsid w:val="0042063E"/>
    <w:rsid w:val="004212F2"/>
    <w:rsid w:val="00421A7C"/>
    <w:rsid w:val="00422C1D"/>
    <w:rsid w:val="0042343C"/>
    <w:rsid w:val="004244C9"/>
    <w:rsid w:val="00424D2C"/>
    <w:rsid w:val="00425497"/>
    <w:rsid w:val="00425F15"/>
    <w:rsid w:val="00426EF4"/>
    <w:rsid w:val="00427054"/>
    <w:rsid w:val="004272C7"/>
    <w:rsid w:val="004302D0"/>
    <w:rsid w:val="004306D5"/>
    <w:rsid w:val="0043090F"/>
    <w:rsid w:val="00430C9D"/>
    <w:rsid w:val="00431B28"/>
    <w:rsid w:val="0043201A"/>
    <w:rsid w:val="0043272F"/>
    <w:rsid w:val="00434BB8"/>
    <w:rsid w:val="00434FE4"/>
    <w:rsid w:val="0043535D"/>
    <w:rsid w:val="0043570B"/>
    <w:rsid w:val="00435C28"/>
    <w:rsid w:val="0043778B"/>
    <w:rsid w:val="00440111"/>
    <w:rsid w:val="004403EE"/>
    <w:rsid w:val="004405E2"/>
    <w:rsid w:val="00440A8D"/>
    <w:rsid w:val="00440F7E"/>
    <w:rsid w:val="00441789"/>
    <w:rsid w:val="00442C6D"/>
    <w:rsid w:val="00446313"/>
    <w:rsid w:val="0044640A"/>
    <w:rsid w:val="00446C94"/>
    <w:rsid w:val="004477E8"/>
    <w:rsid w:val="00447F76"/>
    <w:rsid w:val="00451B70"/>
    <w:rsid w:val="00452A2E"/>
    <w:rsid w:val="004539DB"/>
    <w:rsid w:val="004568A0"/>
    <w:rsid w:val="004575D9"/>
    <w:rsid w:val="00460464"/>
    <w:rsid w:val="00461778"/>
    <w:rsid w:val="0046178E"/>
    <w:rsid w:val="004633A9"/>
    <w:rsid w:val="0046342D"/>
    <w:rsid w:val="0047068B"/>
    <w:rsid w:val="004708DE"/>
    <w:rsid w:val="00470A8D"/>
    <w:rsid w:val="00470BF7"/>
    <w:rsid w:val="00471948"/>
    <w:rsid w:val="00471FAA"/>
    <w:rsid w:val="0047289C"/>
    <w:rsid w:val="00472AFC"/>
    <w:rsid w:val="004739D4"/>
    <w:rsid w:val="004751DA"/>
    <w:rsid w:val="00475333"/>
    <w:rsid w:val="0047565D"/>
    <w:rsid w:val="004765F3"/>
    <w:rsid w:val="00476912"/>
    <w:rsid w:val="00477562"/>
    <w:rsid w:val="00480649"/>
    <w:rsid w:val="00480ACE"/>
    <w:rsid w:val="0048123B"/>
    <w:rsid w:val="004823FB"/>
    <w:rsid w:val="0048406F"/>
    <w:rsid w:val="00484E4E"/>
    <w:rsid w:val="0048521C"/>
    <w:rsid w:val="00485351"/>
    <w:rsid w:val="00485C59"/>
    <w:rsid w:val="00487202"/>
    <w:rsid w:val="00490A94"/>
    <w:rsid w:val="00490CF5"/>
    <w:rsid w:val="0049102D"/>
    <w:rsid w:val="00491C01"/>
    <w:rsid w:val="004921C6"/>
    <w:rsid w:val="004923EC"/>
    <w:rsid w:val="004925F0"/>
    <w:rsid w:val="004926A1"/>
    <w:rsid w:val="00492C7D"/>
    <w:rsid w:val="00493C82"/>
    <w:rsid w:val="004944C8"/>
    <w:rsid w:val="004953D9"/>
    <w:rsid w:val="00495A24"/>
    <w:rsid w:val="00496DB4"/>
    <w:rsid w:val="00497ACD"/>
    <w:rsid w:val="004A04D9"/>
    <w:rsid w:val="004A2DB2"/>
    <w:rsid w:val="004A328E"/>
    <w:rsid w:val="004A3579"/>
    <w:rsid w:val="004A42FF"/>
    <w:rsid w:val="004A4CA3"/>
    <w:rsid w:val="004A63A3"/>
    <w:rsid w:val="004A6764"/>
    <w:rsid w:val="004A68C0"/>
    <w:rsid w:val="004A6E14"/>
    <w:rsid w:val="004B02E5"/>
    <w:rsid w:val="004B11A8"/>
    <w:rsid w:val="004B24E3"/>
    <w:rsid w:val="004B3B56"/>
    <w:rsid w:val="004B42AC"/>
    <w:rsid w:val="004B49E5"/>
    <w:rsid w:val="004B533D"/>
    <w:rsid w:val="004B57EB"/>
    <w:rsid w:val="004B5E37"/>
    <w:rsid w:val="004C0552"/>
    <w:rsid w:val="004C078E"/>
    <w:rsid w:val="004C1089"/>
    <w:rsid w:val="004C1410"/>
    <w:rsid w:val="004C3A32"/>
    <w:rsid w:val="004C42DA"/>
    <w:rsid w:val="004C457D"/>
    <w:rsid w:val="004C5298"/>
    <w:rsid w:val="004C6E17"/>
    <w:rsid w:val="004D2439"/>
    <w:rsid w:val="004D3036"/>
    <w:rsid w:val="004D392E"/>
    <w:rsid w:val="004D3BE2"/>
    <w:rsid w:val="004D471A"/>
    <w:rsid w:val="004D6E26"/>
    <w:rsid w:val="004D78EE"/>
    <w:rsid w:val="004E18D0"/>
    <w:rsid w:val="004E1C5B"/>
    <w:rsid w:val="004E1CDE"/>
    <w:rsid w:val="004E2B57"/>
    <w:rsid w:val="004E2DBF"/>
    <w:rsid w:val="004E48A2"/>
    <w:rsid w:val="004E48BD"/>
    <w:rsid w:val="004E575C"/>
    <w:rsid w:val="004E65F2"/>
    <w:rsid w:val="004E7FBA"/>
    <w:rsid w:val="004F0577"/>
    <w:rsid w:val="004F1020"/>
    <w:rsid w:val="004F17B6"/>
    <w:rsid w:val="004F18BD"/>
    <w:rsid w:val="004F2286"/>
    <w:rsid w:val="004F28B3"/>
    <w:rsid w:val="004F2B9D"/>
    <w:rsid w:val="004F2E40"/>
    <w:rsid w:val="004F2F6A"/>
    <w:rsid w:val="004F356D"/>
    <w:rsid w:val="004F39DC"/>
    <w:rsid w:val="004F3B25"/>
    <w:rsid w:val="004F42C8"/>
    <w:rsid w:val="004F4CEC"/>
    <w:rsid w:val="004F5863"/>
    <w:rsid w:val="004F7EA5"/>
    <w:rsid w:val="005000E2"/>
    <w:rsid w:val="0050130F"/>
    <w:rsid w:val="0050221C"/>
    <w:rsid w:val="00502789"/>
    <w:rsid w:val="00502D48"/>
    <w:rsid w:val="00503919"/>
    <w:rsid w:val="00504CE3"/>
    <w:rsid w:val="00505CAA"/>
    <w:rsid w:val="00506DCA"/>
    <w:rsid w:val="005070C1"/>
    <w:rsid w:val="00507283"/>
    <w:rsid w:val="00507572"/>
    <w:rsid w:val="00510F9F"/>
    <w:rsid w:val="00511C73"/>
    <w:rsid w:val="00511CE8"/>
    <w:rsid w:val="00512096"/>
    <w:rsid w:val="005121F1"/>
    <w:rsid w:val="005127A3"/>
    <w:rsid w:val="005139DF"/>
    <w:rsid w:val="00513EBF"/>
    <w:rsid w:val="005145AD"/>
    <w:rsid w:val="005154D2"/>
    <w:rsid w:val="005155B6"/>
    <w:rsid w:val="005157E7"/>
    <w:rsid w:val="005163BB"/>
    <w:rsid w:val="00516AD1"/>
    <w:rsid w:val="00520948"/>
    <w:rsid w:val="00522553"/>
    <w:rsid w:val="005272C7"/>
    <w:rsid w:val="00527E97"/>
    <w:rsid w:val="00533464"/>
    <w:rsid w:val="00533E0A"/>
    <w:rsid w:val="005341FF"/>
    <w:rsid w:val="0053444C"/>
    <w:rsid w:val="005353A7"/>
    <w:rsid w:val="00536B98"/>
    <w:rsid w:val="00536DA3"/>
    <w:rsid w:val="00537FF0"/>
    <w:rsid w:val="005400FC"/>
    <w:rsid w:val="00540BB4"/>
    <w:rsid w:val="00541996"/>
    <w:rsid w:val="00542CB9"/>
    <w:rsid w:val="00542CC4"/>
    <w:rsid w:val="005432AA"/>
    <w:rsid w:val="00543C0C"/>
    <w:rsid w:val="00543E76"/>
    <w:rsid w:val="005443C9"/>
    <w:rsid w:val="00546468"/>
    <w:rsid w:val="005465BD"/>
    <w:rsid w:val="00547C65"/>
    <w:rsid w:val="00547E15"/>
    <w:rsid w:val="005503AE"/>
    <w:rsid w:val="00551776"/>
    <w:rsid w:val="005520D6"/>
    <w:rsid w:val="00552490"/>
    <w:rsid w:val="00552E71"/>
    <w:rsid w:val="00553BBE"/>
    <w:rsid w:val="005543D3"/>
    <w:rsid w:val="00554952"/>
    <w:rsid w:val="00555DA4"/>
    <w:rsid w:val="00556E05"/>
    <w:rsid w:val="00560290"/>
    <w:rsid w:val="005602A2"/>
    <w:rsid w:val="005605DB"/>
    <w:rsid w:val="00560833"/>
    <w:rsid w:val="005610AC"/>
    <w:rsid w:val="005610BE"/>
    <w:rsid w:val="005611E6"/>
    <w:rsid w:val="00561F97"/>
    <w:rsid w:val="005631E0"/>
    <w:rsid w:val="005640CC"/>
    <w:rsid w:val="0056457E"/>
    <w:rsid w:val="00565ACB"/>
    <w:rsid w:val="00565B08"/>
    <w:rsid w:val="00565BDC"/>
    <w:rsid w:val="00567114"/>
    <w:rsid w:val="00567FF1"/>
    <w:rsid w:val="00570114"/>
    <w:rsid w:val="00570BFA"/>
    <w:rsid w:val="00571D93"/>
    <w:rsid w:val="00572041"/>
    <w:rsid w:val="0057223C"/>
    <w:rsid w:val="00572C5F"/>
    <w:rsid w:val="005738F5"/>
    <w:rsid w:val="0057456E"/>
    <w:rsid w:val="00574DA0"/>
    <w:rsid w:val="00575195"/>
    <w:rsid w:val="00575EEE"/>
    <w:rsid w:val="00575F27"/>
    <w:rsid w:val="00575F91"/>
    <w:rsid w:val="00576406"/>
    <w:rsid w:val="00576D6E"/>
    <w:rsid w:val="00577FEB"/>
    <w:rsid w:val="00581552"/>
    <w:rsid w:val="00583E60"/>
    <w:rsid w:val="005842B2"/>
    <w:rsid w:val="00584690"/>
    <w:rsid w:val="00585D00"/>
    <w:rsid w:val="00586344"/>
    <w:rsid w:val="005869ED"/>
    <w:rsid w:val="00586E85"/>
    <w:rsid w:val="00587072"/>
    <w:rsid w:val="00590115"/>
    <w:rsid w:val="00592961"/>
    <w:rsid w:val="0059334A"/>
    <w:rsid w:val="0059343F"/>
    <w:rsid w:val="00593B0D"/>
    <w:rsid w:val="005957B4"/>
    <w:rsid w:val="00595C45"/>
    <w:rsid w:val="005A1832"/>
    <w:rsid w:val="005A306A"/>
    <w:rsid w:val="005A5C76"/>
    <w:rsid w:val="005B06C9"/>
    <w:rsid w:val="005B392D"/>
    <w:rsid w:val="005B47B6"/>
    <w:rsid w:val="005B4F25"/>
    <w:rsid w:val="005B5156"/>
    <w:rsid w:val="005B62DE"/>
    <w:rsid w:val="005B63DD"/>
    <w:rsid w:val="005B642B"/>
    <w:rsid w:val="005B6DED"/>
    <w:rsid w:val="005B70EF"/>
    <w:rsid w:val="005B73A9"/>
    <w:rsid w:val="005C0706"/>
    <w:rsid w:val="005C19CA"/>
    <w:rsid w:val="005C1ADC"/>
    <w:rsid w:val="005C243F"/>
    <w:rsid w:val="005C24EC"/>
    <w:rsid w:val="005C28EE"/>
    <w:rsid w:val="005C32B1"/>
    <w:rsid w:val="005C3603"/>
    <w:rsid w:val="005C4725"/>
    <w:rsid w:val="005C53F0"/>
    <w:rsid w:val="005C636A"/>
    <w:rsid w:val="005C7CE5"/>
    <w:rsid w:val="005C7D22"/>
    <w:rsid w:val="005C7E71"/>
    <w:rsid w:val="005D0815"/>
    <w:rsid w:val="005D0C2F"/>
    <w:rsid w:val="005D11C0"/>
    <w:rsid w:val="005D1570"/>
    <w:rsid w:val="005D1BE6"/>
    <w:rsid w:val="005D4683"/>
    <w:rsid w:val="005D4A3B"/>
    <w:rsid w:val="005D68A8"/>
    <w:rsid w:val="005D7F67"/>
    <w:rsid w:val="005E19F1"/>
    <w:rsid w:val="005E1CFA"/>
    <w:rsid w:val="005E30CF"/>
    <w:rsid w:val="005E3A07"/>
    <w:rsid w:val="005E4B58"/>
    <w:rsid w:val="005E4FD4"/>
    <w:rsid w:val="005E682D"/>
    <w:rsid w:val="005E7518"/>
    <w:rsid w:val="005F15D3"/>
    <w:rsid w:val="005F17F6"/>
    <w:rsid w:val="005F2726"/>
    <w:rsid w:val="005F3008"/>
    <w:rsid w:val="005F3AF7"/>
    <w:rsid w:val="005F41C3"/>
    <w:rsid w:val="005F44E7"/>
    <w:rsid w:val="005F4B9C"/>
    <w:rsid w:val="005F5AC8"/>
    <w:rsid w:val="005F7688"/>
    <w:rsid w:val="00600C2E"/>
    <w:rsid w:val="00601331"/>
    <w:rsid w:val="00601736"/>
    <w:rsid w:val="00602435"/>
    <w:rsid w:val="00602726"/>
    <w:rsid w:val="00602846"/>
    <w:rsid w:val="00606FDD"/>
    <w:rsid w:val="00610364"/>
    <w:rsid w:val="00611530"/>
    <w:rsid w:val="0061175D"/>
    <w:rsid w:val="00612798"/>
    <w:rsid w:val="00612B2C"/>
    <w:rsid w:val="0061325B"/>
    <w:rsid w:val="00613C01"/>
    <w:rsid w:val="00613C49"/>
    <w:rsid w:val="00614DAF"/>
    <w:rsid w:val="00615718"/>
    <w:rsid w:val="0061768A"/>
    <w:rsid w:val="00617DEE"/>
    <w:rsid w:val="0062011F"/>
    <w:rsid w:val="00620A2E"/>
    <w:rsid w:val="00620BE4"/>
    <w:rsid w:val="00622047"/>
    <w:rsid w:val="00623900"/>
    <w:rsid w:val="00626971"/>
    <w:rsid w:val="00627A31"/>
    <w:rsid w:val="00627ECE"/>
    <w:rsid w:val="006321B8"/>
    <w:rsid w:val="0063227D"/>
    <w:rsid w:val="006325E7"/>
    <w:rsid w:val="0063336C"/>
    <w:rsid w:val="00633394"/>
    <w:rsid w:val="006333EB"/>
    <w:rsid w:val="00633AFF"/>
    <w:rsid w:val="00633EE5"/>
    <w:rsid w:val="00633FFA"/>
    <w:rsid w:val="006346B1"/>
    <w:rsid w:val="006348A3"/>
    <w:rsid w:val="00634C8A"/>
    <w:rsid w:val="00635245"/>
    <w:rsid w:val="00635CD4"/>
    <w:rsid w:val="0063646E"/>
    <w:rsid w:val="00636DF4"/>
    <w:rsid w:val="0064396D"/>
    <w:rsid w:val="00643A65"/>
    <w:rsid w:val="0064485B"/>
    <w:rsid w:val="00645715"/>
    <w:rsid w:val="006457B9"/>
    <w:rsid w:val="0065156C"/>
    <w:rsid w:val="0065273F"/>
    <w:rsid w:val="006535F3"/>
    <w:rsid w:val="006560A6"/>
    <w:rsid w:val="00657C49"/>
    <w:rsid w:val="00662C42"/>
    <w:rsid w:val="00663168"/>
    <w:rsid w:val="00663371"/>
    <w:rsid w:val="00663773"/>
    <w:rsid w:val="00663F56"/>
    <w:rsid w:val="00664017"/>
    <w:rsid w:val="00664BDB"/>
    <w:rsid w:val="006656D5"/>
    <w:rsid w:val="00665828"/>
    <w:rsid w:val="00665939"/>
    <w:rsid w:val="006669F4"/>
    <w:rsid w:val="00670617"/>
    <w:rsid w:val="0067094E"/>
    <w:rsid w:val="00671697"/>
    <w:rsid w:val="0067224B"/>
    <w:rsid w:val="00672860"/>
    <w:rsid w:val="00672EBC"/>
    <w:rsid w:val="00672F9F"/>
    <w:rsid w:val="00672FF7"/>
    <w:rsid w:val="0067362E"/>
    <w:rsid w:val="006747BC"/>
    <w:rsid w:val="006753BD"/>
    <w:rsid w:val="0067654D"/>
    <w:rsid w:val="006766D6"/>
    <w:rsid w:val="00676D7B"/>
    <w:rsid w:val="0067784A"/>
    <w:rsid w:val="00681368"/>
    <w:rsid w:val="006813CC"/>
    <w:rsid w:val="00682262"/>
    <w:rsid w:val="00682533"/>
    <w:rsid w:val="00683017"/>
    <w:rsid w:val="0068302F"/>
    <w:rsid w:val="0068356B"/>
    <w:rsid w:val="00686453"/>
    <w:rsid w:val="00686933"/>
    <w:rsid w:val="00687CE0"/>
    <w:rsid w:val="006911DE"/>
    <w:rsid w:val="006927BC"/>
    <w:rsid w:val="00693719"/>
    <w:rsid w:val="006969C5"/>
    <w:rsid w:val="00696B61"/>
    <w:rsid w:val="00697BAD"/>
    <w:rsid w:val="006A039D"/>
    <w:rsid w:val="006A319C"/>
    <w:rsid w:val="006A4318"/>
    <w:rsid w:val="006A438A"/>
    <w:rsid w:val="006A4E92"/>
    <w:rsid w:val="006B017C"/>
    <w:rsid w:val="006B0B58"/>
    <w:rsid w:val="006B0FF7"/>
    <w:rsid w:val="006B101C"/>
    <w:rsid w:val="006B1335"/>
    <w:rsid w:val="006B1A43"/>
    <w:rsid w:val="006B1EE8"/>
    <w:rsid w:val="006B49BA"/>
    <w:rsid w:val="006B4E0D"/>
    <w:rsid w:val="006C032B"/>
    <w:rsid w:val="006C181E"/>
    <w:rsid w:val="006C1867"/>
    <w:rsid w:val="006C2ED5"/>
    <w:rsid w:val="006C3184"/>
    <w:rsid w:val="006C41AC"/>
    <w:rsid w:val="006C4442"/>
    <w:rsid w:val="006C4B2E"/>
    <w:rsid w:val="006C5902"/>
    <w:rsid w:val="006C5ACD"/>
    <w:rsid w:val="006C5DF4"/>
    <w:rsid w:val="006C67F4"/>
    <w:rsid w:val="006C68DF"/>
    <w:rsid w:val="006C6973"/>
    <w:rsid w:val="006C7013"/>
    <w:rsid w:val="006C7183"/>
    <w:rsid w:val="006C748F"/>
    <w:rsid w:val="006C7C89"/>
    <w:rsid w:val="006C7D3A"/>
    <w:rsid w:val="006D03C8"/>
    <w:rsid w:val="006D0F8E"/>
    <w:rsid w:val="006D26E8"/>
    <w:rsid w:val="006D2A2B"/>
    <w:rsid w:val="006D2C14"/>
    <w:rsid w:val="006D6123"/>
    <w:rsid w:val="006D6CFE"/>
    <w:rsid w:val="006D7658"/>
    <w:rsid w:val="006E0029"/>
    <w:rsid w:val="006E2705"/>
    <w:rsid w:val="006E33B7"/>
    <w:rsid w:val="006E37D8"/>
    <w:rsid w:val="006E3931"/>
    <w:rsid w:val="006E584A"/>
    <w:rsid w:val="006E5D70"/>
    <w:rsid w:val="006E5D97"/>
    <w:rsid w:val="006E6DC1"/>
    <w:rsid w:val="006F0B9F"/>
    <w:rsid w:val="006F38DB"/>
    <w:rsid w:val="006F3CBE"/>
    <w:rsid w:val="006F4224"/>
    <w:rsid w:val="006F4494"/>
    <w:rsid w:val="006F4A05"/>
    <w:rsid w:val="006F5BFD"/>
    <w:rsid w:val="006F62F1"/>
    <w:rsid w:val="006F6E5B"/>
    <w:rsid w:val="00700444"/>
    <w:rsid w:val="0070232C"/>
    <w:rsid w:val="00702412"/>
    <w:rsid w:val="00702867"/>
    <w:rsid w:val="00702A47"/>
    <w:rsid w:val="00702E10"/>
    <w:rsid w:val="007071A4"/>
    <w:rsid w:val="00707405"/>
    <w:rsid w:val="007103E3"/>
    <w:rsid w:val="00710437"/>
    <w:rsid w:val="00711902"/>
    <w:rsid w:val="007128FE"/>
    <w:rsid w:val="007138A2"/>
    <w:rsid w:val="00714106"/>
    <w:rsid w:val="00715369"/>
    <w:rsid w:val="00717233"/>
    <w:rsid w:val="0071781B"/>
    <w:rsid w:val="00717DB0"/>
    <w:rsid w:val="00720A1A"/>
    <w:rsid w:val="00722850"/>
    <w:rsid w:val="00722A70"/>
    <w:rsid w:val="007234E8"/>
    <w:rsid w:val="00725087"/>
    <w:rsid w:val="00726BF0"/>
    <w:rsid w:val="0072772E"/>
    <w:rsid w:val="0072789B"/>
    <w:rsid w:val="007278AB"/>
    <w:rsid w:val="00730499"/>
    <w:rsid w:val="007308F9"/>
    <w:rsid w:val="00731062"/>
    <w:rsid w:val="0073136F"/>
    <w:rsid w:val="0073189F"/>
    <w:rsid w:val="00731BCD"/>
    <w:rsid w:val="00731E7E"/>
    <w:rsid w:val="007333FA"/>
    <w:rsid w:val="007342A9"/>
    <w:rsid w:val="00734681"/>
    <w:rsid w:val="00734E9C"/>
    <w:rsid w:val="00737027"/>
    <w:rsid w:val="0074183A"/>
    <w:rsid w:val="007434FD"/>
    <w:rsid w:val="00743C8D"/>
    <w:rsid w:val="00743E80"/>
    <w:rsid w:val="007467FD"/>
    <w:rsid w:val="00746A56"/>
    <w:rsid w:val="00746AF0"/>
    <w:rsid w:val="00747F0C"/>
    <w:rsid w:val="007509D3"/>
    <w:rsid w:val="0075166B"/>
    <w:rsid w:val="00752C27"/>
    <w:rsid w:val="00752F30"/>
    <w:rsid w:val="00753353"/>
    <w:rsid w:val="00754EB2"/>
    <w:rsid w:val="007600DD"/>
    <w:rsid w:val="007603F7"/>
    <w:rsid w:val="007605FD"/>
    <w:rsid w:val="00760FAC"/>
    <w:rsid w:val="0076345A"/>
    <w:rsid w:val="0076553D"/>
    <w:rsid w:val="00772464"/>
    <w:rsid w:val="00772E4E"/>
    <w:rsid w:val="00773267"/>
    <w:rsid w:val="007735D6"/>
    <w:rsid w:val="00773FB7"/>
    <w:rsid w:val="0077795D"/>
    <w:rsid w:val="007813DD"/>
    <w:rsid w:val="00782740"/>
    <w:rsid w:val="0078564E"/>
    <w:rsid w:val="007858A5"/>
    <w:rsid w:val="007900CA"/>
    <w:rsid w:val="0079039A"/>
    <w:rsid w:val="00790A28"/>
    <w:rsid w:val="00791861"/>
    <w:rsid w:val="007920F4"/>
    <w:rsid w:val="007923DB"/>
    <w:rsid w:val="00794A41"/>
    <w:rsid w:val="00794ABD"/>
    <w:rsid w:val="00794D29"/>
    <w:rsid w:val="00796268"/>
    <w:rsid w:val="007979B0"/>
    <w:rsid w:val="00797C7B"/>
    <w:rsid w:val="007A245C"/>
    <w:rsid w:val="007A2E51"/>
    <w:rsid w:val="007A40B5"/>
    <w:rsid w:val="007A48FB"/>
    <w:rsid w:val="007A5944"/>
    <w:rsid w:val="007A6285"/>
    <w:rsid w:val="007A6FB2"/>
    <w:rsid w:val="007A7E0E"/>
    <w:rsid w:val="007B0197"/>
    <w:rsid w:val="007B1667"/>
    <w:rsid w:val="007B1A51"/>
    <w:rsid w:val="007B29D9"/>
    <w:rsid w:val="007B2C71"/>
    <w:rsid w:val="007B2E82"/>
    <w:rsid w:val="007B2FA0"/>
    <w:rsid w:val="007B36E9"/>
    <w:rsid w:val="007B5A57"/>
    <w:rsid w:val="007B5B8A"/>
    <w:rsid w:val="007B7CF7"/>
    <w:rsid w:val="007C0133"/>
    <w:rsid w:val="007C1886"/>
    <w:rsid w:val="007C1A35"/>
    <w:rsid w:val="007C28A7"/>
    <w:rsid w:val="007C399D"/>
    <w:rsid w:val="007C4700"/>
    <w:rsid w:val="007C7C0D"/>
    <w:rsid w:val="007C7C1E"/>
    <w:rsid w:val="007D04C9"/>
    <w:rsid w:val="007D0A5E"/>
    <w:rsid w:val="007D0F4D"/>
    <w:rsid w:val="007D1C48"/>
    <w:rsid w:val="007D3837"/>
    <w:rsid w:val="007D3EDC"/>
    <w:rsid w:val="007D598F"/>
    <w:rsid w:val="007D6404"/>
    <w:rsid w:val="007D70B3"/>
    <w:rsid w:val="007D71BE"/>
    <w:rsid w:val="007E1374"/>
    <w:rsid w:val="007E1397"/>
    <w:rsid w:val="007E21A5"/>
    <w:rsid w:val="007E281F"/>
    <w:rsid w:val="007E2C67"/>
    <w:rsid w:val="007E2E61"/>
    <w:rsid w:val="007E36B6"/>
    <w:rsid w:val="007E3F0C"/>
    <w:rsid w:val="007E4086"/>
    <w:rsid w:val="007E4E4E"/>
    <w:rsid w:val="007E554E"/>
    <w:rsid w:val="007E578A"/>
    <w:rsid w:val="007E6039"/>
    <w:rsid w:val="007E6A5E"/>
    <w:rsid w:val="007E7B7D"/>
    <w:rsid w:val="007F0F2D"/>
    <w:rsid w:val="007F1981"/>
    <w:rsid w:val="007F2F30"/>
    <w:rsid w:val="007F3CA1"/>
    <w:rsid w:val="007F424D"/>
    <w:rsid w:val="007F42BF"/>
    <w:rsid w:val="007F47E2"/>
    <w:rsid w:val="007F49A5"/>
    <w:rsid w:val="007F4A1C"/>
    <w:rsid w:val="007F59E7"/>
    <w:rsid w:val="007F661C"/>
    <w:rsid w:val="007F6D88"/>
    <w:rsid w:val="007F7E56"/>
    <w:rsid w:val="00800163"/>
    <w:rsid w:val="008003D3"/>
    <w:rsid w:val="0080043D"/>
    <w:rsid w:val="008011BB"/>
    <w:rsid w:val="0080133A"/>
    <w:rsid w:val="00801392"/>
    <w:rsid w:val="0080139E"/>
    <w:rsid w:val="008039FE"/>
    <w:rsid w:val="00803DCA"/>
    <w:rsid w:val="00804430"/>
    <w:rsid w:val="0080550C"/>
    <w:rsid w:val="00807F39"/>
    <w:rsid w:val="00810189"/>
    <w:rsid w:val="00810663"/>
    <w:rsid w:val="00812817"/>
    <w:rsid w:val="0081346A"/>
    <w:rsid w:val="008135DD"/>
    <w:rsid w:val="008148A8"/>
    <w:rsid w:val="008153BC"/>
    <w:rsid w:val="00815DA5"/>
    <w:rsid w:val="00815E3A"/>
    <w:rsid w:val="00816E7B"/>
    <w:rsid w:val="00817884"/>
    <w:rsid w:val="008200A9"/>
    <w:rsid w:val="008203F0"/>
    <w:rsid w:val="00821999"/>
    <w:rsid w:val="00821C52"/>
    <w:rsid w:val="008230E8"/>
    <w:rsid w:val="008242E5"/>
    <w:rsid w:val="008245AB"/>
    <w:rsid w:val="00824E35"/>
    <w:rsid w:val="00827B69"/>
    <w:rsid w:val="00827EB5"/>
    <w:rsid w:val="00827F7A"/>
    <w:rsid w:val="00830BF2"/>
    <w:rsid w:val="00831A77"/>
    <w:rsid w:val="00831F0E"/>
    <w:rsid w:val="0083249B"/>
    <w:rsid w:val="00832749"/>
    <w:rsid w:val="00832FC8"/>
    <w:rsid w:val="00833308"/>
    <w:rsid w:val="008333FC"/>
    <w:rsid w:val="00833C0F"/>
    <w:rsid w:val="0083409F"/>
    <w:rsid w:val="0083570F"/>
    <w:rsid w:val="00835C8E"/>
    <w:rsid w:val="008361AA"/>
    <w:rsid w:val="00837127"/>
    <w:rsid w:val="00837ED8"/>
    <w:rsid w:val="008403BC"/>
    <w:rsid w:val="00842736"/>
    <w:rsid w:val="00842BC2"/>
    <w:rsid w:val="0084300A"/>
    <w:rsid w:val="008437E0"/>
    <w:rsid w:val="008439D4"/>
    <w:rsid w:val="00844588"/>
    <w:rsid w:val="00844680"/>
    <w:rsid w:val="008448B5"/>
    <w:rsid w:val="008458D8"/>
    <w:rsid w:val="00845A79"/>
    <w:rsid w:val="008503A7"/>
    <w:rsid w:val="008517EC"/>
    <w:rsid w:val="00851C12"/>
    <w:rsid w:val="00852616"/>
    <w:rsid w:val="00852DAF"/>
    <w:rsid w:val="008536AD"/>
    <w:rsid w:val="008550C4"/>
    <w:rsid w:val="0085572E"/>
    <w:rsid w:val="00856427"/>
    <w:rsid w:val="008571AF"/>
    <w:rsid w:val="008614D3"/>
    <w:rsid w:val="0086326F"/>
    <w:rsid w:val="00863790"/>
    <w:rsid w:val="00863C24"/>
    <w:rsid w:val="00863D34"/>
    <w:rsid w:val="008654FE"/>
    <w:rsid w:val="00865F39"/>
    <w:rsid w:val="0086697D"/>
    <w:rsid w:val="00870A89"/>
    <w:rsid w:val="00870F32"/>
    <w:rsid w:val="008713F4"/>
    <w:rsid w:val="0087148D"/>
    <w:rsid w:val="008715E5"/>
    <w:rsid w:val="00871FCA"/>
    <w:rsid w:val="00872694"/>
    <w:rsid w:val="008735F0"/>
    <w:rsid w:val="00873E6B"/>
    <w:rsid w:val="00874ACA"/>
    <w:rsid w:val="00874E16"/>
    <w:rsid w:val="00876470"/>
    <w:rsid w:val="00876906"/>
    <w:rsid w:val="00876F0F"/>
    <w:rsid w:val="00880AC8"/>
    <w:rsid w:val="00881C9D"/>
    <w:rsid w:val="00881EEC"/>
    <w:rsid w:val="00881F61"/>
    <w:rsid w:val="00882760"/>
    <w:rsid w:val="00882FE4"/>
    <w:rsid w:val="00883098"/>
    <w:rsid w:val="008842B1"/>
    <w:rsid w:val="008844F5"/>
    <w:rsid w:val="00885A1D"/>
    <w:rsid w:val="00886117"/>
    <w:rsid w:val="00886629"/>
    <w:rsid w:val="0088683F"/>
    <w:rsid w:val="00886D4A"/>
    <w:rsid w:val="0088758F"/>
    <w:rsid w:val="0089043B"/>
    <w:rsid w:val="008917C6"/>
    <w:rsid w:val="00891924"/>
    <w:rsid w:val="00892418"/>
    <w:rsid w:val="00893D4F"/>
    <w:rsid w:val="008945E3"/>
    <w:rsid w:val="0089515C"/>
    <w:rsid w:val="008953F0"/>
    <w:rsid w:val="0089569A"/>
    <w:rsid w:val="00896956"/>
    <w:rsid w:val="008972BF"/>
    <w:rsid w:val="008975E1"/>
    <w:rsid w:val="00897FAF"/>
    <w:rsid w:val="00897FFE"/>
    <w:rsid w:val="008A05B9"/>
    <w:rsid w:val="008A0FC7"/>
    <w:rsid w:val="008A1DE9"/>
    <w:rsid w:val="008A235D"/>
    <w:rsid w:val="008A35AF"/>
    <w:rsid w:val="008A4EB3"/>
    <w:rsid w:val="008A531B"/>
    <w:rsid w:val="008A569B"/>
    <w:rsid w:val="008A5731"/>
    <w:rsid w:val="008A5DE9"/>
    <w:rsid w:val="008A7898"/>
    <w:rsid w:val="008A7903"/>
    <w:rsid w:val="008A7FF8"/>
    <w:rsid w:val="008B0A95"/>
    <w:rsid w:val="008B0D1F"/>
    <w:rsid w:val="008B233D"/>
    <w:rsid w:val="008B2525"/>
    <w:rsid w:val="008B31BA"/>
    <w:rsid w:val="008B342D"/>
    <w:rsid w:val="008B3CFB"/>
    <w:rsid w:val="008B5A4B"/>
    <w:rsid w:val="008B5C6A"/>
    <w:rsid w:val="008B611D"/>
    <w:rsid w:val="008B71B5"/>
    <w:rsid w:val="008B7CFB"/>
    <w:rsid w:val="008B7FF1"/>
    <w:rsid w:val="008C0D51"/>
    <w:rsid w:val="008C1439"/>
    <w:rsid w:val="008C1BC9"/>
    <w:rsid w:val="008C2224"/>
    <w:rsid w:val="008C2BCF"/>
    <w:rsid w:val="008C2BFF"/>
    <w:rsid w:val="008C35A2"/>
    <w:rsid w:val="008C3FEC"/>
    <w:rsid w:val="008C3FF6"/>
    <w:rsid w:val="008C5E09"/>
    <w:rsid w:val="008C6600"/>
    <w:rsid w:val="008C66C3"/>
    <w:rsid w:val="008D0A60"/>
    <w:rsid w:val="008D0D15"/>
    <w:rsid w:val="008D2842"/>
    <w:rsid w:val="008D2E3A"/>
    <w:rsid w:val="008D2E60"/>
    <w:rsid w:val="008D3FF0"/>
    <w:rsid w:val="008D41D3"/>
    <w:rsid w:val="008D464A"/>
    <w:rsid w:val="008D54F1"/>
    <w:rsid w:val="008D5B9D"/>
    <w:rsid w:val="008D690D"/>
    <w:rsid w:val="008D69C2"/>
    <w:rsid w:val="008D7525"/>
    <w:rsid w:val="008E04AD"/>
    <w:rsid w:val="008E08EA"/>
    <w:rsid w:val="008E30AD"/>
    <w:rsid w:val="008E3A3F"/>
    <w:rsid w:val="008E3C85"/>
    <w:rsid w:val="008E6928"/>
    <w:rsid w:val="008E7A93"/>
    <w:rsid w:val="008E7F40"/>
    <w:rsid w:val="008F011C"/>
    <w:rsid w:val="008F0239"/>
    <w:rsid w:val="008F08D9"/>
    <w:rsid w:val="008F14D8"/>
    <w:rsid w:val="008F1619"/>
    <w:rsid w:val="008F1BCB"/>
    <w:rsid w:val="008F277B"/>
    <w:rsid w:val="008F3FFF"/>
    <w:rsid w:val="008F4E5A"/>
    <w:rsid w:val="008F4F04"/>
    <w:rsid w:val="008F6144"/>
    <w:rsid w:val="008F6FD3"/>
    <w:rsid w:val="008F7395"/>
    <w:rsid w:val="008F7F09"/>
    <w:rsid w:val="008F7FC4"/>
    <w:rsid w:val="009005D3"/>
    <w:rsid w:val="00900AD2"/>
    <w:rsid w:val="00900E3D"/>
    <w:rsid w:val="00901CED"/>
    <w:rsid w:val="00901F90"/>
    <w:rsid w:val="0090202F"/>
    <w:rsid w:val="00902D3D"/>
    <w:rsid w:val="009039C0"/>
    <w:rsid w:val="00904697"/>
    <w:rsid w:val="00904B91"/>
    <w:rsid w:val="00906D54"/>
    <w:rsid w:val="009071D0"/>
    <w:rsid w:val="00910FC9"/>
    <w:rsid w:val="009117EE"/>
    <w:rsid w:val="009121E8"/>
    <w:rsid w:val="00913045"/>
    <w:rsid w:val="00913D57"/>
    <w:rsid w:val="00914C62"/>
    <w:rsid w:val="009203BE"/>
    <w:rsid w:val="0092049A"/>
    <w:rsid w:val="00921B36"/>
    <w:rsid w:val="009235D3"/>
    <w:rsid w:val="00923740"/>
    <w:rsid w:val="009241DB"/>
    <w:rsid w:val="009279B4"/>
    <w:rsid w:val="00930157"/>
    <w:rsid w:val="009301A5"/>
    <w:rsid w:val="00930852"/>
    <w:rsid w:val="009318C1"/>
    <w:rsid w:val="00931F4B"/>
    <w:rsid w:val="00932870"/>
    <w:rsid w:val="00933843"/>
    <w:rsid w:val="00933A10"/>
    <w:rsid w:val="00935D9D"/>
    <w:rsid w:val="00936A04"/>
    <w:rsid w:val="00936D9B"/>
    <w:rsid w:val="009370E3"/>
    <w:rsid w:val="009374A0"/>
    <w:rsid w:val="00937C09"/>
    <w:rsid w:val="00942978"/>
    <w:rsid w:val="00943474"/>
    <w:rsid w:val="00943851"/>
    <w:rsid w:val="00944D58"/>
    <w:rsid w:val="00945853"/>
    <w:rsid w:val="00945909"/>
    <w:rsid w:val="00947C6A"/>
    <w:rsid w:val="00947C8D"/>
    <w:rsid w:val="0095007B"/>
    <w:rsid w:val="00950A1E"/>
    <w:rsid w:val="00950F94"/>
    <w:rsid w:val="00951821"/>
    <w:rsid w:val="009518CC"/>
    <w:rsid w:val="00951BE7"/>
    <w:rsid w:val="00951E5D"/>
    <w:rsid w:val="0095223B"/>
    <w:rsid w:val="009522C5"/>
    <w:rsid w:val="00953B32"/>
    <w:rsid w:val="009543C7"/>
    <w:rsid w:val="009548B1"/>
    <w:rsid w:val="00955276"/>
    <w:rsid w:val="00955BD7"/>
    <w:rsid w:val="00957EB0"/>
    <w:rsid w:val="00957F9F"/>
    <w:rsid w:val="009602AE"/>
    <w:rsid w:val="00960FE7"/>
    <w:rsid w:val="009618A1"/>
    <w:rsid w:val="00961AA0"/>
    <w:rsid w:val="0096327F"/>
    <w:rsid w:val="00963587"/>
    <w:rsid w:val="00963CE8"/>
    <w:rsid w:val="00964D23"/>
    <w:rsid w:val="00965399"/>
    <w:rsid w:val="0096588A"/>
    <w:rsid w:val="00965EF3"/>
    <w:rsid w:val="0096792B"/>
    <w:rsid w:val="00971111"/>
    <w:rsid w:val="00971D33"/>
    <w:rsid w:val="009729B9"/>
    <w:rsid w:val="00974685"/>
    <w:rsid w:val="009755DB"/>
    <w:rsid w:val="0097562B"/>
    <w:rsid w:val="00975995"/>
    <w:rsid w:val="009771D5"/>
    <w:rsid w:val="009801C7"/>
    <w:rsid w:val="00980D3B"/>
    <w:rsid w:val="00981C67"/>
    <w:rsid w:val="0098336B"/>
    <w:rsid w:val="009842D1"/>
    <w:rsid w:val="00984F57"/>
    <w:rsid w:val="0098505D"/>
    <w:rsid w:val="00985782"/>
    <w:rsid w:val="00987A8E"/>
    <w:rsid w:val="00987C31"/>
    <w:rsid w:val="009900C0"/>
    <w:rsid w:val="00991E58"/>
    <w:rsid w:val="00992610"/>
    <w:rsid w:val="0099382C"/>
    <w:rsid w:val="0099426D"/>
    <w:rsid w:val="009954DC"/>
    <w:rsid w:val="009956B0"/>
    <w:rsid w:val="00996D71"/>
    <w:rsid w:val="00997BF4"/>
    <w:rsid w:val="00997E30"/>
    <w:rsid w:val="00997E65"/>
    <w:rsid w:val="009A00EF"/>
    <w:rsid w:val="009A09D7"/>
    <w:rsid w:val="009A0C33"/>
    <w:rsid w:val="009A197E"/>
    <w:rsid w:val="009A20F7"/>
    <w:rsid w:val="009A5222"/>
    <w:rsid w:val="009A6FDD"/>
    <w:rsid w:val="009B07FB"/>
    <w:rsid w:val="009B1973"/>
    <w:rsid w:val="009B1B0B"/>
    <w:rsid w:val="009B2119"/>
    <w:rsid w:val="009B2778"/>
    <w:rsid w:val="009B28E7"/>
    <w:rsid w:val="009B3C8D"/>
    <w:rsid w:val="009B4132"/>
    <w:rsid w:val="009B421F"/>
    <w:rsid w:val="009B5842"/>
    <w:rsid w:val="009B5900"/>
    <w:rsid w:val="009B6640"/>
    <w:rsid w:val="009B6E41"/>
    <w:rsid w:val="009B787C"/>
    <w:rsid w:val="009B7DB2"/>
    <w:rsid w:val="009C00CF"/>
    <w:rsid w:val="009C06A0"/>
    <w:rsid w:val="009C07BB"/>
    <w:rsid w:val="009C1697"/>
    <w:rsid w:val="009C2684"/>
    <w:rsid w:val="009C2E00"/>
    <w:rsid w:val="009C3403"/>
    <w:rsid w:val="009C418A"/>
    <w:rsid w:val="009C567C"/>
    <w:rsid w:val="009C5F90"/>
    <w:rsid w:val="009C64E1"/>
    <w:rsid w:val="009C7356"/>
    <w:rsid w:val="009C77DF"/>
    <w:rsid w:val="009C7A28"/>
    <w:rsid w:val="009D0084"/>
    <w:rsid w:val="009D20ED"/>
    <w:rsid w:val="009D36BF"/>
    <w:rsid w:val="009D5AD7"/>
    <w:rsid w:val="009D5C17"/>
    <w:rsid w:val="009D63B5"/>
    <w:rsid w:val="009D6DB1"/>
    <w:rsid w:val="009D6F11"/>
    <w:rsid w:val="009E0D6A"/>
    <w:rsid w:val="009E10A4"/>
    <w:rsid w:val="009E1431"/>
    <w:rsid w:val="009E16BB"/>
    <w:rsid w:val="009E4DC0"/>
    <w:rsid w:val="009E5FE1"/>
    <w:rsid w:val="009E6499"/>
    <w:rsid w:val="009F0A0A"/>
    <w:rsid w:val="009F0DEA"/>
    <w:rsid w:val="009F3477"/>
    <w:rsid w:val="009F5713"/>
    <w:rsid w:val="009F5D0F"/>
    <w:rsid w:val="009F5E53"/>
    <w:rsid w:val="009F6E4A"/>
    <w:rsid w:val="009F7DC5"/>
    <w:rsid w:val="00A006E9"/>
    <w:rsid w:val="00A0188C"/>
    <w:rsid w:val="00A01A89"/>
    <w:rsid w:val="00A01EAE"/>
    <w:rsid w:val="00A0270B"/>
    <w:rsid w:val="00A02A5E"/>
    <w:rsid w:val="00A02DFA"/>
    <w:rsid w:val="00A05A6E"/>
    <w:rsid w:val="00A05EE0"/>
    <w:rsid w:val="00A12F89"/>
    <w:rsid w:val="00A13FE8"/>
    <w:rsid w:val="00A15CA3"/>
    <w:rsid w:val="00A17920"/>
    <w:rsid w:val="00A201B1"/>
    <w:rsid w:val="00A20545"/>
    <w:rsid w:val="00A211A8"/>
    <w:rsid w:val="00A215D1"/>
    <w:rsid w:val="00A217EC"/>
    <w:rsid w:val="00A220A3"/>
    <w:rsid w:val="00A23722"/>
    <w:rsid w:val="00A23F3F"/>
    <w:rsid w:val="00A23FF4"/>
    <w:rsid w:val="00A24822"/>
    <w:rsid w:val="00A25834"/>
    <w:rsid w:val="00A259A6"/>
    <w:rsid w:val="00A263F6"/>
    <w:rsid w:val="00A268BF"/>
    <w:rsid w:val="00A315E1"/>
    <w:rsid w:val="00A3372D"/>
    <w:rsid w:val="00A347D1"/>
    <w:rsid w:val="00A402D6"/>
    <w:rsid w:val="00A403D0"/>
    <w:rsid w:val="00A4269F"/>
    <w:rsid w:val="00A42C86"/>
    <w:rsid w:val="00A43338"/>
    <w:rsid w:val="00A43937"/>
    <w:rsid w:val="00A44994"/>
    <w:rsid w:val="00A44F94"/>
    <w:rsid w:val="00A479B1"/>
    <w:rsid w:val="00A50602"/>
    <w:rsid w:val="00A50897"/>
    <w:rsid w:val="00A5140F"/>
    <w:rsid w:val="00A518AB"/>
    <w:rsid w:val="00A53470"/>
    <w:rsid w:val="00A53C3E"/>
    <w:rsid w:val="00A54554"/>
    <w:rsid w:val="00A54C8B"/>
    <w:rsid w:val="00A558D9"/>
    <w:rsid w:val="00A60B92"/>
    <w:rsid w:val="00A60E6E"/>
    <w:rsid w:val="00A61B70"/>
    <w:rsid w:val="00A61C19"/>
    <w:rsid w:val="00A645E4"/>
    <w:rsid w:val="00A64A82"/>
    <w:rsid w:val="00A6667A"/>
    <w:rsid w:val="00A67141"/>
    <w:rsid w:val="00A67266"/>
    <w:rsid w:val="00A724EC"/>
    <w:rsid w:val="00A72841"/>
    <w:rsid w:val="00A73D66"/>
    <w:rsid w:val="00A74F4F"/>
    <w:rsid w:val="00A75192"/>
    <w:rsid w:val="00A764D9"/>
    <w:rsid w:val="00A76859"/>
    <w:rsid w:val="00A802D5"/>
    <w:rsid w:val="00A803DA"/>
    <w:rsid w:val="00A8062E"/>
    <w:rsid w:val="00A81014"/>
    <w:rsid w:val="00A810DA"/>
    <w:rsid w:val="00A84C68"/>
    <w:rsid w:val="00A852CC"/>
    <w:rsid w:val="00A85512"/>
    <w:rsid w:val="00A8566F"/>
    <w:rsid w:val="00A90282"/>
    <w:rsid w:val="00A90722"/>
    <w:rsid w:val="00A90C11"/>
    <w:rsid w:val="00A916FF"/>
    <w:rsid w:val="00A93921"/>
    <w:rsid w:val="00A93DBB"/>
    <w:rsid w:val="00A93DF9"/>
    <w:rsid w:val="00A95B38"/>
    <w:rsid w:val="00A973F4"/>
    <w:rsid w:val="00AA04EC"/>
    <w:rsid w:val="00AA06B4"/>
    <w:rsid w:val="00AA2597"/>
    <w:rsid w:val="00AA2714"/>
    <w:rsid w:val="00AA3611"/>
    <w:rsid w:val="00AA41DB"/>
    <w:rsid w:val="00AA46D2"/>
    <w:rsid w:val="00AA4894"/>
    <w:rsid w:val="00AA4A7F"/>
    <w:rsid w:val="00AA4FAA"/>
    <w:rsid w:val="00AA5ECE"/>
    <w:rsid w:val="00AA67C0"/>
    <w:rsid w:val="00AA7462"/>
    <w:rsid w:val="00AA781E"/>
    <w:rsid w:val="00AB1177"/>
    <w:rsid w:val="00AB2211"/>
    <w:rsid w:val="00AB23FE"/>
    <w:rsid w:val="00AB2904"/>
    <w:rsid w:val="00AB2B67"/>
    <w:rsid w:val="00AB2F16"/>
    <w:rsid w:val="00AB3151"/>
    <w:rsid w:val="00AB4213"/>
    <w:rsid w:val="00AB4937"/>
    <w:rsid w:val="00AB5D2C"/>
    <w:rsid w:val="00AB62F9"/>
    <w:rsid w:val="00AB66E4"/>
    <w:rsid w:val="00AB7CF1"/>
    <w:rsid w:val="00AC0E6B"/>
    <w:rsid w:val="00AC2979"/>
    <w:rsid w:val="00AC3B1D"/>
    <w:rsid w:val="00AC4799"/>
    <w:rsid w:val="00AC5E98"/>
    <w:rsid w:val="00AC66BC"/>
    <w:rsid w:val="00AC7082"/>
    <w:rsid w:val="00AC70AB"/>
    <w:rsid w:val="00AC753F"/>
    <w:rsid w:val="00AD05CD"/>
    <w:rsid w:val="00AD0883"/>
    <w:rsid w:val="00AD1E37"/>
    <w:rsid w:val="00AD223B"/>
    <w:rsid w:val="00AD292D"/>
    <w:rsid w:val="00AD2B1C"/>
    <w:rsid w:val="00AD426A"/>
    <w:rsid w:val="00AD5EF7"/>
    <w:rsid w:val="00AD6057"/>
    <w:rsid w:val="00AD64F0"/>
    <w:rsid w:val="00AD74F3"/>
    <w:rsid w:val="00AD792D"/>
    <w:rsid w:val="00AE1B0F"/>
    <w:rsid w:val="00AE1E25"/>
    <w:rsid w:val="00AE2611"/>
    <w:rsid w:val="00AE279E"/>
    <w:rsid w:val="00AE411C"/>
    <w:rsid w:val="00AE774B"/>
    <w:rsid w:val="00AE7860"/>
    <w:rsid w:val="00AF032B"/>
    <w:rsid w:val="00AF032D"/>
    <w:rsid w:val="00AF447F"/>
    <w:rsid w:val="00AF5541"/>
    <w:rsid w:val="00AF57A2"/>
    <w:rsid w:val="00AF6873"/>
    <w:rsid w:val="00B0013B"/>
    <w:rsid w:val="00B01B91"/>
    <w:rsid w:val="00B04284"/>
    <w:rsid w:val="00B0635B"/>
    <w:rsid w:val="00B11CBD"/>
    <w:rsid w:val="00B123EF"/>
    <w:rsid w:val="00B12651"/>
    <w:rsid w:val="00B136E4"/>
    <w:rsid w:val="00B13EBB"/>
    <w:rsid w:val="00B13FAA"/>
    <w:rsid w:val="00B13FAD"/>
    <w:rsid w:val="00B14267"/>
    <w:rsid w:val="00B145DE"/>
    <w:rsid w:val="00B150A7"/>
    <w:rsid w:val="00B159BC"/>
    <w:rsid w:val="00B15B59"/>
    <w:rsid w:val="00B15C3F"/>
    <w:rsid w:val="00B16E48"/>
    <w:rsid w:val="00B21DBD"/>
    <w:rsid w:val="00B25136"/>
    <w:rsid w:val="00B275CB"/>
    <w:rsid w:val="00B277AF"/>
    <w:rsid w:val="00B31393"/>
    <w:rsid w:val="00B3147A"/>
    <w:rsid w:val="00B318AF"/>
    <w:rsid w:val="00B326C3"/>
    <w:rsid w:val="00B3321C"/>
    <w:rsid w:val="00B33990"/>
    <w:rsid w:val="00B350BC"/>
    <w:rsid w:val="00B35724"/>
    <w:rsid w:val="00B36555"/>
    <w:rsid w:val="00B3667B"/>
    <w:rsid w:val="00B370E6"/>
    <w:rsid w:val="00B378FC"/>
    <w:rsid w:val="00B402FC"/>
    <w:rsid w:val="00B4098C"/>
    <w:rsid w:val="00B418B1"/>
    <w:rsid w:val="00B41D07"/>
    <w:rsid w:val="00B42BDB"/>
    <w:rsid w:val="00B446D9"/>
    <w:rsid w:val="00B4485B"/>
    <w:rsid w:val="00B4584B"/>
    <w:rsid w:val="00B45D52"/>
    <w:rsid w:val="00B5015B"/>
    <w:rsid w:val="00B50E9E"/>
    <w:rsid w:val="00B51448"/>
    <w:rsid w:val="00B51FE6"/>
    <w:rsid w:val="00B52AC8"/>
    <w:rsid w:val="00B55F46"/>
    <w:rsid w:val="00B57504"/>
    <w:rsid w:val="00B5788D"/>
    <w:rsid w:val="00B578AD"/>
    <w:rsid w:val="00B57DFA"/>
    <w:rsid w:val="00B602C7"/>
    <w:rsid w:val="00B6052F"/>
    <w:rsid w:val="00B60BE2"/>
    <w:rsid w:val="00B60E30"/>
    <w:rsid w:val="00B6112A"/>
    <w:rsid w:val="00B6163C"/>
    <w:rsid w:val="00B618F5"/>
    <w:rsid w:val="00B61C69"/>
    <w:rsid w:val="00B61E13"/>
    <w:rsid w:val="00B62A94"/>
    <w:rsid w:val="00B62ACC"/>
    <w:rsid w:val="00B63A9E"/>
    <w:rsid w:val="00B63DC2"/>
    <w:rsid w:val="00B66483"/>
    <w:rsid w:val="00B668D5"/>
    <w:rsid w:val="00B67C84"/>
    <w:rsid w:val="00B703B6"/>
    <w:rsid w:val="00B70EC7"/>
    <w:rsid w:val="00B713A7"/>
    <w:rsid w:val="00B71A16"/>
    <w:rsid w:val="00B7308C"/>
    <w:rsid w:val="00B73542"/>
    <w:rsid w:val="00B73E97"/>
    <w:rsid w:val="00B73FFC"/>
    <w:rsid w:val="00B747B9"/>
    <w:rsid w:val="00B74B05"/>
    <w:rsid w:val="00B74D32"/>
    <w:rsid w:val="00B76D0A"/>
    <w:rsid w:val="00B77154"/>
    <w:rsid w:val="00B7722E"/>
    <w:rsid w:val="00B7795D"/>
    <w:rsid w:val="00B77C83"/>
    <w:rsid w:val="00B81C58"/>
    <w:rsid w:val="00B81DAC"/>
    <w:rsid w:val="00B82053"/>
    <w:rsid w:val="00B86AA3"/>
    <w:rsid w:val="00B86FD2"/>
    <w:rsid w:val="00B87A99"/>
    <w:rsid w:val="00B9088B"/>
    <w:rsid w:val="00B9159D"/>
    <w:rsid w:val="00B91DD2"/>
    <w:rsid w:val="00B91F32"/>
    <w:rsid w:val="00B92037"/>
    <w:rsid w:val="00B93D37"/>
    <w:rsid w:val="00B94F06"/>
    <w:rsid w:val="00B95C32"/>
    <w:rsid w:val="00B95F50"/>
    <w:rsid w:val="00B96EF6"/>
    <w:rsid w:val="00B96F7D"/>
    <w:rsid w:val="00BA0260"/>
    <w:rsid w:val="00BA0662"/>
    <w:rsid w:val="00BA0DE6"/>
    <w:rsid w:val="00BA1839"/>
    <w:rsid w:val="00BA19B6"/>
    <w:rsid w:val="00BA268E"/>
    <w:rsid w:val="00BA284C"/>
    <w:rsid w:val="00BA381A"/>
    <w:rsid w:val="00BA4935"/>
    <w:rsid w:val="00BA534F"/>
    <w:rsid w:val="00BA637B"/>
    <w:rsid w:val="00BA68AA"/>
    <w:rsid w:val="00BB2171"/>
    <w:rsid w:val="00BB249D"/>
    <w:rsid w:val="00BB4180"/>
    <w:rsid w:val="00BB4E48"/>
    <w:rsid w:val="00BB57AE"/>
    <w:rsid w:val="00BB62DA"/>
    <w:rsid w:val="00BB6807"/>
    <w:rsid w:val="00BB6B19"/>
    <w:rsid w:val="00BB7179"/>
    <w:rsid w:val="00BB752C"/>
    <w:rsid w:val="00BB7F67"/>
    <w:rsid w:val="00BC0812"/>
    <w:rsid w:val="00BC09D6"/>
    <w:rsid w:val="00BC1122"/>
    <w:rsid w:val="00BC1367"/>
    <w:rsid w:val="00BC1F11"/>
    <w:rsid w:val="00BC2737"/>
    <w:rsid w:val="00BC2756"/>
    <w:rsid w:val="00BC2906"/>
    <w:rsid w:val="00BC2F18"/>
    <w:rsid w:val="00BC3CC7"/>
    <w:rsid w:val="00BC4953"/>
    <w:rsid w:val="00BC5497"/>
    <w:rsid w:val="00BC7586"/>
    <w:rsid w:val="00BC7E80"/>
    <w:rsid w:val="00BD0B20"/>
    <w:rsid w:val="00BD1F22"/>
    <w:rsid w:val="00BD27C7"/>
    <w:rsid w:val="00BD3454"/>
    <w:rsid w:val="00BD3AB8"/>
    <w:rsid w:val="00BD3F3B"/>
    <w:rsid w:val="00BD5790"/>
    <w:rsid w:val="00BD6044"/>
    <w:rsid w:val="00BD7230"/>
    <w:rsid w:val="00BD74C9"/>
    <w:rsid w:val="00BD7987"/>
    <w:rsid w:val="00BD7BAA"/>
    <w:rsid w:val="00BD7DC2"/>
    <w:rsid w:val="00BE08C2"/>
    <w:rsid w:val="00BE0C82"/>
    <w:rsid w:val="00BE14B3"/>
    <w:rsid w:val="00BE1F9E"/>
    <w:rsid w:val="00BE2B31"/>
    <w:rsid w:val="00BE4060"/>
    <w:rsid w:val="00BE4542"/>
    <w:rsid w:val="00BE5160"/>
    <w:rsid w:val="00BE7214"/>
    <w:rsid w:val="00BE7BE7"/>
    <w:rsid w:val="00BF0CF0"/>
    <w:rsid w:val="00BF12D7"/>
    <w:rsid w:val="00BF30E9"/>
    <w:rsid w:val="00BF367D"/>
    <w:rsid w:val="00BF5223"/>
    <w:rsid w:val="00BF5DA4"/>
    <w:rsid w:val="00BF5DC2"/>
    <w:rsid w:val="00BF5E1A"/>
    <w:rsid w:val="00C0133F"/>
    <w:rsid w:val="00C02E60"/>
    <w:rsid w:val="00C02F43"/>
    <w:rsid w:val="00C0303A"/>
    <w:rsid w:val="00C03797"/>
    <w:rsid w:val="00C043E4"/>
    <w:rsid w:val="00C060C6"/>
    <w:rsid w:val="00C064FE"/>
    <w:rsid w:val="00C06DED"/>
    <w:rsid w:val="00C07B61"/>
    <w:rsid w:val="00C07BE7"/>
    <w:rsid w:val="00C102C5"/>
    <w:rsid w:val="00C10A28"/>
    <w:rsid w:val="00C10FE6"/>
    <w:rsid w:val="00C114AA"/>
    <w:rsid w:val="00C1301D"/>
    <w:rsid w:val="00C13E59"/>
    <w:rsid w:val="00C14F64"/>
    <w:rsid w:val="00C1500F"/>
    <w:rsid w:val="00C15135"/>
    <w:rsid w:val="00C151F1"/>
    <w:rsid w:val="00C169E7"/>
    <w:rsid w:val="00C16BDD"/>
    <w:rsid w:val="00C17B88"/>
    <w:rsid w:val="00C204D5"/>
    <w:rsid w:val="00C20DD9"/>
    <w:rsid w:val="00C223B7"/>
    <w:rsid w:val="00C23594"/>
    <w:rsid w:val="00C23898"/>
    <w:rsid w:val="00C249AA"/>
    <w:rsid w:val="00C24E76"/>
    <w:rsid w:val="00C25D22"/>
    <w:rsid w:val="00C26DA9"/>
    <w:rsid w:val="00C304FD"/>
    <w:rsid w:val="00C31B37"/>
    <w:rsid w:val="00C3373A"/>
    <w:rsid w:val="00C3477F"/>
    <w:rsid w:val="00C34A23"/>
    <w:rsid w:val="00C34FB2"/>
    <w:rsid w:val="00C3741D"/>
    <w:rsid w:val="00C40BD7"/>
    <w:rsid w:val="00C41A0D"/>
    <w:rsid w:val="00C44187"/>
    <w:rsid w:val="00C44455"/>
    <w:rsid w:val="00C51E53"/>
    <w:rsid w:val="00C52056"/>
    <w:rsid w:val="00C5459B"/>
    <w:rsid w:val="00C5487E"/>
    <w:rsid w:val="00C54A77"/>
    <w:rsid w:val="00C54B26"/>
    <w:rsid w:val="00C554C0"/>
    <w:rsid w:val="00C55902"/>
    <w:rsid w:val="00C560AB"/>
    <w:rsid w:val="00C56C85"/>
    <w:rsid w:val="00C5733A"/>
    <w:rsid w:val="00C6047B"/>
    <w:rsid w:val="00C606A9"/>
    <w:rsid w:val="00C60F3B"/>
    <w:rsid w:val="00C618BB"/>
    <w:rsid w:val="00C63C54"/>
    <w:rsid w:val="00C6488D"/>
    <w:rsid w:val="00C648C4"/>
    <w:rsid w:val="00C64AF3"/>
    <w:rsid w:val="00C65974"/>
    <w:rsid w:val="00C671D0"/>
    <w:rsid w:val="00C67B38"/>
    <w:rsid w:val="00C71016"/>
    <w:rsid w:val="00C7286B"/>
    <w:rsid w:val="00C738CE"/>
    <w:rsid w:val="00C74FB3"/>
    <w:rsid w:val="00C75AC9"/>
    <w:rsid w:val="00C75EA0"/>
    <w:rsid w:val="00C771E5"/>
    <w:rsid w:val="00C77A73"/>
    <w:rsid w:val="00C77ABC"/>
    <w:rsid w:val="00C8288E"/>
    <w:rsid w:val="00C829E4"/>
    <w:rsid w:val="00C82F5F"/>
    <w:rsid w:val="00C835F0"/>
    <w:rsid w:val="00C8456A"/>
    <w:rsid w:val="00C86588"/>
    <w:rsid w:val="00C86618"/>
    <w:rsid w:val="00C86773"/>
    <w:rsid w:val="00C87C5A"/>
    <w:rsid w:val="00C87DC8"/>
    <w:rsid w:val="00C90451"/>
    <w:rsid w:val="00C90684"/>
    <w:rsid w:val="00C90791"/>
    <w:rsid w:val="00C90AD9"/>
    <w:rsid w:val="00C90CF3"/>
    <w:rsid w:val="00C922E1"/>
    <w:rsid w:val="00C92725"/>
    <w:rsid w:val="00C92EDC"/>
    <w:rsid w:val="00C930F4"/>
    <w:rsid w:val="00C945DE"/>
    <w:rsid w:val="00C95186"/>
    <w:rsid w:val="00C957AE"/>
    <w:rsid w:val="00C95909"/>
    <w:rsid w:val="00C95DA2"/>
    <w:rsid w:val="00C96816"/>
    <w:rsid w:val="00C9729A"/>
    <w:rsid w:val="00CA0695"/>
    <w:rsid w:val="00CA105D"/>
    <w:rsid w:val="00CA2824"/>
    <w:rsid w:val="00CA29B8"/>
    <w:rsid w:val="00CA2D64"/>
    <w:rsid w:val="00CA412A"/>
    <w:rsid w:val="00CA4843"/>
    <w:rsid w:val="00CA60D8"/>
    <w:rsid w:val="00CB01B8"/>
    <w:rsid w:val="00CB1693"/>
    <w:rsid w:val="00CB1886"/>
    <w:rsid w:val="00CB1CD6"/>
    <w:rsid w:val="00CB2974"/>
    <w:rsid w:val="00CB2BCB"/>
    <w:rsid w:val="00CB42C3"/>
    <w:rsid w:val="00CB5602"/>
    <w:rsid w:val="00CB6060"/>
    <w:rsid w:val="00CB6657"/>
    <w:rsid w:val="00CB6D8E"/>
    <w:rsid w:val="00CB781B"/>
    <w:rsid w:val="00CB793D"/>
    <w:rsid w:val="00CC01DA"/>
    <w:rsid w:val="00CC02C3"/>
    <w:rsid w:val="00CC054E"/>
    <w:rsid w:val="00CC0F3D"/>
    <w:rsid w:val="00CC18A0"/>
    <w:rsid w:val="00CC1BAC"/>
    <w:rsid w:val="00CC294F"/>
    <w:rsid w:val="00CC2D20"/>
    <w:rsid w:val="00CC39C1"/>
    <w:rsid w:val="00CC3F4E"/>
    <w:rsid w:val="00CC3FC6"/>
    <w:rsid w:val="00CC5895"/>
    <w:rsid w:val="00CC73DF"/>
    <w:rsid w:val="00CC7CE5"/>
    <w:rsid w:val="00CD0B77"/>
    <w:rsid w:val="00CD13B8"/>
    <w:rsid w:val="00CD2239"/>
    <w:rsid w:val="00CD255F"/>
    <w:rsid w:val="00CD2590"/>
    <w:rsid w:val="00CD3BAF"/>
    <w:rsid w:val="00CD53CE"/>
    <w:rsid w:val="00CD5662"/>
    <w:rsid w:val="00CD6B3E"/>
    <w:rsid w:val="00CE00CB"/>
    <w:rsid w:val="00CE04D7"/>
    <w:rsid w:val="00CE07F0"/>
    <w:rsid w:val="00CE16F0"/>
    <w:rsid w:val="00CE1827"/>
    <w:rsid w:val="00CE2CB5"/>
    <w:rsid w:val="00CE42AE"/>
    <w:rsid w:val="00CE434E"/>
    <w:rsid w:val="00CE4818"/>
    <w:rsid w:val="00CE4E0E"/>
    <w:rsid w:val="00CE6EFF"/>
    <w:rsid w:val="00CE7E47"/>
    <w:rsid w:val="00CF006B"/>
    <w:rsid w:val="00CF0AE4"/>
    <w:rsid w:val="00CF108D"/>
    <w:rsid w:val="00CF2BA4"/>
    <w:rsid w:val="00CF314A"/>
    <w:rsid w:val="00CF3380"/>
    <w:rsid w:val="00CF35D3"/>
    <w:rsid w:val="00CF3657"/>
    <w:rsid w:val="00CF3AB9"/>
    <w:rsid w:val="00CF3F8A"/>
    <w:rsid w:val="00CF40C4"/>
    <w:rsid w:val="00CF49E1"/>
    <w:rsid w:val="00CF4E86"/>
    <w:rsid w:val="00CF6841"/>
    <w:rsid w:val="00CF6B8F"/>
    <w:rsid w:val="00CF7AD9"/>
    <w:rsid w:val="00D01CC5"/>
    <w:rsid w:val="00D01F2A"/>
    <w:rsid w:val="00D02B1A"/>
    <w:rsid w:val="00D0449E"/>
    <w:rsid w:val="00D066C0"/>
    <w:rsid w:val="00D0718D"/>
    <w:rsid w:val="00D07675"/>
    <w:rsid w:val="00D07745"/>
    <w:rsid w:val="00D07977"/>
    <w:rsid w:val="00D102A0"/>
    <w:rsid w:val="00D1066C"/>
    <w:rsid w:val="00D123AF"/>
    <w:rsid w:val="00D12540"/>
    <w:rsid w:val="00D12C77"/>
    <w:rsid w:val="00D13288"/>
    <w:rsid w:val="00D149A6"/>
    <w:rsid w:val="00D15F42"/>
    <w:rsid w:val="00D16C70"/>
    <w:rsid w:val="00D17443"/>
    <w:rsid w:val="00D2038C"/>
    <w:rsid w:val="00D210D9"/>
    <w:rsid w:val="00D2148A"/>
    <w:rsid w:val="00D21A40"/>
    <w:rsid w:val="00D239EB"/>
    <w:rsid w:val="00D23C93"/>
    <w:rsid w:val="00D23DC5"/>
    <w:rsid w:val="00D23E84"/>
    <w:rsid w:val="00D24226"/>
    <w:rsid w:val="00D253F8"/>
    <w:rsid w:val="00D272FB"/>
    <w:rsid w:val="00D27413"/>
    <w:rsid w:val="00D30CAD"/>
    <w:rsid w:val="00D317D9"/>
    <w:rsid w:val="00D32DA1"/>
    <w:rsid w:val="00D33CBE"/>
    <w:rsid w:val="00D3426C"/>
    <w:rsid w:val="00D34AC4"/>
    <w:rsid w:val="00D35075"/>
    <w:rsid w:val="00D3534D"/>
    <w:rsid w:val="00D353CC"/>
    <w:rsid w:val="00D36B9B"/>
    <w:rsid w:val="00D400F9"/>
    <w:rsid w:val="00D4420F"/>
    <w:rsid w:val="00D4425A"/>
    <w:rsid w:val="00D45CE0"/>
    <w:rsid w:val="00D461B9"/>
    <w:rsid w:val="00D505D2"/>
    <w:rsid w:val="00D50842"/>
    <w:rsid w:val="00D51EF0"/>
    <w:rsid w:val="00D52571"/>
    <w:rsid w:val="00D54769"/>
    <w:rsid w:val="00D547AB"/>
    <w:rsid w:val="00D5583E"/>
    <w:rsid w:val="00D57783"/>
    <w:rsid w:val="00D57CDA"/>
    <w:rsid w:val="00D60A84"/>
    <w:rsid w:val="00D60C56"/>
    <w:rsid w:val="00D611C3"/>
    <w:rsid w:val="00D616BF"/>
    <w:rsid w:val="00D61937"/>
    <w:rsid w:val="00D62908"/>
    <w:rsid w:val="00D62A67"/>
    <w:rsid w:val="00D63729"/>
    <w:rsid w:val="00D66060"/>
    <w:rsid w:val="00D661C5"/>
    <w:rsid w:val="00D66E43"/>
    <w:rsid w:val="00D679CE"/>
    <w:rsid w:val="00D71095"/>
    <w:rsid w:val="00D726DD"/>
    <w:rsid w:val="00D73740"/>
    <w:rsid w:val="00D74C47"/>
    <w:rsid w:val="00D754DF"/>
    <w:rsid w:val="00D7592E"/>
    <w:rsid w:val="00D75CAA"/>
    <w:rsid w:val="00D76C05"/>
    <w:rsid w:val="00D8191E"/>
    <w:rsid w:val="00D8271E"/>
    <w:rsid w:val="00D82987"/>
    <w:rsid w:val="00D83717"/>
    <w:rsid w:val="00D841CA"/>
    <w:rsid w:val="00D84D39"/>
    <w:rsid w:val="00D85222"/>
    <w:rsid w:val="00D863A5"/>
    <w:rsid w:val="00D8712C"/>
    <w:rsid w:val="00D9019F"/>
    <w:rsid w:val="00D91600"/>
    <w:rsid w:val="00D9226B"/>
    <w:rsid w:val="00D9353F"/>
    <w:rsid w:val="00D9357A"/>
    <w:rsid w:val="00D944BA"/>
    <w:rsid w:val="00D95CDF"/>
    <w:rsid w:val="00D97E6E"/>
    <w:rsid w:val="00DA0BFB"/>
    <w:rsid w:val="00DA1444"/>
    <w:rsid w:val="00DA17EA"/>
    <w:rsid w:val="00DA2941"/>
    <w:rsid w:val="00DA2F53"/>
    <w:rsid w:val="00DA3124"/>
    <w:rsid w:val="00DA3E40"/>
    <w:rsid w:val="00DA40F5"/>
    <w:rsid w:val="00DA57B1"/>
    <w:rsid w:val="00DA5F02"/>
    <w:rsid w:val="00DA68DD"/>
    <w:rsid w:val="00DA7EBB"/>
    <w:rsid w:val="00DB1492"/>
    <w:rsid w:val="00DB1EA4"/>
    <w:rsid w:val="00DB2991"/>
    <w:rsid w:val="00DB5BEF"/>
    <w:rsid w:val="00DB6268"/>
    <w:rsid w:val="00DB755D"/>
    <w:rsid w:val="00DB7CBD"/>
    <w:rsid w:val="00DB7E94"/>
    <w:rsid w:val="00DC01F2"/>
    <w:rsid w:val="00DC1002"/>
    <w:rsid w:val="00DC179F"/>
    <w:rsid w:val="00DC195C"/>
    <w:rsid w:val="00DC19A7"/>
    <w:rsid w:val="00DC2245"/>
    <w:rsid w:val="00DC329E"/>
    <w:rsid w:val="00DC4709"/>
    <w:rsid w:val="00DC4D1C"/>
    <w:rsid w:val="00DC4F37"/>
    <w:rsid w:val="00DC5C16"/>
    <w:rsid w:val="00DC6CB8"/>
    <w:rsid w:val="00DD00E9"/>
    <w:rsid w:val="00DD1062"/>
    <w:rsid w:val="00DD13F9"/>
    <w:rsid w:val="00DD1A98"/>
    <w:rsid w:val="00DD29B3"/>
    <w:rsid w:val="00DD3629"/>
    <w:rsid w:val="00DD3FF3"/>
    <w:rsid w:val="00DD5053"/>
    <w:rsid w:val="00DD5164"/>
    <w:rsid w:val="00DD51BF"/>
    <w:rsid w:val="00DD5D1C"/>
    <w:rsid w:val="00DD7C9C"/>
    <w:rsid w:val="00DE0B68"/>
    <w:rsid w:val="00DE1912"/>
    <w:rsid w:val="00DE1952"/>
    <w:rsid w:val="00DE1C26"/>
    <w:rsid w:val="00DE1F60"/>
    <w:rsid w:val="00DE276C"/>
    <w:rsid w:val="00DE2D81"/>
    <w:rsid w:val="00DE34A4"/>
    <w:rsid w:val="00DE452E"/>
    <w:rsid w:val="00DE46A1"/>
    <w:rsid w:val="00DE4E2E"/>
    <w:rsid w:val="00DE59FE"/>
    <w:rsid w:val="00DE5AEE"/>
    <w:rsid w:val="00DE5C90"/>
    <w:rsid w:val="00DE775C"/>
    <w:rsid w:val="00DF0A80"/>
    <w:rsid w:val="00DF0AE9"/>
    <w:rsid w:val="00DF0E80"/>
    <w:rsid w:val="00DF2B90"/>
    <w:rsid w:val="00DF36E7"/>
    <w:rsid w:val="00DF3A79"/>
    <w:rsid w:val="00DF3F1D"/>
    <w:rsid w:val="00DF3F36"/>
    <w:rsid w:val="00DF53A9"/>
    <w:rsid w:val="00DF679F"/>
    <w:rsid w:val="00DF7F7F"/>
    <w:rsid w:val="00E00D52"/>
    <w:rsid w:val="00E02FA9"/>
    <w:rsid w:val="00E031B2"/>
    <w:rsid w:val="00E0413B"/>
    <w:rsid w:val="00E04B5B"/>
    <w:rsid w:val="00E04F3B"/>
    <w:rsid w:val="00E0598A"/>
    <w:rsid w:val="00E05A6A"/>
    <w:rsid w:val="00E06FA3"/>
    <w:rsid w:val="00E073BB"/>
    <w:rsid w:val="00E103B2"/>
    <w:rsid w:val="00E12ADC"/>
    <w:rsid w:val="00E12FE9"/>
    <w:rsid w:val="00E17CDF"/>
    <w:rsid w:val="00E17DFC"/>
    <w:rsid w:val="00E21325"/>
    <w:rsid w:val="00E213CE"/>
    <w:rsid w:val="00E21641"/>
    <w:rsid w:val="00E219A9"/>
    <w:rsid w:val="00E22C6D"/>
    <w:rsid w:val="00E22D92"/>
    <w:rsid w:val="00E22F4A"/>
    <w:rsid w:val="00E2393B"/>
    <w:rsid w:val="00E24131"/>
    <w:rsid w:val="00E27420"/>
    <w:rsid w:val="00E27DA1"/>
    <w:rsid w:val="00E316E2"/>
    <w:rsid w:val="00E328BA"/>
    <w:rsid w:val="00E33636"/>
    <w:rsid w:val="00E33850"/>
    <w:rsid w:val="00E344AC"/>
    <w:rsid w:val="00E3477C"/>
    <w:rsid w:val="00E34BE4"/>
    <w:rsid w:val="00E353BA"/>
    <w:rsid w:val="00E35A15"/>
    <w:rsid w:val="00E36462"/>
    <w:rsid w:val="00E37482"/>
    <w:rsid w:val="00E37B9C"/>
    <w:rsid w:val="00E404D2"/>
    <w:rsid w:val="00E40B74"/>
    <w:rsid w:val="00E412B9"/>
    <w:rsid w:val="00E42AE5"/>
    <w:rsid w:val="00E4385B"/>
    <w:rsid w:val="00E442CF"/>
    <w:rsid w:val="00E44BE2"/>
    <w:rsid w:val="00E451A7"/>
    <w:rsid w:val="00E4564B"/>
    <w:rsid w:val="00E45EA8"/>
    <w:rsid w:val="00E45F7D"/>
    <w:rsid w:val="00E46C06"/>
    <w:rsid w:val="00E47827"/>
    <w:rsid w:val="00E47E9A"/>
    <w:rsid w:val="00E51E98"/>
    <w:rsid w:val="00E53DCE"/>
    <w:rsid w:val="00E53EC3"/>
    <w:rsid w:val="00E54374"/>
    <w:rsid w:val="00E54D4D"/>
    <w:rsid w:val="00E55665"/>
    <w:rsid w:val="00E57518"/>
    <w:rsid w:val="00E577CB"/>
    <w:rsid w:val="00E57E1A"/>
    <w:rsid w:val="00E6049E"/>
    <w:rsid w:val="00E60CD4"/>
    <w:rsid w:val="00E6249C"/>
    <w:rsid w:val="00E63194"/>
    <w:rsid w:val="00E63E0B"/>
    <w:rsid w:val="00E64CC7"/>
    <w:rsid w:val="00E65E46"/>
    <w:rsid w:val="00E663E6"/>
    <w:rsid w:val="00E70CC4"/>
    <w:rsid w:val="00E714D0"/>
    <w:rsid w:val="00E72400"/>
    <w:rsid w:val="00E73517"/>
    <w:rsid w:val="00E75799"/>
    <w:rsid w:val="00E75E49"/>
    <w:rsid w:val="00E76A30"/>
    <w:rsid w:val="00E76CA1"/>
    <w:rsid w:val="00E76D81"/>
    <w:rsid w:val="00E7797E"/>
    <w:rsid w:val="00E779C2"/>
    <w:rsid w:val="00E77BBB"/>
    <w:rsid w:val="00E801D3"/>
    <w:rsid w:val="00E8027A"/>
    <w:rsid w:val="00E80751"/>
    <w:rsid w:val="00E80856"/>
    <w:rsid w:val="00E81238"/>
    <w:rsid w:val="00E818E7"/>
    <w:rsid w:val="00E81A13"/>
    <w:rsid w:val="00E82CBF"/>
    <w:rsid w:val="00E841FD"/>
    <w:rsid w:val="00E8431A"/>
    <w:rsid w:val="00E8515A"/>
    <w:rsid w:val="00E85CEE"/>
    <w:rsid w:val="00E86851"/>
    <w:rsid w:val="00E868EA"/>
    <w:rsid w:val="00E87851"/>
    <w:rsid w:val="00E90243"/>
    <w:rsid w:val="00E924FE"/>
    <w:rsid w:val="00E936A4"/>
    <w:rsid w:val="00E94115"/>
    <w:rsid w:val="00E948C9"/>
    <w:rsid w:val="00E94BA0"/>
    <w:rsid w:val="00E95A2C"/>
    <w:rsid w:val="00E96473"/>
    <w:rsid w:val="00E9669D"/>
    <w:rsid w:val="00E96907"/>
    <w:rsid w:val="00E97A38"/>
    <w:rsid w:val="00E97E41"/>
    <w:rsid w:val="00EA19AB"/>
    <w:rsid w:val="00EA28A6"/>
    <w:rsid w:val="00EA2ABE"/>
    <w:rsid w:val="00EA2FCA"/>
    <w:rsid w:val="00EA5C1E"/>
    <w:rsid w:val="00EA603F"/>
    <w:rsid w:val="00EA6FE3"/>
    <w:rsid w:val="00EA7328"/>
    <w:rsid w:val="00EA7D60"/>
    <w:rsid w:val="00EB157A"/>
    <w:rsid w:val="00EB1A3E"/>
    <w:rsid w:val="00EB2CD0"/>
    <w:rsid w:val="00EB384E"/>
    <w:rsid w:val="00EB411E"/>
    <w:rsid w:val="00EB5FC5"/>
    <w:rsid w:val="00EB7E86"/>
    <w:rsid w:val="00EC0837"/>
    <w:rsid w:val="00EC1143"/>
    <w:rsid w:val="00EC1C12"/>
    <w:rsid w:val="00EC254D"/>
    <w:rsid w:val="00EC3385"/>
    <w:rsid w:val="00EC3A2D"/>
    <w:rsid w:val="00EC47F4"/>
    <w:rsid w:val="00EC615A"/>
    <w:rsid w:val="00EC6C8E"/>
    <w:rsid w:val="00ED0A5B"/>
    <w:rsid w:val="00ED0F09"/>
    <w:rsid w:val="00ED1EA2"/>
    <w:rsid w:val="00ED1FCF"/>
    <w:rsid w:val="00ED20BC"/>
    <w:rsid w:val="00ED21EA"/>
    <w:rsid w:val="00ED2F05"/>
    <w:rsid w:val="00ED4FF1"/>
    <w:rsid w:val="00ED5594"/>
    <w:rsid w:val="00ED5612"/>
    <w:rsid w:val="00ED6AFC"/>
    <w:rsid w:val="00EE0651"/>
    <w:rsid w:val="00EE19E8"/>
    <w:rsid w:val="00EE2090"/>
    <w:rsid w:val="00EE2297"/>
    <w:rsid w:val="00EE2339"/>
    <w:rsid w:val="00EE2C3A"/>
    <w:rsid w:val="00EE32EF"/>
    <w:rsid w:val="00EE3A3D"/>
    <w:rsid w:val="00EE3DF4"/>
    <w:rsid w:val="00EE4310"/>
    <w:rsid w:val="00EE5BE0"/>
    <w:rsid w:val="00EE63EC"/>
    <w:rsid w:val="00EE74EF"/>
    <w:rsid w:val="00EE7BA3"/>
    <w:rsid w:val="00EE7E26"/>
    <w:rsid w:val="00EF019B"/>
    <w:rsid w:val="00EF01A2"/>
    <w:rsid w:val="00EF0A75"/>
    <w:rsid w:val="00EF0C81"/>
    <w:rsid w:val="00EF1456"/>
    <w:rsid w:val="00EF6705"/>
    <w:rsid w:val="00EF67B2"/>
    <w:rsid w:val="00EF68FE"/>
    <w:rsid w:val="00EF78CF"/>
    <w:rsid w:val="00EF7E30"/>
    <w:rsid w:val="00F001CE"/>
    <w:rsid w:val="00F003AA"/>
    <w:rsid w:val="00F00B06"/>
    <w:rsid w:val="00F01523"/>
    <w:rsid w:val="00F01A27"/>
    <w:rsid w:val="00F04960"/>
    <w:rsid w:val="00F05CF7"/>
    <w:rsid w:val="00F07138"/>
    <w:rsid w:val="00F071B8"/>
    <w:rsid w:val="00F078E9"/>
    <w:rsid w:val="00F07A3A"/>
    <w:rsid w:val="00F1007F"/>
    <w:rsid w:val="00F10631"/>
    <w:rsid w:val="00F10DB1"/>
    <w:rsid w:val="00F12BD0"/>
    <w:rsid w:val="00F13834"/>
    <w:rsid w:val="00F14295"/>
    <w:rsid w:val="00F14BDF"/>
    <w:rsid w:val="00F14EF0"/>
    <w:rsid w:val="00F15A33"/>
    <w:rsid w:val="00F15C9B"/>
    <w:rsid w:val="00F15DAA"/>
    <w:rsid w:val="00F160EB"/>
    <w:rsid w:val="00F20092"/>
    <w:rsid w:val="00F2042B"/>
    <w:rsid w:val="00F21D07"/>
    <w:rsid w:val="00F25888"/>
    <w:rsid w:val="00F263A9"/>
    <w:rsid w:val="00F3126C"/>
    <w:rsid w:val="00F31E7E"/>
    <w:rsid w:val="00F33EDD"/>
    <w:rsid w:val="00F353F0"/>
    <w:rsid w:val="00F355F4"/>
    <w:rsid w:val="00F358FA"/>
    <w:rsid w:val="00F36939"/>
    <w:rsid w:val="00F407F2"/>
    <w:rsid w:val="00F408F6"/>
    <w:rsid w:val="00F4150D"/>
    <w:rsid w:val="00F418EF"/>
    <w:rsid w:val="00F42D42"/>
    <w:rsid w:val="00F432EE"/>
    <w:rsid w:val="00F43A7E"/>
    <w:rsid w:val="00F44265"/>
    <w:rsid w:val="00F44766"/>
    <w:rsid w:val="00F4546C"/>
    <w:rsid w:val="00F45B1D"/>
    <w:rsid w:val="00F46B90"/>
    <w:rsid w:val="00F4785D"/>
    <w:rsid w:val="00F47A01"/>
    <w:rsid w:val="00F50302"/>
    <w:rsid w:val="00F52357"/>
    <w:rsid w:val="00F54A55"/>
    <w:rsid w:val="00F60CB2"/>
    <w:rsid w:val="00F60DC2"/>
    <w:rsid w:val="00F611F5"/>
    <w:rsid w:val="00F61EBD"/>
    <w:rsid w:val="00F625A4"/>
    <w:rsid w:val="00F63CB9"/>
    <w:rsid w:val="00F640A3"/>
    <w:rsid w:val="00F6421D"/>
    <w:rsid w:val="00F6530A"/>
    <w:rsid w:val="00F658A7"/>
    <w:rsid w:val="00F66ABE"/>
    <w:rsid w:val="00F675DC"/>
    <w:rsid w:val="00F735F1"/>
    <w:rsid w:val="00F7406B"/>
    <w:rsid w:val="00F74438"/>
    <w:rsid w:val="00F74F48"/>
    <w:rsid w:val="00F7583C"/>
    <w:rsid w:val="00F75BBE"/>
    <w:rsid w:val="00F770D6"/>
    <w:rsid w:val="00F77D98"/>
    <w:rsid w:val="00F8059E"/>
    <w:rsid w:val="00F80986"/>
    <w:rsid w:val="00F809F1"/>
    <w:rsid w:val="00F81FEA"/>
    <w:rsid w:val="00F846AD"/>
    <w:rsid w:val="00F84EED"/>
    <w:rsid w:val="00F8529E"/>
    <w:rsid w:val="00F8652F"/>
    <w:rsid w:val="00F86838"/>
    <w:rsid w:val="00F868D3"/>
    <w:rsid w:val="00F86D51"/>
    <w:rsid w:val="00F87401"/>
    <w:rsid w:val="00F87EA9"/>
    <w:rsid w:val="00F9122B"/>
    <w:rsid w:val="00F921EA"/>
    <w:rsid w:val="00F92B14"/>
    <w:rsid w:val="00F938D5"/>
    <w:rsid w:val="00F93DBE"/>
    <w:rsid w:val="00F94B24"/>
    <w:rsid w:val="00F96667"/>
    <w:rsid w:val="00F96765"/>
    <w:rsid w:val="00F9788C"/>
    <w:rsid w:val="00F97A29"/>
    <w:rsid w:val="00FA0148"/>
    <w:rsid w:val="00FA0E53"/>
    <w:rsid w:val="00FA1056"/>
    <w:rsid w:val="00FA1645"/>
    <w:rsid w:val="00FA18AD"/>
    <w:rsid w:val="00FA29B4"/>
    <w:rsid w:val="00FA3CD4"/>
    <w:rsid w:val="00FA46B8"/>
    <w:rsid w:val="00FA5380"/>
    <w:rsid w:val="00FA57CF"/>
    <w:rsid w:val="00FB020C"/>
    <w:rsid w:val="00FB082F"/>
    <w:rsid w:val="00FB1399"/>
    <w:rsid w:val="00FB6A68"/>
    <w:rsid w:val="00FB758D"/>
    <w:rsid w:val="00FC0583"/>
    <w:rsid w:val="00FC0587"/>
    <w:rsid w:val="00FC0796"/>
    <w:rsid w:val="00FC081D"/>
    <w:rsid w:val="00FC23FA"/>
    <w:rsid w:val="00FC3E61"/>
    <w:rsid w:val="00FC4DCD"/>
    <w:rsid w:val="00FC5D3F"/>
    <w:rsid w:val="00FD0471"/>
    <w:rsid w:val="00FD0C0A"/>
    <w:rsid w:val="00FD3FEA"/>
    <w:rsid w:val="00FD464D"/>
    <w:rsid w:val="00FD6FAC"/>
    <w:rsid w:val="00FE02F8"/>
    <w:rsid w:val="00FE06D8"/>
    <w:rsid w:val="00FE06E6"/>
    <w:rsid w:val="00FE19F4"/>
    <w:rsid w:val="00FE25AF"/>
    <w:rsid w:val="00FE3DBB"/>
    <w:rsid w:val="00FE41E8"/>
    <w:rsid w:val="00FE5547"/>
    <w:rsid w:val="00FE5F50"/>
    <w:rsid w:val="00FE7A05"/>
    <w:rsid w:val="00FF0ADD"/>
    <w:rsid w:val="00FF145A"/>
    <w:rsid w:val="00FF14FC"/>
    <w:rsid w:val="00FF2FA3"/>
    <w:rsid w:val="00FF4711"/>
    <w:rsid w:val="00FF4FCF"/>
    <w:rsid w:val="00FF60F9"/>
    <w:rsid w:val="01F90191"/>
    <w:rsid w:val="038720C2"/>
    <w:rsid w:val="04365896"/>
    <w:rsid w:val="078A46C3"/>
    <w:rsid w:val="08A454C4"/>
    <w:rsid w:val="09C63218"/>
    <w:rsid w:val="0B0B182B"/>
    <w:rsid w:val="0B882E7B"/>
    <w:rsid w:val="0CBD6B55"/>
    <w:rsid w:val="0FDC69B3"/>
    <w:rsid w:val="10857989"/>
    <w:rsid w:val="12CD73C6"/>
    <w:rsid w:val="144C07BE"/>
    <w:rsid w:val="16B03286"/>
    <w:rsid w:val="19355CC5"/>
    <w:rsid w:val="19762565"/>
    <w:rsid w:val="1A654388"/>
    <w:rsid w:val="1AA749A0"/>
    <w:rsid w:val="1B7B0307"/>
    <w:rsid w:val="1D9531D6"/>
    <w:rsid w:val="22603DB2"/>
    <w:rsid w:val="23CC28BB"/>
    <w:rsid w:val="26DF327B"/>
    <w:rsid w:val="28131E8A"/>
    <w:rsid w:val="29581C87"/>
    <w:rsid w:val="2AED63FF"/>
    <w:rsid w:val="30E63E17"/>
    <w:rsid w:val="382D42DF"/>
    <w:rsid w:val="38AF1198"/>
    <w:rsid w:val="395F6C2C"/>
    <w:rsid w:val="3A1439A9"/>
    <w:rsid w:val="42312C1E"/>
    <w:rsid w:val="4304261B"/>
    <w:rsid w:val="435C016E"/>
    <w:rsid w:val="48CC18F2"/>
    <w:rsid w:val="4A1B2740"/>
    <w:rsid w:val="4DD54DA5"/>
    <w:rsid w:val="52524C16"/>
    <w:rsid w:val="53C27B7A"/>
    <w:rsid w:val="54370568"/>
    <w:rsid w:val="57257480"/>
    <w:rsid w:val="593F3A1A"/>
    <w:rsid w:val="5F557AF4"/>
    <w:rsid w:val="646A4041"/>
    <w:rsid w:val="6FD42CB7"/>
    <w:rsid w:val="72A92761"/>
    <w:rsid w:val="73DA2545"/>
    <w:rsid w:val="77E15F71"/>
    <w:rsid w:val="77F2017E"/>
    <w:rsid w:val="7814759C"/>
    <w:rsid w:val="79594611"/>
    <w:rsid w:val="79B57E84"/>
    <w:rsid w:val="7A48558B"/>
    <w:rsid w:val="7F5964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9"/>
    <w:autoRedefine/>
    <w:unhideWhenUsed/>
    <w:qFormat/>
    <w:uiPriority w:val="99"/>
    <w:pPr>
      <w:jc w:val="left"/>
    </w:pPr>
  </w:style>
  <w:style w:type="paragraph" w:styleId="3">
    <w:name w:val="Balloon Text"/>
    <w:basedOn w:val="1"/>
    <w:link w:val="30"/>
    <w:autoRedefine/>
    <w:semiHidden/>
    <w:unhideWhenUsed/>
    <w:qFormat/>
    <w:uiPriority w:val="99"/>
    <w:rPr>
      <w:sz w:val="18"/>
      <w:szCs w:val="18"/>
    </w:rPr>
  </w:style>
  <w:style w:type="paragraph" w:styleId="4">
    <w:name w:val="footer"/>
    <w:basedOn w:val="1"/>
    <w:link w:val="13"/>
    <w:autoRedefine/>
    <w:unhideWhenUsed/>
    <w:qFormat/>
    <w:uiPriority w:val="99"/>
    <w:pPr>
      <w:tabs>
        <w:tab w:val="center" w:pos="4153"/>
        <w:tab w:val="right" w:pos="8306"/>
      </w:tabs>
      <w:snapToGrid w:val="0"/>
      <w:jc w:val="left"/>
    </w:pPr>
    <w:rPr>
      <w:sz w:val="18"/>
      <w:szCs w:val="18"/>
    </w:rPr>
  </w:style>
  <w:style w:type="paragraph" w:styleId="5">
    <w:name w:val="header"/>
    <w:basedOn w:val="1"/>
    <w:link w:val="12"/>
    <w:autoRedefine/>
    <w:unhideWhenUsed/>
    <w:qFormat/>
    <w:uiPriority w:val="99"/>
    <w:pPr>
      <w:tabs>
        <w:tab w:val="center" w:pos="4153"/>
        <w:tab w:val="right" w:pos="8306"/>
      </w:tabs>
      <w:snapToGrid w:val="0"/>
      <w:jc w:val="center"/>
    </w:pPr>
    <w:rPr>
      <w:sz w:val="18"/>
      <w:szCs w:val="18"/>
    </w:rPr>
  </w:style>
  <w:style w:type="paragraph" w:styleId="6">
    <w:name w:val="annotation subject"/>
    <w:basedOn w:val="2"/>
    <w:next w:val="2"/>
    <w:link w:val="20"/>
    <w:autoRedefine/>
    <w:semiHidden/>
    <w:unhideWhenUsed/>
    <w:qFormat/>
    <w:uiPriority w:val="99"/>
    <w:rPr>
      <w:b/>
      <w:bCs/>
    </w:rPr>
  </w:style>
  <w:style w:type="table" w:styleId="8">
    <w:name w:val="Table Grid"/>
    <w:basedOn w:val="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autoRedefine/>
    <w:unhideWhenUsed/>
    <w:qFormat/>
    <w:uiPriority w:val="99"/>
    <w:rPr>
      <w:color w:val="0563C1" w:themeColor="hyperlink"/>
      <w:u w:val="single"/>
      <w14:textFill>
        <w14:solidFill>
          <w14:schemeClr w14:val="hlink"/>
        </w14:solidFill>
      </w14:textFill>
    </w:rPr>
  </w:style>
  <w:style w:type="character" w:styleId="11">
    <w:name w:val="annotation reference"/>
    <w:basedOn w:val="9"/>
    <w:autoRedefine/>
    <w:semiHidden/>
    <w:unhideWhenUsed/>
    <w:qFormat/>
    <w:uiPriority w:val="99"/>
    <w:rPr>
      <w:sz w:val="21"/>
      <w:szCs w:val="21"/>
    </w:rPr>
  </w:style>
  <w:style w:type="character" w:customStyle="1" w:styleId="12">
    <w:name w:val="页眉 字符"/>
    <w:basedOn w:val="9"/>
    <w:link w:val="5"/>
    <w:autoRedefine/>
    <w:qFormat/>
    <w:uiPriority w:val="99"/>
    <w:rPr>
      <w:sz w:val="18"/>
      <w:szCs w:val="18"/>
    </w:rPr>
  </w:style>
  <w:style w:type="character" w:customStyle="1" w:styleId="13">
    <w:name w:val="页脚 字符"/>
    <w:basedOn w:val="9"/>
    <w:link w:val="4"/>
    <w:autoRedefine/>
    <w:qFormat/>
    <w:uiPriority w:val="99"/>
    <w:rPr>
      <w:sz w:val="18"/>
      <w:szCs w:val="18"/>
    </w:rPr>
  </w:style>
  <w:style w:type="paragraph" w:styleId="14">
    <w:name w:val="List Paragraph"/>
    <w:basedOn w:val="1"/>
    <w:autoRedefine/>
    <w:qFormat/>
    <w:uiPriority w:val="34"/>
    <w:pPr>
      <w:ind w:firstLine="420" w:firstLineChars="200"/>
    </w:pPr>
  </w:style>
  <w:style w:type="paragraph" w:customStyle="1" w:styleId="15">
    <w:name w:val="EndNote Bibliography Title"/>
    <w:basedOn w:val="1"/>
    <w:link w:val="16"/>
    <w:autoRedefine/>
    <w:qFormat/>
    <w:uiPriority w:val="0"/>
    <w:pPr>
      <w:jc w:val="center"/>
    </w:pPr>
    <w:rPr>
      <w:rFonts w:ascii="等线" w:hAnsi="等线" w:eastAsia="等线"/>
      <w:sz w:val="20"/>
    </w:rPr>
  </w:style>
  <w:style w:type="character" w:customStyle="1" w:styleId="16">
    <w:name w:val="EndNote Bibliography Title 字符"/>
    <w:basedOn w:val="9"/>
    <w:link w:val="15"/>
    <w:autoRedefine/>
    <w:qFormat/>
    <w:uiPriority w:val="0"/>
    <w:rPr>
      <w:rFonts w:ascii="等线" w:hAnsi="等线" w:eastAsia="等线"/>
      <w:kern w:val="2"/>
      <w:szCs w:val="22"/>
    </w:rPr>
  </w:style>
  <w:style w:type="paragraph" w:customStyle="1" w:styleId="17">
    <w:name w:val="EndNote Bibliography"/>
    <w:basedOn w:val="1"/>
    <w:link w:val="18"/>
    <w:autoRedefine/>
    <w:qFormat/>
    <w:uiPriority w:val="0"/>
    <w:rPr>
      <w:rFonts w:ascii="等线" w:hAnsi="等线" w:eastAsia="等线" w:cs="Times New Roman"/>
      <w:sz w:val="20"/>
    </w:rPr>
  </w:style>
  <w:style w:type="character" w:customStyle="1" w:styleId="18">
    <w:name w:val="EndNote Bibliography 字符"/>
    <w:basedOn w:val="9"/>
    <w:link w:val="17"/>
    <w:autoRedefine/>
    <w:qFormat/>
    <w:uiPriority w:val="0"/>
    <w:rPr>
      <w:rFonts w:ascii="等线" w:hAnsi="等线" w:eastAsia="等线" w:cs="Times New Roman"/>
      <w:kern w:val="2"/>
      <w:szCs w:val="22"/>
    </w:rPr>
  </w:style>
  <w:style w:type="character" w:customStyle="1" w:styleId="19">
    <w:name w:val="批注文字 字符"/>
    <w:basedOn w:val="9"/>
    <w:link w:val="2"/>
    <w:autoRedefine/>
    <w:qFormat/>
    <w:uiPriority w:val="99"/>
  </w:style>
  <w:style w:type="character" w:customStyle="1" w:styleId="20">
    <w:name w:val="批注主题 字符"/>
    <w:basedOn w:val="19"/>
    <w:link w:val="6"/>
    <w:autoRedefine/>
    <w:semiHidden/>
    <w:qFormat/>
    <w:uiPriority w:val="99"/>
    <w:rPr>
      <w:b/>
      <w:bCs/>
    </w:rPr>
  </w:style>
  <w:style w:type="paragraph" w:customStyle="1" w:styleId="21">
    <w:name w:val="Head 1"/>
    <w:basedOn w:val="1"/>
    <w:autoRedefine/>
    <w:qFormat/>
    <w:uiPriority w:val="0"/>
    <w:pPr>
      <w:widowControl/>
      <w:spacing w:line="360" w:lineRule="auto"/>
      <w:jc w:val="left"/>
    </w:pPr>
    <w:rPr>
      <w:rFonts w:ascii="Times New Roman" w:hAnsi="Times New Roman" w:eastAsia="MS Mincho" w:cs="Times New Roman"/>
      <w:b/>
      <w:kern w:val="0"/>
      <w:sz w:val="24"/>
      <w:szCs w:val="24"/>
      <w:lang w:eastAsia="ja-JP"/>
    </w:rPr>
  </w:style>
  <w:style w:type="paragraph" w:customStyle="1" w:styleId="22">
    <w:name w:val="Main Text"/>
    <w:basedOn w:val="1"/>
    <w:link w:val="23"/>
    <w:autoRedefine/>
    <w:qFormat/>
    <w:uiPriority w:val="0"/>
    <w:pPr>
      <w:widowControl/>
      <w:spacing w:line="480" w:lineRule="auto"/>
      <w:jc w:val="left"/>
    </w:pPr>
    <w:rPr>
      <w:rFonts w:ascii="Times New Roman" w:hAnsi="Times New Roman" w:eastAsia="MS Mincho" w:cs="Times New Roman"/>
      <w:kern w:val="0"/>
      <w:sz w:val="24"/>
      <w:szCs w:val="24"/>
      <w:lang w:eastAsia="ja-JP"/>
    </w:rPr>
  </w:style>
  <w:style w:type="character" w:customStyle="1" w:styleId="23">
    <w:name w:val="Main Text Char"/>
    <w:link w:val="22"/>
    <w:autoRedefine/>
    <w:qFormat/>
    <w:uiPriority w:val="0"/>
    <w:rPr>
      <w:rFonts w:ascii="Times New Roman" w:hAnsi="Times New Roman" w:eastAsia="MS Mincho" w:cs="Times New Roman"/>
      <w:kern w:val="0"/>
      <w:sz w:val="24"/>
      <w:szCs w:val="24"/>
      <w:lang w:eastAsia="ja-JP"/>
    </w:rPr>
  </w:style>
  <w:style w:type="paragraph" w:customStyle="1" w:styleId="24">
    <w:name w:val="Acknowledgements"/>
    <w:basedOn w:val="1"/>
    <w:autoRedefine/>
    <w:qFormat/>
    <w:uiPriority w:val="0"/>
    <w:pPr>
      <w:widowControl/>
      <w:jc w:val="left"/>
    </w:pPr>
    <w:rPr>
      <w:rFonts w:ascii="Times New Roman" w:hAnsi="Times New Roman" w:eastAsia="MS Mincho" w:cs="Times New Roman"/>
      <w:kern w:val="0"/>
      <w:sz w:val="24"/>
      <w:szCs w:val="24"/>
      <w:lang w:eastAsia="ja-JP"/>
    </w:rPr>
  </w:style>
  <w:style w:type="paragraph" w:customStyle="1" w:styleId="25">
    <w:name w:val="TableHead"/>
    <w:basedOn w:val="1"/>
    <w:autoRedefine/>
    <w:qFormat/>
    <w:uiPriority w:val="0"/>
    <w:pPr>
      <w:widowControl/>
      <w:pBdr>
        <w:top w:val="single" w:color="FFFFFF" w:sz="4" w:space="4"/>
        <w:left w:val="single" w:color="FFFFFF" w:sz="4" w:space="4"/>
        <w:bottom w:val="single" w:color="FFFFFF" w:sz="4" w:space="4"/>
        <w:right w:val="single" w:color="FFFFFF" w:sz="4" w:space="4"/>
      </w:pBdr>
      <w:spacing w:line="190" w:lineRule="exact"/>
    </w:pPr>
    <w:rPr>
      <w:rFonts w:ascii="Arial" w:hAnsi="Arial" w:eastAsia="MS Mincho" w:cs="Times New Roman"/>
      <w:kern w:val="0"/>
      <w:sz w:val="16"/>
      <w:szCs w:val="14"/>
      <w:lang w:val="en-GB" w:eastAsia="ja-JP"/>
    </w:rPr>
  </w:style>
  <w:style w:type="paragraph" w:customStyle="1" w:styleId="26">
    <w:name w:val="TableBody"/>
    <w:basedOn w:val="25"/>
    <w:autoRedefine/>
    <w:qFormat/>
    <w:uiPriority w:val="0"/>
  </w:style>
  <w:style w:type="paragraph" w:customStyle="1" w:styleId="27">
    <w:name w:val="Title2"/>
    <w:basedOn w:val="1"/>
    <w:autoRedefine/>
    <w:qFormat/>
    <w:uiPriority w:val="0"/>
    <w:pPr>
      <w:widowControl/>
      <w:jc w:val="left"/>
    </w:pPr>
    <w:rPr>
      <w:rFonts w:ascii="Times New Roman" w:hAnsi="Times New Roman" w:eastAsia="MS Mincho" w:cs="Times New Roman"/>
      <w:b/>
      <w:kern w:val="0"/>
      <w:sz w:val="24"/>
      <w:szCs w:val="24"/>
      <w:lang w:eastAsia="ja-JP"/>
    </w:rPr>
  </w:style>
  <w:style w:type="character" w:customStyle="1" w:styleId="28">
    <w:name w:val="未处理的提及1"/>
    <w:basedOn w:val="9"/>
    <w:autoRedefine/>
    <w:semiHidden/>
    <w:unhideWhenUsed/>
    <w:qFormat/>
    <w:uiPriority w:val="99"/>
    <w:rPr>
      <w:color w:val="605E5C"/>
      <w:shd w:val="clear" w:color="auto" w:fill="E1DFDD"/>
    </w:rPr>
  </w:style>
  <w:style w:type="paragraph" w:customStyle="1" w:styleId="29">
    <w:name w:val="修订1"/>
    <w:autoRedefine/>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30">
    <w:name w:val="批注框文本 字符"/>
    <w:basedOn w:val="9"/>
    <w:link w:val="3"/>
    <w:autoRedefine/>
    <w:semiHidden/>
    <w:qFormat/>
    <w:uiPriority w:val="99"/>
    <w:rPr>
      <w:kern w:val="2"/>
      <w:sz w:val="18"/>
      <w:szCs w:val="18"/>
    </w:rPr>
  </w:style>
  <w:style w:type="paragraph" w:customStyle="1" w:styleId="31">
    <w:name w:val="修订2"/>
    <w:autoRedefine/>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32">
    <w:name w:val="MTDisplayEquation"/>
    <w:basedOn w:val="1"/>
    <w:next w:val="1"/>
    <w:link w:val="33"/>
    <w:autoRedefine/>
    <w:qFormat/>
    <w:uiPriority w:val="0"/>
    <w:pPr>
      <w:tabs>
        <w:tab w:val="center" w:pos="4160"/>
        <w:tab w:val="right" w:pos="8300"/>
      </w:tabs>
      <w:spacing w:line="360" w:lineRule="auto"/>
      <w:ind w:firstLine="420"/>
      <w:jc w:val="center"/>
    </w:pPr>
    <w:rPr>
      <w:rFonts w:ascii="Times New Roman" w:hAnsi="Times New Roman" w:cs="Times New Roman"/>
      <w:sz w:val="24"/>
      <w:szCs w:val="24"/>
    </w:rPr>
  </w:style>
  <w:style w:type="character" w:customStyle="1" w:styleId="33">
    <w:name w:val="MTDisplayEquation 字符"/>
    <w:basedOn w:val="9"/>
    <w:link w:val="32"/>
    <w:autoRedefine/>
    <w:qFormat/>
    <w:uiPriority w:val="0"/>
    <w:rPr>
      <w:rFonts w:ascii="Times New Roman" w:hAnsi="Times New Roman" w:cs="Times New Roman"/>
      <w:kern w:val="2"/>
      <w:sz w:val="24"/>
      <w:szCs w:val="24"/>
    </w:rPr>
  </w:style>
  <w:style w:type="paragraph" w:customStyle="1" w:styleId="34">
    <w:name w:val="dates"/>
    <w:basedOn w:val="1"/>
    <w:autoRedefine/>
    <w:qFormat/>
    <w:uiPriority w:val="0"/>
    <w:pPr>
      <w:widowControl/>
      <w:jc w:val="right"/>
    </w:pPr>
    <w:rPr>
      <w:rFonts w:ascii="Times New Roman" w:hAnsi="Times New Roman" w:eastAsia="MS Mincho" w:cs="Times New Roman"/>
      <w:kern w:val="0"/>
      <w:sz w:val="24"/>
      <w:szCs w:val="24"/>
      <w:lang w:eastAsia="ja-JP"/>
    </w:rPr>
  </w:style>
  <w:style w:type="character" w:styleId="35">
    <w:name w:val="Placeholder Text"/>
    <w:basedOn w:val="9"/>
    <w:autoRedefine/>
    <w:unhideWhenUsed/>
    <w:qFormat/>
    <w:uiPriority w:val="99"/>
    <w:rPr>
      <w:color w:val="666666"/>
    </w:rPr>
  </w:style>
  <w:style w:type="character" w:customStyle="1" w:styleId="36">
    <w:name w:val="未处理的提及2"/>
    <w:basedOn w:val="9"/>
    <w:autoRedefine/>
    <w:semiHidden/>
    <w:unhideWhenUsed/>
    <w:qFormat/>
    <w:uiPriority w:val="99"/>
    <w:rPr>
      <w:color w:val="605E5C"/>
      <w:shd w:val="clear" w:color="auto" w:fill="E1DFDD"/>
    </w:rPr>
  </w:style>
  <w:style w:type="paragraph" w:customStyle="1" w:styleId="37">
    <w:name w:val="修订3"/>
    <w:autoRedefine/>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38">
    <w:name w:val="未处理的提及3"/>
    <w:basedOn w:val="9"/>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6E448-309F-446C-8626-2786FC894811}">
  <ds:schemaRefs/>
</ds:datastoreItem>
</file>

<file path=docProps/app.xml><?xml version="1.0" encoding="utf-8"?>
<Properties xmlns="http://schemas.openxmlformats.org/officeDocument/2006/extended-properties" xmlns:vt="http://schemas.openxmlformats.org/officeDocument/2006/docPropsVTypes">
  <Template>Normal.dotm</Template>
  <Pages>9</Pages>
  <Words>1072</Words>
  <Characters>6111</Characters>
  <Lines>50</Lines>
  <Paragraphs>14</Paragraphs>
  <TotalTime>7</TotalTime>
  <ScaleCrop>false</ScaleCrop>
  <LinksUpToDate>false</LinksUpToDate>
  <CharactersWithSpaces>7169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2024-02-23T07:26:00Z</dcterms:created>
  <dc:creator>培翰 孙</dc:creator>
  <cp:lastModifiedBy>喵头鹰</cp:lastModifiedBy>
  <cp:lastPrinted>2024-03-06T02:44:00Z</cp:lastPrinted>
  <dcterms:modified xsi:type="dcterms:W3CDTF">2024-05-13T08:39:10Z</dcterms:modified>
  <cp:revision>609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AFC961F0770649B2A33AA18B19FF0A93_13</vt:lpwstr>
  </property>
  <property fmtid="{D5CDD505-2E9C-101B-9397-08002B2CF9AE}" pid="4" name="MTWinEqns">
    <vt:bool>true</vt:bool>
  </property>
</Properties>
</file>