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0985" w14:textId="77777777" w:rsidR="00502964" w:rsidRDefault="00502964" w:rsidP="00502964">
      <w:pPr>
        <w:suppressAutoHyphens/>
        <w:spacing w:before="120" w:line="300" w:lineRule="exact"/>
        <w:rPr>
          <w:rFonts w:eastAsia="PMingLiU"/>
          <w:b/>
          <w:bCs/>
          <w:lang w:eastAsia="de-DE"/>
          <w14:numSpacing w14:val="proportional"/>
        </w:rPr>
      </w:pPr>
      <w:r>
        <w:rPr>
          <w:rFonts w:eastAsia="PMingLiU"/>
          <w:b/>
          <w:bCs/>
          <w:lang w:eastAsia="de-DE"/>
          <w14:numSpacing w14:val="proportional"/>
        </w:rPr>
        <w:t>Supplementary Material</w:t>
      </w:r>
    </w:p>
    <w:p w14:paraId="679F177E" w14:textId="77777777" w:rsidR="00502964" w:rsidRDefault="00502964" w:rsidP="00502964">
      <w:pPr>
        <w:ind w:firstLine="227"/>
        <w:jc w:val="both"/>
        <w:rPr>
          <w:rFonts w:eastAsia="PMingLiU"/>
          <w:sz w:val="13"/>
          <w:szCs w:val="13"/>
          <w:lang w:eastAsia="de-DE"/>
          <w14:numSpacing w14:val="proportional"/>
        </w:rPr>
      </w:pPr>
    </w:p>
    <w:p w14:paraId="5D55375B" w14:textId="77777777" w:rsidR="00502964" w:rsidRDefault="00502964" w:rsidP="00502964">
      <w:pPr>
        <w:suppressAutoHyphens/>
        <w:spacing w:line="300" w:lineRule="exact"/>
        <w:rPr>
          <w:rFonts w:eastAsia="PMingLiU"/>
          <w:sz w:val="18"/>
          <w:szCs w:val="18"/>
          <w:vertAlign w:val="superscript"/>
          <w:lang w:eastAsia="de-DE"/>
          <w14:numSpacing w14:val="proportional"/>
        </w:rPr>
      </w:pPr>
      <w:r>
        <w:rPr>
          <w:rFonts w:eastAsia="PMingLiU"/>
          <w:sz w:val="18"/>
          <w:szCs w:val="18"/>
          <w:lang w:eastAsia="de-DE"/>
          <w14:numSpacing w14:val="proportional"/>
        </w:rPr>
        <w:t>Ruey-Tarng Liu</w:t>
      </w:r>
      <w:r w:rsidRPr="00377E0B">
        <w:rPr>
          <w:rFonts w:eastAsia="PMingLiU"/>
          <w:sz w:val="18"/>
          <w:szCs w:val="18"/>
          <w:lang w:eastAsia="de-DE"/>
          <w14:numSpacing w14:val="proportional"/>
        </w:rPr>
        <w:t>, Yan-Ze Wu,</w:t>
      </w:r>
      <w:r>
        <w:rPr>
          <w:rFonts w:eastAsia="PMingLiU"/>
          <w:sz w:val="18"/>
          <w:szCs w:val="18"/>
          <w:lang w:eastAsia="de-DE"/>
          <w14:numSpacing w14:val="proportional"/>
        </w:rPr>
        <w:t xml:space="preserve"> and Chia-Chien Huang</w:t>
      </w:r>
      <w:r>
        <w:rPr>
          <w:rFonts w:eastAsia="PMingLiU"/>
          <w:sz w:val="18"/>
          <w:szCs w:val="18"/>
          <w:vertAlign w:val="superscript"/>
          <w:lang w:eastAsia="de-DE"/>
          <w14:numSpacing w14:val="proportional"/>
        </w:rPr>
        <w:endnoteReference w:customMarkFollows="1" w:id="1"/>
        <w:sym w:font="Symbol" w:char="F02A"/>
      </w:r>
    </w:p>
    <w:p w14:paraId="29397E31" w14:textId="77777777" w:rsidR="00502964" w:rsidRDefault="00502964" w:rsidP="00502964">
      <w:pPr>
        <w:suppressAutoHyphens/>
        <w:spacing w:after="360" w:line="390" w:lineRule="exact"/>
        <w:rPr>
          <w:rFonts w:eastAsia="PMingLiU"/>
          <w:b/>
          <w:bCs/>
          <w:lang w:eastAsia="de-DE"/>
          <w14:numSpacing w14:val="proportional"/>
        </w:rPr>
      </w:pPr>
      <w:r>
        <w:rPr>
          <w:rFonts w:eastAsia="PMingLiU"/>
          <w:b/>
          <w:bCs/>
          <w:lang w:eastAsia="de-DE"/>
          <w14:numSpacing w14:val="proportional"/>
        </w:rPr>
        <w:t>Focusing and steering of mid-infrared polaritons through patterned graphene on van der Waals crystals</w:t>
      </w:r>
    </w:p>
    <w:p w14:paraId="1DAAF95E" w14:textId="77777777" w:rsidR="00502964" w:rsidRPr="00CA3C71" w:rsidRDefault="00502964" w:rsidP="00502964">
      <w:pPr>
        <w:pStyle w:val="Akapitzlist"/>
        <w:keepNext/>
        <w:numPr>
          <w:ilvl w:val="0"/>
          <w:numId w:val="1"/>
        </w:numPr>
        <w:tabs>
          <w:tab w:val="num" w:pos="495"/>
          <w:tab w:val="left" w:pos="665"/>
        </w:tabs>
        <w:suppressAutoHyphens/>
        <w:spacing w:before="240" w:after="120"/>
        <w:outlineLvl w:val="0"/>
        <w:rPr>
          <w:rFonts w:ascii="Times New Roman" w:hAnsi="Times New Roman"/>
          <w:b/>
          <w:lang w:val="en-US"/>
          <w14:numSpacing w14:val="proportional"/>
        </w:rPr>
      </w:pPr>
      <w:r w:rsidRPr="00CA3C71">
        <w:rPr>
          <w:rFonts w:ascii="Times New Roman" w:hAnsi="Times New Roman"/>
          <w:b/>
          <w:lang w:val="en-US"/>
          <w14:numSpacing w14:val="proportional"/>
        </w:rPr>
        <w:t xml:space="preserve">Material parameters of </w:t>
      </w:r>
      <w:r w:rsidRPr="00CA3C71">
        <w:rPr>
          <w:rFonts w:ascii="Times New Roman" w:hAnsi="Times New Roman"/>
          <w:b/>
          <w:i/>
          <w:lang w:val="en-US"/>
          <w14:numSpacing w14:val="proportional"/>
        </w:rPr>
        <w:t>α</w:t>
      </w:r>
      <w:r w:rsidRPr="00CA3C71">
        <w:rPr>
          <w:rFonts w:ascii="Times New Roman" w:hAnsi="Times New Roman"/>
          <w:b/>
          <w:lang w:val="en-US"/>
          <w14:numSpacing w14:val="proportional"/>
        </w:rPr>
        <w:t>-</w:t>
      </w:r>
      <w:r>
        <w:rPr>
          <w:rFonts w:ascii="Times New Roman" w:eastAsia="PMingLiU" w:hAnsi="Times New Roman"/>
          <w:b/>
          <w:bCs/>
          <w:lang w:val="en-US" w:eastAsia="de-DE"/>
          <w14:numSpacing w14:val="proportional"/>
        </w:rPr>
        <w:t>phase molybdenum trioxide</w:t>
      </w:r>
      <w:r w:rsidRPr="00CA3C71">
        <w:rPr>
          <w:rFonts w:ascii="Times New Roman" w:hAnsi="Times New Roman"/>
          <w:b/>
          <w:lang w:val="en-US"/>
          <w14:numSpacing w14:val="proportional"/>
        </w:rPr>
        <w:t xml:space="preserve"> and graphene</w:t>
      </w:r>
    </w:p>
    <w:p w14:paraId="432D3D47" w14:textId="77777777" w:rsidR="00502964" w:rsidRDefault="00502964" w:rsidP="00502964">
      <w:pPr>
        <w:keepNext/>
        <w:tabs>
          <w:tab w:val="num" w:pos="599"/>
          <w:tab w:val="left" w:pos="736"/>
          <w:tab w:val="left" w:pos="873"/>
          <w:tab w:val="left" w:pos="1010"/>
        </w:tabs>
        <w:suppressAutoHyphens/>
        <w:spacing w:before="120" w:after="160" w:line="300" w:lineRule="exact"/>
        <w:ind w:left="465" w:hanging="465"/>
        <w:outlineLvl w:val="1"/>
        <w:rPr>
          <w:rFonts w:eastAsia="PMingLiU"/>
          <w:b/>
          <w:sz w:val="20"/>
          <w:szCs w:val="20"/>
          <w:lang w:eastAsia="de-DE"/>
          <w14:numSpacing w14:val="proportional"/>
        </w:rPr>
      </w:pPr>
      <w:r w:rsidRPr="00CA3C71">
        <w:rPr>
          <w:b/>
          <w:sz w:val="20"/>
          <w14:numSpacing w14:val="proportional"/>
        </w:rPr>
        <w:t xml:space="preserve">1.1 </w:t>
      </w:r>
      <w:r>
        <w:rPr>
          <w:b/>
          <w:sz w:val="20"/>
          <w14:numSpacing w14:val="proportional"/>
        </w:rPr>
        <w:t xml:space="preserve">  </w:t>
      </w:r>
      <w:r>
        <w:rPr>
          <w:rFonts w:eastAsia="PMingLiU"/>
          <w:b/>
          <w:sz w:val="20"/>
          <w:szCs w:val="20"/>
          <w:lang w:eastAsia="de-DE"/>
          <w14:numSpacing w14:val="proportional"/>
        </w:rPr>
        <w:t>Permittivity of</w:t>
      </w:r>
      <w:r w:rsidRPr="00CA3C71">
        <w:rPr>
          <w:i/>
          <w:color w:val="000000" w:themeColor="text1"/>
        </w:rPr>
        <w:t xml:space="preserve"> </w:t>
      </w:r>
      <w:r>
        <w:rPr>
          <w:rFonts w:eastAsia="PMingLiU"/>
          <w:b/>
          <w:bCs/>
          <w:i/>
          <w:iCs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b/>
          <w:bCs/>
          <w:sz w:val="20"/>
          <w:szCs w:val="20"/>
          <w:lang w:eastAsia="de-DE"/>
          <w14:numSpacing w14:val="proportional"/>
        </w:rPr>
        <w:t>-phase molybdenum trioxide</w:t>
      </w:r>
    </w:p>
    <w:p w14:paraId="39949420" w14:textId="77777777" w:rsidR="00502964" w:rsidRDefault="00502964" w:rsidP="00502964">
      <w:pPr>
        <w:jc w:val="both"/>
        <w:rPr>
          <w:rFonts w:eastAsia="PMingLiU"/>
          <w:bCs/>
          <w:sz w:val="20"/>
          <w:szCs w:val="20"/>
          <w:lang w:eastAsia="de-DE"/>
          <w14:numSpacing w14:val="proportional"/>
        </w:rPr>
      </w:pPr>
      <w:r>
        <w:rPr>
          <w:rFonts w:eastAsia="PMingLiU"/>
          <w:sz w:val="20"/>
          <w:szCs w:val="20"/>
          <w:lang w:eastAsia="de-DE"/>
          <w14:numSpacing w14:val="proportional"/>
        </w:rPr>
        <w:t>The permittivity of</w:t>
      </w:r>
      <w:r w:rsidRPr="00CA3C71">
        <w:rPr>
          <w:i/>
          <w:color w:val="000000" w:themeColor="text1"/>
        </w:rPr>
        <w:t xml:space="preserve"> </w:t>
      </w:r>
      <w:r>
        <w:rPr>
          <w:rFonts w:eastAsia="PMingLiU"/>
          <w:bCs/>
          <w:i/>
          <w:iCs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-phase molybdenum trioxide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(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sz w:val="20"/>
          <w:szCs w:val="20"/>
          <w:lang w:eastAsia="de-DE"/>
          <w14:numSpacing w14:val="proportional"/>
        </w:rPr>
        <w:t>-MoO</w:t>
      </w:r>
      <w:r>
        <w:rPr>
          <w:rFonts w:eastAsia="PMingLiU"/>
          <w:sz w:val="20"/>
          <w:szCs w:val="20"/>
          <w:vertAlign w:val="subscript"/>
          <w:lang w:eastAsia="de-DE"/>
          <w14:numSpacing w14:val="proportional"/>
        </w:rPr>
        <w:t>3</w:t>
      </w:r>
      <w:r>
        <w:rPr>
          <w:rFonts w:eastAsia="PMingLiU"/>
          <w:sz w:val="20"/>
          <w:szCs w:val="20"/>
          <w:lang w:eastAsia="de-DE"/>
          <w14:numSpacing w14:val="proportional"/>
        </w:rPr>
        <w:t>) was calculated by the following Lorentz model:</w:t>
      </w:r>
    </w:p>
    <w:p w14:paraId="14036678" w14:textId="77777777" w:rsidR="00502964" w:rsidRDefault="00502964" w:rsidP="00502964">
      <w:pPr>
        <w:tabs>
          <w:tab w:val="right" w:pos="9072"/>
        </w:tabs>
        <w:spacing w:beforeLines="150" w:before="360" w:afterLines="100" w:after="240" w:line="360" w:lineRule="auto"/>
        <w:ind w:firstLineChars="1150" w:firstLine="2530"/>
        <w:jc w:val="both"/>
        <w:rPr>
          <w:rFonts w:eastAsia="PMingLiU"/>
          <w:sz w:val="20"/>
          <w:szCs w:val="20"/>
          <w:lang w:eastAsia="de-DE"/>
          <w14:numSpacing w14:val="proportional"/>
        </w:rPr>
      </w:pPr>
      <w:r>
        <w:rPr>
          <w:noProof/>
          <w:position w:val="-30"/>
          <w:lang w:eastAsia="en-IN"/>
        </w:rPr>
        <w:drawing>
          <wp:inline distT="0" distB="0" distL="0" distR="0" wp14:anchorId="14367E42" wp14:editId="099653CA">
            <wp:extent cx="2623257" cy="542925"/>
            <wp:effectExtent l="0" t="0" r="5715" b="3175"/>
            <wp:docPr id="1404677373" name="圖片 1404677373" descr="{&quot;mathml&quot;:&quot;&lt;math style=\&quot;font-family:Times New Roman;font-size:14px;\&quot; xmlns=\&quot;http://www.w3.org/1998/Math/MathML\&quot; xmlns:wrs=\&quot;http://www.wiris.com/xml/mathml-extension\&quot;&gt;&lt;mstyle mathsize=\&quot;14px\&quot;&gt;&lt;msub&gt;&lt;mi&gt;&amp;#x3B5;&lt;/mi&gt;&lt;mi&gt;j&lt;/mi&gt;&lt;/msub&gt;&lt;mo&gt;(&lt;/mo&gt;&lt;mi&gt;&amp;#x3C9;&lt;/mi&gt;&lt;mo&gt;)&lt;/mo&gt;&lt;mo&gt;=&lt;/mo&gt;&lt;msubsup&gt;&lt;mi&gt;&amp;#x3B5;&lt;/mi&gt;&lt;mo&gt;&amp;#x221E;&lt;/mo&gt;&lt;mi&gt;j&lt;/mi&gt;&lt;/msubsup&gt;&lt;mfenced wrs:valign=\&quot;middle\&quot;&gt;&lt;mrow&gt;&lt;mn&gt;1&lt;/mn&gt;&lt;mo&gt;+&lt;/mo&gt;&lt;mfrac&gt;&lt;mrow&gt;&lt;msup&gt;&lt;mfenced&gt;&lt;msubsup&gt;&lt;mi&gt;&amp;#x3C9;&lt;/mi&gt;&lt;mrow&gt;&lt;mi&gt;L&lt;/mi&gt;&lt;mi&gt;O&lt;/mi&gt;&lt;/mrow&gt;&lt;mrow&gt;&lt;mo&gt;&amp;#xA0;&lt;/mo&gt;&lt;mi&gt;j&lt;/mi&gt;&lt;/mrow&gt;&lt;/msubsup&gt;&lt;/mfenced&gt;&lt;mn&gt;2&lt;/mn&gt;&lt;/msup&gt;&lt;mo&gt;&amp;#x2212;&lt;/mo&gt;&lt;msup&gt;&lt;mfenced&gt;&lt;msubsup&gt;&lt;mi&gt;&amp;#x3C9;&lt;/mi&gt;&lt;mrow&gt;&lt;mi&gt;T&lt;/mi&gt;&lt;mi&gt;O&lt;/mi&gt;&lt;/mrow&gt;&lt;mrow&gt;&lt;mo&gt;&amp;#xA0;&lt;/mo&gt;&lt;mi&gt;j&lt;/mi&gt;&lt;/mrow&gt;&lt;/msubsup&gt;&lt;/mfenced&gt;&lt;mn&gt;2&lt;/mn&gt;&lt;/msup&gt;&lt;/mrow&gt;&lt;mrow&gt;&lt;msup&gt;&lt;mfenced&gt;&lt;msubsup&gt;&lt;mi&gt;&amp;#x3C9;&lt;/mi&gt;&lt;mrow&gt;&lt;mi&gt;T&lt;/mi&gt;&lt;mi&gt;O&lt;/mi&gt;&lt;/mrow&gt;&lt;mrow&gt;&lt;mo&gt;&amp;#xA0;&lt;/mo&gt;&lt;mi&gt;j&lt;/mi&gt;&lt;/mrow&gt;&lt;/msubsup&gt;&lt;/mfenced&gt;&lt;mn&gt;2&lt;/mn&gt;&lt;/msup&gt;&lt;mo&gt;&amp;#x2212;&lt;/mo&gt;&lt;msup&gt;&lt;mi&gt;&amp;#x3C9;&lt;/mi&gt;&lt;mn&gt;2&lt;/mn&gt;&lt;/msup&gt;&lt;mo&gt;&amp;#x2212;&lt;/mo&gt;&lt;mi&gt;i&lt;/mi&gt;&lt;mi&gt;&amp;#x3C9;&lt;/mi&gt;&lt;msup&gt;&lt;mi&gt;&amp;#x3B3;&lt;/mi&gt;&lt;mi&gt;j&lt;/mi&gt;&lt;/msup&gt;&lt;/mrow&gt;&lt;/mfrac&gt;&lt;/mrow&gt;&lt;/mfenced&gt;&lt;mo&gt;,&lt;/mo&gt;&lt;mo&gt;&amp;#xA0;&lt;/mo&gt;&lt;mi&gt;j&lt;/mi&gt;&lt;mo&gt;=&lt;/mo&gt;&lt;mi&gt;x&lt;/mi&gt;&lt;mo&gt;,&lt;/mo&gt;&lt;mi&gt;y&lt;/mi&gt;&lt;mo&gt;,&lt;/mo&gt;&lt;mi&gt;z&lt;/mi&gt;&lt;/mstyle&gt;&lt;/math&gt;&quot;,&quot;origin&quot;:&quot;MathType for Microsoft Add-in&quot;}" title="epsilon （ 小写 ） 下標 j 左括号 omega （ 小写 ） 右括号 等於 epsilon （ 小写 ） 下標 无穷大 上標 j 左小括號 1 加 分數 左小括號 omega （ 小写 ） 下標 T O 結束下標 上標 空格 j 結束上標 右小括號 平方 減 omega （ 小写 ） 平方 減 i omega （ 小写 ） gamma （ 小写 ） 的 j 次方 分之 左小括號 omega （ 小写 ） 下標 L O 結束下標 上標 空格 j 結束上標 右小括號 平方 減 左小括號 omega （ 小写 ） 下標 T O 結束下標 上標 空格 j 結束上標 右小括號 平方 結束分數 右小括號 逗號 空格 j 等於 x 逗號 y 逗號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4px;\&quot; xmlns=\&quot;http://www.w3.org/1998/Math/MathML\&quot; xmlns:wrs=\&quot;http://www.wiris.com/xml/mathml-extension\&quot;&gt;&lt;mstyle mathsize=\&quot;14px\&quot;&gt;&lt;msub&gt;&lt;mi&gt;&amp;#x3B5;&lt;/mi&gt;&lt;mi&gt;j&lt;/mi&gt;&lt;/msub&gt;&lt;mo&gt;(&lt;/mo&gt;&lt;mi&gt;&amp;#x3C9;&lt;/mi&gt;&lt;mo&gt;)&lt;/mo&gt;&lt;mo&gt;=&lt;/mo&gt;&lt;msubsup&gt;&lt;mi&gt;&amp;#x3B5;&lt;/mi&gt;&lt;mo&gt;&amp;#x221E;&lt;/mo&gt;&lt;mi&gt;j&lt;/mi&gt;&lt;/msubsup&gt;&lt;mfenced wrs:valign=\&quot;middle\&quot;&gt;&lt;mrow&gt;&lt;mn&gt;1&lt;/mn&gt;&lt;mo&gt;+&lt;/mo&gt;&lt;mfrac&gt;&lt;mrow&gt;&lt;msup&gt;&lt;mfenced&gt;&lt;msubsup&gt;&lt;mi&gt;&amp;#x3C9;&lt;/mi&gt;&lt;mrow&gt;&lt;mi&gt;L&lt;/mi&gt;&lt;mi&gt;O&lt;/mi&gt;&lt;/mrow&gt;&lt;mrow&gt;&lt;mo&gt;&amp;#xA0;&lt;/mo&gt;&lt;mi&gt;j&lt;/mi&gt;&lt;/mrow&gt;&lt;/msubsup&gt;&lt;/mfenced&gt;&lt;mn&gt;2&lt;/mn&gt;&lt;/msup&gt;&lt;mo&gt;&amp;#x2212;&lt;/mo&gt;&lt;msup&gt;&lt;mfenced&gt;&lt;msubsup&gt;&lt;mi&gt;&amp;#x3C9;&lt;/mi&gt;&lt;mrow&gt;&lt;mi&gt;T&lt;/mi&gt;&lt;mi&gt;O&lt;/mi&gt;&lt;/mrow&gt;&lt;mrow&gt;&lt;mo&gt;&amp;#xA0;&lt;/mo&gt;&lt;mi&gt;j&lt;/mi&gt;&lt;/mrow&gt;&lt;/msubsup&gt;&lt;/mfenced&gt;&lt;mn&gt;2&lt;/mn&gt;&lt;/msup&gt;&lt;/mrow&gt;&lt;mrow&gt;&lt;msup&gt;&lt;mfenced&gt;&lt;msubsup&gt;&lt;mi&gt;&amp;#x3C9;&lt;/mi&gt;&lt;mrow&gt;&lt;mi&gt;T&lt;/mi&gt;&lt;mi&gt;O&lt;/mi&gt;&lt;/mrow&gt;&lt;mrow&gt;&lt;mo&gt;&amp;#xA0;&lt;/mo&gt;&lt;mi&gt;j&lt;/mi&gt;&lt;/mrow&gt;&lt;/msubsup&gt;&lt;/mfenced&gt;&lt;mn&gt;2&lt;/mn&gt;&lt;/msup&gt;&lt;mo&gt;&amp;#x2212;&lt;/mo&gt;&lt;msup&gt;&lt;mi&gt;&amp;#x3C9;&lt;/mi&gt;&lt;mn&gt;2&lt;/mn&gt;&lt;/msup&gt;&lt;mo&gt;&amp;#x2212;&lt;/mo&gt;&lt;mi&gt;i&lt;/mi&gt;&lt;mi&gt;&amp;#x3C9;&lt;/mi&gt;&lt;msup&gt;&lt;mi&gt;&amp;#x3B3;&lt;/mi&gt;&lt;mi&gt;j&lt;/mi&gt;&lt;/msup&gt;&lt;/mrow&gt;&lt;/mfrac&gt;&lt;/mrow&gt;&lt;/mfenced&gt;&lt;mo&gt;,&lt;/mo&gt;&lt;mo&gt;&amp;#xA0;&lt;/mo&gt;&lt;mi&gt;j&lt;/mi&gt;&lt;mo&gt;=&lt;/mo&gt;&lt;mi&gt;x&lt;/mi&gt;&lt;mo&gt;,&lt;/mo&gt;&lt;mi&gt;y&lt;/mi&gt;&lt;mo&gt;,&lt;/mo&gt;&lt;mi&gt;z&lt;/mi&gt;&lt;/mstyle&gt;&lt;/math&gt;&quot;,&quot;origin&quot;:&quot;MathType for Microsoft Add-in&quot;}" title="epsilon （ 小写 ） 下標 j 左括号 omega （ 小写 ） 右括号 等於 epsilon （ 小写 ） 下標 无穷大 上標 j 左小括號 1 加 分數 左小括號 omega （ 小写 ） 下標 T O 結束下標 上標 空格 j 結束上標 右小括號 平方 減 omega （ 小写 ） 平方 減 i omega （ 小写 ） gamma （ 小写 ） 的 j 次方 分之 左小括號 omega （ 小写 ） 下標 L O 結束下標 上標 空格 j 結束上標 右小括號 平方 減 左小括號 omega （ 小写 ） 下標 T O 結束下標 上標 空格 j 結束上標 右小括號 平方 結束分數 右小括號 逗號 空格 j 等於 x 逗號 y 逗號 z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92" cy="56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MingLiU"/>
          <w:sz w:val="20"/>
          <w:szCs w:val="20"/>
          <w:lang w:eastAsia="de-DE"/>
          <w14:numSpacing w14:val="proportional"/>
        </w:rPr>
        <w:t>,                                          (S1)</w:t>
      </w:r>
    </w:p>
    <w:p w14:paraId="617ED113" w14:textId="77777777" w:rsidR="00502964" w:rsidRDefault="00502964" w:rsidP="00502964">
      <w:pPr>
        <w:spacing w:line="360" w:lineRule="auto"/>
        <w:jc w:val="both"/>
        <w:rPr>
          <w:rFonts w:eastAsia="PMingLiU"/>
          <w:sz w:val="20"/>
          <w:szCs w:val="20"/>
          <w:lang w:eastAsia="de-DE"/>
          <w14:numSpacing w14:val="proportional"/>
        </w:rPr>
      </w:pPr>
      <w:r>
        <w:rPr>
          <w:rFonts w:eastAsia="PMingLiU"/>
          <w:sz w:val="20"/>
          <w:szCs w:val="20"/>
          <w:lang w:eastAsia="de-DE"/>
          <w14:numSpacing w14:val="proportional"/>
        </w:rPr>
        <w:t xml:space="preserve">where </w:t>
      </w:r>
      <w:r>
        <w:rPr>
          <w:rFonts w:ascii="Cambria Math" w:eastAsia="PMingLiU" w:hAnsi="Cambria Math" w:cs="Cambria Math"/>
          <w:sz w:val="20"/>
          <w:szCs w:val="20"/>
          <w:lang w:eastAsia="de-DE"/>
          <w14:numSpacing w14:val="proportional"/>
        </w:rPr>
        <w:t>𝜀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j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denotes the principal component of the permittivity tensor;</w:t>
      </w:r>
      <w:r>
        <w:rPr>
          <w:sz w:val="18"/>
          <w:szCs w:val="18"/>
        </w:rPr>
        <w:t xml:space="preserve"> </w:t>
      </w:r>
      <w:r>
        <w:rPr>
          <w:noProof/>
          <w:position w:val="-8"/>
          <w:lang w:eastAsia="en-IN"/>
        </w:rPr>
        <w:drawing>
          <wp:inline distT="0" distB="0" distL="0" distR="0" wp14:anchorId="67192D7E" wp14:editId="4BF3350E">
            <wp:extent cx="183600" cy="154800"/>
            <wp:effectExtent l="0" t="0" r="0" b="0"/>
            <wp:docPr id="311332083" name="圖片 311332083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j&lt;/mi&gt;&lt;/mrow&gt;&lt;/msubsup&gt;&lt;/mstyle&gt;&lt;/math&gt;&quot;,&quot;origin&quot;:&quot;MathType for Microsoft Add-in&quot;}" title="epsilon （ 小写 ） 下標 无穷大 上標 空格 j 結束上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j&lt;/mi&gt;&lt;/mrow&gt;&lt;/msubsup&gt;&lt;/mstyle&gt;&lt;/math&gt;&quot;,&quot;origin&quot;:&quot;MathType for Microsoft Add-in&quot;}" title="epsilon （ 小写 ） 下標 无穷大 上標 空格 j 結束上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(</w:t>
      </w:r>
      <w:r>
        <w:rPr>
          <w:noProof/>
          <w:position w:val="-8"/>
          <w:lang w:eastAsia="en-IN"/>
        </w:rPr>
        <w:drawing>
          <wp:inline distT="0" distB="0" distL="0" distR="0" wp14:anchorId="4C4744B5" wp14:editId="6523BFCC">
            <wp:extent cx="396000" cy="140400"/>
            <wp:effectExtent l="0" t="0" r="0" b="0"/>
            <wp:docPr id="1349005269" name="圖片 1349005269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x&lt;/mi&gt;&lt;/mrow&gt;&lt;/msubsup&gt;&lt;mo&gt;=&lt;/mo&gt;&lt;mn&gt;4&lt;/mn&gt;&lt;mo&gt;,&lt;/mo&gt;&lt;/mstyle&gt;&lt;/math&gt;&quot;,&quot;origin&quot;:&quot;MathType for Microsoft Add-in&quot;}" title="epsilon （ 小写 ） 下標 无穷大 上標 空格 x 結束上標 等於 4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x&lt;/mi&gt;&lt;/mrow&gt;&lt;/msubsup&gt;&lt;mo&gt;=&lt;/mo&gt;&lt;mn&gt;4&lt;/mn&gt;&lt;mo&gt;,&lt;/mo&gt;&lt;/mstyle&gt;&lt;/math&gt;&quot;,&quot;origin&quot;:&quot;MathType for Microsoft Add-in&quot;}" title="epsilon （ 小写 ） 下標 无穷大 上標 空格 x 結束上標 等於 4 逗號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en-IN"/>
        </w:rPr>
        <w:drawing>
          <wp:inline distT="0" distB="0" distL="0" distR="0" wp14:anchorId="2781F277" wp14:editId="527A8A6E">
            <wp:extent cx="486000" cy="140400"/>
            <wp:effectExtent l="0" t="0" r="0" b="0"/>
            <wp:docPr id="761387564" name="圖片 761387564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y&lt;/mi&gt;&lt;/mrow&gt;&lt;/msubsup&gt;&lt;mo&gt;=&lt;/mo&gt;&lt;mn&gt;5.2&lt;/mn&gt;&lt;mo&gt;,&lt;/mo&gt;&lt;/mstyle&gt;&lt;/math&gt;&quot;,&quot;origin&quot;:&quot;MathType for Microsoft Add-in&quot;}" title="epsilon （ 小写 ） 下標 无穷大 上標 空格 y 結束上標 等於 5.2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y&lt;/mi&gt;&lt;/mrow&gt;&lt;/msubsup&gt;&lt;mo&gt;=&lt;/mo&gt;&lt;mn&gt;5.2&lt;/mn&gt;&lt;mo&gt;,&lt;/mo&gt;&lt;/mstyle&gt;&lt;/math&gt;&quot;,&quot;origin&quot;:&quot;MathType for Microsoft Add-in&quot;}" title="epsilon （ 小写 ） 下標 无穷大 上標 空格 y 結束上標 等於 5.2 逗號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en-IN"/>
        </w:rPr>
        <w:drawing>
          <wp:inline distT="0" distB="0" distL="0" distR="0" wp14:anchorId="053680D8" wp14:editId="0BBFA71C">
            <wp:extent cx="435600" cy="140400"/>
            <wp:effectExtent l="0" t="0" r="0" b="0"/>
            <wp:docPr id="148134405" name="圖片 148134405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z&lt;/mi&gt;&lt;/mrow&gt;&lt;/msubsup&gt;&lt;mo&gt;=&lt;/mo&gt;&lt;mn&gt;2.4&lt;/mn&gt;&lt;/mstyle&gt;&lt;/math&gt;&quot;,&quot;origin&quot;:&quot;MathType for Microsoft Add-in&quot;}" title="epsilon （ 小写 ） 下標 无穷大 上標 空格 z 結束上標 等於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B5;&lt;/mi&gt;&lt;mo&gt;&amp;#x221E;&lt;/mo&gt;&lt;mrow&gt;&lt;mo&gt;&amp;#xA0;&lt;/mo&gt;&lt;mi&gt;z&lt;/mi&gt;&lt;/mrow&gt;&lt;/msubsup&gt;&lt;mo&gt;=&lt;/mo&gt;&lt;mn&gt;2.4&lt;/mn&gt;&lt;/mstyle&gt;&lt;/math&gt;&quot;,&quot;origin&quot;:&quot;MathType for Microsoft Add-in&quot;}" title="epsilon （ 小写 ） 下標 无穷大 上標 空格 z 結束上標 等於 2.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)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denotes the high-frequency permittivity in the </w:t>
      </w:r>
      <w:r>
        <w:rPr>
          <w:rFonts w:eastAsia="PMingLiU"/>
          <w:i/>
          <w:sz w:val="20"/>
          <w:szCs w:val="20"/>
          <w:lang w:eastAsia="de-DE"/>
          <w14:numSpacing w14:val="proportional"/>
        </w:rPr>
        <w:t>j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direction;</w:t>
      </w:r>
      <w:r>
        <w:rPr>
          <w:sz w:val="18"/>
          <w:szCs w:val="18"/>
        </w:rPr>
        <w:t xml:space="preserve"> </w:t>
      </w:r>
      <w:r>
        <w:rPr>
          <w:noProof/>
          <w:position w:val="-7"/>
          <w:lang w:eastAsia="en-IN"/>
        </w:rPr>
        <w:drawing>
          <wp:inline distT="0" distB="0" distL="0" distR="0" wp14:anchorId="0140CCFE" wp14:editId="2E04E1A0">
            <wp:extent cx="208800" cy="144000"/>
            <wp:effectExtent l="0" t="0" r="0" b="0"/>
            <wp:docPr id="1451962585" name="圖片 1451962585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j&lt;/mi&gt;&lt;/mrow&gt;&lt;/msubsup&gt;&lt;/mstyle&gt;&lt;/math&gt;&quot;,&quot;origin&quot;:&quot;MathType for Microsoft Add-in&quot;}" title="omega （ 小写 ） 下標 L O 結束下標 上標 空格 j 結束上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j&lt;/mi&gt;&lt;/mrow&gt;&lt;/msubsup&gt;&lt;/mstyle&gt;&lt;/math&gt;&quot;,&quot;origin&quot;:&quot;MathType for Microsoft Add-in&quot;}" title="omega （ 小写 ） 下標 L O 結束下標 上標 空格 j 結束上標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>(cm</w:t>
      </w:r>
      <w:r w:rsidRPr="00D24A2F">
        <w:rPr>
          <w:sz w:val="18"/>
          <w:szCs w:val="18"/>
          <w:vertAlign w:val="superscript"/>
        </w:rPr>
        <w:t>-1</w:t>
      </w:r>
      <w:r>
        <w:rPr>
          <w:sz w:val="18"/>
          <w:szCs w:val="18"/>
        </w:rPr>
        <w:t xml:space="preserve">) </w:t>
      </w:r>
      <w:r w:rsidRPr="00B046CF">
        <w:rPr>
          <w:sz w:val="18"/>
          <w:szCs w:val="18"/>
        </w:rPr>
        <w:t>(</w:t>
      </w:r>
      <w:r>
        <w:rPr>
          <w:noProof/>
          <w:position w:val="-7"/>
          <w:lang w:eastAsia="en-IN"/>
        </w:rPr>
        <w:drawing>
          <wp:inline distT="0" distB="0" distL="0" distR="0" wp14:anchorId="0C507731" wp14:editId="05F95D65">
            <wp:extent cx="543600" cy="129600"/>
            <wp:effectExtent l="0" t="0" r="2540" b="0"/>
            <wp:docPr id="2139072814" name="圖片 2139072814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x&lt;/mi&gt;&lt;/mrow&gt;&lt;/msubsup&gt;&lt;mo&gt;=&lt;/mo&gt;&lt;mn&gt;972&lt;/mn&gt;&lt;mo&gt;,&lt;/mo&gt;&lt;/mstyle&gt;&lt;/math&gt;&quot;,&quot;origin&quot;:&quot;MathType for Microsoft Add-in&quot;}" title="omega （ 小写 ） 下標 L O 結束下標 上標 空格 x 結束上標 等於 972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x&lt;/mi&gt;&lt;/mrow&gt;&lt;/msubsup&gt;&lt;mo&gt;=&lt;/mo&gt;&lt;mn&gt;972&lt;/mn&gt;&lt;mo&gt;,&lt;/mo&gt;&lt;/mstyle&gt;&lt;/math&gt;&quot;,&quot;origin&quot;:&quot;MathType for Microsoft Add-in&quot;}" title="omega （ 小写 ） 下標 L O 結束下標 上標 空格 x 結束上標 等於 972 逗號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" cy="1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7"/>
          <w:lang w:eastAsia="en-IN"/>
        </w:rPr>
        <w:drawing>
          <wp:inline distT="0" distB="0" distL="0" distR="0" wp14:anchorId="4A80AB91" wp14:editId="4542C0E4">
            <wp:extent cx="554400" cy="133200"/>
            <wp:effectExtent l="0" t="0" r="0" b="0"/>
            <wp:docPr id="1241903388" name="圖片 1241903388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y&lt;/mi&gt;&lt;/mrow&gt;&lt;/msubsup&gt;&lt;mo&gt;=&lt;/mo&gt;&lt;mn&gt;851&lt;/mn&gt;&lt;mo&gt;,&lt;/mo&gt;&lt;/mstyle&gt;&lt;/math&gt;&quot;,&quot;origin&quot;:&quot;MathType for Microsoft Add-in&quot;}" title="omega （ 小写 ） 下標 L O 結束下標 上標 空格 y 結束上標 等於 851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y&lt;/mi&gt;&lt;/mrow&gt;&lt;/msubsup&gt;&lt;mo&gt;=&lt;/mo&gt;&lt;mn&gt;851&lt;/mn&gt;&lt;mo&gt;,&lt;/mo&gt;&lt;/mstyle&gt;&lt;/math&gt;&quot;,&quot;origin&quot;:&quot;MathType for Microsoft Add-in&quot;}" title="omega （ 小写 ） 下標 L O 結束下標 上標 空格 y 結束上標 等於 851 逗號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7"/>
          <w:lang w:eastAsia="en-IN"/>
        </w:rPr>
        <w:drawing>
          <wp:inline distT="0" distB="0" distL="0" distR="0" wp14:anchorId="2CEEB994" wp14:editId="5D5238EF">
            <wp:extent cx="561600" cy="133200"/>
            <wp:effectExtent l="0" t="0" r="0" b="0"/>
            <wp:docPr id="827054931" name="圖片 827054931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z&lt;/mi&gt;&lt;/mrow&gt;&lt;/msubsup&gt;&lt;mo&gt;=&lt;/mo&gt;&lt;mn&gt;1004&lt;/mn&gt;&lt;/mstyle&gt;&lt;/math&gt;&quot;,&quot;origin&quot;:&quot;MathType for Microsoft Add-in&quot;}" title="omega （ 小写 ） 下標 L O 結束下標 上標 空格 z 結束上標 等於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L&lt;/mi&gt;&lt;mi&gt;O&lt;/mi&gt;&lt;/mrow&gt;&lt;mrow&gt;&lt;mo&gt;&amp;#xA0;&lt;/mo&gt;&lt;mi&gt;z&lt;/mi&gt;&lt;/mrow&gt;&lt;/msubsup&gt;&lt;mo&gt;=&lt;/mo&gt;&lt;mn&gt;1004&lt;/mn&gt;&lt;/mstyle&gt;&lt;/math&gt;&quot;,&quot;origin&quot;:&quot;MathType for Microsoft Add-in&quot;}" title="omega （ 小写 ） 下標 L O 結束下標 上標 空格 z 結束上標 等於 10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) and (</w:t>
      </w:r>
      <w:r>
        <w:rPr>
          <w:noProof/>
          <w:position w:val="-7"/>
          <w:lang w:eastAsia="en-IN"/>
        </w:rPr>
        <w:drawing>
          <wp:inline distT="0" distB="0" distL="0" distR="0" wp14:anchorId="365EFE51" wp14:editId="754F4CED">
            <wp:extent cx="554400" cy="133200"/>
            <wp:effectExtent l="0" t="0" r="0" b="0"/>
            <wp:docPr id="827067897" name="圖片 827067897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x&lt;/mi&gt;&lt;/mrow&gt;&lt;/msubsup&gt;&lt;mo&gt;=&lt;/mo&gt;&lt;mn&gt;816&lt;/mn&gt;&lt;mo&gt;,&lt;/mo&gt;&lt;/mstyle&gt;&lt;/math&gt;&quot;,&quot;origin&quot;:&quot;MathType for Microsoft Add-in&quot;}" title="omega （ 小写 ） 下標 T O 結束下標 上標 空格 x 結束上標 等於 816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x&lt;/mi&gt;&lt;/mrow&gt;&lt;/msubsup&gt;&lt;mo&gt;=&lt;/mo&gt;&lt;mn&gt;816&lt;/mn&gt;&lt;mo&gt;,&lt;/mo&gt;&lt;/mstyle&gt;&lt;/math&gt;&quot;,&quot;origin&quot;:&quot;MathType for Microsoft Add-in&quot;}" title="omega （ 小写 ） 下標 T O 結束下標 上標 空格 x 結束上標 等於 816 逗號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7"/>
          <w:lang w:eastAsia="en-IN"/>
        </w:rPr>
        <w:drawing>
          <wp:inline distT="0" distB="0" distL="0" distR="0" wp14:anchorId="7E4728B0" wp14:editId="0AF0ED3D">
            <wp:extent cx="554400" cy="133200"/>
            <wp:effectExtent l="0" t="0" r="0" b="0"/>
            <wp:docPr id="1433540130" name="圖片 1433540130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y&lt;/mi&gt;&lt;/mrow&gt;&lt;/msubsup&gt;&lt;mo&gt;=&lt;/mo&gt;&lt;mn&gt;545&lt;/mn&gt;&lt;mo&gt;,&lt;/mo&gt;&lt;/mstyle&gt;&lt;/math&gt;&quot;,&quot;origin&quot;:&quot;MathType for Microsoft Add-in&quot;}" title="omega （ 小写 ） 下標 T O 結束下標 上標 空格 y 結束上標 等於 545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y&lt;/mi&gt;&lt;/mrow&gt;&lt;/msubsup&gt;&lt;mo&gt;=&lt;/mo&gt;&lt;mn&gt;545&lt;/mn&gt;&lt;mo&gt;,&lt;/mo&gt;&lt;/mstyle&gt;&lt;/math&gt;&quot;,&quot;origin&quot;:&quot;MathType for Microsoft Add-in&quot;}" title="omega （ 小写 ） 下標 T O 結束下標 上標 空格 y 結束上標 等於 545 逗號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7"/>
          <w:lang w:eastAsia="en-IN"/>
        </w:rPr>
        <w:drawing>
          <wp:inline distT="0" distB="0" distL="0" distR="0" wp14:anchorId="57C9F608" wp14:editId="79F06592">
            <wp:extent cx="500400" cy="133200"/>
            <wp:effectExtent l="0" t="0" r="0" b="0"/>
            <wp:docPr id="2000937967" name="圖片 2000937967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z&lt;/mi&gt;&lt;/mrow&gt;&lt;/msubsup&gt;&lt;mo&gt;=&lt;/mo&gt;&lt;mn&gt;958&lt;/mn&gt;&lt;/mstyle&gt;&lt;/math&gt;&quot;,&quot;origin&quot;:&quot;MathType for Microsoft Add-in&quot;}" title="omega （ 小写 ） 下標 T O 結束下標 上標 空格 z 結束上標 等於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bsup&gt;&lt;mi&gt;&amp;#x3C9;&lt;/mi&gt;&lt;mrow&gt;&lt;mi&gt;T&lt;/mi&gt;&lt;mi&gt;O&lt;/mi&gt;&lt;/mrow&gt;&lt;mrow&gt;&lt;mo&gt;&amp;#xA0;&lt;/mo&gt;&lt;mi&gt;z&lt;/mi&gt;&lt;/mrow&gt;&lt;/msubsup&gt;&lt;mo&gt;=&lt;/mo&gt;&lt;mn&gt;958&lt;/mn&gt;&lt;/mstyle&gt;&lt;/math&gt;&quot;,&quot;origin&quot;:&quot;MathType for Microsoft Add-in&quot;}" title="omega （ 小写 ） 下標 T O 結束下標 上標 空格 z 結束上標 等於 9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denote the longitudinal optical and transverse optical phonon frequencies, respectively; </w:t>
      </w:r>
      <w:r>
        <w:rPr>
          <w:noProof/>
          <w:position w:val="-3"/>
          <w:lang w:eastAsia="en-IN"/>
        </w:rPr>
        <w:drawing>
          <wp:inline distT="0" distB="0" distL="0" distR="0" wp14:anchorId="16759BFC" wp14:editId="3D589E5A">
            <wp:extent cx="93600" cy="115200"/>
            <wp:effectExtent l="0" t="0" r="0" b="0"/>
            <wp:docPr id="1368048275" name="圖片 1368048275" descr="{&quot;mathml&quot;:&quot;&lt;math style=\&quot;font-family:stix;font-size:12px;\&quot; xmlns=\&quot;http://www.w3.org/1998/Math/MathML\&quot;&gt;&lt;mstyle mathsize=\&quot;12px\&quot;&gt;&lt;msup&gt;&lt;mi&gt;&amp;#x3B3;&lt;/mi&gt;&lt;mi&gt;j&lt;/mi&gt;&lt;/msup&gt;&lt;/mstyle&gt;&lt;/math&gt;&quot;,&quot;origin&quot;:&quot;MathType for Microsoft Add-in&quot;}" title="gamma （ 小写 ） 的 j 次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p&gt;&lt;mi&gt;&amp;#x3B3;&lt;/mi&gt;&lt;mi&gt;j&lt;/mi&gt;&lt;/msup&gt;&lt;/mstyle&gt;&lt;/math&gt;&quot;,&quot;origin&quot;:&quot;MathType for Microsoft Add-in&quot;}" title="gamma （ 小写 ） 的 j 次方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(</w:t>
      </w:r>
      <w:r>
        <w:rPr>
          <w:noProof/>
          <w:position w:val="-3"/>
          <w:lang w:eastAsia="en-IN"/>
        </w:rPr>
        <w:drawing>
          <wp:inline distT="0" distB="0" distL="0" distR="0" wp14:anchorId="1722CB37" wp14:editId="1B4B9324">
            <wp:extent cx="327600" cy="108000"/>
            <wp:effectExtent l="0" t="0" r="3175" b="0"/>
            <wp:docPr id="48894454" name="圖片 48894454" descr="{&quot;mathml&quot;:&quot;&lt;math style=\&quot;font-family:stix;font-size:12px;\&quot; xmlns=\&quot;http://www.w3.org/1998/Math/MathML\&quot;&gt;&lt;mstyle mathsize=\&quot;12px\&quot;&gt;&lt;msup&gt;&lt;mi&gt;&amp;#x3B3;&lt;/mi&gt;&lt;mi&gt;x&lt;/mi&gt;&lt;/msup&gt;&lt;mo&gt;=&lt;/mo&gt;&lt;mn&gt;4&lt;/mn&gt;&lt;mo&gt;,&lt;/mo&gt;&lt;/mstyle&gt;&lt;/math&gt;&quot;,&quot;origin&quot;:&quot;MathType for Microsoft Add-in&quot;}" title="gamma （ 小写 ） 的 x 次方 等於 4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p&gt;&lt;mi&gt;&amp;#x3B3;&lt;/mi&gt;&lt;mi&gt;x&lt;/mi&gt;&lt;/msup&gt;&lt;mo&gt;=&lt;/mo&gt;&lt;mn&gt;4&lt;/mn&gt;&lt;mo&gt;,&lt;/mo&gt;&lt;/mstyle&gt;&lt;/math&gt;&quot;,&quot;origin&quot;:&quot;MathType for Microsoft Add-in&quot;}" title="gamma （ 小写 ） 的 x 次方 等於 4 逗號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3"/>
          <w:lang w:eastAsia="en-IN"/>
        </w:rPr>
        <w:drawing>
          <wp:inline distT="0" distB="0" distL="0" distR="0" wp14:anchorId="5BE1537C" wp14:editId="4EFB5729">
            <wp:extent cx="327600" cy="108000"/>
            <wp:effectExtent l="0" t="0" r="3175" b="0"/>
            <wp:docPr id="20277099" name="圖片 20277099" descr="{&quot;mathml&quot;:&quot;&lt;math style=\&quot;font-family:stix;font-size:12px;\&quot; xmlns=\&quot;http://www.w3.org/1998/Math/MathML\&quot;&gt;&lt;mstyle mathsize=\&quot;12px\&quot;&gt;&lt;msup&gt;&lt;mi&gt;&amp;#x3B3;&lt;/mi&gt;&lt;mi&gt;y&lt;/mi&gt;&lt;/msup&gt;&lt;mo&gt;=&lt;/mo&gt;&lt;mn&gt;4&lt;/mn&gt;&lt;mo&gt;,&lt;/mo&gt;&lt;/mstyle&gt;&lt;/math&gt;&quot;,&quot;origin&quot;:&quot;MathType for Microsoft Add-in&quot;}" title="gamma （ 小写 ） 的 y 次方 等於 4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p&gt;&lt;mi&gt;&amp;#x3B3;&lt;/mi&gt;&lt;mi&gt;y&lt;/mi&gt;&lt;/msup&gt;&lt;mo&gt;=&lt;/mo&gt;&lt;mn&gt;4&lt;/mn&gt;&lt;mo&gt;,&lt;/mo&gt;&lt;/mstyle&gt;&lt;/math&gt;&quot;,&quot;origin&quot;:&quot;MathType for Microsoft Add-in&quot;}" title="gamma （ 小写 ） 的 y 次方 等於 4 逗號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3"/>
          <w:lang w:eastAsia="en-IN"/>
        </w:rPr>
        <w:drawing>
          <wp:inline distT="0" distB="0" distL="0" distR="0" wp14:anchorId="0F46874A" wp14:editId="1FC0DEA7">
            <wp:extent cx="266400" cy="104400"/>
            <wp:effectExtent l="0" t="0" r="635" b="0"/>
            <wp:docPr id="931247868" name="圖片 931247868" descr="{&quot;mathml&quot;:&quot;&lt;math style=\&quot;font-family:stix;font-size:12px;\&quot; xmlns=\&quot;http://www.w3.org/1998/Math/MathML\&quot;&gt;&lt;mstyle mathsize=\&quot;12px\&quot;&gt;&lt;msup&gt;&lt;mi&gt;&amp;#x3B3;&lt;/mi&gt;&lt;mi&gt;z&lt;/mi&gt;&lt;/msup&gt;&lt;mo&gt;=&lt;/mo&gt;&lt;mn&gt;2&lt;/mn&gt;&lt;/mstyle&gt;&lt;/math&gt;&quot;,&quot;origin&quot;:&quot;MathType for Microsoft Add-in&quot;}" title="gamma （ 小写 ） 的 z 次方 等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sup&gt;&lt;mi&gt;&amp;#x3B3;&lt;/mi&gt;&lt;mi&gt;z&lt;/mi&gt;&lt;/msup&gt;&lt;mo&gt;=&lt;/mo&gt;&lt;mn&gt;2&lt;/mn&gt;&lt;/mstyle&gt;&lt;/math&gt;&quot;,&quot;origin&quot;:&quot;MathType for Microsoft Add-in&quot;}" title="gamma （ 小写 ） 的 z 次方 等於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CF">
        <w:rPr>
          <w:sz w:val="18"/>
          <w:szCs w:val="18"/>
        </w:rPr>
        <w:t>)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denotes the inelastic loss rate.</w:t>
      </w:r>
    </w:p>
    <w:p w14:paraId="5927AAAE" w14:textId="77777777" w:rsidR="00502964" w:rsidRDefault="00502964" w:rsidP="00502964">
      <w:pPr>
        <w:keepNext/>
        <w:tabs>
          <w:tab w:val="num" w:pos="599"/>
          <w:tab w:val="left" w:pos="736"/>
          <w:tab w:val="left" w:pos="873"/>
          <w:tab w:val="left" w:pos="1010"/>
        </w:tabs>
        <w:suppressAutoHyphens/>
        <w:spacing w:before="240" w:after="160" w:line="300" w:lineRule="exact"/>
        <w:ind w:left="465" w:hanging="465"/>
        <w:outlineLvl w:val="1"/>
        <w:rPr>
          <w:rFonts w:eastAsia="PMingLiU"/>
          <w:b/>
          <w:sz w:val="20"/>
          <w:szCs w:val="20"/>
          <w:u w:val="single"/>
          <w:lang w:eastAsia="de-DE"/>
          <w14:numSpacing w14:val="proportional"/>
        </w:rPr>
      </w:pPr>
      <w:r>
        <w:rPr>
          <w:rFonts w:eastAsia="PMingLiU"/>
          <w:b/>
          <w:sz w:val="20"/>
          <w:szCs w:val="20"/>
          <w:lang w:eastAsia="de-DE"/>
          <w14:numSpacing w14:val="proportional"/>
        </w:rPr>
        <w:t>1.2  Surface conductivity of graphene</w:t>
      </w:r>
    </w:p>
    <w:p w14:paraId="61CBBAD0" w14:textId="77777777" w:rsidR="00502964" w:rsidRDefault="00502964" w:rsidP="00502964">
      <w:pPr>
        <w:spacing w:line="360" w:lineRule="auto"/>
        <w:jc w:val="both"/>
        <w:rPr>
          <w:rFonts w:eastAsia="PMingLiU"/>
          <w:sz w:val="20"/>
          <w:szCs w:val="20"/>
          <w:lang w:eastAsia="de-DE"/>
          <w14:numSpacing w14:val="proportional"/>
        </w:rPr>
      </w:pPr>
      <w:r>
        <w:rPr>
          <w:rFonts w:eastAsia="PMingLiU"/>
          <w:sz w:val="20"/>
          <w:szCs w:val="20"/>
          <w:lang w:eastAsia="de-DE"/>
          <w14:numSpacing w14:val="proportional"/>
        </w:rPr>
        <w:t xml:space="preserve">The surface conductivity of graphene, denoted as 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σ</w:t>
      </w:r>
      <w:r>
        <w:rPr>
          <w:rFonts w:eastAsia="PMingLiU"/>
          <w:sz w:val="20"/>
          <w:szCs w:val="20"/>
          <w:lang w:eastAsia="de-DE"/>
          <w14:numSpacing w14:val="proportional"/>
        </w:rPr>
        <w:t>, was computed using the Kubo formula. It comprised both intraband and interband contributions and can be expressed as follows:</w:t>
      </w:r>
    </w:p>
    <w:p w14:paraId="5FCAA317" w14:textId="77777777" w:rsidR="00502964" w:rsidRDefault="00502964" w:rsidP="00502964">
      <w:pPr>
        <w:tabs>
          <w:tab w:val="right" w:pos="7085"/>
        </w:tabs>
        <w:spacing w:beforeLines="100" w:before="240" w:afterLines="100" w:after="240"/>
        <w:ind w:firstLineChars="300" w:firstLine="660"/>
        <w:jc w:val="both"/>
        <w:rPr>
          <w:rFonts w:eastAsia="PMingLiU"/>
          <w:sz w:val="18"/>
          <w:szCs w:val="18"/>
          <w:lang w:eastAsia="de-DE"/>
          <w14:numSpacing w14:val="proportional"/>
        </w:rPr>
      </w:pPr>
      <w:r>
        <w:rPr>
          <w:noProof/>
          <w:position w:val="-22"/>
          <w:lang w:eastAsia="en-IN"/>
        </w:rPr>
        <w:drawing>
          <wp:inline distT="0" distB="0" distL="0" distR="0" wp14:anchorId="452A6C0F" wp14:editId="41B04E73">
            <wp:extent cx="4613979" cy="479534"/>
            <wp:effectExtent l="0" t="0" r="0" b="3175"/>
            <wp:docPr id="1" name="Picture 1" descr="{&quot;mathml&quot;:&quot;&lt;math style=\&quot;font-family:Times New Roman;font-size:14px;\&quot; xmlns=\&quot;http://www.w3.org/1998/Math/MathML\&quot; xmlns:wrs=\&quot;http://www.wiris.com/xml/mathml-extension\&quot;&gt;&lt;mstyle mathsize=\&quot;14px\&quot;&gt;&lt;mi&gt;&amp;#x3C3;&lt;/mi&gt;&lt;mo&gt;(&lt;/mo&gt;&lt;mi&gt;&amp;#x3C9;&lt;/mi&gt;&lt;mo&gt;,&lt;/mo&gt;&lt;msub&gt;&lt;mi&gt;E&lt;/mi&gt;&lt;mi&gt;f&lt;/mi&gt;&lt;/msub&gt;&lt;mo&gt;,&lt;/mo&gt;&lt;mi&gt;&amp;#x3C4;&lt;/mi&gt;&lt;mo&gt;,&lt;/mo&gt;&lt;mi&gt;T&lt;/mi&gt;&lt;mo&gt;)&lt;/mo&gt;&lt;mo&gt;=&lt;/mo&gt;&lt;mfrac&gt;&lt;mrow&gt;&lt;mo&gt;&amp;#x2212;&lt;/mo&gt;&lt;mi&gt;i&lt;/mi&gt;&lt;msup&gt;&lt;mi&gt;e&lt;/mi&gt;&lt;mn&gt;2&lt;/mn&gt;&lt;/msup&gt;&lt;msub&gt;&lt;mi&gt;k&lt;/mi&gt;&lt;mi&gt;B&lt;/mi&gt;&lt;/msub&gt;&lt;mi&gt;T&lt;/mi&gt;&lt;/mrow&gt;&lt;mrow&gt;&lt;mi&gt;&amp;#x3C0;&lt;/mi&gt;&lt;msup&gt;&lt;mi&gt;&amp;#x210F;&lt;/mi&gt;&lt;mn&gt;2&lt;/mn&gt;&lt;/msup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/mfrac&gt;&lt;mfenced wrs:valign=\&quot;middle\&quot;&gt;&lt;mrow&gt;&lt;mfrac&gt;&lt;msub&gt;&lt;mi&gt;E&lt;/mi&gt;&lt;mi&gt;f&lt;/mi&gt;&lt;/msub&gt;&lt;mrow&gt;&lt;msub&gt;&lt;mi&gt;k&lt;/mi&gt;&lt;mi&gt;B&lt;/mi&gt;&lt;/msub&gt;&lt;mi&gt;T&lt;/mi&gt;&lt;/mrow&gt;&lt;/mfrac&gt;&lt;mo&gt;+&lt;/mo&gt;&lt;mn&gt;2&lt;/mn&gt;&lt;mi&gt;ln&lt;/mi&gt;&lt;mo&gt;(&lt;/mo&gt;&lt;msup&gt;&lt;mi&gt;e&lt;/mi&gt;&lt;mrow&gt;&lt;mo&gt;&amp;#x2212;&lt;/mo&gt;&lt;msub&gt;&lt;mi&gt;E&lt;/mi&gt;&lt;mi&gt;f&lt;/mi&gt;&lt;/msub&gt;&lt;mo&gt;/&lt;/mo&gt;&lt;msub&gt;&lt;mi&gt;k&lt;/mi&gt;&lt;mi&gt;B&lt;/mi&gt;&lt;/msub&gt;&lt;mi&gt;T&lt;/mi&gt;&lt;/mrow&gt;&lt;/msup&gt;&lt;mo&gt;+&lt;/mo&gt;&lt;mn&gt;1&lt;/mn&gt;&lt;mo&gt;)&lt;/mo&gt;&lt;/mrow&gt;&lt;/mfenced&gt;&lt;mo&gt;&amp;#x2212;&lt;/mo&gt;&lt;mfrac&gt;&lt;mrow&gt;&lt;mi&gt;i&lt;/mi&gt;&lt;msup&gt;&lt;mi&gt;e&lt;/mi&gt;&lt;mn&gt;2&lt;/mn&gt;&lt;/msup&gt;&lt;/mrow&gt;&lt;mrow&gt;&lt;mn&gt;4&lt;/mn&gt;&lt;mi&gt;&amp;#x210F;&lt;/mi&gt;&lt;/mrow&gt;&lt;/mfrac&gt;&lt;mi&gt;ln&lt;/mi&gt;&lt;mfenced wrs:valign=\&quot;middle\&quot;&gt;&lt;mfrac&gt;&lt;mrow&gt;&lt;mn&gt;2&lt;/mn&gt;&lt;msub&gt;&lt;mi&gt;E&lt;/mi&gt;&lt;mi&gt;f&lt;/mi&gt;&lt;/msub&gt;&lt;mo&gt;&amp;#x2212;&lt;/mo&gt;&lt;mi&gt;&amp;#x210F;&lt;/mi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mrow&gt;&lt;mn&gt;2&lt;/mn&gt;&lt;msub&gt;&lt;mi&gt;E&lt;/mi&gt;&lt;mi&gt;f&lt;/mi&gt;&lt;/msub&gt;&lt;mo&gt;+&lt;/mo&gt;&lt;mi&gt;&amp;#x210F;&lt;/mi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/mfrac&gt;&lt;/mfenced&gt;&lt;mo&gt;,&lt;/mo&gt;&lt;/mstyle&gt;&lt;/math&gt;&quot;,&quot;origin&quot;:&quot;MathType for Microsoft Add-in&quot;}" title="sigma （ 小写 ） 左括号 omega （ 小写 ） 逗號 E 下標 f 逗號 tau （ 小写 ） 逗號 T 右括号 等於 分數 pi （ 小写 ） ℏ 平方 左括号 omega （ 小写 ） 減 i tau （ 小写 ） 的 負 1 次方 右括号 分之 負 i e 平方 k 下標 B T 結束分數 左小括號 分數 k 下標 B T 分之 E 下標 f 結束分數 加 2 ln 左括号 e 的 負 E 下標 f 除以 k 下標 B T 次方 加 1 右括号 右小括號 減 分數 4 ℏ 分之 i e 平方 結束分數 ln 左小括號 分數 2 E 下標 f 加 ℏ 左括号 omega （ 小写 ） 減 i tau （ 小写 ） 的 負 1 次方 右括号 分之 2 E 下標 f 減 ℏ 左括号 omega （ 小写 ） 減 i tau （ 小写 ） 的 負 1 次方 右括号 結束分數 右小括號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4px;\&quot; xmlns=\&quot;http://www.w3.org/1998/Math/MathML\&quot; xmlns:wrs=\&quot;http://www.wiris.com/xml/mathml-extension\&quot;&gt;&lt;mstyle mathsize=\&quot;14px\&quot;&gt;&lt;mi&gt;&amp;#x3C3;&lt;/mi&gt;&lt;mo&gt;(&lt;/mo&gt;&lt;mi&gt;&amp;#x3C9;&lt;/mi&gt;&lt;mo&gt;,&lt;/mo&gt;&lt;msub&gt;&lt;mi&gt;E&lt;/mi&gt;&lt;mi&gt;f&lt;/mi&gt;&lt;/msub&gt;&lt;mo&gt;,&lt;/mo&gt;&lt;mi&gt;&amp;#x3C4;&lt;/mi&gt;&lt;mo&gt;,&lt;/mo&gt;&lt;mi&gt;T&lt;/mi&gt;&lt;mo&gt;)&lt;/mo&gt;&lt;mo&gt;=&lt;/mo&gt;&lt;mfrac&gt;&lt;mrow&gt;&lt;mo&gt;&amp;#x2212;&lt;/mo&gt;&lt;mi&gt;i&lt;/mi&gt;&lt;msup&gt;&lt;mi&gt;e&lt;/mi&gt;&lt;mn&gt;2&lt;/mn&gt;&lt;/msup&gt;&lt;msub&gt;&lt;mi&gt;k&lt;/mi&gt;&lt;mi&gt;B&lt;/mi&gt;&lt;/msub&gt;&lt;mi&gt;T&lt;/mi&gt;&lt;/mrow&gt;&lt;mrow&gt;&lt;mi&gt;&amp;#x3C0;&lt;/mi&gt;&lt;msup&gt;&lt;mi&gt;&amp;#x210F;&lt;/mi&gt;&lt;mn&gt;2&lt;/mn&gt;&lt;/msup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/mfrac&gt;&lt;mfenced wrs:valign=\&quot;middle\&quot;&gt;&lt;mrow&gt;&lt;mfrac&gt;&lt;msub&gt;&lt;mi&gt;E&lt;/mi&gt;&lt;mi&gt;f&lt;/mi&gt;&lt;/msub&gt;&lt;mrow&gt;&lt;msub&gt;&lt;mi&gt;k&lt;/mi&gt;&lt;mi&gt;B&lt;/mi&gt;&lt;/msub&gt;&lt;mi&gt;T&lt;/mi&gt;&lt;/mrow&gt;&lt;/mfrac&gt;&lt;mo&gt;+&lt;/mo&gt;&lt;mn&gt;2&lt;/mn&gt;&lt;mi&gt;ln&lt;/mi&gt;&lt;mo&gt;(&lt;/mo&gt;&lt;msup&gt;&lt;mi&gt;e&lt;/mi&gt;&lt;mrow&gt;&lt;mo&gt;&amp;#x2212;&lt;/mo&gt;&lt;msub&gt;&lt;mi&gt;E&lt;/mi&gt;&lt;mi&gt;f&lt;/mi&gt;&lt;/msub&gt;&lt;mo&gt;/&lt;/mo&gt;&lt;msub&gt;&lt;mi&gt;k&lt;/mi&gt;&lt;mi&gt;B&lt;/mi&gt;&lt;/msub&gt;&lt;mi&gt;T&lt;/mi&gt;&lt;/mrow&gt;&lt;/msup&gt;&lt;mo&gt;+&lt;/mo&gt;&lt;mn&gt;1&lt;/mn&gt;&lt;mo&gt;)&lt;/mo&gt;&lt;/mrow&gt;&lt;/mfenced&gt;&lt;mo&gt;&amp;#x2212;&lt;/mo&gt;&lt;mfrac&gt;&lt;mrow&gt;&lt;mi&gt;i&lt;/mi&gt;&lt;msup&gt;&lt;mi&gt;e&lt;/mi&gt;&lt;mn&gt;2&lt;/mn&gt;&lt;/msup&gt;&lt;/mrow&gt;&lt;mrow&gt;&lt;mn&gt;4&lt;/mn&gt;&lt;mi&gt;&amp;#x210F;&lt;/mi&gt;&lt;/mrow&gt;&lt;/mfrac&gt;&lt;mi&gt;ln&lt;/mi&gt;&lt;mfenced wrs:valign=\&quot;middle\&quot;&gt;&lt;mfrac&gt;&lt;mrow&gt;&lt;mn&gt;2&lt;/mn&gt;&lt;msub&gt;&lt;mi&gt;E&lt;/mi&gt;&lt;mi&gt;f&lt;/mi&gt;&lt;/msub&gt;&lt;mo&gt;&amp;#x2212;&lt;/mo&gt;&lt;mi&gt;&amp;#x210F;&lt;/mi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mrow&gt;&lt;mn&gt;2&lt;/mn&gt;&lt;msub&gt;&lt;mi&gt;E&lt;/mi&gt;&lt;mi&gt;f&lt;/mi&gt;&lt;/msub&gt;&lt;mo&gt;+&lt;/mo&gt;&lt;mi&gt;&amp;#x210F;&lt;/mi&gt;&lt;mo&gt;(&lt;/mo&gt;&lt;mi&gt;&amp;#x3C9;&lt;/mi&gt;&lt;mo&gt;&amp;#x2212;&lt;/mo&gt;&lt;mi&gt;i&lt;/mi&gt;&lt;msup&gt;&lt;mi&gt;&amp;#x3C4;&lt;/mi&gt;&lt;mrow&gt;&lt;mo&gt;&amp;#x2212;&lt;/mo&gt;&lt;mn&gt;1&lt;/mn&gt;&lt;/mrow&gt;&lt;/msup&gt;&lt;mo&gt;)&lt;/mo&gt;&lt;/mrow&gt;&lt;/mfrac&gt;&lt;/mfenced&gt;&lt;mo&gt;,&lt;/mo&gt;&lt;/mstyle&gt;&lt;/math&gt;&quot;,&quot;origin&quot;:&quot;MathType for Microsoft Add-in&quot;}" title="sigma （ 小写 ） 左括号 omega （ 小写 ） 逗號 E 下標 f 逗號 tau （ 小写 ） 逗號 T 右括号 等於 分數 pi （ 小写 ） ℏ 平方 左括号 omega （ 小写 ） 減 i tau （ 小写 ） 的 負 1 次方 右括号 分之 負 i e 平方 k 下標 B T 結束分數 左小括號 分數 k 下標 B T 分之 E 下標 f 結束分數 加 2 ln 左括号 e 的 負 E 下標 f 除以 k 下標 B T 次方 加 1 右括号 右小括號 減 分數 4 ℏ 分之 i e 平方 結束分數 ln 左小括號 分數 2 E 下標 f 加 ℏ 左括号 omega （ 小写 ） 減 i tau （ 小写 ） 的 負 1 次方 右括号 分之 2 E 下標 f 減 ℏ 左括号 omega （ 小写 ） 減 i tau （ 小写 ） 的 負 1 次方 右括号 結束分數 右小括號 逗號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33" cy="4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MingLiU"/>
          <w:sz w:val="18"/>
          <w:szCs w:val="18"/>
          <w:lang w:eastAsia="de-DE"/>
          <w14:numSpacing w14:val="proportional"/>
        </w:rPr>
        <w:t xml:space="preserve">                </w:t>
      </w:r>
      <w:r>
        <w:rPr>
          <w:rFonts w:eastAsia="PMingLiU"/>
          <w:sz w:val="20"/>
          <w:szCs w:val="20"/>
          <w:lang w:eastAsia="de-DE"/>
          <w14:numSpacing w14:val="proportional"/>
        </w:rPr>
        <w:t>(S2)</w:t>
      </w:r>
    </w:p>
    <w:p w14:paraId="7BDF87E9" w14:textId="26F1B58B" w:rsidR="00502964" w:rsidRDefault="00502964" w:rsidP="00502964">
      <w:pPr>
        <w:spacing w:line="360" w:lineRule="auto"/>
        <w:jc w:val="both"/>
        <w:rPr>
          <w:sz w:val="20"/>
          <w14:numSpacing w14:val="proportional"/>
        </w:rPr>
      </w:pPr>
      <w:r w:rsidRPr="00CA3C71">
        <w:rPr>
          <w:sz w:val="20"/>
          <w14:numSpacing w14:val="proportional"/>
        </w:rPr>
        <w:t xml:space="preserve">where the parameters include the angular frequency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ω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Fermi level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E</w:t>
      </w:r>
      <w:r w:rsidRPr="00CA3C71">
        <w:rPr>
          <w:i/>
          <w:sz w:val="20"/>
          <w:vertAlign w:val="subscript"/>
          <w14:numSpacing w14:val="proportional"/>
        </w:rPr>
        <w:t>f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carrier relaxation lifetime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τ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 w:rsidRPr="00CA3C71">
        <w:rPr>
          <w:sz w:val="20"/>
          <w14:numSpacing w14:val="proportional"/>
        </w:rPr>
        <w:t xml:space="preserve"> </w:t>
      </w:r>
      <w:r>
        <w:rPr>
          <w:rFonts w:eastAsia="PMingLiU"/>
          <w:sz w:val="20"/>
          <w:szCs w:val="20"/>
          <w:lang w:eastAsia="de-DE"/>
          <w14:numSpacing w14:val="proportional"/>
        </w:rPr>
        <w:t>= </w:t>
      </w:r>
      <w:r>
        <w:rPr>
          <w:rFonts w:eastAsia="PMingLiU"/>
          <w:i/>
          <w:sz w:val="20"/>
          <w:szCs w:val="20"/>
          <w:lang w:eastAsia="de-DE"/>
          <w14:numSpacing w14:val="proportional"/>
        </w:rPr>
        <w:t>µE</w:t>
      </w:r>
      <w:r>
        <w:rPr>
          <w:rFonts w:eastAsia="PMingLiU"/>
          <w:i/>
          <w:sz w:val="20"/>
          <w:szCs w:val="20"/>
          <w:vertAlign w:val="subscript"/>
          <w:lang w:eastAsia="de-DE"/>
          <w14:numSpacing w14:val="proportional"/>
        </w:rPr>
        <w:t xml:space="preserve">f </w:t>
      </w:r>
      <w:r>
        <w:rPr>
          <w:rFonts w:eastAsia="PMingLiU"/>
          <w:iCs/>
          <w:sz w:val="20"/>
          <w:szCs w:val="20"/>
          <w:lang w:eastAsia="de-DE"/>
          <w14:numSpacing w14:val="proportional"/>
        </w:rPr>
        <w:t>/</w:t>
      </w:r>
      <w:r>
        <w:rPr>
          <w:rFonts w:eastAsia="PMingLiU"/>
          <w:i/>
          <w:sz w:val="20"/>
          <w:szCs w:val="20"/>
          <w:lang w:eastAsia="de-DE"/>
          <w14:numSpacing w14:val="proportional"/>
        </w:rPr>
        <w:t>ev</w:t>
      </w:r>
      <w:r>
        <w:rPr>
          <w:rFonts w:eastAsia="PMingLiU"/>
          <w:i/>
          <w:sz w:val="20"/>
          <w:szCs w:val="20"/>
          <w:vertAlign w:val="subscript"/>
          <w:lang w:eastAsia="de-DE"/>
          <w14:numSpacing w14:val="proportional"/>
        </w:rPr>
        <w:t>f</w:t>
      </w:r>
      <w:r>
        <w:rPr>
          <w:rFonts w:eastAsia="PMingLiU"/>
          <w:iCs/>
          <w:sz w:val="20"/>
          <w:szCs w:val="20"/>
          <w:vertAlign w:val="superscript"/>
          <w:lang w:eastAsia="de-DE"/>
          <w14:numSpacing w14:val="proportional"/>
        </w:rPr>
        <w:t>2</w:t>
      </w:r>
      <w:r>
        <w:rPr>
          <w:rFonts w:eastAsia="PMingLiU"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absolute temperature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sz w:val="20"/>
          <w14:numSpacing w14:val="proportional"/>
        </w:rPr>
        <w:t>T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),</w:t>
      </w:r>
      <w:r w:rsidRPr="00CA3C71">
        <w:rPr>
          <w:sz w:val="20"/>
          <w14:numSpacing w14:val="proportional"/>
        </w:rPr>
        <w:t xml:space="preserve"> electron charge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e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Boltzmann constant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k</w:t>
      </w:r>
      <w:r w:rsidRPr="00CA3C71">
        <w:rPr>
          <w:i/>
          <w:sz w:val="20"/>
          <w:vertAlign w:val="subscript"/>
          <w14:numSpacing w14:val="proportional"/>
        </w:rPr>
        <w:t>B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reduced Planck constant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sz w:val="20"/>
          <w14:numSpacing w14:val="proportional"/>
        </w:rPr>
        <w:t>ℏ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),</w:t>
      </w:r>
      <w:r w:rsidRPr="00CA3C71">
        <w:rPr>
          <w:sz w:val="20"/>
          <w14:numSpacing w14:val="proportional"/>
        </w:rPr>
        <w:t xml:space="preserve"> carrier mobility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 w:rsidRPr="00CA3C71">
        <w:rPr>
          <w:i/>
          <w:sz w:val="20"/>
          <w14:numSpacing w14:val="proportional"/>
        </w:rPr>
        <w:t>µ</w:t>
      </w:r>
      <w:r>
        <w:rPr>
          <w:rFonts w:eastAsia="PMingLiU"/>
          <w:bCs/>
          <w:iCs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,</w:t>
      </w:r>
      <w:r w:rsidRPr="00CA3C71">
        <w:rPr>
          <w:sz w:val="20"/>
          <w14:numSpacing w14:val="proportional"/>
        </w:rPr>
        <w:t xml:space="preserve"> and Fermi velocity of electrons 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(</w:t>
      </w:r>
      <w:r>
        <w:rPr>
          <w:rFonts w:eastAsia="PMingLiU"/>
          <w:i/>
          <w:sz w:val="20"/>
          <w:szCs w:val="20"/>
          <w:lang w:eastAsia="de-DE"/>
          <w14:numSpacing w14:val="proportional"/>
        </w:rPr>
        <w:t>v</w:t>
      </w:r>
      <w:r>
        <w:rPr>
          <w:rFonts w:eastAsia="PMingLiU"/>
          <w:i/>
          <w:sz w:val="20"/>
          <w:szCs w:val="20"/>
          <w:vertAlign w:val="subscript"/>
          <w:lang w:eastAsia="de-DE"/>
          <w14:numSpacing w14:val="proportional"/>
        </w:rPr>
        <w:t>f</w:t>
      </w:r>
      <w:r>
        <w:rPr>
          <w:rFonts w:eastAsia="PMingLiU"/>
          <w:sz w:val="20"/>
          <w:szCs w:val="20"/>
          <w:lang w:eastAsia="de-DE"/>
          <w14:numSpacing w14:val="proportional"/>
        </w:rPr>
        <w:t>) = 10</w:t>
      </w:r>
      <w:r>
        <w:rPr>
          <w:rFonts w:eastAsia="PMingLiU"/>
          <w:sz w:val="20"/>
          <w:szCs w:val="20"/>
          <w:vertAlign w:val="superscript"/>
          <w:lang w:eastAsia="de-DE"/>
          <w14:numSpacing w14:val="proportional"/>
        </w:rPr>
        <w:t>6</w:t>
      </w:r>
      <w:r>
        <w:rPr>
          <w:rFonts w:eastAsia="PMingLiU"/>
          <w:sz w:val="20"/>
          <w:szCs w:val="20"/>
          <w:lang w:eastAsia="de-DE"/>
          <w14:numSpacing w14:val="proportional"/>
        </w:rPr>
        <w:t> m/s</w:t>
      </w:r>
      <w:r w:rsidRPr="00CA3C71">
        <w:rPr>
          <w:sz w:val="20"/>
          <w14:numSpacing w14:val="proportional"/>
        </w:rPr>
        <w:t xml:space="preserve">. </w:t>
      </w:r>
      <w:r w:rsidRPr="00B63B10">
        <w:rPr>
          <w:color w:val="000000" w:themeColor="text1"/>
          <w:sz w:val="20"/>
          <w14:numSpacing w14:val="proportional"/>
        </w:rPr>
        <w:t xml:space="preserve">To avoid damage to the ellipse </w:t>
      </w:r>
      <w:r w:rsidR="00B63B10" w:rsidRPr="00B63B10">
        <w:rPr>
          <w:color w:val="000000" w:themeColor="text1"/>
          <w:sz w:val="20"/>
          <w14:numSpacing w14:val="proportional"/>
        </w:rPr>
        <w:t>graphene</w:t>
      </w:r>
      <w:r w:rsidRPr="00B63B10">
        <w:rPr>
          <w:color w:val="000000" w:themeColor="text1"/>
          <w:sz w:val="20"/>
          <w14:numSpacing w14:val="proportional"/>
        </w:rPr>
        <w:t xml:space="preserve"> and minimize the influence of the near-field signal when employing electrical gating, the proper approach to tuning the </w:t>
      </w:r>
      <w:r w:rsidRPr="00B63B10">
        <w:rPr>
          <w:i/>
          <w:iCs/>
          <w:color w:val="000000" w:themeColor="text1"/>
          <w:sz w:val="20"/>
          <w14:numSpacing w14:val="proportional"/>
        </w:rPr>
        <w:t>E</w:t>
      </w:r>
      <w:r w:rsidRPr="00B63B10">
        <w:rPr>
          <w:i/>
          <w:iCs/>
          <w:color w:val="000000" w:themeColor="text1"/>
          <w:sz w:val="20"/>
          <w:vertAlign w:val="subscript"/>
          <w14:numSpacing w14:val="proportional"/>
        </w:rPr>
        <w:t>f</w:t>
      </w:r>
      <w:r w:rsidRPr="00B63B10">
        <w:rPr>
          <w:color w:val="000000" w:themeColor="text1"/>
          <w:sz w:val="20"/>
          <w14:numSpacing w14:val="proportional"/>
        </w:rPr>
        <w:t xml:space="preserve"> of the graphene discs is by applying conventional chemical doping in the proposed system. In this investigation, we assumed a practical value of </w:t>
      </w:r>
      <w:r w:rsidRPr="00B63B10">
        <w:rPr>
          <w:i/>
          <w:color w:val="000000" w:themeColor="text1"/>
          <w:sz w:val="20"/>
          <w14:numSpacing w14:val="proportional"/>
        </w:rPr>
        <w:t>µ</w:t>
      </w:r>
      <w:r w:rsidRPr="00B63B10">
        <w:rPr>
          <w:color w:val="000000" w:themeColor="text1"/>
          <w:sz w:val="20"/>
          <w14:numSpacing w14:val="proportional"/>
        </w:rPr>
        <w:t xml:space="preserve"> = 1</w:t>
      </w:r>
      <w:r w:rsidRPr="00B63B10">
        <w:rPr>
          <w:rFonts w:ascii="Microsoft JhengHei" w:eastAsia="Microsoft JhengHei" w:hAnsi="Microsoft JhengHei" w:cs="Microsoft JhengHei"/>
          <w:color w:val="000000" w:themeColor="text1"/>
          <w:sz w:val="20"/>
          <w:lang w:eastAsia="zh-TW"/>
          <w14:numSpacing w14:val="proportional"/>
        </w:rPr>
        <w:t>,</w:t>
      </w:r>
      <w:r w:rsidRPr="00B63B10">
        <w:rPr>
          <w:rFonts w:hint="eastAsia"/>
          <w:color w:val="000000" w:themeColor="text1"/>
          <w:sz w:val="20"/>
          <w:lang w:eastAsia="zh-TW"/>
          <w14:numSpacing w14:val="proportional"/>
        </w:rPr>
        <w:t>0</w:t>
      </w:r>
      <w:r w:rsidRPr="00B63B10">
        <w:rPr>
          <w:color w:val="000000" w:themeColor="text1"/>
          <w:sz w:val="20"/>
          <w14:numSpacing w14:val="proportional"/>
        </w:rPr>
        <w:t>00 cm²/V·s a</w:t>
      </w:r>
      <w:r w:rsidRPr="00CA3C71">
        <w:rPr>
          <w:sz w:val="20"/>
          <w14:numSpacing w14:val="proportional"/>
        </w:rPr>
        <w:t xml:space="preserve">t a room temperature of </w:t>
      </w:r>
      <w:r w:rsidRPr="00CA3C71">
        <w:rPr>
          <w:i/>
          <w:sz w:val="20"/>
          <w14:numSpacing w14:val="proportional"/>
        </w:rPr>
        <w:t>T</w:t>
      </w:r>
      <w:r w:rsidRPr="00CA3C71">
        <w:rPr>
          <w:sz w:val="20"/>
          <w14:numSpacing w14:val="proportional"/>
        </w:rPr>
        <w:t xml:space="preserve"> = 300 K.</w:t>
      </w:r>
    </w:p>
    <w:p w14:paraId="496DFEB0" w14:textId="77777777" w:rsidR="00502964" w:rsidRDefault="00502964" w:rsidP="00502964">
      <w:pPr>
        <w:spacing w:line="360" w:lineRule="auto"/>
        <w:jc w:val="both"/>
        <w:rPr>
          <w:sz w:val="20"/>
          <w14:numSpacing w14:val="proportional"/>
        </w:rPr>
      </w:pPr>
    </w:p>
    <w:p w14:paraId="1BD08852" w14:textId="77777777" w:rsidR="00502964" w:rsidRDefault="00502964" w:rsidP="00502964">
      <w:pPr>
        <w:spacing w:line="360" w:lineRule="auto"/>
        <w:jc w:val="both"/>
        <w:rPr>
          <w:sz w:val="20"/>
          <w14:numSpacing w14:val="proportional"/>
        </w:rPr>
      </w:pPr>
    </w:p>
    <w:p w14:paraId="59042F91" w14:textId="77777777" w:rsidR="00502964" w:rsidRDefault="00502964" w:rsidP="00502964">
      <w:pPr>
        <w:spacing w:line="360" w:lineRule="auto"/>
        <w:jc w:val="both"/>
        <w:rPr>
          <w:sz w:val="20"/>
          <w:lang w:eastAsia="zh-TW"/>
          <w14:numSpacing w14:val="proportional"/>
        </w:rPr>
      </w:pPr>
    </w:p>
    <w:p w14:paraId="10A1C44A" w14:textId="77777777" w:rsidR="00502964" w:rsidRPr="00CA3C71" w:rsidRDefault="00502964" w:rsidP="00502964">
      <w:pPr>
        <w:pStyle w:val="Akapitzlist"/>
        <w:keepNext/>
        <w:numPr>
          <w:ilvl w:val="0"/>
          <w:numId w:val="1"/>
        </w:numPr>
        <w:tabs>
          <w:tab w:val="num" w:pos="495"/>
          <w:tab w:val="left" w:pos="665"/>
        </w:tabs>
        <w:suppressAutoHyphens/>
        <w:spacing w:before="240" w:afterLines="50" w:after="120" w:line="300" w:lineRule="exact"/>
        <w:ind w:left="284" w:hanging="284"/>
        <w:jc w:val="both"/>
        <w:outlineLvl w:val="0"/>
        <w:rPr>
          <w:rFonts w:ascii="Times New Roman" w:hAnsi="Times New Roman"/>
          <w:b/>
          <w:lang w:val="en-US"/>
          <w14:numSpacing w14:val="proportional"/>
        </w:rPr>
      </w:pPr>
      <w:proofErr w:type="spellStart"/>
      <w:r w:rsidRPr="00CA3C71">
        <w:rPr>
          <w:rFonts w:ascii="Times New Roman" w:hAnsi="Times New Roman"/>
          <w:b/>
          <w:lang w:val="en-US"/>
          <w14:numSpacing w14:val="proportional"/>
        </w:rPr>
        <w:lastRenderedPageBreak/>
        <w:t>Isofrequency</w:t>
      </w:r>
      <w:proofErr w:type="spellEnd"/>
      <w:r w:rsidRPr="00CA3C71">
        <w:rPr>
          <w:rFonts w:ascii="Times New Roman" w:hAnsi="Times New Roman"/>
          <w:b/>
          <w:lang w:val="en-US"/>
          <w14:numSpacing w14:val="proportional"/>
        </w:rPr>
        <w:t xml:space="preserve"> contours for Re(</w:t>
      </w:r>
      <w:proofErr w:type="spellStart"/>
      <w:r w:rsidRPr="00CA3C71">
        <w:rPr>
          <w:rFonts w:ascii="Times New Roman" w:hAnsi="Times New Roman"/>
          <w:b/>
          <w:i/>
          <w:lang w:val="en-US"/>
          <w14:numSpacing w14:val="proportional"/>
        </w:rPr>
        <w:t>E</w:t>
      </w:r>
      <w:r w:rsidRPr="00CA3C71">
        <w:rPr>
          <w:rFonts w:ascii="Times New Roman" w:hAnsi="Times New Roman"/>
          <w:b/>
          <w:i/>
          <w:vertAlign w:val="subscript"/>
          <w:lang w:val="en-US"/>
          <w14:numSpacing w14:val="proportional"/>
        </w:rPr>
        <w:t>z</w:t>
      </w:r>
      <w:proofErr w:type="spellEnd"/>
      <w:r w:rsidRPr="00CA3C71">
        <w:rPr>
          <w:rFonts w:ascii="Times New Roman" w:hAnsi="Times New Roman"/>
          <w:b/>
          <w:lang w:val="en-US"/>
          <w14:numSpacing w14:val="proportional"/>
        </w:rPr>
        <w:t>) fields</w:t>
      </w:r>
    </w:p>
    <w:p w14:paraId="28F412F7" w14:textId="77777777" w:rsidR="00502964" w:rsidRPr="002649DA" w:rsidRDefault="00502964" w:rsidP="00502964">
      <w:pPr>
        <w:spacing w:line="360" w:lineRule="auto"/>
        <w:jc w:val="both"/>
        <w:rPr>
          <w:sz w:val="20"/>
          <w:szCs w:val="20"/>
        </w:rPr>
      </w:pPr>
      <w:r w:rsidRPr="004B700A">
        <w:rPr>
          <w:sz w:val="20"/>
          <w:szCs w:val="20"/>
        </w:rPr>
        <w:t>We conducted a Fourier transformation of the Re(</w:t>
      </w:r>
      <w:r w:rsidRPr="004B700A">
        <w:rPr>
          <w:i/>
          <w:iCs/>
          <w:sz w:val="20"/>
          <w:szCs w:val="20"/>
        </w:rPr>
        <w:t>E</w:t>
      </w:r>
      <w:r w:rsidRPr="004B700A">
        <w:rPr>
          <w:i/>
          <w:iCs/>
          <w:sz w:val="20"/>
          <w:szCs w:val="20"/>
          <w:vertAlign w:val="subscript"/>
        </w:rPr>
        <w:t>z</w:t>
      </w:r>
      <w:r w:rsidRPr="004B700A">
        <w:rPr>
          <w:sz w:val="20"/>
          <w:szCs w:val="20"/>
        </w:rPr>
        <w:t xml:space="preserve">) field profiles, as illustrated in </w:t>
      </w:r>
      <w:r w:rsidRPr="00F8492E">
        <w:rPr>
          <w:sz w:val="20"/>
          <w:szCs w:val="20"/>
        </w:rPr>
        <w:t>Figure 2A–D</w:t>
      </w:r>
      <w:r w:rsidRPr="004B700A">
        <w:rPr>
          <w:sz w:val="20"/>
          <w:szCs w:val="20"/>
        </w:rPr>
        <w:t>, affording numerical isofrequency contour (IFC) plots in wavevector space (</w:t>
      </w:r>
      <w:r w:rsidRPr="004B700A">
        <w:rPr>
          <w:i/>
          <w:iCs/>
          <w:sz w:val="20"/>
          <w:szCs w:val="20"/>
        </w:rPr>
        <w:t>k</w:t>
      </w:r>
      <w:r w:rsidRPr="004B700A">
        <w:rPr>
          <w:i/>
          <w:iCs/>
          <w:sz w:val="20"/>
          <w:szCs w:val="20"/>
          <w:vertAlign w:val="subscript"/>
        </w:rPr>
        <w:t>x</w:t>
      </w:r>
      <w:r w:rsidRPr="004B700A">
        <w:rPr>
          <w:sz w:val="20"/>
          <w:szCs w:val="20"/>
        </w:rPr>
        <w:t xml:space="preserve">, </w:t>
      </w:r>
      <w:r w:rsidRPr="004B700A">
        <w:rPr>
          <w:i/>
          <w:iCs/>
          <w:sz w:val="20"/>
          <w:szCs w:val="20"/>
        </w:rPr>
        <w:t>k</w:t>
      </w:r>
      <w:r w:rsidRPr="004B700A">
        <w:rPr>
          <w:i/>
          <w:iCs/>
          <w:sz w:val="20"/>
          <w:szCs w:val="20"/>
          <w:vertAlign w:val="subscript"/>
        </w:rPr>
        <w:t>y</w:t>
      </w:r>
      <w:r w:rsidRPr="004B700A">
        <w:rPr>
          <w:sz w:val="20"/>
          <w:szCs w:val="20"/>
        </w:rPr>
        <w:t xml:space="preserve">) corresponding to different values of </w:t>
      </w:r>
      <w:r w:rsidRPr="004B700A">
        <w:rPr>
          <w:i/>
          <w:iCs/>
          <w:sz w:val="20"/>
          <w:szCs w:val="20"/>
        </w:rPr>
        <w:t>m</w:t>
      </w:r>
      <w:r w:rsidRPr="004B700A">
        <w:rPr>
          <w:sz w:val="20"/>
          <w:szCs w:val="20"/>
        </w:rPr>
        <w:t>. To enhance the clarity of the numerical solutions, we plotted only the left half of the analytical IFCs of the hyperbolic profiles.</w:t>
      </w:r>
    </w:p>
    <w:p w14:paraId="36885D88" w14:textId="77777777" w:rsidR="00502964" w:rsidRDefault="00502964" w:rsidP="00502964"/>
    <w:p w14:paraId="2878EF0B" w14:textId="77777777" w:rsidR="00502964" w:rsidRDefault="00502964" w:rsidP="00502964">
      <w:pPr>
        <w:spacing w:line="360" w:lineRule="auto"/>
        <w:ind w:firstLineChars="500" w:firstLine="1100"/>
      </w:pPr>
      <w:r w:rsidRPr="00F8492E">
        <w:rPr>
          <w:noProof/>
        </w:rPr>
        <w:t xml:space="preserve"> </w:t>
      </w:r>
      <w:r w:rsidRPr="00B63B10">
        <w:rPr>
          <w:noProof/>
          <w:lang w:eastAsia="en-IN"/>
        </w:rPr>
        <w:drawing>
          <wp:inline distT="0" distB="0" distL="0" distR="0" wp14:anchorId="5F6C1F8A" wp14:editId="5202D490">
            <wp:extent cx="4077904" cy="3499392"/>
            <wp:effectExtent l="0" t="0" r="0" b="6350"/>
            <wp:docPr id="1011862787" name="圖片 5" descr="一張含有 螢幕擷取畫面, 鮮豔,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2787" name="圖片 5" descr="一張含有 螢幕擷取畫面, 鮮豔, 圓形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3B28" w14:textId="77777777" w:rsidR="00502964" w:rsidRPr="00CA3C71" w:rsidRDefault="00502964" w:rsidP="00502964">
      <w:pPr>
        <w:keepNext/>
        <w:tabs>
          <w:tab w:val="left" w:pos="665"/>
        </w:tabs>
        <w:suppressAutoHyphens/>
        <w:spacing w:before="120" w:after="120" w:line="300" w:lineRule="exact"/>
        <w:jc w:val="both"/>
        <w:outlineLvl w:val="0"/>
        <w:rPr>
          <w:sz w:val="16"/>
          <w14:numSpacing w14:val="proportional"/>
        </w:rPr>
      </w:pPr>
      <w:r w:rsidRPr="00CA3C71">
        <w:rPr>
          <w:b/>
          <w:sz w:val="16"/>
          <w14:numSpacing w14:val="proportional"/>
        </w:rPr>
        <w:t>Figure S1</w:t>
      </w:r>
      <w:r>
        <w:rPr>
          <w:b/>
          <w:sz w:val="16"/>
          <w14:numSpacing w14:val="proportional"/>
        </w:rPr>
        <w:t>:</w:t>
      </w:r>
      <w:r w:rsidRPr="00CA3C71">
        <w:rPr>
          <w:sz w:val="16"/>
          <w14:numSpacing w14:val="proportional"/>
        </w:rPr>
        <w:t xml:space="preserve"> Isofrequency contours </w:t>
      </w:r>
      <w:r>
        <w:rPr>
          <w:rFonts w:eastAsia="PMingLiU"/>
          <w:bCs/>
          <w:sz w:val="16"/>
          <w:szCs w:val="16"/>
          <w14:numSpacing w14:val="proportional"/>
        </w:rPr>
        <w:t>(</w:t>
      </w:r>
      <w:r w:rsidRPr="00CA3C71">
        <w:rPr>
          <w:sz w:val="16"/>
          <w14:numSpacing w14:val="proportional"/>
        </w:rPr>
        <w:t>IFCs</w:t>
      </w:r>
      <w:r>
        <w:rPr>
          <w:rFonts w:eastAsia="PMingLiU"/>
          <w:bCs/>
          <w:sz w:val="16"/>
          <w:szCs w:val="16"/>
          <w14:numSpacing w14:val="proportional"/>
        </w:rPr>
        <w:t>)</w:t>
      </w:r>
      <w:r w:rsidRPr="00CA3C71">
        <w:rPr>
          <w:sz w:val="16"/>
          <w14:numSpacing w14:val="proportional"/>
        </w:rPr>
        <w:t xml:space="preserve"> for Re(</w:t>
      </w:r>
      <w:r w:rsidRPr="00CA3C71">
        <w:rPr>
          <w:i/>
          <w:sz w:val="16"/>
          <w14:numSpacing w14:val="proportional"/>
        </w:rPr>
        <w:t>E</w:t>
      </w:r>
      <w:r w:rsidRPr="00CA3C71">
        <w:rPr>
          <w:i/>
          <w:sz w:val="16"/>
          <w:vertAlign w:val="subscript"/>
          <w14:numSpacing w14:val="proportional"/>
        </w:rPr>
        <w:t>z</w:t>
      </w:r>
      <w:r w:rsidRPr="00CA3C71">
        <w:rPr>
          <w:sz w:val="16"/>
          <w14:numSpacing w14:val="proportional"/>
        </w:rPr>
        <w:t>) fields corresponding to (</w:t>
      </w:r>
      <w:r>
        <w:rPr>
          <w:sz w:val="16"/>
          <w14:numSpacing w14:val="proportional"/>
        </w:rPr>
        <w:t>A</w:t>
      </w:r>
      <w:r w:rsidRPr="00CA3C71">
        <w:rPr>
          <w:sz w:val="16"/>
          <w14:numSpacing w14:val="proportional"/>
        </w:rPr>
        <w:t xml:space="preserve">) </w:t>
      </w:r>
      <w:r w:rsidRPr="00CA3C71">
        <w:rPr>
          <w:i/>
          <w:sz w:val="16"/>
          <w14:numSpacing w14:val="proportional"/>
        </w:rPr>
        <w:t>m</w:t>
      </w:r>
      <w:r w:rsidRPr="00CA3C71">
        <w:rPr>
          <w:sz w:val="16"/>
          <w14:numSpacing w14:val="proportional"/>
        </w:rPr>
        <w:t xml:space="preserve"> </w:t>
      </w:r>
      <w:r>
        <w:rPr>
          <w:rFonts w:eastAsia="PMingLiU"/>
          <w:bCs/>
          <w:iCs/>
          <w:sz w:val="16"/>
          <w:szCs w:val="16"/>
          <w14:numSpacing w14:val="proportional"/>
        </w:rPr>
        <w:t xml:space="preserve">(a positive real number) </w:t>
      </w:r>
      <w:r w:rsidRPr="00CA3C71">
        <w:rPr>
          <w:sz w:val="16"/>
          <w14:numSpacing w14:val="proportional"/>
        </w:rPr>
        <w:t>= 2, (</w:t>
      </w:r>
      <w:r>
        <w:rPr>
          <w:sz w:val="16"/>
          <w14:numSpacing w14:val="proportional"/>
        </w:rPr>
        <w:t>B</w:t>
      </w:r>
      <w:r w:rsidRPr="00CA3C71">
        <w:rPr>
          <w:sz w:val="16"/>
          <w14:numSpacing w14:val="proportional"/>
        </w:rPr>
        <w:t>) 3, (</w:t>
      </w:r>
      <w:r>
        <w:rPr>
          <w:sz w:val="16"/>
          <w14:numSpacing w14:val="proportional"/>
        </w:rPr>
        <w:t>C</w:t>
      </w:r>
      <w:r w:rsidRPr="00CA3C71">
        <w:rPr>
          <w:sz w:val="16"/>
          <w14:numSpacing w14:val="proportional"/>
        </w:rPr>
        <w:t>) 4, and (</w:t>
      </w:r>
      <w:r>
        <w:rPr>
          <w:sz w:val="16"/>
          <w14:numSpacing w14:val="proportional"/>
        </w:rPr>
        <w:t>D</w:t>
      </w:r>
      <w:r w:rsidRPr="00CA3C71">
        <w:rPr>
          <w:sz w:val="16"/>
          <w14:numSpacing w14:val="proportional"/>
        </w:rPr>
        <w:t xml:space="preserve">) 5 under the conditions of </w:t>
      </w:r>
      <w:r>
        <w:rPr>
          <w:rFonts w:eastAsia="PMingLiU"/>
          <w:bCs/>
          <w:color w:val="000000"/>
          <w:sz w:val="16"/>
          <w:szCs w:val="16"/>
        </w:rPr>
        <w:t>angular frequency (</w:t>
      </w:r>
      <w:r w:rsidRPr="00CA3C71">
        <w:rPr>
          <w:i/>
          <w:sz w:val="16"/>
          <w14:numSpacing w14:val="proportional"/>
        </w:rPr>
        <w:t>ω</w:t>
      </w:r>
      <w:r>
        <w:rPr>
          <w:rFonts w:eastAsia="PMingLiU"/>
          <w:bCs/>
          <w:iCs/>
          <w:sz w:val="16"/>
          <w:szCs w:val="16"/>
          <w14:numSpacing w14:val="proportional"/>
        </w:rPr>
        <w:t>)</w:t>
      </w:r>
      <w:r w:rsidRPr="00CA3C71">
        <w:rPr>
          <w:sz w:val="16"/>
          <w14:numSpacing w14:val="proportional"/>
        </w:rPr>
        <w:t xml:space="preserve"> = 910 cm</w:t>
      </w:r>
      <w:r w:rsidRPr="00A02D32">
        <w:rPr>
          <w:rFonts w:eastAsia="PMingLiU"/>
          <w:bCs/>
          <w:sz w:val="16"/>
          <w:szCs w:val="16"/>
          <w:vertAlign w:val="superscript"/>
          <w14:numSpacing w14:val="proportional"/>
        </w:rPr>
        <w:t>−1</w:t>
      </w:r>
      <w:r>
        <w:rPr>
          <w:rFonts w:eastAsia="PMingLiU"/>
          <w:bCs/>
          <w:sz w:val="16"/>
          <w:szCs w:val="16"/>
          <w14:numSpacing w14:val="proportional"/>
        </w:rPr>
        <w:t>, thickness (</w:t>
      </w:r>
      <w:r w:rsidRPr="00CA3C71">
        <w:rPr>
          <w:i/>
          <w:sz w:val="16"/>
          <w14:numSpacing w14:val="proportional"/>
        </w:rPr>
        <w:t>t</w:t>
      </w:r>
      <w:r>
        <w:rPr>
          <w:rFonts w:eastAsia="PMingLiU"/>
          <w:bCs/>
          <w:iCs/>
          <w:sz w:val="16"/>
          <w:szCs w:val="16"/>
          <w14:numSpacing w14:val="proportional"/>
        </w:rPr>
        <w:t>)</w:t>
      </w:r>
      <w:r w:rsidRPr="00CA3C71">
        <w:rPr>
          <w:sz w:val="16"/>
          <w14:numSpacing w14:val="proportional"/>
        </w:rPr>
        <w:t xml:space="preserve"> = 150 nm, and </w:t>
      </w:r>
      <w:r>
        <w:rPr>
          <w:rFonts w:eastAsia="PMingLiU"/>
          <w:bCs/>
          <w:sz w:val="16"/>
          <w:szCs w:val="16"/>
          <w14:numSpacing w14:val="proportional"/>
        </w:rPr>
        <w:t>Fermi level (</w:t>
      </w:r>
      <w:r w:rsidRPr="00CA3C71">
        <w:rPr>
          <w:i/>
          <w:sz w:val="16"/>
          <w14:numSpacing w14:val="proportional"/>
        </w:rPr>
        <w:t>E</w:t>
      </w:r>
      <w:r w:rsidRPr="00CA3C71">
        <w:rPr>
          <w:i/>
          <w:sz w:val="16"/>
          <w:vertAlign w:val="subscript"/>
          <w14:numSpacing w14:val="proportional"/>
        </w:rPr>
        <w:t>f</w:t>
      </w:r>
      <w:r>
        <w:rPr>
          <w:rFonts w:eastAsia="PMingLiU"/>
          <w:bCs/>
          <w:sz w:val="16"/>
          <w:szCs w:val="16"/>
          <w14:numSpacing w14:val="proportional"/>
        </w:rPr>
        <w:t>)</w:t>
      </w:r>
      <w:r w:rsidRPr="00CA3C71">
        <w:rPr>
          <w:sz w:val="16"/>
          <w:vertAlign w:val="subscript"/>
          <w14:numSpacing w14:val="proportional"/>
        </w:rPr>
        <w:t xml:space="preserve"> </w:t>
      </w:r>
      <w:r w:rsidRPr="00CA3C71">
        <w:rPr>
          <w:sz w:val="16"/>
          <w14:numSpacing w14:val="proportional"/>
        </w:rPr>
        <w:t>= 0.5 eV. Analytical IFCs are represented by the green dashed and cyan solid lines for reference.</w:t>
      </w:r>
    </w:p>
    <w:p w14:paraId="73255647" w14:textId="77777777" w:rsidR="00502964" w:rsidRPr="004B700A" w:rsidRDefault="00502964" w:rsidP="00502964"/>
    <w:p w14:paraId="7A6BDF72" w14:textId="77777777" w:rsidR="00502964" w:rsidRDefault="00502964" w:rsidP="00502964"/>
    <w:p w14:paraId="176809C9" w14:textId="77777777" w:rsidR="00502964" w:rsidRDefault="00502964" w:rsidP="00502964"/>
    <w:p w14:paraId="0D4C10C1" w14:textId="77777777" w:rsidR="00502964" w:rsidRDefault="00502964" w:rsidP="00502964"/>
    <w:p w14:paraId="3A2B8073" w14:textId="77777777" w:rsidR="00502964" w:rsidRDefault="00502964" w:rsidP="00502964"/>
    <w:p w14:paraId="31EB886E" w14:textId="77777777" w:rsidR="00502964" w:rsidRDefault="00502964" w:rsidP="00502964"/>
    <w:p w14:paraId="33DDB6D5" w14:textId="77777777" w:rsidR="00502964" w:rsidRDefault="00502964" w:rsidP="00502964"/>
    <w:p w14:paraId="5BBBDF2C" w14:textId="77777777" w:rsidR="00502964" w:rsidRDefault="00502964" w:rsidP="00502964"/>
    <w:p w14:paraId="1CD0655A" w14:textId="77777777" w:rsidR="00502964" w:rsidRDefault="00502964" w:rsidP="00502964"/>
    <w:p w14:paraId="01CCDE7A" w14:textId="77777777" w:rsidR="00502964" w:rsidRPr="008A3446" w:rsidRDefault="00502964" w:rsidP="008A3446">
      <w:pPr>
        <w:pStyle w:val="Akapitzlist"/>
        <w:keepNext/>
        <w:numPr>
          <w:ilvl w:val="0"/>
          <w:numId w:val="1"/>
        </w:numPr>
        <w:tabs>
          <w:tab w:val="num" w:pos="495"/>
          <w:tab w:val="left" w:pos="665"/>
        </w:tabs>
        <w:suppressAutoHyphens/>
        <w:spacing w:before="240" w:afterLines="50" w:after="120" w:line="300" w:lineRule="exact"/>
        <w:ind w:left="284" w:hanging="284"/>
        <w:jc w:val="both"/>
        <w:outlineLvl w:val="0"/>
        <w:rPr>
          <w:rFonts w:ascii="Times New Roman" w:hAnsi="Times New Roman"/>
          <w:b/>
          <w:lang w:val="en-US"/>
          <w14:numSpacing w14:val="proportional"/>
        </w:rPr>
      </w:pPr>
      <w:r w:rsidRPr="00CA3C71">
        <w:rPr>
          <w:rFonts w:ascii="Times New Roman" w:hAnsi="Times New Roman"/>
          <w:b/>
          <w:lang w:val="en-US"/>
          <w14:numSpacing w14:val="proportional"/>
        </w:rPr>
        <w:lastRenderedPageBreak/>
        <w:t>Focusing characteristics</w:t>
      </w:r>
    </w:p>
    <w:p w14:paraId="2B7FAB50" w14:textId="77777777" w:rsidR="00502964" w:rsidRDefault="00502964" w:rsidP="00502964">
      <w:pPr>
        <w:keepNext/>
        <w:tabs>
          <w:tab w:val="num" w:pos="599"/>
          <w:tab w:val="left" w:pos="736"/>
          <w:tab w:val="left" w:pos="873"/>
          <w:tab w:val="left" w:pos="1010"/>
        </w:tabs>
        <w:suppressAutoHyphens/>
        <w:spacing w:before="120" w:afterLines="50" w:after="120"/>
        <w:ind w:left="465" w:hanging="465"/>
        <w:outlineLvl w:val="1"/>
        <w:rPr>
          <w:rFonts w:eastAsia="PMingLiU"/>
          <w:b/>
          <w:sz w:val="20"/>
          <w:szCs w:val="20"/>
          <w:u w:val="single"/>
          <w:lang w:eastAsia="de-DE"/>
          <w14:numSpacing w14:val="proportional"/>
        </w:rPr>
      </w:pPr>
      <w:r w:rsidRPr="00CA3C71">
        <w:rPr>
          <w:b/>
          <w:sz w:val="20"/>
          <w14:numSpacing w14:val="proportional"/>
        </w:rPr>
        <w:t xml:space="preserve">3.1 </w:t>
      </w:r>
      <w:r>
        <w:rPr>
          <w:b/>
          <w:sz w:val="20"/>
          <w14:numSpacing w14:val="proportional"/>
        </w:rPr>
        <w:t xml:space="preserve">  </w:t>
      </w:r>
      <w:r w:rsidRPr="00CA3C71">
        <w:rPr>
          <w:b/>
          <w:sz w:val="20"/>
          <w14:numSpacing w14:val="proportional"/>
        </w:rPr>
        <w:t>Operating frequency</w:t>
      </w:r>
    </w:p>
    <w:p w14:paraId="5BDBF05C" w14:textId="77777777" w:rsidR="00502964" w:rsidRDefault="00502964" w:rsidP="00502964">
      <w:pPr>
        <w:spacing w:line="360" w:lineRule="auto"/>
        <w:ind w:firstLineChars="150" w:firstLine="285"/>
        <w:rPr>
          <w:rFonts w:ascii="Times" w:eastAsia="PMingLiU" w:hAnsi="Times"/>
          <w:color w:val="000000"/>
          <w:sz w:val="19"/>
          <w:szCs w:val="20"/>
        </w:rPr>
      </w:pPr>
      <w:r>
        <w:rPr>
          <w:rFonts w:ascii="Times" w:eastAsia="PMingLiU" w:hAnsi="Times"/>
          <w:color w:val="000000"/>
          <w:sz w:val="19"/>
          <w:szCs w:val="20"/>
        </w:rPr>
        <w:t xml:space="preserve">  </w:t>
      </w:r>
      <w:r w:rsidRPr="00B63B10">
        <w:rPr>
          <w:rFonts w:ascii="Times" w:eastAsia="PMingLiU" w:hAnsi="Times"/>
          <w:noProof/>
          <w:color w:val="000000"/>
          <w:sz w:val="19"/>
          <w:szCs w:val="20"/>
          <w:lang w:eastAsia="en-IN"/>
        </w:rPr>
        <w:drawing>
          <wp:inline distT="0" distB="0" distL="0" distR="0" wp14:anchorId="51A17393" wp14:editId="39DBB162">
            <wp:extent cx="5393000" cy="2943798"/>
            <wp:effectExtent l="0" t="0" r="5080" b="3175"/>
            <wp:docPr id="1556951389" name="圖片 6" descr="一張含有 螢幕擷取畫面, 文字, 鮮豔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51389" name="圖片 6" descr="一張含有 螢幕擷取畫面, 文字, 鮮豔, 設計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5526" cy="29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D12A" w14:textId="77777777" w:rsidR="00502964" w:rsidRPr="00CA3C71" w:rsidRDefault="00502964" w:rsidP="00502964">
      <w:pPr>
        <w:spacing w:afterLines="50" w:after="120" w:line="300" w:lineRule="exact"/>
        <w:jc w:val="both"/>
        <w:rPr>
          <w:color w:val="000000"/>
          <w:sz w:val="16"/>
        </w:rPr>
      </w:pPr>
      <w:r w:rsidRPr="00CA3C71">
        <w:rPr>
          <w:b/>
          <w:color w:val="000000"/>
          <w:sz w:val="16"/>
        </w:rPr>
        <w:t>Figure S2</w:t>
      </w:r>
      <w:r>
        <w:rPr>
          <w:b/>
          <w:color w:val="000000"/>
          <w:sz w:val="16"/>
        </w:rPr>
        <w:t>:</w:t>
      </w:r>
      <w:r w:rsidRPr="00CA3C71">
        <w:rPr>
          <w:color w:val="000000"/>
          <w:sz w:val="16"/>
        </w:rPr>
        <w:t xml:space="preserve"> </w:t>
      </w:r>
      <w:r>
        <w:rPr>
          <w:rFonts w:eastAsia="PMingLiU"/>
          <w:color w:val="000000"/>
          <w:sz w:val="16"/>
          <w:szCs w:val="16"/>
        </w:rPr>
        <w:t>The</w:t>
      </w:r>
      <w:r w:rsidRPr="00CA3C71">
        <w:rPr>
          <w:color w:val="000000"/>
          <w:sz w:val="16"/>
        </w:rPr>
        <w:t xml:space="preserve"> Re(</w:t>
      </w:r>
      <w:r w:rsidRPr="00CA3C71">
        <w:rPr>
          <w:i/>
          <w:color w:val="000000"/>
          <w:sz w:val="16"/>
        </w:rPr>
        <w:t>E</w:t>
      </w:r>
      <w:r w:rsidRPr="00CA3C71">
        <w:rPr>
          <w:i/>
          <w:color w:val="000000"/>
          <w:sz w:val="16"/>
          <w:vertAlign w:val="subscript"/>
        </w:rPr>
        <w:t>z</w:t>
      </w:r>
      <w:r w:rsidRPr="00CA3C71">
        <w:rPr>
          <w:color w:val="000000"/>
          <w:sz w:val="16"/>
        </w:rPr>
        <w:t xml:space="preserve">) fields of the proposed structure for </w:t>
      </w:r>
      <w:r w:rsidRPr="00CA3C71">
        <w:rPr>
          <w:i/>
          <w:color w:val="000000"/>
          <w:sz w:val="16"/>
        </w:rPr>
        <w:t>ω</w:t>
      </w:r>
      <w:r w:rsidRPr="00CA3C71">
        <w:rPr>
          <w:color w:val="000000"/>
          <w:sz w:val="16"/>
        </w:rPr>
        <w:t xml:space="preserve"> = (</w:t>
      </w:r>
      <w:r>
        <w:rPr>
          <w:color w:val="000000"/>
          <w:sz w:val="16"/>
        </w:rPr>
        <w:t>A</w:t>
      </w:r>
      <w:r w:rsidRPr="00CA3C71">
        <w:rPr>
          <w:color w:val="000000"/>
          <w:sz w:val="16"/>
        </w:rPr>
        <w:t>) 880, (</w:t>
      </w:r>
      <w:r>
        <w:rPr>
          <w:color w:val="000000"/>
          <w:sz w:val="16"/>
        </w:rPr>
        <w:t>B</w:t>
      </w:r>
      <w:r w:rsidRPr="00CA3C71">
        <w:rPr>
          <w:color w:val="000000"/>
          <w:sz w:val="16"/>
        </w:rPr>
        <w:t>) 890, (</w:t>
      </w:r>
      <w:r>
        <w:rPr>
          <w:color w:val="000000"/>
          <w:sz w:val="16"/>
        </w:rPr>
        <w:t>C</w:t>
      </w:r>
      <w:r w:rsidRPr="00CA3C71">
        <w:rPr>
          <w:color w:val="000000"/>
          <w:sz w:val="16"/>
        </w:rPr>
        <w:t>) 900, (</w:t>
      </w:r>
      <w:r>
        <w:rPr>
          <w:color w:val="000000"/>
          <w:sz w:val="16"/>
        </w:rPr>
        <w:t>D</w:t>
      </w:r>
      <w:r w:rsidRPr="00CA3C71">
        <w:rPr>
          <w:color w:val="000000"/>
          <w:sz w:val="16"/>
        </w:rPr>
        <w:t>) 910, (</w:t>
      </w:r>
      <w:r>
        <w:rPr>
          <w:color w:val="000000"/>
          <w:sz w:val="16"/>
        </w:rPr>
        <w:t>E</w:t>
      </w:r>
      <w:r w:rsidRPr="00CA3C71">
        <w:rPr>
          <w:color w:val="000000"/>
          <w:sz w:val="16"/>
        </w:rPr>
        <w:t>) 920, and (</w:t>
      </w:r>
      <w:r>
        <w:rPr>
          <w:color w:val="000000"/>
          <w:sz w:val="16"/>
        </w:rPr>
        <w:t>F</w:t>
      </w:r>
      <w:r w:rsidRPr="00CA3C71">
        <w:rPr>
          <w:color w:val="000000"/>
          <w:sz w:val="16"/>
        </w:rPr>
        <w:t>) 930 cm</w:t>
      </w:r>
      <w:r w:rsidRPr="00A02D32">
        <w:rPr>
          <w:rFonts w:eastAsia="PMingLiU"/>
          <w:color w:val="000000"/>
          <w:sz w:val="16"/>
          <w:szCs w:val="16"/>
          <w:vertAlign w:val="superscript"/>
        </w:rPr>
        <w:t>−</w:t>
      </w:r>
      <w:r w:rsidRPr="00CA3C71">
        <w:rPr>
          <w:color w:val="000000"/>
          <w:sz w:val="16"/>
          <w:vertAlign w:val="superscript"/>
        </w:rPr>
        <w:t>1</w:t>
      </w:r>
      <w:r w:rsidRPr="00CA3C71">
        <w:rPr>
          <w:color w:val="000000"/>
          <w:sz w:val="16"/>
        </w:rPr>
        <w:t xml:space="preserve"> under the parameters of </w:t>
      </w:r>
      <w:r w:rsidRPr="00CA3C71">
        <w:rPr>
          <w:i/>
          <w:color w:val="000000"/>
          <w:sz w:val="16"/>
        </w:rPr>
        <w:t>E</w:t>
      </w:r>
      <w:r w:rsidRPr="00CA3C71">
        <w:rPr>
          <w:i/>
          <w:color w:val="000000"/>
          <w:sz w:val="16"/>
          <w:vertAlign w:val="subscript"/>
        </w:rPr>
        <w:t>f</w:t>
      </w:r>
      <w:r w:rsidRPr="00CA3C71">
        <w:rPr>
          <w:color w:val="000000"/>
          <w:sz w:val="16"/>
        </w:rPr>
        <w:t xml:space="preserve"> = 0.5 eV, </w:t>
      </w:r>
      <w:r w:rsidRPr="00CA3C71">
        <w:rPr>
          <w:i/>
          <w:color w:val="000000"/>
          <w:sz w:val="16"/>
        </w:rPr>
        <w:t>t</w:t>
      </w:r>
      <w:r w:rsidRPr="00CA3C71">
        <w:rPr>
          <w:color w:val="000000"/>
          <w:sz w:val="16"/>
        </w:rPr>
        <w:t xml:space="preserve"> = 150 nm, and </w:t>
      </w:r>
      <w:r w:rsidRPr="00CA3C71">
        <w:rPr>
          <w:i/>
          <w:color w:val="000000"/>
          <w:sz w:val="16"/>
        </w:rPr>
        <w:t>m</w:t>
      </w:r>
      <w:r w:rsidRPr="00CA3C71">
        <w:rPr>
          <w:color w:val="000000"/>
          <w:sz w:val="16"/>
        </w:rPr>
        <w:t xml:space="preserve"> = 3.</w:t>
      </w:r>
    </w:p>
    <w:p w14:paraId="778506A1" w14:textId="77777777" w:rsidR="00502964" w:rsidRPr="00CA3C71" w:rsidRDefault="00502964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455C4E8A" w14:textId="77777777" w:rsidR="00502964" w:rsidRPr="00CA3C71" w:rsidRDefault="00502964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013DEE4F" w14:textId="77777777" w:rsidR="00502964" w:rsidRPr="00CA3C71" w:rsidRDefault="00502964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3FEC0EF0" w14:textId="77777777" w:rsidR="00502964" w:rsidRDefault="00502964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2DC5F886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7538C46E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04B05ED6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2711A286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66BB408F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36B887AC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1FDB9BE9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5BE353ED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1128734B" w14:textId="77777777" w:rsidR="002C0AEC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235D834B" w14:textId="77777777" w:rsidR="002C0AEC" w:rsidRPr="00CA3C71" w:rsidRDefault="002C0AEC" w:rsidP="00502964">
      <w:pPr>
        <w:spacing w:afterLines="50" w:after="120" w:line="300" w:lineRule="exact"/>
        <w:ind w:leftChars="222" w:left="488"/>
        <w:jc w:val="both"/>
        <w:rPr>
          <w:color w:val="000000"/>
          <w:sz w:val="16"/>
        </w:rPr>
      </w:pPr>
    </w:p>
    <w:p w14:paraId="342F9C81" w14:textId="77777777" w:rsidR="00502964" w:rsidRPr="00CA3C71" w:rsidRDefault="00502964" w:rsidP="002C0AEC">
      <w:pPr>
        <w:spacing w:afterLines="50" w:after="120" w:line="300" w:lineRule="exact"/>
        <w:jc w:val="both"/>
        <w:rPr>
          <w:color w:val="000000"/>
          <w:sz w:val="16"/>
        </w:rPr>
      </w:pPr>
    </w:p>
    <w:p w14:paraId="2193D22A" w14:textId="77777777" w:rsidR="00502964" w:rsidRDefault="00502964" w:rsidP="00502964">
      <w:pPr>
        <w:keepNext/>
        <w:tabs>
          <w:tab w:val="num" w:pos="599"/>
          <w:tab w:val="left" w:pos="736"/>
          <w:tab w:val="left" w:pos="873"/>
          <w:tab w:val="left" w:pos="1010"/>
        </w:tabs>
        <w:suppressAutoHyphens/>
        <w:spacing w:before="120" w:after="120" w:line="300" w:lineRule="exact"/>
        <w:ind w:left="465" w:hanging="465"/>
        <w:outlineLvl w:val="1"/>
        <w:rPr>
          <w:rFonts w:eastAsia="PMingLiU"/>
          <w:b/>
          <w:sz w:val="20"/>
          <w:szCs w:val="20"/>
          <w:u w:val="single"/>
          <w:lang w:eastAsia="de-DE"/>
          <w14:numSpacing w14:val="proportional"/>
        </w:rPr>
      </w:pPr>
      <w:r w:rsidRPr="00CA3C71">
        <w:rPr>
          <w:b/>
          <w:sz w:val="20"/>
          <w14:numSpacing w14:val="proportional"/>
        </w:rPr>
        <w:lastRenderedPageBreak/>
        <w:t xml:space="preserve">3.2 Noninteger </w:t>
      </w:r>
      <w:r>
        <w:rPr>
          <w:rFonts w:eastAsia="PMingLiU"/>
          <w:b/>
          <w:sz w:val="20"/>
          <w:szCs w:val="20"/>
          <w:lang w:eastAsia="de-DE"/>
          <w14:numSpacing w14:val="proportional"/>
        </w:rPr>
        <w:t>positive real number</w:t>
      </w:r>
    </w:p>
    <w:p w14:paraId="3EF24BCE" w14:textId="77777777" w:rsidR="00502964" w:rsidRPr="00B63B10" w:rsidRDefault="00502964" w:rsidP="00502964">
      <w:pPr>
        <w:spacing w:afterLines="50" w:after="120"/>
        <w:jc w:val="center"/>
        <w:rPr>
          <w:color w:val="000000"/>
          <w:sz w:val="16"/>
        </w:rPr>
      </w:pPr>
      <w:r>
        <w:rPr>
          <w:color w:val="000000"/>
          <w:sz w:val="16"/>
        </w:rPr>
        <w:t xml:space="preserve">        </w:t>
      </w:r>
      <w:r w:rsidRPr="00CA3C71">
        <w:rPr>
          <w:color w:val="000000"/>
          <w:sz w:val="16"/>
        </w:rPr>
        <w:t xml:space="preserve"> </w:t>
      </w:r>
      <w:r w:rsidRPr="00B63B10">
        <w:rPr>
          <w:noProof/>
          <w:color w:val="000000"/>
          <w:sz w:val="16"/>
          <w:lang w:eastAsia="en-IN"/>
        </w:rPr>
        <w:drawing>
          <wp:inline distT="0" distB="0" distL="0" distR="0" wp14:anchorId="3C30D46B" wp14:editId="3851E237">
            <wp:extent cx="4914000" cy="860400"/>
            <wp:effectExtent l="0" t="0" r="1270" b="3810"/>
            <wp:docPr id="1445427165" name="圖片 6" descr="一張含有 文字, 螢幕擷取畫面, 字型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27165" name="圖片 6" descr="一張含有 文字, 螢幕擷取畫面, 字型, 圖形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00AA" w14:textId="77777777" w:rsidR="00502964" w:rsidRPr="00B63B10" w:rsidRDefault="00502964" w:rsidP="00502964">
      <w:pPr>
        <w:spacing w:line="360" w:lineRule="auto"/>
        <w:ind w:firstLineChars="1550" w:firstLine="2480"/>
        <w:jc w:val="both"/>
        <w:rPr>
          <w:rFonts w:ascii="Times" w:hAnsi="Times"/>
          <w:color w:val="000000"/>
          <w:sz w:val="16"/>
        </w:rPr>
      </w:pPr>
      <w:r w:rsidRPr="00B63B10">
        <w:rPr>
          <w:rFonts w:ascii="Times" w:hAnsi="Times"/>
          <w:color w:val="000000"/>
          <w:sz w:val="16"/>
        </w:rPr>
        <w:t>(A)                                                                                               (F)</w:t>
      </w:r>
    </w:p>
    <w:p w14:paraId="3B4D6A00" w14:textId="77777777" w:rsidR="00502964" w:rsidRPr="00B63B10" w:rsidRDefault="00502964" w:rsidP="00502964">
      <w:pPr>
        <w:spacing w:afterLines="50" w:after="120"/>
        <w:jc w:val="center"/>
        <w:rPr>
          <w:color w:val="000000"/>
          <w:sz w:val="16"/>
        </w:rPr>
      </w:pPr>
      <w:r w:rsidRPr="00B63B10">
        <w:rPr>
          <w:color w:val="000000"/>
          <w:sz w:val="16"/>
        </w:rPr>
        <w:t xml:space="preserve">        </w:t>
      </w:r>
      <w:r w:rsidRPr="00B63B10">
        <w:rPr>
          <w:noProof/>
          <w:color w:val="000000"/>
          <w:sz w:val="16"/>
          <w:lang w:eastAsia="en-IN"/>
        </w:rPr>
        <w:drawing>
          <wp:inline distT="0" distB="0" distL="0" distR="0" wp14:anchorId="38602D8D" wp14:editId="5CC03E55">
            <wp:extent cx="4914000" cy="860400"/>
            <wp:effectExtent l="0" t="0" r="1270" b="3810"/>
            <wp:docPr id="1472293473" name="圖片 5" descr="一張含有 文字, 螢幕擷取畫面, 字型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93473" name="圖片 5" descr="一張含有 文字, 螢幕擷取畫面, 字型, 圖形 的圖片&#10;&#10;自動產生的描述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5F96" w14:textId="77777777" w:rsidR="00502964" w:rsidRPr="00B63B10" w:rsidRDefault="00502964" w:rsidP="00502964">
      <w:pPr>
        <w:spacing w:line="360" w:lineRule="auto"/>
        <w:ind w:firstLineChars="1550" w:firstLine="2480"/>
        <w:jc w:val="both"/>
        <w:rPr>
          <w:rFonts w:ascii="Times" w:hAnsi="Times"/>
          <w:color w:val="000000"/>
          <w:sz w:val="16"/>
        </w:rPr>
      </w:pPr>
      <w:r w:rsidRPr="00B63B10">
        <w:rPr>
          <w:rFonts w:ascii="Times" w:hAnsi="Times"/>
          <w:color w:val="000000"/>
          <w:sz w:val="16"/>
        </w:rPr>
        <w:t>(B)                                                                                               (G)</w:t>
      </w:r>
    </w:p>
    <w:p w14:paraId="24A7D250" w14:textId="77777777" w:rsidR="00502964" w:rsidRPr="00B63B10" w:rsidRDefault="00502964" w:rsidP="00502964">
      <w:pPr>
        <w:spacing w:afterLines="50" w:after="120"/>
        <w:jc w:val="center"/>
        <w:rPr>
          <w:color w:val="000000"/>
          <w:sz w:val="16"/>
        </w:rPr>
      </w:pPr>
      <w:r w:rsidRPr="00B63B10">
        <w:rPr>
          <w:color w:val="000000"/>
          <w:sz w:val="16"/>
        </w:rPr>
        <w:t xml:space="preserve">      </w:t>
      </w:r>
      <w:r w:rsidRPr="00B63B10">
        <w:rPr>
          <w:noProof/>
          <w:color w:val="000000"/>
          <w:sz w:val="16"/>
          <w:lang w:eastAsia="en-IN"/>
        </w:rPr>
        <w:drawing>
          <wp:inline distT="0" distB="0" distL="0" distR="0" wp14:anchorId="562420FD" wp14:editId="43126925">
            <wp:extent cx="4914000" cy="860400"/>
            <wp:effectExtent l="0" t="0" r="1270" b="3810"/>
            <wp:docPr id="1419175299" name="圖片 4" descr="一張含有 文字, 螢幕擷取畫面, 圓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75299" name="圖片 4" descr="一張含有 文字, 螢幕擷取畫面, 圓形, 字型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1237" w14:textId="77777777" w:rsidR="00502964" w:rsidRPr="00B63B10" w:rsidRDefault="00502964" w:rsidP="00502964">
      <w:pPr>
        <w:spacing w:line="360" w:lineRule="auto"/>
        <w:ind w:firstLineChars="1550" w:firstLine="2480"/>
        <w:jc w:val="both"/>
        <w:rPr>
          <w:rFonts w:ascii="Times" w:hAnsi="Times"/>
          <w:color w:val="000000"/>
          <w:sz w:val="16"/>
        </w:rPr>
      </w:pPr>
      <w:r w:rsidRPr="00B63B10">
        <w:rPr>
          <w:rFonts w:ascii="Times" w:hAnsi="Times"/>
          <w:color w:val="000000"/>
          <w:sz w:val="16"/>
        </w:rPr>
        <w:t>(</w:t>
      </w:r>
      <w:r w:rsidRPr="00B63B10">
        <w:rPr>
          <w:rFonts w:eastAsia="Microsoft JhengHei"/>
          <w:color w:val="000000"/>
          <w:sz w:val="16"/>
          <w:lang w:val="en-CA" w:eastAsia="zh-TW"/>
        </w:rPr>
        <w:t>C</w:t>
      </w:r>
      <w:r w:rsidRPr="00B63B10">
        <w:rPr>
          <w:rFonts w:ascii="Times" w:hAnsi="Times" w:hint="eastAsia"/>
          <w:color w:val="000000"/>
          <w:sz w:val="16"/>
          <w:lang w:eastAsia="zh-TW"/>
        </w:rPr>
        <w:t>)</w:t>
      </w:r>
      <w:r w:rsidRPr="00B63B10">
        <w:rPr>
          <w:rFonts w:ascii="Times" w:hAnsi="Times"/>
          <w:color w:val="000000"/>
          <w:sz w:val="16"/>
        </w:rPr>
        <w:t xml:space="preserve">                                                                                               (H)</w:t>
      </w:r>
    </w:p>
    <w:p w14:paraId="7C93A8EF" w14:textId="77777777" w:rsidR="00502964" w:rsidRPr="00B63B10" w:rsidRDefault="00502964" w:rsidP="00502964">
      <w:pPr>
        <w:spacing w:afterLines="50" w:after="120"/>
        <w:jc w:val="center"/>
        <w:rPr>
          <w:color w:val="000000"/>
          <w:sz w:val="16"/>
        </w:rPr>
      </w:pPr>
      <w:r w:rsidRPr="00B63B10">
        <w:rPr>
          <w:color w:val="000000"/>
          <w:sz w:val="16"/>
        </w:rPr>
        <w:t xml:space="preserve">    </w:t>
      </w:r>
      <w:r w:rsidRPr="00B63B10">
        <w:rPr>
          <w:noProof/>
          <w:color w:val="000000"/>
          <w:sz w:val="16"/>
          <w:lang w:eastAsia="en-IN"/>
        </w:rPr>
        <w:drawing>
          <wp:inline distT="0" distB="0" distL="0" distR="0" wp14:anchorId="3458851D" wp14:editId="42F766C0">
            <wp:extent cx="4914000" cy="860400"/>
            <wp:effectExtent l="0" t="0" r="1270" b="3810"/>
            <wp:docPr id="8937198" name="圖片 2" descr="一張含有 螢幕擷取畫面, 文字, 圓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198" name="圖片 2" descr="一張含有 螢幕擷取畫面, 文字, 圓形, 字型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DAAD" w14:textId="77777777" w:rsidR="00502964" w:rsidRPr="00B63B10" w:rsidRDefault="00502964" w:rsidP="00502964">
      <w:pPr>
        <w:spacing w:line="360" w:lineRule="auto"/>
        <w:ind w:firstLineChars="1550" w:firstLine="2480"/>
        <w:jc w:val="both"/>
        <w:rPr>
          <w:rFonts w:ascii="Times" w:hAnsi="Times"/>
          <w:color w:val="000000"/>
          <w:sz w:val="16"/>
        </w:rPr>
      </w:pPr>
      <w:r w:rsidRPr="00B63B10">
        <w:rPr>
          <w:rFonts w:ascii="Times" w:hAnsi="Times"/>
          <w:color w:val="000000"/>
          <w:sz w:val="16"/>
        </w:rPr>
        <w:t>(D)                                                                                               (I)</w:t>
      </w:r>
    </w:p>
    <w:p w14:paraId="6605F071" w14:textId="77777777" w:rsidR="00502964" w:rsidRPr="002C0AEC" w:rsidRDefault="00502964" w:rsidP="00502964">
      <w:pPr>
        <w:spacing w:afterLines="50" w:after="120"/>
        <w:jc w:val="center"/>
        <w:rPr>
          <w:color w:val="000000"/>
          <w:sz w:val="16"/>
        </w:rPr>
      </w:pPr>
      <w:r w:rsidRPr="00B63B10">
        <w:rPr>
          <w:color w:val="000000"/>
          <w:sz w:val="16"/>
        </w:rPr>
        <w:t xml:space="preserve">   </w:t>
      </w:r>
      <w:r w:rsidRPr="00B63B10">
        <w:rPr>
          <w:noProof/>
          <w:color w:val="000000"/>
          <w:sz w:val="16"/>
          <w:lang w:eastAsia="en-IN"/>
        </w:rPr>
        <w:drawing>
          <wp:inline distT="0" distB="0" distL="0" distR="0" wp14:anchorId="282DBCF3" wp14:editId="7DB69103">
            <wp:extent cx="4914000" cy="860400"/>
            <wp:effectExtent l="0" t="0" r="1270" b="3810"/>
            <wp:docPr id="1883693955" name="圖片 1" descr="一張含有 文字, 螢幕擷取畫面, 圓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3955" name="圖片 1" descr="一張含有 文字, 螢幕擷取畫面, 圓形, 字型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17D7" w14:textId="77777777" w:rsidR="00502964" w:rsidRPr="002C0AEC" w:rsidRDefault="00502964" w:rsidP="00502964">
      <w:pPr>
        <w:spacing w:line="360" w:lineRule="auto"/>
        <w:ind w:firstLineChars="1550" w:firstLine="2480"/>
        <w:jc w:val="both"/>
        <w:rPr>
          <w:rFonts w:ascii="Times" w:hAnsi="Times"/>
          <w:color w:val="000000"/>
          <w:sz w:val="16"/>
        </w:rPr>
      </w:pPr>
      <w:r w:rsidRPr="002C0AEC">
        <w:rPr>
          <w:rFonts w:ascii="Times" w:hAnsi="Times"/>
          <w:color w:val="000000"/>
          <w:sz w:val="16"/>
        </w:rPr>
        <w:t>(E)                                                                                                (J)</w:t>
      </w:r>
    </w:p>
    <w:p w14:paraId="722D3F16" w14:textId="77777777" w:rsidR="00502964" w:rsidRPr="00CA3C71" w:rsidRDefault="00502964" w:rsidP="00502964">
      <w:pPr>
        <w:spacing w:afterLines="50" w:after="120" w:line="300" w:lineRule="exact"/>
        <w:jc w:val="both"/>
        <w:rPr>
          <w:color w:val="000000"/>
          <w:sz w:val="16"/>
        </w:rPr>
      </w:pPr>
      <w:r w:rsidRPr="00CA3C71">
        <w:rPr>
          <w:b/>
          <w:color w:val="000000"/>
          <w:sz w:val="16"/>
        </w:rPr>
        <w:t>Figure S3</w:t>
      </w:r>
      <w:r>
        <w:rPr>
          <w:b/>
          <w:color w:val="000000"/>
          <w:sz w:val="16"/>
        </w:rPr>
        <w:t>:</w:t>
      </w:r>
      <w:r w:rsidRPr="00CA3C71">
        <w:rPr>
          <w:color w:val="000000"/>
          <w:sz w:val="16"/>
        </w:rPr>
        <w:t xml:space="preserve"> Re(</w:t>
      </w:r>
      <w:r w:rsidRPr="00CA3C71">
        <w:rPr>
          <w:i/>
          <w:color w:val="000000"/>
          <w:sz w:val="16"/>
        </w:rPr>
        <w:t>E</w:t>
      </w:r>
      <w:r w:rsidRPr="00CA3C71">
        <w:rPr>
          <w:i/>
          <w:color w:val="000000"/>
          <w:sz w:val="16"/>
          <w:vertAlign w:val="subscript"/>
        </w:rPr>
        <w:t>z</w:t>
      </w:r>
      <w:r w:rsidRPr="00CA3C71">
        <w:rPr>
          <w:color w:val="000000"/>
          <w:sz w:val="16"/>
        </w:rPr>
        <w:t xml:space="preserve">) fields for </w:t>
      </w:r>
      <w:r w:rsidRPr="00CA3C71">
        <w:rPr>
          <w:i/>
          <w:color w:val="000000"/>
          <w:sz w:val="16"/>
        </w:rPr>
        <w:t>m</w:t>
      </w:r>
      <w:r w:rsidRPr="00CA3C71">
        <w:rPr>
          <w:color w:val="000000"/>
          <w:sz w:val="16"/>
        </w:rPr>
        <w:t xml:space="preserve"> = (</w:t>
      </w:r>
      <w:r>
        <w:rPr>
          <w:color w:val="000000"/>
          <w:sz w:val="16"/>
        </w:rPr>
        <w:t>A</w:t>
      </w:r>
      <w:r w:rsidRPr="00CA3C71">
        <w:rPr>
          <w:color w:val="000000"/>
          <w:sz w:val="16"/>
        </w:rPr>
        <w:t>) 3, (</w:t>
      </w:r>
      <w:r>
        <w:rPr>
          <w:color w:val="000000"/>
          <w:sz w:val="16"/>
        </w:rPr>
        <w:t>B</w:t>
      </w:r>
      <w:r w:rsidRPr="00CA3C71">
        <w:rPr>
          <w:color w:val="000000"/>
          <w:sz w:val="16"/>
        </w:rPr>
        <w:t>) 3.1, (</w:t>
      </w:r>
      <w:r>
        <w:rPr>
          <w:color w:val="000000"/>
          <w:sz w:val="16"/>
        </w:rPr>
        <w:t>C</w:t>
      </w:r>
      <w:r w:rsidRPr="00CA3C71">
        <w:rPr>
          <w:color w:val="000000"/>
          <w:sz w:val="16"/>
        </w:rPr>
        <w:t>) 3.2, (</w:t>
      </w:r>
      <w:r>
        <w:rPr>
          <w:color w:val="000000"/>
          <w:sz w:val="16"/>
        </w:rPr>
        <w:t>D</w:t>
      </w:r>
      <w:r w:rsidRPr="00CA3C71">
        <w:rPr>
          <w:color w:val="000000"/>
          <w:sz w:val="16"/>
        </w:rPr>
        <w:t>) 3.3, (</w:t>
      </w:r>
      <w:r>
        <w:rPr>
          <w:color w:val="000000"/>
          <w:sz w:val="16"/>
        </w:rPr>
        <w:t>E</w:t>
      </w:r>
      <w:r w:rsidRPr="00CA3C71">
        <w:rPr>
          <w:color w:val="000000"/>
          <w:sz w:val="16"/>
        </w:rPr>
        <w:t>) 3.4, (</w:t>
      </w:r>
      <w:r>
        <w:rPr>
          <w:color w:val="000000"/>
          <w:sz w:val="16"/>
        </w:rPr>
        <w:t>F</w:t>
      </w:r>
      <w:r w:rsidRPr="00CA3C71">
        <w:rPr>
          <w:color w:val="000000"/>
          <w:sz w:val="16"/>
        </w:rPr>
        <w:t>) 3.5, (</w:t>
      </w:r>
      <w:r>
        <w:rPr>
          <w:color w:val="000000"/>
          <w:sz w:val="16"/>
        </w:rPr>
        <w:t>G</w:t>
      </w:r>
      <w:r w:rsidRPr="00CA3C71">
        <w:rPr>
          <w:color w:val="000000"/>
          <w:sz w:val="16"/>
        </w:rPr>
        <w:t>) 3.6, (</w:t>
      </w:r>
      <w:r>
        <w:rPr>
          <w:color w:val="000000"/>
          <w:sz w:val="16"/>
        </w:rPr>
        <w:t>H</w:t>
      </w:r>
      <w:r w:rsidRPr="00CA3C71">
        <w:rPr>
          <w:color w:val="000000"/>
          <w:sz w:val="16"/>
        </w:rPr>
        <w:t>) 3.7, (</w:t>
      </w:r>
      <w:r>
        <w:rPr>
          <w:color w:val="000000"/>
          <w:sz w:val="16"/>
        </w:rPr>
        <w:t>I</w:t>
      </w:r>
      <w:r w:rsidRPr="00CA3C71">
        <w:rPr>
          <w:color w:val="000000"/>
          <w:sz w:val="16"/>
        </w:rPr>
        <w:t>) 3.8, and (</w:t>
      </w:r>
      <w:r>
        <w:rPr>
          <w:color w:val="000000"/>
          <w:sz w:val="16"/>
        </w:rPr>
        <w:t>J</w:t>
      </w:r>
      <w:r w:rsidRPr="00CA3C71">
        <w:rPr>
          <w:color w:val="000000"/>
          <w:sz w:val="16"/>
        </w:rPr>
        <w:t xml:space="preserve">) 3.9 with the corresponding focal lengths at the parameters of </w:t>
      </w:r>
      <w:r w:rsidRPr="00CA3C71">
        <w:rPr>
          <w:i/>
          <w:color w:val="000000"/>
          <w:sz w:val="16"/>
        </w:rPr>
        <w:t>ω</w:t>
      </w:r>
      <w:r w:rsidRPr="00CA3C71">
        <w:rPr>
          <w:color w:val="000000"/>
          <w:sz w:val="16"/>
        </w:rPr>
        <w:t xml:space="preserve"> = 910 cm</w:t>
      </w:r>
      <w:r>
        <w:rPr>
          <w:rFonts w:eastAsia="PMingLiU"/>
          <w:color w:val="000000"/>
          <w:sz w:val="16"/>
          <w:szCs w:val="16"/>
          <w:vertAlign w:val="superscript"/>
        </w:rPr>
        <w:t>−</w:t>
      </w:r>
      <w:r w:rsidRPr="00CA3C71">
        <w:rPr>
          <w:color w:val="000000"/>
          <w:sz w:val="16"/>
          <w:vertAlign w:val="superscript"/>
        </w:rPr>
        <w:t>1</w:t>
      </w:r>
      <w:r w:rsidRPr="00CA3C71">
        <w:rPr>
          <w:color w:val="000000"/>
          <w:sz w:val="16"/>
        </w:rPr>
        <w:t xml:space="preserve">, </w:t>
      </w:r>
      <w:r w:rsidRPr="00CA3C71">
        <w:rPr>
          <w:i/>
          <w:color w:val="000000"/>
          <w:sz w:val="16"/>
        </w:rPr>
        <w:t>E</w:t>
      </w:r>
      <w:r w:rsidRPr="00CA3C71">
        <w:rPr>
          <w:i/>
          <w:color w:val="000000"/>
          <w:sz w:val="16"/>
          <w:vertAlign w:val="subscript"/>
        </w:rPr>
        <w:t>f</w:t>
      </w:r>
      <w:r w:rsidRPr="00CA3C71">
        <w:rPr>
          <w:color w:val="000000"/>
          <w:sz w:val="16"/>
        </w:rPr>
        <w:t xml:space="preserve"> = 0.5 eV, and </w:t>
      </w:r>
      <w:r w:rsidRPr="00CA3C71">
        <w:rPr>
          <w:i/>
          <w:color w:val="000000"/>
          <w:sz w:val="16"/>
        </w:rPr>
        <w:t>t</w:t>
      </w:r>
      <w:r w:rsidRPr="00CA3C71">
        <w:rPr>
          <w:color w:val="000000"/>
          <w:sz w:val="16"/>
        </w:rPr>
        <w:t xml:space="preserve"> = 150 nm.</w:t>
      </w:r>
    </w:p>
    <w:p w14:paraId="4CDA20BC" w14:textId="77777777" w:rsidR="00502964" w:rsidRPr="00CA3C71" w:rsidRDefault="00502964" w:rsidP="00502964">
      <w:pPr>
        <w:spacing w:afterLines="50" w:after="120" w:line="300" w:lineRule="exact"/>
        <w:ind w:leftChars="149" w:left="328" w:firstLine="1"/>
        <w:jc w:val="both"/>
        <w:rPr>
          <w:color w:val="000000"/>
          <w:sz w:val="16"/>
        </w:rPr>
      </w:pPr>
    </w:p>
    <w:p w14:paraId="67269BCB" w14:textId="77777777" w:rsidR="00502964" w:rsidRPr="00CA3C71" w:rsidRDefault="00502964" w:rsidP="00502964">
      <w:pPr>
        <w:spacing w:afterLines="50" w:after="120" w:line="300" w:lineRule="exact"/>
        <w:ind w:leftChars="149" w:left="328" w:firstLine="1"/>
        <w:jc w:val="both"/>
        <w:rPr>
          <w:color w:val="000000"/>
          <w:sz w:val="16"/>
        </w:rPr>
      </w:pPr>
    </w:p>
    <w:p w14:paraId="4F33B03C" w14:textId="77777777" w:rsidR="00502964" w:rsidRPr="00CA3C71" w:rsidRDefault="00502964" w:rsidP="00502964">
      <w:pPr>
        <w:spacing w:afterLines="50" w:after="120" w:line="300" w:lineRule="exact"/>
        <w:ind w:leftChars="149" w:left="328" w:firstLine="1"/>
        <w:jc w:val="both"/>
        <w:rPr>
          <w:color w:val="000000"/>
          <w:sz w:val="16"/>
        </w:rPr>
      </w:pPr>
    </w:p>
    <w:p w14:paraId="0CFCC072" w14:textId="77777777" w:rsidR="00502964" w:rsidRPr="00CA3C71" w:rsidRDefault="00502964" w:rsidP="00502964">
      <w:pPr>
        <w:spacing w:afterLines="50" w:after="120" w:line="300" w:lineRule="exact"/>
        <w:ind w:leftChars="149" w:left="328" w:firstLine="1"/>
        <w:jc w:val="both"/>
        <w:rPr>
          <w:color w:val="000000"/>
          <w:sz w:val="16"/>
        </w:rPr>
      </w:pPr>
    </w:p>
    <w:p w14:paraId="576F964D" w14:textId="77777777" w:rsidR="00502964" w:rsidRPr="00CA3C71" w:rsidRDefault="00502964" w:rsidP="00502964">
      <w:pPr>
        <w:spacing w:afterLines="50" w:after="120" w:line="300" w:lineRule="exact"/>
        <w:ind w:leftChars="149" w:left="328" w:firstLine="1"/>
        <w:jc w:val="both"/>
        <w:rPr>
          <w:color w:val="000000"/>
          <w:sz w:val="16"/>
        </w:rPr>
      </w:pPr>
    </w:p>
    <w:p w14:paraId="736D63E3" w14:textId="77777777" w:rsidR="00502964" w:rsidRDefault="00502964" w:rsidP="00502964">
      <w:pPr>
        <w:spacing w:afterLines="50" w:after="120" w:line="300" w:lineRule="exact"/>
        <w:jc w:val="both"/>
        <w:rPr>
          <w:color w:val="000000"/>
          <w:sz w:val="16"/>
        </w:rPr>
      </w:pPr>
    </w:p>
    <w:p w14:paraId="469DE856" w14:textId="77777777" w:rsidR="00502964" w:rsidRPr="00CA3C71" w:rsidRDefault="00502964" w:rsidP="00502964">
      <w:pPr>
        <w:pStyle w:val="Akapitzlist"/>
        <w:keepNext/>
        <w:numPr>
          <w:ilvl w:val="0"/>
          <w:numId w:val="1"/>
        </w:numPr>
        <w:tabs>
          <w:tab w:val="num" w:pos="495"/>
          <w:tab w:val="left" w:pos="665"/>
        </w:tabs>
        <w:suppressAutoHyphens/>
        <w:spacing w:before="240" w:after="160"/>
        <w:outlineLvl w:val="0"/>
        <w:rPr>
          <w:rFonts w:ascii="Times New Roman" w:hAnsi="Times New Roman"/>
          <w:b/>
          <w:sz w:val="20"/>
          <w:lang w:val="en-US"/>
          <w14:numSpacing w14:val="proportional"/>
        </w:rPr>
      </w:pPr>
      <w:r w:rsidRPr="00CA3C71">
        <w:rPr>
          <w:rFonts w:ascii="Times New Roman" w:hAnsi="Times New Roman"/>
          <w:b/>
          <w:sz w:val="20"/>
          <w:lang w:val="en-US"/>
          <w14:numSpacing w14:val="proportional"/>
        </w:rPr>
        <w:lastRenderedPageBreak/>
        <w:t>Permittivity of</w:t>
      </w:r>
      <w:r w:rsidRPr="00CA3C71">
        <w:rPr>
          <w:rFonts w:ascii="Times New Roman" w:hAnsi="Times New Roman"/>
          <w:b/>
          <w:i/>
          <w:sz w:val="24"/>
          <w:lang w:val="en-US"/>
          <w14:numSpacing w14:val="proportional"/>
        </w:rPr>
        <w:t xml:space="preserve"> </w:t>
      </w:r>
      <w:r w:rsidRPr="00CA3C71">
        <w:rPr>
          <w:rFonts w:ascii="Times New Roman" w:hAnsi="Times New Roman"/>
          <w:b/>
          <w:i/>
          <w:sz w:val="20"/>
          <w:lang w:val="en-US"/>
          <w14:numSpacing w14:val="proportional"/>
        </w:rPr>
        <w:t>α</w:t>
      </w:r>
      <w:r w:rsidRPr="00CA3C71">
        <w:rPr>
          <w:rFonts w:ascii="Times New Roman" w:hAnsi="Times New Roman"/>
          <w:b/>
          <w:sz w:val="20"/>
          <w:lang w:val="en-US"/>
          <w14:numSpacing w14:val="proportional"/>
        </w:rPr>
        <w:t>-</w:t>
      </w:r>
      <w:r>
        <w:rPr>
          <w:rFonts w:ascii="Times New Roman" w:eastAsia="PMingLiU" w:hAnsi="Times New Roman"/>
          <w:b/>
          <w:bCs/>
          <w:sz w:val="20"/>
          <w:szCs w:val="20"/>
          <w:lang w:val="en-US" w:eastAsia="de-DE"/>
          <w14:numSpacing w14:val="proportional"/>
        </w:rPr>
        <w:t>phase molybdenum trioxide</w:t>
      </w:r>
      <w:r w:rsidRPr="00CA3C71">
        <w:rPr>
          <w:rFonts w:ascii="Times New Roman" w:hAnsi="Times New Roman"/>
          <w:b/>
          <w:sz w:val="20"/>
          <w:lang w:val="en-US"/>
          <w14:numSpacing w14:val="proportional"/>
        </w:rPr>
        <w:t xml:space="preserve"> with an orientation of angle </w:t>
      </w:r>
      <w:r w:rsidRPr="00CA3C71">
        <w:rPr>
          <w:rFonts w:ascii="Times New Roman" w:hAnsi="Times New Roman"/>
          <w:b/>
          <w:i/>
          <w:sz w:val="20"/>
          <w:lang w:val="en-US"/>
          <w14:numSpacing w14:val="proportional"/>
        </w:rPr>
        <w:t>θ</w:t>
      </w:r>
    </w:p>
    <w:p w14:paraId="32E70DA0" w14:textId="77777777" w:rsidR="00502964" w:rsidRDefault="00502964" w:rsidP="00502964">
      <w:pPr>
        <w:spacing w:line="360" w:lineRule="auto"/>
        <w:jc w:val="both"/>
        <w:rPr>
          <w:rFonts w:eastAsia="PMingLiU"/>
          <w:color w:val="000000"/>
          <w:sz w:val="20"/>
          <w:szCs w:val="20"/>
          <w:lang w:eastAsia="de-DE"/>
          <w14:numSpacing w14:val="proportional"/>
        </w:rPr>
      </w:pP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For an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>-MoO</w:t>
      </w:r>
      <w:r>
        <w:rPr>
          <w:rFonts w:eastAsia="PMingLiU"/>
          <w:color w:val="000000"/>
          <w:sz w:val="20"/>
          <w:szCs w:val="20"/>
          <w:vertAlign w:val="subscript"/>
          <w:lang w:eastAsia="de-DE"/>
          <w14:numSpacing w14:val="proportional"/>
        </w:rPr>
        <w:t>3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 slab with the crystallographic direction [100] aligning with the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x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-direction, the permittivity tensor is expressed as </w:t>
      </w:r>
      <w:r>
        <w:rPr>
          <w:rFonts w:eastAsia="PMingLiU"/>
          <w:b/>
          <w:bCs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 xml:space="preserve"> = 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>diag[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x</w:t>
      </w:r>
      <w:r>
        <w:rPr>
          <w:rFonts w:eastAsia="PMingLiU"/>
          <w:sz w:val="20"/>
          <w:szCs w:val="20"/>
          <w:lang w:eastAsia="de-DE"/>
          <w14:numSpacing w14:val="proportional"/>
        </w:rPr>
        <w:t>,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 xml:space="preserve"> 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y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, 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z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], 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where 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x</w:t>
      </w:r>
      <w:r>
        <w:rPr>
          <w:rFonts w:eastAsia="PMingLiU"/>
          <w:sz w:val="20"/>
          <w:szCs w:val="20"/>
          <w:lang w:eastAsia="de-DE"/>
          <w14:numSpacing w14:val="proportional"/>
        </w:rPr>
        <w:t>,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 xml:space="preserve"> 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y</w:t>
      </w:r>
      <w:r>
        <w:rPr>
          <w:rFonts w:eastAsia="PMingLiU"/>
          <w:sz w:val="20"/>
          <w:szCs w:val="20"/>
          <w:lang w:eastAsia="de-DE"/>
          <w14:numSpacing w14:val="proportional"/>
        </w:rPr>
        <w:t>, and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 xml:space="preserve"> ε</w:t>
      </w:r>
      <w:r>
        <w:rPr>
          <w:rFonts w:eastAsia="PMingLiU"/>
          <w:i/>
          <w:iCs/>
          <w:sz w:val="20"/>
          <w:szCs w:val="20"/>
          <w:vertAlign w:val="subscript"/>
          <w:lang w:eastAsia="de-DE"/>
          <w14:numSpacing w14:val="proportional"/>
        </w:rPr>
        <w:t>z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are the permittivity components along the principal axes [100], [001], and [010], respectively, of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 xml:space="preserve"> the </w:t>
      </w:r>
      <w:r>
        <w:rPr>
          <w:rFonts w:eastAsia="PMingLiU"/>
          <w:bCs/>
          <w:i/>
          <w:iCs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>-MoO</w:t>
      </w:r>
      <w:r>
        <w:rPr>
          <w:rFonts w:eastAsia="PMingLiU"/>
          <w:bCs/>
          <w:sz w:val="20"/>
          <w:szCs w:val="20"/>
          <w:vertAlign w:val="subscript"/>
          <w:lang w:eastAsia="de-DE"/>
          <w14:numSpacing w14:val="proportional"/>
        </w:rPr>
        <w:t>3</w:t>
      </w:r>
      <w:r>
        <w:rPr>
          <w:rFonts w:eastAsia="PMingLiU"/>
          <w:bCs/>
          <w:sz w:val="20"/>
          <w:szCs w:val="20"/>
          <w:lang w:eastAsia="de-DE"/>
          <w14:numSpacing w14:val="proportional"/>
        </w:rPr>
        <w:t xml:space="preserve"> slab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. By rotating an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α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>-MoO</w:t>
      </w:r>
      <w:r>
        <w:rPr>
          <w:rFonts w:eastAsia="PMingLiU"/>
          <w:color w:val="000000"/>
          <w:sz w:val="20"/>
          <w:szCs w:val="20"/>
          <w:vertAlign w:val="subscript"/>
          <w:lang w:eastAsia="de-DE"/>
          <w14:numSpacing w14:val="proportional"/>
        </w:rPr>
        <w:t>3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 slab counterclockwise around the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z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-axis, altering the angle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θ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, which corresponds to the orientation of the principal axis [100] for the </w:t>
      </w:r>
      <w:r>
        <w:rPr>
          <w:rFonts w:eastAsia="PMingLiU"/>
          <w:i/>
          <w:iCs/>
          <w:color w:val="000000"/>
          <w:sz w:val="20"/>
          <w:szCs w:val="20"/>
          <w:lang w:eastAsia="de-DE"/>
          <w14:numSpacing w14:val="proportional"/>
        </w:rPr>
        <w:t>x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-axis and 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θ</w:t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is positive for counterclockwise rotation from the 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>x</w:t>
      </w:r>
      <w:r>
        <w:rPr>
          <w:rFonts w:eastAsia="PMingLiU"/>
          <w:sz w:val="20"/>
          <w:szCs w:val="20"/>
          <w:lang w:eastAsia="de-DE"/>
          <w14:numSpacing w14:val="proportional"/>
        </w:rPr>
        <w:t>-axis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, the oriented permittivity tensor is expressed as </w:t>
      </w:r>
      <w:r>
        <w:rPr>
          <w:rFonts w:eastAsia="PMingLiU"/>
          <w:b/>
          <w:bCs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vertAlign w:val="superscript"/>
          <w:lang w:eastAsia="de-DE"/>
          <w14:numSpacing w14:val="proportional"/>
        </w:rPr>
        <w:t>θ</w:t>
      </w:r>
      <w:r>
        <w:rPr>
          <w:rFonts w:eastAsia="PMingLiU"/>
          <w:i/>
          <w:iCs/>
          <w:sz w:val="20"/>
          <w:szCs w:val="20"/>
          <w:lang w:eastAsia="de-DE"/>
          <w14:numSpacing w14:val="proportional"/>
        </w:rPr>
        <w:t xml:space="preserve"> =</w:t>
      </w:r>
      <w:r>
        <w:rPr>
          <w:rFonts w:eastAsia="PMingLiU"/>
          <w:b/>
          <w:bCs/>
          <w:i/>
          <w:iCs/>
          <w:sz w:val="20"/>
          <w:szCs w:val="20"/>
          <w:lang w:eastAsia="de-DE"/>
          <w14:numSpacing w14:val="proportional"/>
        </w:rPr>
        <w:t>Rε</w:t>
      </w:r>
      <w:r>
        <w:rPr>
          <w:rFonts w:eastAsia="PMingLiU"/>
          <w:b/>
          <w:bCs/>
          <w:i/>
          <w:iCs/>
          <w:color w:val="000000"/>
          <w:sz w:val="20"/>
          <w:szCs w:val="20"/>
          <w:lang w:eastAsia="de-DE"/>
          <w14:numSpacing w14:val="proportional"/>
        </w:rPr>
        <w:t>R</w:t>
      </w:r>
      <w:r>
        <w:rPr>
          <w:rFonts w:eastAsia="PMingLiU"/>
          <w:i/>
          <w:iCs/>
          <w:color w:val="000000"/>
          <w:sz w:val="20"/>
          <w:szCs w:val="20"/>
          <w:vertAlign w:val="superscript"/>
          <w:lang w:eastAsia="de-DE"/>
          <w14:numSpacing w14:val="proportional"/>
        </w:rPr>
        <w:t>T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>, where the rotation matrix (</w:t>
      </w:r>
      <w:r>
        <w:rPr>
          <w:rFonts w:eastAsia="PMingLiU"/>
          <w:b/>
          <w:bCs/>
          <w:i/>
          <w:iCs/>
          <w:color w:val="000000"/>
          <w:sz w:val="20"/>
          <w:szCs w:val="20"/>
          <w:lang w:eastAsia="de-DE"/>
          <w14:numSpacing w14:val="proportional"/>
        </w:rPr>
        <w:t>R</w:t>
      </w:r>
      <w:r>
        <w:rPr>
          <w:rFonts w:eastAsia="PMingLiU"/>
          <w:bCs/>
          <w:iCs/>
          <w:color w:val="000000"/>
          <w:sz w:val="20"/>
          <w:szCs w:val="20"/>
          <w:lang w:eastAsia="de-DE"/>
          <w14:numSpacing w14:val="proportional"/>
        </w:rPr>
        <w:t>)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 xml:space="preserve"> and </w:t>
      </w:r>
      <w:r>
        <w:rPr>
          <w:rFonts w:eastAsia="PMingLiU"/>
          <w:b/>
          <w:bCs/>
          <w:i/>
          <w:iCs/>
          <w:sz w:val="20"/>
          <w:szCs w:val="20"/>
          <w:lang w:eastAsia="de-DE"/>
          <w14:numSpacing w14:val="proportional"/>
        </w:rPr>
        <w:t>ε</w:t>
      </w:r>
      <w:r>
        <w:rPr>
          <w:rFonts w:eastAsia="PMingLiU"/>
          <w:i/>
          <w:iCs/>
          <w:sz w:val="20"/>
          <w:szCs w:val="20"/>
          <w:vertAlign w:val="superscript"/>
          <w:lang w:eastAsia="de-DE"/>
          <w14:numSpacing w14:val="proportional"/>
        </w:rPr>
        <w:t xml:space="preserve">θ </w:t>
      </w:r>
      <w:r>
        <w:rPr>
          <w:rFonts w:eastAsia="PMingLiU"/>
          <w:color w:val="000000"/>
          <w:sz w:val="20"/>
          <w:szCs w:val="20"/>
          <w:lang w:eastAsia="de-DE"/>
          <w14:numSpacing w14:val="proportional"/>
        </w:rPr>
        <w:t>are as follows:</w:t>
      </w:r>
    </w:p>
    <w:p w14:paraId="6502798E" w14:textId="77777777" w:rsidR="00502964" w:rsidRDefault="00502964" w:rsidP="00502964">
      <w:pPr>
        <w:tabs>
          <w:tab w:val="right" w:pos="9072"/>
        </w:tabs>
        <w:spacing w:beforeLines="50" w:before="120" w:afterLines="100" w:after="240" w:line="360" w:lineRule="auto"/>
        <w:ind w:firstLineChars="1450" w:firstLine="3190"/>
        <w:jc w:val="both"/>
        <w:rPr>
          <w:rFonts w:eastAsia="PMingLiU"/>
          <w:sz w:val="20"/>
          <w:szCs w:val="20"/>
          <w:lang w:eastAsia="de-DE"/>
          <w14:numSpacing w14:val="proportional"/>
        </w:rPr>
      </w:pPr>
      <w:r>
        <w:rPr>
          <w:noProof/>
          <w:position w:val="-37"/>
          <w:lang w:eastAsia="en-IN"/>
        </w:rPr>
        <w:drawing>
          <wp:inline distT="0" distB="0" distL="0" distR="0" wp14:anchorId="5FE61F04" wp14:editId="1A40D11E">
            <wp:extent cx="1306830" cy="601080"/>
            <wp:effectExtent l="0" t="0" r="0" b="0"/>
            <wp:docPr id="2058944260" name="圖片 2058944260" descr="{&quot;mathml&quot;:&quot;&lt;math style=\&quot;font-family:stix;font-size:14px;\&quot; xmlns=\&quot;http://www.w3.org/1998/Math/MathML\&quot; xmlns:wrs=\&quot;http://www.wiris.com/xml/mathml-extension\&quot;&gt;&lt;mstyle mathsize=\&quot;14px\&quot;&gt;&lt;mi mathvariant=\&quot;bold-italic\&quot;&gt;R&lt;/mi&gt;&lt;mo&gt;=&lt;/mo&gt;&lt;mfenced open=\&quot;[\&quot; close=\&quot;]\&quot; wrs:valign=\&quot;middle\&quot;&gt;&lt;mtable&gt;&lt;mtr&gt;&lt;mtd&gt;&lt;mi&gt;cos&lt;/mi&gt;&lt;mi&gt;&amp;#x3B8;&lt;/mi&gt;&lt;/mtd&gt;&lt;mtd&gt;&lt;mo&gt;-&lt;/mo&gt;&lt;mi&gt;sin&lt;/mi&gt;&lt;mi&gt;&amp;#x3B8;&lt;/mi&gt;&lt;/mtd&gt;&lt;mtd&gt;&lt;mn&gt;0&lt;/mn&gt;&lt;/mtd&gt;&lt;/mtr&gt;&lt;mtr&gt;&lt;mtd&gt;&lt;mi&gt;sin&lt;/mi&gt;&lt;mi&gt;&amp;#x3B8;&lt;/mi&gt;&lt;/mtd&gt;&lt;mtd&gt;&lt;mi&gt;cos&lt;/mi&gt;&lt;mi&gt;&amp;#x3B8;&lt;/mi&gt;&lt;/mtd&gt;&lt;mtd&gt;&lt;mn&gt;0&lt;/mn&gt;&lt;/mtd&gt;&lt;/mtr&gt;&lt;mtr&gt;&lt;mtd&gt;&lt;mn&gt;0&lt;/mn&gt;&lt;/mtd&gt;&lt;mtd&gt;&lt;mn&gt;0&lt;/mn&gt;&lt;/mtd&gt;&lt;mtd&gt;&lt;mn&gt;1&lt;/mn&gt;&lt;/mtd&gt;&lt;/mtr&gt;&lt;/mtable&gt;&lt;/mfenced&gt;&lt;mo&gt;,&lt;/mo&gt;&lt;/mstyle&gt;&lt;/math&gt;&quot;,&quot;origin&quot;:&quot;MathType for Microsoft Add-in&quot;}" title="bold italic R 等於 左中括號 表格 列 開始儲存格 cos theta （ 小写 ） 結束儲存格 開始儲存格 負 sin theta （ 小写 ） 結束儲存格 0 結束列 列 開始儲存格 sin theta （ 小写 ） 結束儲存格 開始儲存格 cos theta （ 小写 ） 結束儲存格 0 結束列 列 0 0 1 結束列 結束表格 右中括號 逗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4px;\&quot; xmlns=\&quot;http://www.w3.org/1998/Math/MathML\&quot; xmlns:wrs=\&quot;http://www.wiris.com/xml/mathml-extension\&quot;&gt;&lt;mstyle mathsize=\&quot;14px\&quot;&gt;&lt;mi mathvariant=\&quot;bold-italic\&quot;&gt;R&lt;/mi&gt;&lt;mo&gt;=&lt;/mo&gt;&lt;mfenced open=\&quot;[\&quot; close=\&quot;]\&quot; wrs:valign=\&quot;middle\&quot;&gt;&lt;mtable&gt;&lt;mtr&gt;&lt;mtd&gt;&lt;mi&gt;cos&lt;/mi&gt;&lt;mi&gt;&amp;#x3B8;&lt;/mi&gt;&lt;/mtd&gt;&lt;mtd&gt;&lt;mo&gt;-&lt;/mo&gt;&lt;mi&gt;sin&lt;/mi&gt;&lt;mi&gt;&amp;#x3B8;&lt;/mi&gt;&lt;/mtd&gt;&lt;mtd&gt;&lt;mn&gt;0&lt;/mn&gt;&lt;/mtd&gt;&lt;/mtr&gt;&lt;mtr&gt;&lt;mtd&gt;&lt;mi&gt;sin&lt;/mi&gt;&lt;mi&gt;&amp;#x3B8;&lt;/mi&gt;&lt;/mtd&gt;&lt;mtd&gt;&lt;mi&gt;cos&lt;/mi&gt;&lt;mi&gt;&amp;#x3B8;&lt;/mi&gt;&lt;/mtd&gt;&lt;mtd&gt;&lt;mn&gt;0&lt;/mn&gt;&lt;/mtd&gt;&lt;/mtr&gt;&lt;mtr&gt;&lt;mtd&gt;&lt;mn&gt;0&lt;/mn&gt;&lt;/mtd&gt;&lt;mtd&gt;&lt;mn&gt;0&lt;/mn&gt;&lt;/mtd&gt;&lt;mtd&gt;&lt;mn&gt;1&lt;/mn&gt;&lt;/mtd&gt;&lt;/mtr&gt;&lt;/mtable&gt;&lt;/mfenced&gt;&lt;mo&gt;,&lt;/mo&gt;&lt;/mstyle&gt;&lt;/math&gt;&quot;,&quot;origin&quot;:&quot;MathType for Microsoft Add-in&quot;}" title="bold italic R 等於 左中括號 表格 列 開始儲存格 cos theta （ 小写 ） 結束儲存格 開始儲存格 負 sin theta （ 小写 ） 結束儲存格 0 結束列 列 開始儲存格 sin theta （ 小写 ） 結束儲存格 開始儲存格 cos theta （ 小写 ） 結束儲存格 0 結束列 列 0 0 1 結束列 結束表格 右中括號 逗號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05" cy="63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MingLiU"/>
          <w:sz w:val="20"/>
          <w:szCs w:val="20"/>
          <w:lang w:eastAsia="de-DE"/>
          <w14:numSpacing w14:val="proportional"/>
        </w:rPr>
        <w:t xml:space="preserve">                                                                (S3)</w:t>
      </w:r>
    </w:p>
    <w:p w14:paraId="2AFE32E6" w14:textId="77777777" w:rsidR="00502964" w:rsidRDefault="00502964" w:rsidP="00502964">
      <w:pPr>
        <w:tabs>
          <w:tab w:val="right" w:pos="9072"/>
        </w:tabs>
        <w:spacing w:beforeLines="50" w:before="120" w:afterLines="100" w:after="240" w:line="360" w:lineRule="auto"/>
        <w:ind w:firstLineChars="1050" w:firstLine="2310"/>
        <w:jc w:val="both"/>
        <w:rPr>
          <w:rFonts w:eastAsia="PMingLiU"/>
          <w:sz w:val="20"/>
          <w:szCs w:val="20"/>
          <w:lang w:eastAsia="de-DE"/>
          <w14:numSpacing w14:val="proportional"/>
        </w:rPr>
      </w:pPr>
      <w:r>
        <w:rPr>
          <w:noProof/>
          <w:position w:val="-49"/>
          <w:lang w:eastAsia="en-IN"/>
        </w:rPr>
        <w:drawing>
          <wp:inline distT="0" distB="0" distL="0" distR="0" wp14:anchorId="43A33E9F" wp14:editId="41DFCC60">
            <wp:extent cx="2821207" cy="814388"/>
            <wp:effectExtent l="0" t="0" r="0" b="0"/>
            <wp:docPr id="727643139" name="圖片 727643139" descr="{&quot;mathml&quot;:&quot;&lt;math style=\&quot;font-family:stix;font-size:14px;\&quot; xmlns=\&quot;http://www.w3.org/1998/Math/MathML\&quot; xmlns:wrs=\&quot;http://www.wiris.com/xml/mathml-extension\&quot;&gt;&lt;mstyle mathsize=\&quot;14px\&quot;&gt;&lt;msup&gt;&lt;mi mathvariant=\&quot;bold-italic\&quot;&gt;&amp;#x3B5;&lt;/mi&gt;&lt;mi&gt;&amp;#x3B8;&lt;/mi&gt;&lt;/msup&gt;&lt;mo&gt;=&lt;/mo&gt;&lt;mfenced open=\&quot;[\&quot; close=\&quot;]\&quot; wrs:valign=\&quot;middle\&quot;&gt;&lt;mtable&gt;&lt;mtr&gt;&lt;mtd&gt;&lt;msub&gt;&lt;mi&gt;&amp;#x3B5;&lt;/mi&gt;&lt;mi&gt;x&lt;/mi&gt;&lt;/msub&gt;&lt;msup&gt;&lt;mi&gt;cos&lt;/mi&gt;&lt;mn&gt;2&lt;/mn&gt;&lt;/msup&gt;&lt;mi&gt;&amp;#x3B8;&lt;/mi&gt;&lt;mo&gt;+&lt;/mo&gt;&lt;msub&gt;&lt;mi&gt;&amp;#x3B5;&lt;/mi&gt;&lt;mi&gt;y&lt;/mi&gt;&lt;/msub&gt;&lt;msup&gt;&lt;mi&gt;sin&lt;/mi&gt;&lt;mn&gt;2&lt;/mn&gt;&lt;/msup&gt;&lt;mi&gt;&amp;#x3B8;&lt;/mi&gt;&lt;/mtd&gt;&lt;mtd&gt;&lt;mfenced wrs:valign=\&quot;middle\&quot;&gt;&lt;mrow&gt;&lt;msub&gt;&lt;mi&gt;&amp;#x3B5;&lt;/mi&gt;&lt;mi&gt;y&lt;/mi&gt;&lt;/msub&gt;&lt;mo&gt;&amp;#x2212;&lt;/mo&gt;&lt;msub&gt;&lt;mi&gt;&amp;#x3B5;&lt;/mi&gt;&lt;mi&gt;x&lt;/mi&gt;&lt;/msub&gt;&lt;/mrow&gt;&lt;/mfenced&gt;&lt;mi&gt;cos&lt;/mi&gt;&lt;mi&gt;&amp;#x3B8;&lt;/mi&gt;&lt;mi&gt;sin&lt;/mi&gt;&lt;mi&gt;&amp;#x3B8;&lt;/mi&gt;&lt;/mtd&gt;&lt;mtd&gt;&lt;mn&gt;0&lt;/mn&gt;&lt;/mtd&gt;&lt;/mtr&gt;&lt;mtr&gt;&lt;mtd&gt;&lt;mfenced wrs:valign=\&quot;middle\&quot;&gt;&lt;mrow&gt;&lt;msub&gt;&lt;mi&gt;&amp;#x3B5;&lt;/mi&gt;&lt;mi&gt;y&lt;/mi&gt;&lt;/msub&gt;&lt;mo&gt;&amp;#x2212;&lt;/mo&gt;&lt;msub&gt;&lt;mi&gt;&amp;#x3B5;&lt;/mi&gt;&lt;mi&gt;x&lt;/mi&gt;&lt;/msub&gt;&lt;/mrow&gt;&lt;/mfenced&gt;&lt;mi&gt;cos&lt;/mi&gt;&lt;mi&gt;&amp;#x3B8;&lt;/mi&gt;&lt;mi&gt;sin&lt;/mi&gt;&lt;mi&gt;&amp;#x3B8;&lt;/mi&gt;&lt;/mtd&gt;&lt;mtd&gt;&lt;msub&gt;&lt;mi&gt;&amp;#x3B5;&lt;/mi&gt;&lt;mi&gt;y&lt;/mi&gt;&lt;/msub&gt;&lt;msup&gt;&lt;mi&gt;cos&lt;/mi&gt;&lt;mn&gt;2&lt;/mn&gt;&lt;/msup&gt;&lt;mi&gt;&amp;#x3B8;&lt;/mi&gt;&lt;mo&gt;+&lt;/mo&gt;&lt;msub&gt;&lt;mi&gt;&amp;#x3B5;&lt;/mi&gt;&lt;mi&gt;x&lt;/mi&gt;&lt;/msub&gt;&lt;msup&gt;&lt;mi&gt;sin&lt;/mi&gt;&lt;mn&gt;2&lt;/mn&gt;&lt;/msup&gt;&lt;mi&gt;&amp;#x3B8;&lt;/mi&gt;&lt;/mtd&gt;&lt;mtd&gt;&lt;mn&gt;0&lt;/mn&gt;&lt;/mtd&gt;&lt;/mtr&gt;&lt;mtr&gt;&lt;mtd&gt;&lt;mn&gt;0&lt;/mn&gt;&lt;/mtd&gt;&lt;mtd&gt;&lt;mn&gt;0&lt;/mn&gt;&lt;/mtd&gt;&lt;mtd&gt;&lt;msub&gt;&lt;mi&gt;&amp;#x3B5;&lt;/mi&gt;&lt;mi&gt;z&lt;/mi&gt;&lt;/msub&gt;&lt;/mtd&gt;&lt;/mtr&gt;&lt;/mtable&gt;&lt;/mfenced&gt;&lt;mo&gt;.&lt;/mo&gt;&lt;/mstyle&gt;&lt;/math&gt;&quot;,&quot;origin&quot;:&quot;MathType for Microsoft Add-in&quot;}" title="bold italic epsilon （ 小写 ） 的 theta （ 小写 ） 次方 等於 左中括號 表格 列 開始儲存格 epsilon （ 小写 ） 下標 x cos 平方 theta （ 小写 ） 加 epsilon （ 小写 ） 下標 y sin 平方 theta （ 小写 ） 結束儲存格 開始儲存格 左小括號 epsilon （ 小写 ） 下標 y 減 epsilon （ 小写 ） 下標 x 右小括號 cos theta （ 小写 ） sin theta （ 小写 ） 結束儲存格 0 結束列 列 開始儲存格 左小括號 epsilon （ 小写 ） 下標 y 減 epsilon （ 小写 ） 下標 x 右小括號 cos theta （ 小写 ） sin theta （ 小写 ） 結束儲存格 開始儲存格 epsilon （ 小写 ） 下標 y cos 平方 theta （ 小写 ） 加 epsilon （ 小写 ） 下標 x sin 平方 theta （ 小写 ） 結束儲存格 0 結束列 列 0 0 開始儲存格 epsilon （ 小写 ） 下標 z 結束儲存格 結束列 結束表格 右中括號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4px;\&quot; xmlns=\&quot;http://www.w3.org/1998/Math/MathML\&quot; xmlns:wrs=\&quot;http://www.wiris.com/xml/mathml-extension\&quot;&gt;&lt;mstyle mathsize=\&quot;14px\&quot;&gt;&lt;msup&gt;&lt;mi mathvariant=\&quot;bold-italic\&quot;&gt;&amp;#x3B5;&lt;/mi&gt;&lt;mi&gt;&amp;#x3B8;&lt;/mi&gt;&lt;/msup&gt;&lt;mo&gt;=&lt;/mo&gt;&lt;mfenced open=\&quot;[\&quot; close=\&quot;]\&quot; wrs:valign=\&quot;middle\&quot;&gt;&lt;mtable&gt;&lt;mtr&gt;&lt;mtd&gt;&lt;msub&gt;&lt;mi&gt;&amp;#x3B5;&lt;/mi&gt;&lt;mi&gt;x&lt;/mi&gt;&lt;/msub&gt;&lt;msup&gt;&lt;mi&gt;cos&lt;/mi&gt;&lt;mn&gt;2&lt;/mn&gt;&lt;/msup&gt;&lt;mi&gt;&amp;#x3B8;&lt;/mi&gt;&lt;mo&gt;+&lt;/mo&gt;&lt;msub&gt;&lt;mi&gt;&amp;#x3B5;&lt;/mi&gt;&lt;mi&gt;y&lt;/mi&gt;&lt;/msub&gt;&lt;msup&gt;&lt;mi&gt;sin&lt;/mi&gt;&lt;mn&gt;2&lt;/mn&gt;&lt;/msup&gt;&lt;mi&gt;&amp;#x3B8;&lt;/mi&gt;&lt;/mtd&gt;&lt;mtd&gt;&lt;mfenced wrs:valign=\&quot;middle\&quot;&gt;&lt;mrow&gt;&lt;msub&gt;&lt;mi&gt;&amp;#x3B5;&lt;/mi&gt;&lt;mi&gt;y&lt;/mi&gt;&lt;/msub&gt;&lt;mo&gt;&amp;#x2212;&lt;/mo&gt;&lt;msub&gt;&lt;mi&gt;&amp;#x3B5;&lt;/mi&gt;&lt;mi&gt;x&lt;/mi&gt;&lt;/msub&gt;&lt;/mrow&gt;&lt;/mfenced&gt;&lt;mi&gt;cos&lt;/mi&gt;&lt;mi&gt;&amp;#x3B8;&lt;/mi&gt;&lt;mi&gt;sin&lt;/mi&gt;&lt;mi&gt;&amp;#x3B8;&lt;/mi&gt;&lt;/mtd&gt;&lt;mtd&gt;&lt;mn&gt;0&lt;/mn&gt;&lt;/mtd&gt;&lt;/mtr&gt;&lt;mtr&gt;&lt;mtd&gt;&lt;mfenced wrs:valign=\&quot;middle\&quot;&gt;&lt;mrow&gt;&lt;msub&gt;&lt;mi&gt;&amp;#x3B5;&lt;/mi&gt;&lt;mi&gt;y&lt;/mi&gt;&lt;/msub&gt;&lt;mo&gt;&amp;#x2212;&lt;/mo&gt;&lt;msub&gt;&lt;mi&gt;&amp;#x3B5;&lt;/mi&gt;&lt;mi&gt;x&lt;/mi&gt;&lt;/msub&gt;&lt;/mrow&gt;&lt;/mfenced&gt;&lt;mi&gt;cos&lt;/mi&gt;&lt;mi&gt;&amp;#x3B8;&lt;/mi&gt;&lt;mi&gt;sin&lt;/mi&gt;&lt;mi&gt;&amp;#x3B8;&lt;/mi&gt;&lt;/mtd&gt;&lt;mtd&gt;&lt;msub&gt;&lt;mi&gt;&amp;#x3B5;&lt;/mi&gt;&lt;mi&gt;y&lt;/mi&gt;&lt;/msub&gt;&lt;msup&gt;&lt;mi&gt;cos&lt;/mi&gt;&lt;mn&gt;2&lt;/mn&gt;&lt;/msup&gt;&lt;mi&gt;&amp;#x3B8;&lt;/mi&gt;&lt;mo&gt;+&lt;/mo&gt;&lt;msub&gt;&lt;mi&gt;&amp;#x3B5;&lt;/mi&gt;&lt;mi&gt;x&lt;/mi&gt;&lt;/msub&gt;&lt;msup&gt;&lt;mi&gt;sin&lt;/mi&gt;&lt;mn&gt;2&lt;/mn&gt;&lt;/msup&gt;&lt;mi&gt;&amp;#x3B8;&lt;/mi&gt;&lt;/mtd&gt;&lt;mtd&gt;&lt;mn&gt;0&lt;/mn&gt;&lt;/mtd&gt;&lt;/mtr&gt;&lt;mtr&gt;&lt;mtd&gt;&lt;mn&gt;0&lt;/mn&gt;&lt;/mtd&gt;&lt;mtd&gt;&lt;mn&gt;0&lt;/mn&gt;&lt;/mtd&gt;&lt;mtd&gt;&lt;msub&gt;&lt;mi&gt;&amp;#x3B5;&lt;/mi&gt;&lt;mi&gt;z&lt;/mi&gt;&lt;/msub&gt;&lt;/mtd&gt;&lt;/mtr&gt;&lt;/mtable&gt;&lt;/mfenced&gt;&lt;mo&gt;.&lt;/mo&gt;&lt;/mstyle&gt;&lt;/math&gt;&quot;,&quot;origin&quot;:&quot;MathType for Microsoft Add-in&quot;}" title="bold italic epsilon （ 小写 ） 的 theta （ 小写 ） 次方 等於 左中括號 表格 列 開始儲存格 epsilon （ 小写 ） 下標 x cos 平方 theta （ 小写 ） 加 epsilon （ 小写 ） 下標 y sin 平方 theta （ 小写 ） 結束儲存格 開始儲存格 左小括號 epsilon （ 小写 ） 下標 y 減 epsilon （ 小写 ） 下標 x 右小括號 cos theta （ 小写 ） sin theta （ 小写 ） 結束儲存格 0 結束列 列 開始儲存格 左小括號 epsilon （ 小写 ） 下標 y 減 epsilon （ 小写 ） 下標 x 右小括號 cos theta （ 小写 ） sin theta （ 小写 ） 結束儲存格 開始儲存格 epsilon （ 小写 ） 下標 y cos 平方 theta （ 小写 ） 加 epsilon （ 小写 ） 下標 x sin 平方 theta （ 小写 ） 結束儲存格 0 結束列 列 0 0 開始儲存格 epsilon （ 小写 ） 下標 z 結束儲存格 結束列 結束表格 右中括號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64" cy="8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MingLiU"/>
          <w:sz w:val="18"/>
          <w:szCs w:val="18"/>
          <w:lang w:eastAsia="de-DE"/>
          <w14:numSpacing w14:val="proportional"/>
        </w:rPr>
        <w:tab/>
        <w:t xml:space="preserve">                     </w:t>
      </w:r>
      <w:r>
        <w:rPr>
          <w:rFonts w:eastAsia="PMingLiU"/>
          <w:sz w:val="20"/>
          <w:szCs w:val="20"/>
          <w:lang w:eastAsia="de-DE"/>
          <w14:numSpacing w14:val="proportional"/>
        </w:rPr>
        <w:t>(S4)</w:t>
      </w:r>
    </w:p>
    <w:p w14:paraId="74F3741F" w14:textId="77777777" w:rsidR="00502964" w:rsidRDefault="00502964" w:rsidP="00502964">
      <w:pPr>
        <w:spacing w:line="480" w:lineRule="auto"/>
        <w:jc w:val="both"/>
        <w:rPr>
          <w:lang w:eastAsia="zh-TW"/>
        </w:rPr>
      </w:pPr>
    </w:p>
    <w:p w14:paraId="3ABACFE9" w14:textId="77777777" w:rsidR="00502964" w:rsidRDefault="00502964" w:rsidP="00502964"/>
    <w:p w14:paraId="2BC6E0DB" w14:textId="77777777" w:rsidR="00502964" w:rsidRPr="00093391" w:rsidRDefault="00502964" w:rsidP="00502964"/>
    <w:p w14:paraId="07AD08C7" w14:textId="77777777" w:rsidR="00EB69A4" w:rsidRDefault="00EB69A4"/>
    <w:sectPr w:rsidR="00EB69A4">
      <w:headerReference w:type="default" r:id="rId33"/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8F8B1" w14:textId="77777777" w:rsidR="00D83B63" w:rsidRDefault="00D83B63" w:rsidP="00502964">
      <w:pPr>
        <w:spacing w:after="0" w:line="240" w:lineRule="auto"/>
      </w:pPr>
      <w:r>
        <w:separator/>
      </w:r>
    </w:p>
  </w:endnote>
  <w:endnote w:type="continuationSeparator" w:id="0">
    <w:p w14:paraId="389464FF" w14:textId="77777777" w:rsidR="00D83B63" w:rsidRDefault="00D83B63" w:rsidP="00502964">
      <w:pPr>
        <w:spacing w:after="0" w:line="240" w:lineRule="auto"/>
      </w:pPr>
      <w:r>
        <w:continuationSeparator/>
      </w:r>
    </w:p>
  </w:endnote>
  <w:endnote w:id="1">
    <w:p w14:paraId="565D2B7E" w14:textId="77777777" w:rsidR="00502964" w:rsidRDefault="00502964" w:rsidP="00502964">
      <w:pPr>
        <w:ind w:left="34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7D993" w14:textId="77777777" w:rsidR="006F3ADD" w:rsidRDefault="0050296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3B52CE25" w14:textId="77777777" w:rsidR="006F3ADD" w:rsidRDefault="006F3ADD" w:rsidP="0088145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E7D2E" w14:textId="77777777" w:rsidR="00D83B63" w:rsidRDefault="00D83B63" w:rsidP="00502964">
      <w:pPr>
        <w:spacing w:after="0" w:line="240" w:lineRule="auto"/>
      </w:pPr>
      <w:r>
        <w:separator/>
      </w:r>
    </w:p>
  </w:footnote>
  <w:footnote w:type="continuationSeparator" w:id="0">
    <w:p w14:paraId="41893CEF" w14:textId="77777777" w:rsidR="00D83B63" w:rsidRDefault="00D83B63" w:rsidP="00502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3188" w14:textId="77777777" w:rsidR="006F3ADD" w:rsidRPr="009B44CC" w:rsidRDefault="00502964" w:rsidP="009B44CC">
    <w:pPr>
      <w:pStyle w:val="Nagwek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74D43"/>
    <w:multiLevelType w:val="hybridMultilevel"/>
    <w:tmpl w:val="B12C5B8E"/>
    <w:lvl w:ilvl="0" w:tplc="9FA88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22723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64"/>
    <w:rsid w:val="002C0AEC"/>
    <w:rsid w:val="00502964"/>
    <w:rsid w:val="006F3ADD"/>
    <w:rsid w:val="00820951"/>
    <w:rsid w:val="008A3446"/>
    <w:rsid w:val="009654D7"/>
    <w:rsid w:val="00B63B10"/>
    <w:rsid w:val="00C45013"/>
    <w:rsid w:val="00D0331B"/>
    <w:rsid w:val="00D83B63"/>
    <w:rsid w:val="00EB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AA593"/>
  <w15:docId w15:val="{61C39849-C78D-8344-ACC3-0B5AB92E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02964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NagwekZnak">
    <w:name w:val="Nagłówek Znak"/>
    <w:basedOn w:val="Domylnaczcionkaakapitu"/>
    <w:link w:val="Nagwek"/>
    <w:uiPriority w:val="99"/>
    <w:rsid w:val="00502964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Stopka">
    <w:name w:val="footer"/>
    <w:basedOn w:val="Normalny"/>
    <w:link w:val="StopkaZnak"/>
    <w:uiPriority w:val="99"/>
    <w:rsid w:val="00502964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StopkaZnak">
    <w:name w:val="Stopka Znak"/>
    <w:basedOn w:val="Domylnaczcionkaakapitu"/>
    <w:link w:val="Stopka"/>
    <w:uiPriority w:val="99"/>
    <w:rsid w:val="00502964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Akapitzlist">
    <w:name w:val="List Paragraph"/>
    <w:basedOn w:val="Normalny"/>
    <w:uiPriority w:val="34"/>
    <w:qFormat/>
    <w:rsid w:val="00502964"/>
    <w:pPr>
      <w:ind w:left="720"/>
      <w:contextualSpacing/>
    </w:pPr>
    <w:rPr>
      <w:rFonts w:ascii="Calibri" w:eastAsia="Calibri" w:hAnsi="Calibri" w:cs="Times New Roman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634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fr391_sing</dc:creator>
  <cp:lastModifiedBy>Zuk, Justyna</cp:lastModifiedBy>
  <cp:revision>2</cp:revision>
  <dcterms:created xsi:type="dcterms:W3CDTF">2024-04-23T07:49:00Z</dcterms:created>
  <dcterms:modified xsi:type="dcterms:W3CDTF">2024-04-23T07:49:00Z</dcterms:modified>
</cp:coreProperties>
</file>