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A5553" w14:textId="77777777" w:rsidR="007F66EB" w:rsidRDefault="00000000">
      <w:pPr>
        <w:suppressAutoHyphens/>
        <w:spacing w:line="480" w:lineRule="auto"/>
        <w:jc w:val="center"/>
        <w:rPr>
          <w:rFonts w:eastAsia="MS Mincho" w:cs="Times New Roman"/>
          <w:sz w:val="32"/>
          <w:szCs w:val="32"/>
          <w:lang w:eastAsia="he-IL" w:bidi="he-IL"/>
        </w:rPr>
      </w:pPr>
      <w:bookmarkStart w:id="0" w:name="_Hlk512510336"/>
      <w:r>
        <w:rPr>
          <w:rFonts w:eastAsia="MS Mincho" w:cs="Times New Roman"/>
          <w:sz w:val="32"/>
          <w:szCs w:val="32"/>
          <w:lang w:eastAsia="he-IL" w:bidi="he-IL"/>
        </w:rPr>
        <w:t xml:space="preserve">Supplementary </w:t>
      </w:r>
      <w:r>
        <w:rPr>
          <w:rFonts w:cs="Times New Roman" w:hint="eastAsia"/>
          <w:sz w:val="32"/>
          <w:szCs w:val="32"/>
          <w:lang w:eastAsia="zh-CN" w:bidi="he-IL"/>
        </w:rPr>
        <w:t>I</w:t>
      </w:r>
      <w:r>
        <w:rPr>
          <w:rFonts w:eastAsia="MS Mincho" w:cs="Times New Roman"/>
          <w:sz w:val="32"/>
          <w:szCs w:val="32"/>
          <w:lang w:eastAsia="he-IL" w:bidi="he-IL"/>
        </w:rPr>
        <w:t>nformation</w:t>
      </w:r>
    </w:p>
    <w:p w14:paraId="3FA7FBB6" w14:textId="77777777" w:rsidR="007F66EB" w:rsidRDefault="00000000">
      <w:pPr>
        <w:suppressAutoHyphens/>
        <w:spacing w:line="480" w:lineRule="auto"/>
        <w:rPr>
          <w:rFonts w:cs="Times New Roman"/>
          <w:sz w:val="40"/>
          <w:lang w:bidi="he-IL"/>
        </w:rPr>
      </w:pPr>
      <w:r>
        <w:rPr>
          <w:rFonts w:cs="Times New Roman"/>
          <w:sz w:val="40"/>
          <w:lang w:bidi="he-IL"/>
        </w:rPr>
        <w:t>P</w:t>
      </w:r>
      <w:r>
        <w:rPr>
          <w:rFonts w:cs="Times New Roman" w:hint="eastAsia"/>
          <w:sz w:val="40"/>
          <w:lang w:bidi="he-IL"/>
        </w:rPr>
        <w:t xml:space="preserve">lasmonic signal modulation at sub-GHz frequency via on-chip integration of tunnel junctions </w:t>
      </w:r>
    </w:p>
    <w:p w14:paraId="2A70558D" w14:textId="45AB13AA" w:rsidR="007F66EB" w:rsidRDefault="00000000">
      <w:pPr>
        <w:suppressAutoHyphens/>
        <w:spacing w:line="480" w:lineRule="auto"/>
        <w:rPr>
          <w:rFonts w:cs="Times New Roman"/>
          <w:i/>
          <w:lang w:bidi="he-IL"/>
        </w:rPr>
      </w:pPr>
      <w:proofErr w:type="spellStart"/>
      <w:r>
        <w:rPr>
          <w:rFonts w:cs="Times New Roman" w:hint="eastAsia"/>
          <w:i/>
          <w:lang w:bidi="he-IL"/>
        </w:rPr>
        <w:t>Fangwei</w:t>
      </w:r>
      <w:proofErr w:type="spellEnd"/>
      <w:r>
        <w:rPr>
          <w:rFonts w:cs="Times New Roman" w:hint="eastAsia"/>
          <w:i/>
          <w:lang w:bidi="he-IL"/>
        </w:rPr>
        <w:t xml:space="preserve"> Wang</w:t>
      </w:r>
      <w:r>
        <w:rPr>
          <w:rFonts w:eastAsia="MS Mincho" w:cs="Times New Roman"/>
          <w:i/>
          <w:vertAlign w:val="superscript"/>
          <w:lang w:eastAsia="he-IL" w:bidi="he-IL"/>
        </w:rPr>
        <w:t>1,2</w:t>
      </w:r>
      <w:r>
        <w:rPr>
          <w:rFonts w:cs="Times New Roman" w:hint="eastAsia"/>
          <w:i/>
          <w:lang w:bidi="he-IL"/>
        </w:rPr>
        <w:t xml:space="preserve">, </w:t>
      </w:r>
      <w:proofErr w:type="spellStart"/>
      <w:r>
        <w:rPr>
          <w:rFonts w:cs="Times New Roman" w:hint="eastAsia"/>
          <w:i/>
          <w:lang w:bidi="he-IL"/>
        </w:rPr>
        <w:t>Baohu</w:t>
      </w:r>
      <w:proofErr w:type="spellEnd"/>
      <w:r>
        <w:rPr>
          <w:rFonts w:cs="Times New Roman" w:hint="eastAsia"/>
          <w:i/>
          <w:lang w:bidi="he-IL"/>
        </w:rPr>
        <w:t xml:space="preserve"> Huang</w:t>
      </w:r>
      <w:r>
        <w:rPr>
          <w:rFonts w:cs="Times New Roman" w:hint="eastAsia"/>
          <w:i/>
          <w:vertAlign w:val="superscript"/>
          <w:lang w:bidi="he-IL"/>
        </w:rPr>
        <w:t>1</w:t>
      </w:r>
      <w:r>
        <w:rPr>
          <w:rFonts w:cs="Times New Roman" w:hint="eastAsia"/>
          <w:i/>
          <w:lang w:bidi="he-IL"/>
        </w:rPr>
        <w:t>, Yan Liu</w:t>
      </w:r>
      <w:r>
        <w:rPr>
          <w:rFonts w:cs="Times New Roman" w:hint="eastAsia"/>
          <w:i/>
          <w:vertAlign w:val="superscript"/>
          <w:lang w:bidi="he-IL"/>
        </w:rPr>
        <w:t>1</w:t>
      </w:r>
      <w:r>
        <w:rPr>
          <w:rFonts w:cs="Times New Roman" w:hint="eastAsia"/>
          <w:i/>
          <w:lang w:bidi="he-IL"/>
        </w:rPr>
        <w:t xml:space="preserve">, </w:t>
      </w:r>
      <w:proofErr w:type="spellStart"/>
      <w:r>
        <w:rPr>
          <w:rFonts w:cs="Times New Roman" w:hint="eastAsia"/>
          <w:i/>
          <w:lang w:bidi="he-IL"/>
        </w:rPr>
        <w:t>Siping</w:t>
      </w:r>
      <w:proofErr w:type="spellEnd"/>
      <w:r>
        <w:rPr>
          <w:rFonts w:cs="Times New Roman" w:hint="eastAsia"/>
          <w:i/>
          <w:lang w:bidi="he-IL"/>
        </w:rPr>
        <w:t xml:space="preserve"> Gao</w:t>
      </w:r>
      <w:r>
        <w:rPr>
          <w:rFonts w:cs="Times New Roman" w:hint="eastAsia"/>
          <w:i/>
          <w:vertAlign w:val="superscript"/>
          <w:lang w:bidi="he-IL"/>
        </w:rPr>
        <w:t>1</w:t>
      </w:r>
      <w:r>
        <w:rPr>
          <w:rFonts w:cs="Times New Roman" w:hint="eastAsia"/>
          <w:i/>
          <w:lang w:bidi="he-IL"/>
        </w:rPr>
        <w:t xml:space="preserve">, </w:t>
      </w:r>
      <w:proofErr w:type="spellStart"/>
      <w:r>
        <w:rPr>
          <w:rFonts w:cs="Times New Roman" w:hint="eastAsia"/>
          <w:i/>
          <w:lang w:bidi="he-IL"/>
        </w:rPr>
        <w:t>Yongxin</w:t>
      </w:r>
      <w:proofErr w:type="spellEnd"/>
      <w:r>
        <w:rPr>
          <w:rFonts w:cs="Times New Roman" w:hint="eastAsia"/>
          <w:i/>
          <w:lang w:bidi="he-IL"/>
        </w:rPr>
        <w:t xml:space="preserve"> Guo</w:t>
      </w:r>
      <w:r>
        <w:rPr>
          <w:rFonts w:cs="Times New Roman" w:hint="eastAsia"/>
          <w:i/>
          <w:vertAlign w:val="superscript"/>
          <w:lang w:bidi="he-IL"/>
        </w:rPr>
        <w:t>1</w:t>
      </w:r>
      <w:r>
        <w:rPr>
          <w:rFonts w:cs="Times New Roman"/>
          <w:i/>
          <w:vertAlign w:val="superscript"/>
          <w:lang w:bidi="he-IL"/>
        </w:rPr>
        <w:t>,2*</w:t>
      </w:r>
      <w:r>
        <w:rPr>
          <w:rFonts w:cs="Times New Roman" w:hint="eastAsia"/>
          <w:i/>
          <w:lang w:bidi="he-IL"/>
        </w:rPr>
        <w:t>, Qian Zhang</w:t>
      </w:r>
      <w:r w:rsidRPr="00B37B6C">
        <w:rPr>
          <w:rFonts w:cs="Times New Roman" w:hint="eastAsia"/>
          <w:i/>
          <w:highlight w:val="yellow"/>
          <w:vertAlign w:val="superscript"/>
          <w:lang w:bidi="he-IL"/>
        </w:rPr>
        <w:t>2</w:t>
      </w:r>
      <w:r w:rsidR="00B37B6C" w:rsidRPr="00B37B6C">
        <w:rPr>
          <w:rFonts w:cs="Times New Roman"/>
          <w:i/>
          <w:highlight w:val="yellow"/>
          <w:vertAlign w:val="superscript"/>
          <w:lang w:bidi="he-IL"/>
        </w:rPr>
        <w:t>,3</w:t>
      </w:r>
      <w:r w:rsidRPr="00B37B6C">
        <w:rPr>
          <w:rFonts w:cs="Times New Roman"/>
          <w:i/>
          <w:highlight w:val="yellow"/>
          <w:vertAlign w:val="superscript"/>
          <w:lang w:bidi="he-IL"/>
        </w:rPr>
        <w:t>*</w:t>
      </w:r>
    </w:p>
    <w:p w14:paraId="328ED34C" w14:textId="77777777" w:rsidR="007F66EB" w:rsidRDefault="007F66EB">
      <w:pPr>
        <w:suppressAutoHyphens/>
        <w:spacing w:line="480" w:lineRule="auto"/>
        <w:rPr>
          <w:rFonts w:cs="Times New Roman"/>
          <w:i/>
          <w:lang w:bidi="he-IL"/>
        </w:rPr>
      </w:pPr>
    </w:p>
    <w:p w14:paraId="2C4CD29E" w14:textId="77777777" w:rsidR="007F66EB" w:rsidRDefault="00000000">
      <w:pPr>
        <w:suppressAutoHyphens/>
        <w:spacing w:line="480" w:lineRule="auto"/>
        <w:rPr>
          <w:rFonts w:eastAsia="MS Mincho" w:cs="Times New Roman"/>
          <w:lang w:val="en-IE" w:eastAsia="he-IL" w:bidi="he-IL"/>
        </w:rPr>
      </w:pPr>
      <w:r>
        <w:rPr>
          <w:rFonts w:cs="Times New Roman"/>
          <w:vertAlign w:val="superscript"/>
          <w:lang w:val="en-IE" w:bidi="he-IL"/>
        </w:rPr>
        <w:t>1</w:t>
      </w:r>
      <w:r>
        <w:rPr>
          <w:rFonts w:eastAsia="MS Mincho" w:cs="Times New Roman" w:hint="eastAsia"/>
          <w:lang w:val="en-IE" w:eastAsia="he-IL" w:bidi="he-IL"/>
        </w:rPr>
        <w:t>Department of Electrical and Computer Engineering, National University of Singapore, Singapore</w:t>
      </w:r>
    </w:p>
    <w:p w14:paraId="1A38C03B" w14:textId="77777777" w:rsidR="007F66EB" w:rsidRDefault="00000000">
      <w:pPr>
        <w:suppressAutoHyphens/>
        <w:spacing w:line="480" w:lineRule="auto"/>
        <w:rPr>
          <w:rFonts w:cs="Times New Roman"/>
          <w:lang w:bidi="he-IL"/>
        </w:rPr>
      </w:pPr>
      <w:r>
        <w:rPr>
          <w:rFonts w:cs="Times New Roman" w:hint="eastAsia"/>
          <w:vertAlign w:val="superscript"/>
          <w:lang w:bidi="he-IL"/>
        </w:rPr>
        <w:t>2</w:t>
      </w:r>
      <w:r>
        <w:rPr>
          <w:rFonts w:cs="Times New Roman" w:hint="eastAsia"/>
          <w:lang w:bidi="he-IL"/>
        </w:rPr>
        <w:t>Intelligent Sensing and AI Center, National University of Singapore (Chongqing) Research Institute, Chongqing 401123, China</w:t>
      </w:r>
    </w:p>
    <w:p w14:paraId="6979D2F6" w14:textId="0FD2A8B0" w:rsidR="00B37B6C" w:rsidRDefault="00B37B6C" w:rsidP="00B37B6C">
      <w:pPr>
        <w:pStyle w:val="BCAuthorAddress"/>
        <w:jc w:val="left"/>
      </w:pPr>
      <w:r w:rsidRPr="00B37B6C">
        <w:rPr>
          <w:rFonts w:hint="eastAsia"/>
          <w:highlight w:val="yellow"/>
          <w:vertAlign w:val="superscript"/>
          <w:lang w:eastAsia="zh-CN" w:bidi="he-IL"/>
        </w:rPr>
        <w:t>3</w:t>
      </w:r>
      <w:r w:rsidRPr="00B37B6C">
        <w:rPr>
          <w:highlight w:val="yellow"/>
          <w:lang w:bidi="ar"/>
        </w:rPr>
        <w:t>School of Chemistry and Chemical Engineering, Chongqing University, Chongqing 400044, China</w:t>
      </w:r>
    </w:p>
    <w:p w14:paraId="57AC1AE1" w14:textId="019F2819" w:rsidR="00B37B6C" w:rsidRPr="00B37B6C" w:rsidRDefault="00B37B6C">
      <w:pPr>
        <w:suppressAutoHyphens/>
        <w:spacing w:line="480" w:lineRule="auto"/>
        <w:rPr>
          <w:rFonts w:cs="Times New Roman" w:hint="eastAsia"/>
          <w:lang w:eastAsia="zh-CN" w:bidi="he-IL"/>
        </w:rPr>
      </w:pPr>
    </w:p>
    <w:p w14:paraId="0E336031" w14:textId="77777777" w:rsidR="007F66EB" w:rsidRDefault="00000000">
      <w:pPr>
        <w:suppressAutoHyphens/>
        <w:spacing w:line="480" w:lineRule="auto"/>
        <w:rPr>
          <w:rFonts w:cs="Times New Roman"/>
          <w:lang w:bidi="he-IL"/>
        </w:rPr>
      </w:pPr>
      <w:r>
        <w:rPr>
          <w:rFonts w:eastAsia="MS Mincho" w:cs="Times New Roman"/>
          <w:lang w:eastAsia="he-IL" w:bidi="he-IL"/>
        </w:rPr>
        <w:t xml:space="preserve">*Author to whom correspondence should be addressed: </w:t>
      </w:r>
      <w:hyperlink r:id="rId8" w:history="1">
        <w:r>
          <w:rPr>
            <w:rStyle w:val="af2"/>
            <w:rFonts w:eastAsia="MS Mincho" w:cs="Times New Roman" w:hint="eastAsia"/>
            <w:lang w:eastAsia="he-IL" w:bidi="he-IL"/>
          </w:rPr>
          <w:t>eleguoyx@nus.edu.sg</w:t>
        </w:r>
      </w:hyperlink>
      <w:r>
        <w:rPr>
          <w:rFonts w:cs="Times New Roman" w:hint="eastAsia"/>
          <w:lang w:bidi="he-IL"/>
        </w:rPr>
        <w:t xml:space="preserve"> and </w:t>
      </w:r>
      <w:hyperlink r:id="rId9" w:history="1">
        <w:r>
          <w:rPr>
            <w:rStyle w:val="af2"/>
            <w:rFonts w:cs="Times New Roman" w:hint="eastAsia"/>
            <w:lang w:bidi="he-IL"/>
          </w:rPr>
          <w:t>qian.zhang@nusricq.cn</w:t>
        </w:r>
      </w:hyperlink>
      <w:r>
        <w:rPr>
          <w:rFonts w:cs="Times New Roman" w:hint="eastAsia"/>
          <w:lang w:bidi="he-IL"/>
        </w:rPr>
        <w:t xml:space="preserve"> </w:t>
      </w:r>
    </w:p>
    <w:p w14:paraId="63FDF996" w14:textId="77777777" w:rsidR="007F66EB" w:rsidRDefault="007F66EB">
      <w:pPr>
        <w:spacing w:line="480" w:lineRule="auto"/>
        <w:rPr>
          <w:rFonts w:cs="Times New Roman"/>
        </w:rPr>
      </w:pPr>
    </w:p>
    <w:p w14:paraId="215CDBC4" w14:textId="77777777" w:rsidR="007F66EB" w:rsidRDefault="007F66EB">
      <w:pPr>
        <w:spacing w:line="480" w:lineRule="auto"/>
        <w:rPr>
          <w:rFonts w:eastAsia="MS Mincho" w:cs="Times New Roman"/>
          <w:lang w:eastAsia="he-IL" w:bidi="he-IL"/>
        </w:rPr>
      </w:pPr>
    </w:p>
    <w:p w14:paraId="0267B3BE" w14:textId="77777777" w:rsidR="007F66EB" w:rsidRDefault="007F66EB">
      <w:pPr>
        <w:spacing w:line="480" w:lineRule="auto"/>
        <w:rPr>
          <w:rFonts w:eastAsia="MS Mincho" w:cs="Times New Roman"/>
          <w:lang w:eastAsia="he-IL" w:bidi="he-IL"/>
        </w:rPr>
      </w:pPr>
    </w:p>
    <w:p w14:paraId="5F6722B7" w14:textId="77777777" w:rsidR="007F66EB" w:rsidRDefault="007F66EB">
      <w:pPr>
        <w:spacing w:line="480" w:lineRule="auto"/>
        <w:rPr>
          <w:rFonts w:eastAsia="MS Mincho" w:cs="Times New Roman"/>
          <w:lang w:eastAsia="he-IL" w:bidi="he-IL"/>
        </w:rPr>
      </w:pPr>
    </w:p>
    <w:p w14:paraId="12ABA425" w14:textId="77777777" w:rsidR="007F66EB" w:rsidRDefault="007F66EB">
      <w:pPr>
        <w:spacing w:line="480" w:lineRule="auto"/>
        <w:rPr>
          <w:rFonts w:eastAsia="MS Mincho" w:cs="Times New Roman"/>
          <w:lang w:eastAsia="he-IL" w:bidi="he-IL"/>
        </w:rPr>
      </w:pPr>
    </w:p>
    <w:p w14:paraId="5DC4EBDE" w14:textId="77777777" w:rsidR="007F66EB" w:rsidRDefault="007F66EB">
      <w:pPr>
        <w:spacing w:line="480" w:lineRule="auto"/>
        <w:rPr>
          <w:rFonts w:eastAsia="MS Mincho" w:cs="Times New Roman"/>
          <w:lang w:eastAsia="he-IL" w:bidi="he-IL"/>
        </w:rPr>
      </w:pPr>
    </w:p>
    <w:p w14:paraId="669987FA" w14:textId="77777777" w:rsidR="007F66EB" w:rsidRDefault="007F66EB">
      <w:pPr>
        <w:spacing w:line="480" w:lineRule="auto"/>
        <w:rPr>
          <w:rFonts w:eastAsia="MS Mincho" w:cs="Times New Roman"/>
          <w:lang w:eastAsia="he-IL" w:bidi="he-IL"/>
        </w:rPr>
      </w:pPr>
    </w:p>
    <w:p w14:paraId="2B0263FA" w14:textId="77777777" w:rsidR="007F66EB" w:rsidRDefault="007F66EB">
      <w:pPr>
        <w:spacing w:line="480" w:lineRule="auto"/>
        <w:rPr>
          <w:rFonts w:eastAsia="MS Mincho" w:cs="Times New Roman"/>
          <w:lang w:eastAsia="he-IL" w:bidi="he-IL"/>
        </w:rPr>
      </w:pPr>
    </w:p>
    <w:p w14:paraId="15C245B7" w14:textId="77777777" w:rsidR="007F66EB" w:rsidRDefault="007F66EB">
      <w:pPr>
        <w:spacing w:line="480" w:lineRule="auto"/>
        <w:rPr>
          <w:rFonts w:eastAsia="MS Mincho" w:cs="Times New Roman"/>
          <w:lang w:eastAsia="he-IL" w:bidi="he-IL"/>
        </w:rPr>
      </w:pPr>
    </w:p>
    <w:p w14:paraId="72595CA2" w14:textId="77777777" w:rsidR="007F66EB" w:rsidRDefault="00000000">
      <w:pPr>
        <w:pStyle w:val="2"/>
        <w:keepNext w:val="0"/>
        <w:keepLines w:val="0"/>
        <w:widowControl w:val="0"/>
        <w:rPr>
          <w:rFonts w:eastAsia="宋体"/>
          <w:lang w:eastAsia="zh-CN"/>
        </w:rPr>
      </w:pPr>
      <w:bookmarkStart w:id="1" w:name="_Toc76455580"/>
      <w:bookmarkEnd w:id="0"/>
      <w:r>
        <w:rPr>
          <w:lang w:val="en-GB"/>
        </w:rPr>
        <w:lastRenderedPageBreak/>
        <w:t xml:space="preserve">S1 </w:t>
      </w:r>
      <w:r>
        <w:rPr>
          <w:rFonts w:eastAsia="宋体" w:hint="eastAsia"/>
          <w:lang w:eastAsia="zh-CN"/>
        </w:rPr>
        <w:t>Comparison with state-of-the-art plasmonic modulation based on tunnel junctions</w:t>
      </w:r>
    </w:p>
    <w:p w14:paraId="6943A783" w14:textId="77777777" w:rsidR="007F66EB" w:rsidRDefault="00000000">
      <w:pPr>
        <w:pStyle w:val="2"/>
        <w:keepNext w:val="0"/>
        <w:keepLines w:val="0"/>
        <w:widowControl w:val="0"/>
        <w:ind w:firstLineChars="200" w:firstLine="480"/>
        <w:rPr>
          <w:rFonts w:eastAsia="宋体"/>
          <w:b w:val="0"/>
          <w:bCs w:val="0"/>
          <w:lang w:eastAsia="zh-CN"/>
        </w:rPr>
      </w:pPr>
      <w:r>
        <w:rPr>
          <w:rFonts w:eastAsia="宋体" w:hint="eastAsia"/>
          <w:b w:val="0"/>
          <w:bCs w:val="0"/>
          <w:lang w:eastAsia="zh-CN"/>
        </w:rPr>
        <w:t>Tunnel junctions have been regarded as one of the most promising platforms to achieve on-chip integrated circuits with ultrafast modulation speed around THz due to the ultrasmall device footprint and femtoseconds quantum tunneling timescale. To better demonstrate the novelty of this work, we have conducted an exhaustive literature review shown in Table S1, and compare our result with the state of the art of plasmonic modulation based on tunnel junctions. We would love to emphasize three major aspects and new insights of our work to separate from the previous reports. To begin with, we have demonstrated electronic-plasmonic signal modulation at sub-GHz frequency for the first time. To our knowledge, the electronic-plasmonic modulation frequency was demonstrated as high as 1 MHz in previous literature.</w:t>
      </w:r>
      <w:r>
        <w:rPr>
          <w:rFonts w:eastAsia="宋体" w:hint="eastAsia"/>
          <w:b w:val="0"/>
          <w:bCs w:val="0"/>
          <w:lang w:eastAsia="zh-CN"/>
        </w:rPr>
        <w:fldChar w:fldCharType="begin"/>
      </w:r>
      <w:r>
        <w:rPr>
          <w:rFonts w:eastAsia="宋体" w:hint="eastAsia"/>
          <w:b w:val="0"/>
          <w:bCs w:val="0"/>
          <w:lang w:eastAsia="zh-CN"/>
        </w:rPr>
        <w:instrText xml:space="preserve"> ADDIN  EN.CITE &lt;EndNote&gt;&lt;Cite&gt;&lt;Author&gt;Du&lt;/Author&gt;&lt;Year&gt;2017&lt;/Year&gt;&lt;RecNum&gt;5&lt;/RecNum&gt;&lt;DisplayText&gt;&lt;style face="superscript"&gt;1&lt;/style&gt;&lt;/DisplayText&gt;&lt;record&gt;&lt;rec-number&gt;5&lt;/rec-number&gt;&lt;foreign-keys&gt;&lt;key app="EN" db-id="rasaxpdacsd5vae225t5a5a8dzd0w90zddd0" timestamp="1685445107"&gt;5&lt;/key&gt;&lt;/foreign-keys&gt;&lt;ref-type name="Journal Article"&gt;17&lt;/ref-type&gt;&lt;contributors&gt;&lt;authors&gt;&lt;author&gt;Du, Wei&lt;/author&gt;&lt;author&gt;Wang, Tao&lt;/author&gt;&lt;author&gt;Chu, Hong-Son&lt;/author&gt;&lt;author&gt;Nijhuis, Christian A.&lt;/author&gt;&lt;/authors&gt;&lt;/contributors&gt;&lt;titles&gt;&lt;title&gt;Highly efficient on-chip direct electronic</w:instrText>
      </w:r>
      <w:r>
        <w:rPr>
          <w:rFonts w:eastAsia="宋体" w:hint="eastAsia"/>
          <w:b w:val="0"/>
          <w:bCs w:val="0"/>
          <w:lang w:eastAsia="zh-CN"/>
        </w:rPr>
        <w:instrText>–</w:instrText>
      </w:r>
      <w:r>
        <w:rPr>
          <w:rFonts w:eastAsia="宋体" w:hint="eastAsia"/>
          <w:b w:val="0"/>
          <w:bCs w:val="0"/>
          <w:lang w:eastAsia="zh-CN"/>
        </w:rPr>
        <w:instrText>plasmonic transducers&lt;/title&gt;&lt;secondary-title&gt;Nature Photonics&lt;/secondary-title&gt;&lt;/titles&gt;&lt;periodical&gt;&lt;full-title&gt;Nature Photonics&lt;/full-title&gt;&lt;/periodical&gt;&lt;pages&gt;623-627&lt;/pages&gt;&lt;volume&gt;11&lt;/volume&gt;&lt;number&gt;10&lt;/number&gt;&lt;dates&gt;&lt;year&gt;2017&lt;/year&gt;&lt;pub-dates&gt;&lt;date&gt;2017/10/01&lt;/date&gt;&lt;/pub-dates&gt;&lt;/dates&gt;&lt;isbn&gt;1749-4893&lt;/isbn&gt;&lt;urls&gt;&lt;related-urls&gt;&lt;url&gt;https://doi.org/10.1038/s41566-017-0003-5&lt;/url&gt;&lt;/related-urls&gt;&lt;/urls&gt;&lt;electronic-resource-num&gt;10.1038/s41566-017-0003-5&lt;/electronic-resource-num&gt;&lt;/record&gt;&lt;/Cite&gt;&lt;/EndNote&gt;</w:instrText>
      </w:r>
      <w:r>
        <w:rPr>
          <w:rFonts w:eastAsia="宋体" w:hint="eastAsia"/>
          <w:b w:val="0"/>
          <w:bCs w:val="0"/>
          <w:lang w:eastAsia="zh-CN"/>
        </w:rPr>
        <w:fldChar w:fldCharType="separate"/>
      </w:r>
      <w:r>
        <w:rPr>
          <w:rFonts w:eastAsia="宋体" w:hint="eastAsia"/>
          <w:b w:val="0"/>
          <w:bCs w:val="0"/>
          <w:vertAlign w:val="superscript"/>
          <w:lang w:eastAsia="zh-CN"/>
        </w:rPr>
        <w:t>1</w:t>
      </w:r>
      <w:r>
        <w:rPr>
          <w:rFonts w:eastAsia="宋体" w:hint="eastAsia"/>
          <w:b w:val="0"/>
          <w:bCs w:val="0"/>
          <w:lang w:eastAsia="zh-CN"/>
        </w:rPr>
        <w:fldChar w:fldCharType="end"/>
      </w:r>
      <w:r>
        <w:rPr>
          <w:rFonts w:eastAsia="宋体" w:hint="eastAsia"/>
          <w:b w:val="0"/>
          <w:bCs w:val="0"/>
          <w:lang w:eastAsia="zh-CN"/>
        </w:rPr>
        <w:t xml:space="preserve"> Our result shows that the modulation frequency can be further pushed and challenged to GHz or even above with proper measurement designs and impedance-matching device configurations. </w:t>
      </w:r>
      <w:r w:rsidRPr="00B37B6C">
        <w:rPr>
          <w:rFonts w:eastAsia="宋体" w:hint="eastAsia"/>
          <w:b w:val="0"/>
          <w:bCs w:val="0"/>
          <w:lang w:eastAsia="zh-CN"/>
        </w:rPr>
        <w:t>Here in this work, we have utilized GSG configurations to minimize the impedance mismatch between the RF signals and the tunnel junctions. On the contrary, GS (ground-signal) connections are typically used in other reports without considering possible impedance mismatch at high frequencies.</w:t>
      </w:r>
      <w:r w:rsidRPr="00B37B6C">
        <w:rPr>
          <w:rFonts w:eastAsia="宋体" w:hint="eastAsia"/>
          <w:b w:val="0"/>
          <w:bCs w:val="0"/>
          <w:vertAlign w:val="superscript"/>
          <w:lang w:eastAsia="zh-CN"/>
        </w:rPr>
        <w:t>1-4</w:t>
      </w:r>
      <w:r w:rsidRPr="00B37B6C">
        <w:rPr>
          <w:rFonts w:eastAsia="宋体" w:hint="eastAsia"/>
          <w:b w:val="0"/>
          <w:bCs w:val="0"/>
          <w:lang w:eastAsia="zh-CN"/>
        </w:rPr>
        <w:t xml:space="preserve"> In addition, we have replaced all the DC connections (wires and tips) with RF counterparts with a maximum frequency of 3 GHz. </w:t>
      </w:r>
      <w:r>
        <w:rPr>
          <w:rFonts w:eastAsia="宋体" w:hint="eastAsia"/>
          <w:b w:val="0"/>
          <w:bCs w:val="0"/>
          <w:lang w:eastAsia="zh-CN"/>
        </w:rPr>
        <w:t xml:space="preserve">Secondly, we have investigated systematically the role of AC driving frequency on the light-emitting spectra and intensity via quantum tunneling. We found that the light-emitting intensity remains constant below 10 MHz, rises significantly until 60 MHz, and declines sharply beyond 100 MHz due to different matching conditions of AC impedance at various RF frequencies. Last but not least, we have paid much attention to the breakdown process of tunnel junctions. One of the most urgent issues hindering the further application of tunnel junctions is the long-term device stability, hence, it is vital to understand how the tunnel junctions break down and cause device failure during operation. Here, we first demonstrate </w:t>
      </w:r>
      <w:r>
        <w:rPr>
          <w:rFonts w:eastAsia="宋体" w:hint="eastAsia"/>
          <w:b w:val="0"/>
          <w:bCs w:val="0"/>
          <w:lang w:eastAsia="zh-CN"/>
        </w:rPr>
        <w:lastRenderedPageBreak/>
        <w:t>the real-time direct visualization of tunnel junction breakdown when the tunnel junctions were biased using RF signals to slow down the breakdown process.</w:t>
      </w:r>
      <w:r>
        <w:rPr>
          <w:rFonts w:eastAsia="宋体" w:hint="eastAsia"/>
          <w:b w:val="0"/>
          <w:bCs w:val="0"/>
          <w:lang w:eastAsia="zh-CN"/>
        </w:rPr>
        <w:fldChar w:fldCharType="begin"/>
      </w:r>
      <w:r>
        <w:rPr>
          <w:rFonts w:eastAsia="宋体" w:hint="eastAsia"/>
          <w:b w:val="0"/>
          <w:bCs w:val="0"/>
          <w:lang w:eastAsia="zh-CN"/>
        </w:rPr>
        <w:instrText xml:space="preserve"> ADDIN  EN.CITE &lt;EndNote&gt;&lt;Cite&gt;&lt;Author&gt;Wang&lt;/Author&gt;&lt;Year&gt;2022&lt;/Year&gt;&lt;RecNum&gt;7&lt;/RecNum&gt;&lt;DisplayText&gt;&lt;style face="superscript"&gt;2&lt;/style&gt;&lt;/DisplayText&gt;&lt;record&gt;&lt;rec-number&gt;7&lt;/rec-number&gt;&lt;foreign-keys&gt;&lt;key app="EN" db-id="rasaxpdacsd5vae225t5a5a8dzd0w90zddd0" timestamp="1685445349"&gt;7&lt;/key&gt;&lt;/foreign-keys&gt;&lt;ref-type name="Journal Article"&gt;17&lt;/ref-type&gt;&lt;contributors&gt;&lt;authors&gt;&lt;author&gt;Wang, Fangwei&lt;/author&gt;&lt;author&gt;Hoang, Thanh Xuan&lt;/author&gt;&lt;author&gt;Chu, Hong-Son&lt;/author&gt;&lt;author&gt;Nijhuis, Christian A.&lt;/author&gt;&lt;/authors&gt;&lt;/contributors&gt;&lt;titles&gt;&lt;title&gt;Spatial Control over Stable Light-Emission from AC-Driven CMOS-Compatible Quantum Mechanical Tunnel Junctions&lt;/title&gt;&lt;secondary-title&gt;Laser &amp;amp; Photonics Reviews&lt;/secondary-title&gt;&lt;/titles&gt;&lt;periodical&gt;&lt;full-title&gt;Laser &amp;amp; Photonics Reviews&lt;/full-title&gt;&lt;/periodical&gt;&lt;pages&gt;2100419&lt;/pages&gt;&lt;volume&gt;16&lt;/volume&gt;&lt;number&gt;5&lt;/number&gt;&lt;keywords&gt;&lt;keyword&gt;AC operation&lt;/keyword&gt;&lt;keyword&gt;CMOS compatibility&lt;/keyword&gt;&lt;keyword&gt;local excitation&lt;/keyword&gt;&lt;keyword&gt;operational lifetime&lt;/keyword&gt;&lt;keyword&gt;tunnel junctions&lt;/keyword&gt;&lt;/keywords&gt;&lt;dates&gt;&lt;year&gt;2022&lt;/year&gt;&lt;pub-dates&gt;&lt;date&gt;2022/05/01&lt;/date&gt;&lt;/pub-dates&gt;&lt;/dates&gt;&lt;publisher&gt;John Wiley &amp;amp; Sons, Ltd&lt;/publisher&gt;&lt;isbn&gt;1863-8880&lt;/isbn&gt;&lt;work-type&gt;https://doi.org/10.1002/lpor.202100419&lt;/work-type&gt;&lt;urls&gt;&lt;related-urls&gt;&lt;url&gt;https://doi.org/10.1002/lpor.202100419&lt;/url&gt;&lt;/related-urls&gt;&lt;/urls&gt;&lt;electronic-resource-num&gt;https://doi.org/10.1002/lpor.202100419&lt;/electronic-resource-num&gt;&lt;access-date&gt;2023/05/30&lt;/access-date&gt;&lt;/record&gt;&lt;/Cite&gt;&lt;/EndNote&gt;</w:instrText>
      </w:r>
      <w:r>
        <w:rPr>
          <w:rFonts w:eastAsia="宋体" w:hint="eastAsia"/>
          <w:b w:val="0"/>
          <w:bCs w:val="0"/>
          <w:lang w:eastAsia="zh-CN"/>
        </w:rPr>
        <w:fldChar w:fldCharType="separate"/>
      </w:r>
      <w:r>
        <w:rPr>
          <w:rFonts w:eastAsia="宋体" w:hint="eastAsia"/>
          <w:b w:val="0"/>
          <w:bCs w:val="0"/>
          <w:vertAlign w:val="superscript"/>
          <w:lang w:eastAsia="zh-CN"/>
        </w:rPr>
        <w:t>2</w:t>
      </w:r>
      <w:r>
        <w:rPr>
          <w:rFonts w:eastAsia="宋体" w:hint="eastAsia"/>
          <w:b w:val="0"/>
          <w:bCs w:val="0"/>
          <w:lang w:eastAsia="zh-CN"/>
        </w:rPr>
        <w:fldChar w:fldCharType="end"/>
      </w:r>
      <w:r>
        <w:rPr>
          <w:rFonts w:eastAsia="宋体" w:hint="eastAsia"/>
          <w:b w:val="0"/>
          <w:bCs w:val="0"/>
          <w:lang w:eastAsia="zh-CN"/>
        </w:rPr>
        <w:t xml:space="preserve"> Our result provides a new way to explore the breakdown mechanism of tunnel junctions in real time. </w:t>
      </w:r>
    </w:p>
    <w:p w14:paraId="637E45BF" w14:textId="77777777" w:rsidR="007F66EB" w:rsidRDefault="007F66EB">
      <w:pPr>
        <w:rPr>
          <w:lang w:eastAsia="zh-CN"/>
        </w:rPr>
      </w:pPr>
    </w:p>
    <w:p w14:paraId="7E46A592" w14:textId="77777777" w:rsidR="007F66EB" w:rsidRDefault="00000000">
      <w:pPr>
        <w:rPr>
          <w:lang w:eastAsia="zh-CN"/>
        </w:rPr>
      </w:pPr>
      <w:r>
        <w:rPr>
          <w:rFonts w:hint="eastAsia"/>
          <w:lang w:eastAsia="zh-CN"/>
        </w:rPr>
        <w:t>Table S1 Comparison with state-of-the-art plasmonic devices and the modulation speed measurement based on tunnel junctions</w:t>
      </w:r>
    </w:p>
    <w:tbl>
      <w:tblPr>
        <w:tblStyle w:val="af5"/>
        <w:tblpPr w:leftFromText="180" w:rightFromText="180" w:vertAnchor="text" w:horzAnchor="page" w:tblpX="1521" w:tblpY="262"/>
        <w:tblOverlap w:val="never"/>
        <w:tblW w:w="4996" w:type="pct"/>
        <w:tblLook w:val="04A0" w:firstRow="1" w:lastRow="0" w:firstColumn="1" w:lastColumn="0" w:noHBand="0" w:noVBand="1"/>
      </w:tblPr>
      <w:tblGrid>
        <w:gridCol w:w="1310"/>
        <w:gridCol w:w="785"/>
        <w:gridCol w:w="1385"/>
        <w:gridCol w:w="1221"/>
        <w:gridCol w:w="1636"/>
        <w:gridCol w:w="882"/>
        <w:gridCol w:w="1046"/>
        <w:gridCol w:w="754"/>
      </w:tblGrid>
      <w:tr w:rsidR="007F66EB" w14:paraId="2527399A" w14:textId="77777777">
        <w:trPr>
          <w:trHeight w:val="997"/>
        </w:trPr>
        <w:tc>
          <w:tcPr>
            <w:tcW w:w="726" w:type="pct"/>
            <w:tcBorders>
              <w:top w:val="single" w:sz="12" w:space="0" w:color="auto"/>
              <w:left w:val="nil"/>
              <w:bottom w:val="single" w:sz="8" w:space="0" w:color="auto"/>
              <w:right w:val="nil"/>
            </w:tcBorders>
            <w:vAlign w:val="center"/>
          </w:tcPr>
          <w:p w14:paraId="774AD589" w14:textId="77777777" w:rsidR="007F66EB" w:rsidRDefault="00000000">
            <w:pPr>
              <w:jc w:val="center"/>
              <w:rPr>
                <w:sz w:val="18"/>
                <w:szCs w:val="18"/>
                <w:lang w:eastAsia="zh-CN"/>
              </w:rPr>
            </w:pPr>
            <w:r>
              <w:rPr>
                <w:rFonts w:hint="eastAsia"/>
                <w:sz w:val="18"/>
                <w:szCs w:val="18"/>
                <w:lang w:eastAsia="zh-CN"/>
              </w:rPr>
              <w:t>Device</w:t>
            </w:r>
          </w:p>
        </w:tc>
        <w:tc>
          <w:tcPr>
            <w:tcW w:w="436" w:type="pct"/>
            <w:tcBorders>
              <w:top w:val="single" w:sz="12" w:space="0" w:color="auto"/>
              <w:left w:val="nil"/>
              <w:bottom w:val="single" w:sz="8" w:space="0" w:color="auto"/>
              <w:right w:val="nil"/>
            </w:tcBorders>
            <w:vAlign w:val="center"/>
          </w:tcPr>
          <w:p w14:paraId="0CEEE095" w14:textId="77777777" w:rsidR="007F66EB" w:rsidRDefault="00000000">
            <w:pPr>
              <w:jc w:val="center"/>
              <w:rPr>
                <w:sz w:val="18"/>
                <w:szCs w:val="18"/>
                <w:lang w:eastAsia="zh-CN"/>
              </w:rPr>
            </w:pPr>
            <w:r>
              <w:rPr>
                <w:rFonts w:hint="eastAsia"/>
                <w:sz w:val="18"/>
                <w:szCs w:val="18"/>
                <w:lang w:eastAsia="zh-CN"/>
              </w:rPr>
              <w:t>CMOS</w:t>
            </w:r>
          </w:p>
        </w:tc>
        <w:tc>
          <w:tcPr>
            <w:tcW w:w="767" w:type="pct"/>
            <w:tcBorders>
              <w:top w:val="single" w:sz="12" w:space="0" w:color="auto"/>
              <w:left w:val="nil"/>
              <w:bottom w:val="single" w:sz="8" w:space="0" w:color="auto"/>
              <w:right w:val="nil"/>
            </w:tcBorders>
            <w:vAlign w:val="center"/>
          </w:tcPr>
          <w:p w14:paraId="432A78B0" w14:textId="77777777" w:rsidR="007F66EB" w:rsidRDefault="00000000">
            <w:pPr>
              <w:jc w:val="center"/>
              <w:rPr>
                <w:sz w:val="18"/>
                <w:szCs w:val="18"/>
                <w:lang w:eastAsia="zh-CN"/>
              </w:rPr>
            </w:pPr>
            <w:r>
              <w:rPr>
                <w:rFonts w:hint="eastAsia"/>
                <w:sz w:val="18"/>
                <w:szCs w:val="18"/>
                <w:lang w:eastAsia="zh-CN"/>
              </w:rPr>
              <w:t>Electron-photon</w:t>
            </w:r>
          </w:p>
        </w:tc>
        <w:tc>
          <w:tcPr>
            <w:tcW w:w="676" w:type="pct"/>
            <w:tcBorders>
              <w:top w:val="single" w:sz="12" w:space="0" w:color="auto"/>
              <w:left w:val="nil"/>
              <w:bottom w:val="single" w:sz="8" w:space="0" w:color="auto"/>
              <w:right w:val="nil"/>
            </w:tcBorders>
            <w:vAlign w:val="center"/>
          </w:tcPr>
          <w:p w14:paraId="4F64D97E" w14:textId="77777777" w:rsidR="007F66EB" w:rsidRDefault="00000000">
            <w:pPr>
              <w:jc w:val="center"/>
              <w:rPr>
                <w:sz w:val="18"/>
                <w:szCs w:val="18"/>
                <w:lang w:eastAsia="zh-CN"/>
              </w:rPr>
            </w:pPr>
            <w:r>
              <w:rPr>
                <w:rFonts w:hint="eastAsia"/>
                <w:i/>
                <w:iCs/>
                <w:sz w:val="18"/>
                <w:szCs w:val="18"/>
                <w:lang w:eastAsia="zh-CN"/>
              </w:rPr>
              <w:t>f</w:t>
            </w:r>
            <w:r>
              <w:rPr>
                <w:rFonts w:hint="eastAsia"/>
                <w:sz w:val="18"/>
                <w:szCs w:val="18"/>
                <w:vertAlign w:val="subscript"/>
                <w:lang w:eastAsia="zh-CN"/>
              </w:rPr>
              <w:t>max1</w:t>
            </w:r>
          </w:p>
        </w:tc>
        <w:tc>
          <w:tcPr>
            <w:tcW w:w="906" w:type="pct"/>
            <w:tcBorders>
              <w:top w:val="single" w:sz="12" w:space="0" w:color="auto"/>
              <w:left w:val="nil"/>
              <w:bottom w:val="single" w:sz="8" w:space="0" w:color="auto"/>
              <w:right w:val="nil"/>
            </w:tcBorders>
            <w:vAlign w:val="center"/>
          </w:tcPr>
          <w:p w14:paraId="6AF8A3A4" w14:textId="77777777" w:rsidR="007F66EB" w:rsidRDefault="00000000">
            <w:pPr>
              <w:jc w:val="center"/>
              <w:rPr>
                <w:sz w:val="18"/>
                <w:szCs w:val="18"/>
                <w:lang w:eastAsia="zh-CN"/>
              </w:rPr>
            </w:pPr>
            <w:r>
              <w:rPr>
                <w:rFonts w:hint="eastAsia"/>
                <w:sz w:val="18"/>
                <w:szCs w:val="18"/>
                <w:lang w:eastAsia="zh-CN"/>
              </w:rPr>
              <w:t>Electron-plasmon</w:t>
            </w:r>
          </w:p>
        </w:tc>
        <w:tc>
          <w:tcPr>
            <w:tcW w:w="489" w:type="pct"/>
            <w:tcBorders>
              <w:top w:val="single" w:sz="12" w:space="0" w:color="auto"/>
              <w:left w:val="nil"/>
              <w:bottom w:val="single" w:sz="8" w:space="0" w:color="auto"/>
              <w:right w:val="nil"/>
            </w:tcBorders>
            <w:vAlign w:val="center"/>
          </w:tcPr>
          <w:p w14:paraId="5FAAC7DB" w14:textId="77777777" w:rsidR="007F66EB" w:rsidRDefault="00000000">
            <w:pPr>
              <w:jc w:val="center"/>
              <w:rPr>
                <w:sz w:val="18"/>
                <w:szCs w:val="18"/>
                <w:lang w:eastAsia="zh-CN"/>
              </w:rPr>
            </w:pPr>
            <w:r>
              <w:rPr>
                <w:rFonts w:hint="eastAsia"/>
                <w:i/>
                <w:iCs/>
                <w:sz w:val="18"/>
                <w:szCs w:val="18"/>
                <w:lang w:eastAsia="zh-CN"/>
              </w:rPr>
              <w:t>f</w:t>
            </w:r>
            <w:r>
              <w:rPr>
                <w:rFonts w:hint="eastAsia"/>
                <w:sz w:val="18"/>
                <w:szCs w:val="18"/>
                <w:vertAlign w:val="subscript"/>
                <w:lang w:eastAsia="zh-CN"/>
              </w:rPr>
              <w:t>max2</w:t>
            </w:r>
          </w:p>
        </w:tc>
        <w:tc>
          <w:tcPr>
            <w:tcW w:w="578" w:type="pct"/>
            <w:tcBorders>
              <w:top w:val="single" w:sz="12" w:space="0" w:color="auto"/>
              <w:left w:val="nil"/>
              <w:bottom w:val="single" w:sz="8" w:space="0" w:color="auto"/>
              <w:right w:val="nil"/>
            </w:tcBorders>
            <w:vAlign w:val="center"/>
          </w:tcPr>
          <w:p w14:paraId="35C2115F" w14:textId="77777777" w:rsidR="007F66EB" w:rsidRDefault="00000000">
            <w:pPr>
              <w:jc w:val="center"/>
              <w:rPr>
                <w:sz w:val="18"/>
                <w:szCs w:val="18"/>
                <w:lang w:eastAsia="zh-CN"/>
              </w:rPr>
            </w:pPr>
            <w:r>
              <w:rPr>
                <w:rFonts w:hint="eastAsia"/>
                <w:sz w:val="18"/>
                <w:szCs w:val="18"/>
                <w:lang w:eastAsia="zh-CN"/>
              </w:rPr>
              <w:t>Breakdown</w:t>
            </w:r>
          </w:p>
        </w:tc>
        <w:tc>
          <w:tcPr>
            <w:tcW w:w="418" w:type="pct"/>
            <w:tcBorders>
              <w:top w:val="single" w:sz="12" w:space="0" w:color="auto"/>
              <w:left w:val="nil"/>
              <w:bottom w:val="single" w:sz="8" w:space="0" w:color="auto"/>
              <w:right w:val="nil"/>
            </w:tcBorders>
            <w:vAlign w:val="center"/>
          </w:tcPr>
          <w:p w14:paraId="71214A2B" w14:textId="77777777" w:rsidR="007F66EB" w:rsidRDefault="00000000">
            <w:pPr>
              <w:jc w:val="center"/>
              <w:rPr>
                <w:sz w:val="18"/>
                <w:szCs w:val="18"/>
                <w:lang w:eastAsia="zh-CN"/>
              </w:rPr>
            </w:pPr>
            <w:r>
              <w:rPr>
                <w:rFonts w:hint="eastAsia"/>
                <w:sz w:val="18"/>
                <w:szCs w:val="18"/>
                <w:lang w:eastAsia="zh-CN"/>
              </w:rPr>
              <w:t>Ref</w:t>
            </w:r>
          </w:p>
        </w:tc>
      </w:tr>
      <w:tr w:rsidR="007F66EB" w14:paraId="79AA2503" w14:textId="77777777">
        <w:trPr>
          <w:trHeight w:val="263"/>
        </w:trPr>
        <w:tc>
          <w:tcPr>
            <w:tcW w:w="726" w:type="pct"/>
            <w:tcBorders>
              <w:top w:val="single" w:sz="8" w:space="0" w:color="auto"/>
              <w:left w:val="nil"/>
              <w:bottom w:val="nil"/>
              <w:right w:val="nil"/>
            </w:tcBorders>
            <w:vAlign w:val="center"/>
          </w:tcPr>
          <w:p w14:paraId="6CD984A9" w14:textId="77777777" w:rsidR="007F66EB" w:rsidRDefault="00000000">
            <w:pPr>
              <w:jc w:val="center"/>
              <w:rPr>
                <w:sz w:val="18"/>
                <w:szCs w:val="18"/>
                <w:lang w:eastAsia="zh-CN"/>
              </w:rPr>
            </w:pPr>
            <w:r>
              <w:rPr>
                <w:rFonts w:hint="eastAsia"/>
                <w:sz w:val="18"/>
                <w:szCs w:val="18"/>
                <w:lang w:eastAsia="zh-CN"/>
              </w:rPr>
              <w:t>Al-</w:t>
            </w:r>
            <w:proofErr w:type="spellStart"/>
            <w:r>
              <w:rPr>
                <w:rFonts w:hint="eastAsia"/>
                <w:sz w:val="18"/>
                <w:szCs w:val="18"/>
                <w:lang w:eastAsia="zh-CN"/>
              </w:rPr>
              <w:t>AlOx</w:t>
            </w:r>
            <w:proofErr w:type="spellEnd"/>
            <w:r>
              <w:rPr>
                <w:rFonts w:hint="eastAsia"/>
                <w:sz w:val="18"/>
                <w:szCs w:val="18"/>
                <w:lang w:eastAsia="zh-CN"/>
              </w:rPr>
              <w:t>-Au</w:t>
            </w:r>
          </w:p>
        </w:tc>
        <w:tc>
          <w:tcPr>
            <w:tcW w:w="436" w:type="pct"/>
            <w:tcBorders>
              <w:top w:val="single" w:sz="8" w:space="0" w:color="auto"/>
              <w:left w:val="nil"/>
              <w:bottom w:val="nil"/>
              <w:right w:val="nil"/>
            </w:tcBorders>
            <w:vAlign w:val="center"/>
          </w:tcPr>
          <w:p w14:paraId="6FC33EAE" w14:textId="77777777" w:rsidR="007F66EB" w:rsidRDefault="00000000">
            <w:pPr>
              <w:jc w:val="center"/>
              <w:rPr>
                <w:sz w:val="18"/>
                <w:szCs w:val="18"/>
                <w:lang w:eastAsia="zh-CN"/>
              </w:rPr>
            </w:pPr>
            <w:r>
              <w:rPr>
                <w:rFonts w:ascii="Arial" w:hAnsi="Arial" w:cs="Arial"/>
                <w:sz w:val="18"/>
                <w:szCs w:val="18"/>
                <w:lang w:eastAsia="zh-CN"/>
              </w:rPr>
              <w:t>×</w:t>
            </w:r>
          </w:p>
        </w:tc>
        <w:tc>
          <w:tcPr>
            <w:tcW w:w="767" w:type="pct"/>
            <w:tcBorders>
              <w:top w:val="single" w:sz="8" w:space="0" w:color="auto"/>
              <w:left w:val="nil"/>
              <w:bottom w:val="nil"/>
              <w:right w:val="nil"/>
            </w:tcBorders>
            <w:vAlign w:val="center"/>
          </w:tcPr>
          <w:p w14:paraId="304879A5" w14:textId="77777777" w:rsidR="007F66EB" w:rsidRDefault="00000000">
            <w:pPr>
              <w:jc w:val="center"/>
              <w:rPr>
                <w:sz w:val="18"/>
                <w:szCs w:val="18"/>
                <w:lang w:eastAsia="zh-CN"/>
              </w:rPr>
            </w:pPr>
            <w:r>
              <w:rPr>
                <w:rFonts w:ascii="Arial" w:hAnsi="Arial" w:cs="Arial"/>
                <w:sz w:val="18"/>
                <w:szCs w:val="18"/>
                <w:lang w:eastAsia="zh-CN"/>
              </w:rPr>
              <w:t>×</w:t>
            </w:r>
          </w:p>
        </w:tc>
        <w:tc>
          <w:tcPr>
            <w:tcW w:w="676" w:type="pct"/>
            <w:tcBorders>
              <w:top w:val="single" w:sz="8" w:space="0" w:color="auto"/>
              <w:left w:val="nil"/>
              <w:bottom w:val="nil"/>
              <w:right w:val="nil"/>
            </w:tcBorders>
            <w:vAlign w:val="center"/>
          </w:tcPr>
          <w:p w14:paraId="676F8016" w14:textId="77777777" w:rsidR="007F66EB" w:rsidRDefault="00000000">
            <w:pPr>
              <w:jc w:val="center"/>
              <w:rPr>
                <w:sz w:val="18"/>
                <w:szCs w:val="18"/>
                <w:lang w:eastAsia="zh-CN"/>
              </w:rPr>
            </w:pPr>
            <w:r>
              <w:rPr>
                <w:rFonts w:hint="eastAsia"/>
                <w:sz w:val="18"/>
                <w:szCs w:val="18"/>
                <w:lang w:eastAsia="zh-CN"/>
              </w:rPr>
              <w:t>N.A.</w:t>
            </w:r>
          </w:p>
        </w:tc>
        <w:tc>
          <w:tcPr>
            <w:tcW w:w="906" w:type="pct"/>
            <w:tcBorders>
              <w:top w:val="single" w:sz="8" w:space="0" w:color="auto"/>
              <w:left w:val="nil"/>
              <w:bottom w:val="nil"/>
              <w:right w:val="nil"/>
            </w:tcBorders>
            <w:vAlign w:val="center"/>
          </w:tcPr>
          <w:p w14:paraId="3B91C155" w14:textId="77777777" w:rsidR="007F66EB" w:rsidRDefault="00000000">
            <w:pPr>
              <w:jc w:val="center"/>
              <w:rPr>
                <w:sz w:val="18"/>
                <w:szCs w:val="18"/>
                <w:lang w:eastAsia="zh-CN"/>
              </w:rPr>
            </w:pPr>
            <w:r>
              <w:rPr>
                <w:rFonts w:ascii="Arial" w:hAnsi="Arial" w:cs="Arial"/>
                <w:sz w:val="18"/>
                <w:szCs w:val="18"/>
                <w:lang w:eastAsia="zh-CN"/>
              </w:rPr>
              <w:t>√</w:t>
            </w:r>
          </w:p>
        </w:tc>
        <w:tc>
          <w:tcPr>
            <w:tcW w:w="489" w:type="pct"/>
            <w:tcBorders>
              <w:top w:val="single" w:sz="8" w:space="0" w:color="auto"/>
              <w:left w:val="nil"/>
              <w:bottom w:val="nil"/>
              <w:right w:val="nil"/>
            </w:tcBorders>
            <w:vAlign w:val="center"/>
          </w:tcPr>
          <w:p w14:paraId="61B29E96" w14:textId="77777777" w:rsidR="007F66EB" w:rsidRDefault="00000000">
            <w:pPr>
              <w:jc w:val="center"/>
              <w:rPr>
                <w:sz w:val="18"/>
                <w:szCs w:val="18"/>
                <w:lang w:eastAsia="zh-CN"/>
              </w:rPr>
            </w:pPr>
            <w:r>
              <w:rPr>
                <w:rFonts w:hint="eastAsia"/>
                <w:sz w:val="18"/>
                <w:szCs w:val="18"/>
                <w:lang w:eastAsia="zh-CN"/>
              </w:rPr>
              <w:t>1 MHz</w:t>
            </w:r>
          </w:p>
        </w:tc>
        <w:tc>
          <w:tcPr>
            <w:tcW w:w="578" w:type="pct"/>
            <w:tcBorders>
              <w:top w:val="single" w:sz="8" w:space="0" w:color="auto"/>
              <w:left w:val="nil"/>
              <w:bottom w:val="nil"/>
              <w:right w:val="nil"/>
            </w:tcBorders>
            <w:vAlign w:val="center"/>
          </w:tcPr>
          <w:p w14:paraId="1C7ACFFD" w14:textId="77777777" w:rsidR="007F66EB" w:rsidRDefault="00000000">
            <w:pPr>
              <w:jc w:val="center"/>
              <w:rPr>
                <w:sz w:val="18"/>
                <w:szCs w:val="18"/>
                <w:lang w:eastAsia="zh-CN"/>
              </w:rPr>
            </w:pPr>
            <w:r>
              <w:rPr>
                <w:rFonts w:ascii="Arial" w:hAnsi="Arial" w:cs="Arial"/>
                <w:sz w:val="18"/>
                <w:szCs w:val="18"/>
                <w:lang w:eastAsia="zh-CN"/>
              </w:rPr>
              <w:t>×</w:t>
            </w:r>
          </w:p>
        </w:tc>
        <w:tc>
          <w:tcPr>
            <w:tcW w:w="418" w:type="pct"/>
            <w:tcBorders>
              <w:top w:val="single" w:sz="8" w:space="0" w:color="auto"/>
              <w:left w:val="nil"/>
              <w:bottom w:val="nil"/>
              <w:right w:val="nil"/>
            </w:tcBorders>
            <w:vAlign w:val="center"/>
          </w:tcPr>
          <w:p w14:paraId="2E89DB2D" w14:textId="77777777" w:rsidR="007F66EB" w:rsidRDefault="00000000">
            <w:pPr>
              <w:jc w:val="center"/>
              <w:rPr>
                <w:sz w:val="18"/>
                <w:szCs w:val="18"/>
                <w:lang w:eastAsia="zh-CN"/>
              </w:rPr>
            </w:pPr>
            <w:r>
              <w:rPr>
                <w:sz w:val="18"/>
                <w:szCs w:val="18"/>
                <w:lang w:eastAsia="zh-CN"/>
              </w:rPr>
              <w:fldChar w:fldCharType="begin"/>
            </w:r>
            <w:r>
              <w:rPr>
                <w:rFonts w:hint="eastAsia"/>
                <w:sz w:val="18"/>
                <w:szCs w:val="18"/>
                <w:lang w:eastAsia="zh-CN"/>
              </w:rPr>
              <w:instrText xml:space="preserve"> ADDIN  EN.CITE &lt;EndNote&gt;&lt;Cite&gt;&lt;Author&gt;Du&lt;/Author&gt;&lt;Year&gt;2017&lt;/Year&gt;&lt;RecNum&gt;5&lt;/RecNum&gt;&lt;DisplayText&gt;&lt;style face="superscript"&gt;1&lt;/style&gt;&lt;/DisplayText&gt;&lt;record&gt;&lt;rec-number&gt;5&lt;/rec-number&gt;&lt;foreign-keys&gt;&lt;key app="EN" db-id="rasaxpdacsd5vae225t5a5a8dzd0w90zddd0" timestamp="1685445107"&gt;5&lt;/key&gt;&lt;/foreign-keys&gt;&lt;ref-type name="Journal Article"&gt;17&lt;/ref-type&gt;&lt;contributors&gt;&lt;authors&gt;&lt;author&gt;Du, Wei&lt;/author&gt;&lt;author&gt;Wang, Tao&lt;/author&gt;&lt;author&gt;Chu, Hong-Son&lt;/author&gt;&lt;author&gt;Nijhuis, Christian A.&lt;/author&gt;&lt;/authors&gt;&lt;/contributors&gt;&lt;titles&gt;&lt;title&gt;Highly efficient on-chip direct electronic</w:instrText>
            </w:r>
            <w:r>
              <w:rPr>
                <w:rFonts w:hint="eastAsia"/>
                <w:sz w:val="18"/>
                <w:szCs w:val="18"/>
                <w:lang w:eastAsia="zh-CN"/>
              </w:rPr>
              <w:instrText>–</w:instrText>
            </w:r>
            <w:r>
              <w:rPr>
                <w:rFonts w:hint="eastAsia"/>
                <w:sz w:val="18"/>
                <w:szCs w:val="18"/>
                <w:lang w:eastAsia="zh-CN"/>
              </w:rPr>
              <w:instrText>plasmonic transducers&lt;/title&gt;&lt;secondary-title&gt;Nature Photonics&lt;/secondary-title&gt;&lt;/titles&gt;&lt;periodical&gt;&lt;full-title&gt;Nature Photonics&lt;/full-title&gt;&lt;/periodical&gt;&lt;pages&gt;623-627&lt;/pages&gt;&lt;volume&gt;11&lt;/volume&gt;&lt;number&gt;10&lt;/number&gt;&lt;dates&gt;&lt;year&gt;2017&lt;/year&gt;&lt;pub-dates&gt;&lt;date&gt;2017/10/01&lt;/date&gt;&lt;/pub-dates&gt;&lt;/dates&gt;&lt;isbn&gt;1749-4893&lt;/isbn&gt;&lt;urls&gt;&lt;related-urls&gt;&lt;url&gt;https://doi.org/10.1038/s41566-017-0003-5&lt;/url&gt;&lt;/related-urls&gt;&lt;/urls&gt;&lt;electronic-resource-num&gt;10.1038/s41566-017-0003-5&lt;/electronic-resource-num&gt;&lt;/record&gt;&lt;/Cite&gt;&lt;/EndNote&gt;</w:instrText>
            </w:r>
            <w:r>
              <w:rPr>
                <w:sz w:val="18"/>
                <w:szCs w:val="18"/>
                <w:lang w:eastAsia="zh-CN"/>
              </w:rPr>
              <w:fldChar w:fldCharType="separate"/>
            </w:r>
            <w:r>
              <w:rPr>
                <w:rFonts w:hint="eastAsia"/>
                <w:sz w:val="18"/>
                <w:szCs w:val="18"/>
                <w:lang w:eastAsia="zh-CN"/>
              </w:rPr>
              <w:t>1</w:t>
            </w:r>
            <w:r>
              <w:rPr>
                <w:sz w:val="18"/>
                <w:szCs w:val="18"/>
                <w:lang w:eastAsia="zh-CN"/>
              </w:rPr>
              <w:fldChar w:fldCharType="end"/>
            </w:r>
          </w:p>
        </w:tc>
      </w:tr>
      <w:tr w:rsidR="007F66EB" w14:paraId="1BB17A41" w14:textId="77777777">
        <w:trPr>
          <w:trHeight w:val="263"/>
        </w:trPr>
        <w:tc>
          <w:tcPr>
            <w:tcW w:w="726" w:type="pct"/>
            <w:tcBorders>
              <w:top w:val="nil"/>
              <w:left w:val="nil"/>
              <w:bottom w:val="nil"/>
              <w:right w:val="nil"/>
            </w:tcBorders>
            <w:vAlign w:val="center"/>
          </w:tcPr>
          <w:p w14:paraId="0F5AD1DD" w14:textId="77777777" w:rsidR="007F66EB" w:rsidRDefault="00000000">
            <w:pPr>
              <w:jc w:val="center"/>
              <w:rPr>
                <w:sz w:val="18"/>
                <w:szCs w:val="18"/>
                <w:lang w:eastAsia="zh-CN"/>
              </w:rPr>
            </w:pPr>
            <w:r>
              <w:rPr>
                <w:rFonts w:hint="eastAsia"/>
                <w:sz w:val="18"/>
                <w:szCs w:val="18"/>
                <w:lang w:eastAsia="zh-CN"/>
              </w:rPr>
              <w:t>Au-</w:t>
            </w:r>
            <w:proofErr w:type="spellStart"/>
            <w:r>
              <w:rPr>
                <w:rFonts w:hint="eastAsia"/>
                <w:sz w:val="18"/>
                <w:szCs w:val="18"/>
                <w:lang w:eastAsia="zh-CN"/>
              </w:rPr>
              <w:t>hBN</w:t>
            </w:r>
            <w:proofErr w:type="spellEnd"/>
            <w:r>
              <w:rPr>
                <w:rFonts w:hint="eastAsia"/>
                <w:sz w:val="18"/>
                <w:szCs w:val="18"/>
                <w:lang w:eastAsia="zh-CN"/>
              </w:rPr>
              <w:t>-Au</w:t>
            </w:r>
          </w:p>
        </w:tc>
        <w:tc>
          <w:tcPr>
            <w:tcW w:w="436" w:type="pct"/>
            <w:tcBorders>
              <w:top w:val="nil"/>
              <w:left w:val="nil"/>
              <w:bottom w:val="nil"/>
              <w:right w:val="nil"/>
            </w:tcBorders>
            <w:vAlign w:val="center"/>
          </w:tcPr>
          <w:p w14:paraId="2A31C2CF" w14:textId="77777777" w:rsidR="007F66EB" w:rsidRDefault="00000000">
            <w:pPr>
              <w:jc w:val="center"/>
              <w:rPr>
                <w:sz w:val="18"/>
                <w:szCs w:val="18"/>
                <w:lang w:eastAsia="zh-CN"/>
              </w:rPr>
            </w:pPr>
            <w:r>
              <w:rPr>
                <w:rFonts w:ascii="Arial" w:hAnsi="Arial" w:cs="Arial"/>
                <w:sz w:val="18"/>
                <w:szCs w:val="18"/>
                <w:lang w:eastAsia="zh-CN"/>
              </w:rPr>
              <w:t>×</w:t>
            </w:r>
          </w:p>
        </w:tc>
        <w:tc>
          <w:tcPr>
            <w:tcW w:w="767" w:type="pct"/>
            <w:tcBorders>
              <w:top w:val="nil"/>
              <w:left w:val="nil"/>
              <w:bottom w:val="nil"/>
              <w:right w:val="nil"/>
            </w:tcBorders>
            <w:vAlign w:val="center"/>
          </w:tcPr>
          <w:p w14:paraId="520B4987" w14:textId="77777777" w:rsidR="007F66EB" w:rsidRDefault="00000000">
            <w:pPr>
              <w:jc w:val="center"/>
              <w:rPr>
                <w:sz w:val="18"/>
                <w:szCs w:val="18"/>
                <w:lang w:eastAsia="zh-CN"/>
              </w:rPr>
            </w:pPr>
            <w:r>
              <w:rPr>
                <w:rFonts w:ascii="Arial" w:hAnsi="Arial" w:cs="Arial"/>
                <w:sz w:val="18"/>
                <w:szCs w:val="18"/>
                <w:lang w:eastAsia="zh-CN"/>
              </w:rPr>
              <w:t>√</w:t>
            </w:r>
          </w:p>
        </w:tc>
        <w:tc>
          <w:tcPr>
            <w:tcW w:w="676" w:type="pct"/>
            <w:tcBorders>
              <w:top w:val="nil"/>
              <w:left w:val="nil"/>
              <w:bottom w:val="nil"/>
              <w:right w:val="nil"/>
            </w:tcBorders>
            <w:vAlign w:val="center"/>
          </w:tcPr>
          <w:p w14:paraId="1610A114" w14:textId="77777777" w:rsidR="007F66EB" w:rsidRDefault="00000000">
            <w:pPr>
              <w:jc w:val="center"/>
              <w:rPr>
                <w:sz w:val="18"/>
                <w:szCs w:val="18"/>
                <w:lang w:eastAsia="zh-CN"/>
              </w:rPr>
            </w:pPr>
            <w:r>
              <w:rPr>
                <w:rFonts w:hint="eastAsia"/>
                <w:sz w:val="18"/>
                <w:szCs w:val="18"/>
                <w:lang w:eastAsia="zh-CN"/>
              </w:rPr>
              <w:t>1 GHz</w:t>
            </w:r>
          </w:p>
        </w:tc>
        <w:tc>
          <w:tcPr>
            <w:tcW w:w="906" w:type="pct"/>
            <w:tcBorders>
              <w:top w:val="nil"/>
              <w:left w:val="nil"/>
              <w:bottom w:val="nil"/>
              <w:right w:val="nil"/>
            </w:tcBorders>
            <w:vAlign w:val="center"/>
          </w:tcPr>
          <w:p w14:paraId="1700385C" w14:textId="77777777" w:rsidR="007F66EB" w:rsidRDefault="00000000">
            <w:pPr>
              <w:jc w:val="center"/>
              <w:rPr>
                <w:sz w:val="18"/>
                <w:szCs w:val="18"/>
                <w:lang w:eastAsia="zh-CN"/>
              </w:rPr>
            </w:pPr>
            <w:r>
              <w:rPr>
                <w:rFonts w:ascii="Arial" w:hAnsi="Arial" w:cs="Arial"/>
                <w:sz w:val="18"/>
                <w:szCs w:val="18"/>
                <w:lang w:eastAsia="zh-CN"/>
              </w:rPr>
              <w:t>×</w:t>
            </w:r>
          </w:p>
        </w:tc>
        <w:tc>
          <w:tcPr>
            <w:tcW w:w="489" w:type="pct"/>
            <w:tcBorders>
              <w:top w:val="nil"/>
              <w:left w:val="nil"/>
              <w:bottom w:val="nil"/>
              <w:right w:val="nil"/>
            </w:tcBorders>
            <w:vAlign w:val="center"/>
          </w:tcPr>
          <w:p w14:paraId="7E7EEED2" w14:textId="77777777" w:rsidR="007F66EB" w:rsidRDefault="00000000">
            <w:pPr>
              <w:jc w:val="center"/>
              <w:rPr>
                <w:sz w:val="18"/>
                <w:szCs w:val="18"/>
                <w:lang w:eastAsia="zh-CN"/>
              </w:rPr>
            </w:pPr>
            <w:r>
              <w:rPr>
                <w:rFonts w:hint="eastAsia"/>
                <w:sz w:val="18"/>
                <w:szCs w:val="18"/>
                <w:lang w:eastAsia="zh-CN"/>
              </w:rPr>
              <w:t>N.A.</w:t>
            </w:r>
          </w:p>
        </w:tc>
        <w:tc>
          <w:tcPr>
            <w:tcW w:w="578" w:type="pct"/>
            <w:tcBorders>
              <w:top w:val="nil"/>
              <w:left w:val="nil"/>
              <w:bottom w:val="nil"/>
              <w:right w:val="nil"/>
            </w:tcBorders>
            <w:vAlign w:val="center"/>
          </w:tcPr>
          <w:p w14:paraId="669CE07A" w14:textId="77777777" w:rsidR="007F66EB" w:rsidRDefault="00000000">
            <w:pPr>
              <w:jc w:val="center"/>
              <w:rPr>
                <w:sz w:val="18"/>
                <w:szCs w:val="18"/>
                <w:lang w:eastAsia="zh-CN"/>
              </w:rPr>
            </w:pPr>
            <w:r>
              <w:rPr>
                <w:rFonts w:ascii="Arial" w:hAnsi="Arial" w:cs="Arial"/>
                <w:sz w:val="18"/>
                <w:szCs w:val="18"/>
                <w:lang w:eastAsia="zh-CN"/>
              </w:rPr>
              <w:t>×</w:t>
            </w:r>
          </w:p>
        </w:tc>
        <w:tc>
          <w:tcPr>
            <w:tcW w:w="418" w:type="pct"/>
            <w:tcBorders>
              <w:top w:val="nil"/>
              <w:left w:val="nil"/>
              <w:bottom w:val="nil"/>
              <w:right w:val="nil"/>
            </w:tcBorders>
            <w:vAlign w:val="center"/>
          </w:tcPr>
          <w:p w14:paraId="2B5CA1A1" w14:textId="77777777" w:rsidR="007F66EB" w:rsidRDefault="00000000">
            <w:pPr>
              <w:jc w:val="center"/>
              <w:rPr>
                <w:sz w:val="18"/>
                <w:szCs w:val="18"/>
                <w:lang w:eastAsia="zh-CN"/>
              </w:rPr>
            </w:pPr>
            <w:r>
              <w:rPr>
                <w:sz w:val="18"/>
                <w:szCs w:val="18"/>
                <w:lang w:eastAsia="zh-CN"/>
              </w:rPr>
              <w:t>2</w:t>
            </w:r>
          </w:p>
        </w:tc>
      </w:tr>
      <w:tr w:rsidR="007F66EB" w14:paraId="2F5F9B41" w14:textId="77777777">
        <w:trPr>
          <w:trHeight w:val="263"/>
        </w:trPr>
        <w:tc>
          <w:tcPr>
            <w:tcW w:w="726" w:type="pct"/>
            <w:tcBorders>
              <w:top w:val="nil"/>
              <w:left w:val="nil"/>
              <w:bottom w:val="nil"/>
              <w:right w:val="nil"/>
            </w:tcBorders>
            <w:vAlign w:val="center"/>
          </w:tcPr>
          <w:p w14:paraId="02ABBE26" w14:textId="77777777" w:rsidR="007F66EB" w:rsidRDefault="00000000">
            <w:pPr>
              <w:jc w:val="center"/>
              <w:rPr>
                <w:sz w:val="18"/>
                <w:szCs w:val="18"/>
                <w:lang w:eastAsia="zh-CN"/>
              </w:rPr>
            </w:pPr>
            <w:r>
              <w:rPr>
                <w:rFonts w:hint="eastAsia"/>
                <w:sz w:val="18"/>
                <w:szCs w:val="18"/>
                <w:lang w:eastAsia="zh-CN"/>
              </w:rPr>
              <w:t>Al-</w:t>
            </w:r>
            <w:proofErr w:type="spellStart"/>
            <w:r>
              <w:rPr>
                <w:rFonts w:hint="eastAsia"/>
                <w:sz w:val="18"/>
                <w:szCs w:val="18"/>
                <w:lang w:eastAsia="zh-CN"/>
              </w:rPr>
              <w:t>AlOx</w:t>
            </w:r>
            <w:proofErr w:type="spellEnd"/>
            <w:r>
              <w:rPr>
                <w:rFonts w:hint="eastAsia"/>
                <w:sz w:val="18"/>
                <w:szCs w:val="18"/>
                <w:lang w:eastAsia="zh-CN"/>
              </w:rPr>
              <w:t>-Cu</w:t>
            </w:r>
          </w:p>
        </w:tc>
        <w:tc>
          <w:tcPr>
            <w:tcW w:w="436" w:type="pct"/>
            <w:tcBorders>
              <w:top w:val="nil"/>
              <w:left w:val="nil"/>
              <w:bottom w:val="nil"/>
              <w:right w:val="nil"/>
            </w:tcBorders>
            <w:vAlign w:val="center"/>
          </w:tcPr>
          <w:p w14:paraId="11AA6391" w14:textId="77777777" w:rsidR="007F66EB" w:rsidRDefault="00000000">
            <w:pPr>
              <w:jc w:val="center"/>
              <w:rPr>
                <w:sz w:val="18"/>
                <w:szCs w:val="18"/>
                <w:lang w:eastAsia="zh-CN"/>
              </w:rPr>
            </w:pPr>
            <w:r>
              <w:rPr>
                <w:rFonts w:ascii="Arial" w:hAnsi="Arial" w:cs="Arial"/>
                <w:sz w:val="18"/>
                <w:szCs w:val="18"/>
                <w:lang w:eastAsia="zh-CN"/>
              </w:rPr>
              <w:t>√</w:t>
            </w:r>
          </w:p>
        </w:tc>
        <w:tc>
          <w:tcPr>
            <w:tcW w:w="767" w:type="pct"/>
            <w:tcBorders>
              <w:top w:val="nil"/>
              <w:left w:val="nil"/>
              <w:bottom w:val="nil"/>
              <w:right w:val="nil"/>
            </w:tcBorders>
            <w:vAlign w:val="center"/>
          </w:tcPr>
          <w:p w14:paraId="50BA6826" w14:textId="77777777" w:rsidR="007F66EB" w:rsidRDefault="00000000">
            <w:pPr>
              <w:jc w:val="center"/>
              <w:rPr>
                <w:sz w:val="18"/>
                <w:szCs w:val="18"/>
                <w:lang w:eastAsia="zh-CN"/>
              </w:rPr>
            </w:pPr>
            <w:r>
              <w:rPr>
                <w:rFonts w:ascii="Arial" w:hAnsi="Arial" w:cs="Arial"/>
                <w:sz w:val="18"/>
                <w:szCs w:val="18"/>
                <w:lang w:eastAsia="zh-CN"/>
              </w:rPr>
              <w:t>√</w:t>
            </w:r>
          </w:p>
        </w:tc>
        <w:tc>
          <w:tcPr>
            <w:tcW w:w="676" w:type="pct"/>
            <w:tcBorders>
              <w:top w:val="nil"/>
              <w:left w:val="nil"/>
              <w:bottom w:val="nil"/>
              <w:right w:val="nil"/>
            </w:tcBorders>
            <w:vAlign w:val="center"/>
          </w:tcPr>
          <w:p w14:paraId="1A3A6CAC" w14:textId="77777777" w:rsidR="007F66EB" w:rsidRDefault="00000000">
            <w:pPr>
              <w:jc w:val="center"/>
              <w:rPr>
                <w:sz w:val="18"/>
                <w:szCs w:val="18"/>
                <w:lang w:eastAsia="zh-CN"/>
              </w:rPr>
            </w:pPr>
            <w:r>
              <w:rPr>
                <w:rFonts w:hint="eastAsia"/>
                <w:sz w:val="18"/>
                <w:szCs w:val="18"/>
                <w:lang w:eastAsia="zh-CN"/>
              </w:rPr>
              <w:t>10 MHz</w:t>
            </w:r>
          </w:p>
        </w:tc>
        <w:tc>
          <w:tcPr>
            <w:tcW w:w="906" w:type="pct"/>
            <w:tcBorders>
              <w:top w:val="nil"/>
              <w:left w:val="nil"/>
              <w:bottom w:val="nil"/>
              <w:right w:val="nil"/>
            </w:tcBorders>
            <w:vAlign w:val="center"/>
          </w:tcPr>
          <w:p w14:paraId="4E67C76B" w14:textId="77777777" w:rsidR="007F66EB" w:rsidRDefault="00000000">
            <w:pPr>
              <w:jc w:val="center"/>
              <w:rPr>
                <w:sz w:val="18"/>
                <w:szCs w:val="18"/>
                <w:lang w:eastAsia="zh-CN"/>
              </w:rPr>
            </w:pPr>
            <w:r>
              <w:rPr>
                <w:rFonts w:ascii="Arial" w:hAnsi="Arial" w:cs="Arial"/>
                <w:sz w:val="18"/>
                <w:szCs w:val="18"/>
                <w:lang w:eastAsia="zh-CN"/>
              </w:rPr>
              <w:t>×</w:t>
            </w:r>
          </w:p>
        </w:tc>
        <w:tc>
          <w:tcPr>
            <w:tcW w:w="489" w:type="pct"/>
            <w:tcBorders>
              <w:top w:val="nil"/>
              <w:left w:val="nil"/>
              <w:bottom w:val="nil"/>
              <w:right w:val="nil"/>
            </w:tcBorders>
            <w:vAlign w:val="center"/>
          </w:tcPr>
          <w:p w14:paraId="7E5A31E7" w14:textId="77777777" w:rsidR="007F66EB" w:rsidRDefault="00000000">
            <w:pPr>
              <w:jc w:val="center"/>
              <w:rPr>
                <w:sz w:val="18"/>
                <w:szCs w:val="18"/>
                <w:lang w:eastAsia="zh-CN"/>
              </w:rPr>
            </w:pPr>
            <w:r>
              <w:rPr>
                <w:rFonts w:hint="eastAsia"/>
                <w:sz w:val="18"/>
                <w:szCs w:val="18"/>
                <w:lang w:eastAsia="zh-CN"/>
              </w:rPr>
              <w:t>N.A.</w:t>
            </w:r>
          </w:p>
        </w:tc>
        <w:tc>
          <w:tcPr>
            <w:tcW w:w="578" w:type="pct"/>
            <w:tcBorders>
              <w:top w:val="nil"/>
              <w:left w:val="nil"/>
              <w:bottom w:val="nil"/>
              <w:right w:val="nil"/>
            </w:tcBorders>
            <w:vAlign w:val="center"/>
          </w:tcPr>
          <w:p w14:paraId="6539698B" w14:textId="77777777" w:rsidR="007F66EB" w:rsidRDefault="00000000">
            <w:pPr>
              <w:jc w:val="center"/>
              <w:rPr>
                <w:sz w:val="18"/>
                <w:szCs w:val="18"/>
                <w:lang w:eastAsia="zh-CN"/>
              </w:rPr>
            </w:pPr>
            <w:r>
              <w:rPr>
                <w:rFonts w:ascii="Arial" w:hAnsi="Arial" w:cs="Arial"/>
                <w:sz w:val="18"/>
                <w:szCs w:val="18"/>
                <w:lang w:eastAsia="zh-CN"/>
              </w:rPr>
              <w:t>√</w:t>
            </w:r>
          </w:p>
        </w:tc>
        <w:tc>
          <w:tcPr>
            <w:tcW w:w="418" w:type="pct"/>
            <w:tcBorders>
              <w:top w:val="nil"/>
              <w:left w:val="nil"/>
              <w:bottom w:val="nil"/>
              <w:right w:val="nil"/>
            </w:tcBorders>
            <w:vAlign w:val="center"/>
          </w:tcPr>
          <w:p w14:paraId="6692F8CC" w14:textId="77777777" w:rsidR="007F66EB" w:rsidRDefault="00000000">
            <w:pPr>
              <w:jc w:val="center"/>
              <w:rPr>
                <w:sz w:val="18"/>
                <w:szCs w:val="18"/>
                <w:lang w:eastAsia="zh-CN"/>
              </w:rPr>
            </w:pPr>
            <w:r>
              <w:rPr>
                <w:sz w:val="18"/>
                <w:szCs w:val="18"/>
                <w:lang w:eastAsia="zh-CN"/>
              </w:rPr>
              <w:t>3</w:t>
            </w:r>
          </w:p>
        </w:tc>
      </w:tr>
      <w:tr w:rsidR="007F66EB" w14:paraId="2572AE76" w14:textId="77777777">
        <w:trPr>
          <w:trHeight w:val="263"/>
        </w:trPr>
        <w:tc>
          <w:tcPr>
            <w:tcW w:w="726" w:type="pct"/>
            <w:tcBorders>
              <w:top w:val="nil"/>
              <w:left w:val="nil"/>
              <w:bottom w:val="nil"/>
              <w:right w:val="nil"/>
            </w:tcBorders>
            <w:vAlign w:val="center"/>
          </w:tcPr>
          <w:p w14:paraId="01D3CABC" w14:textId="77777777" w:rsidR="007F66EB" w:rsidRDefault="00000000">
            <w:pPr>
              <w:jc w:val="center"/>
              <w:rPr>
                <w:sz w:val="18"/>
                <w:szCs w:val="18"/>
                <w:lang w:eastAsia="zh-CN"/>
              </w:rPr>
            </w:pPr>
            <w:proofErr w:type="spellStart"/>
            <w:r>
              <w:rPr>
                <w:rFonts w:hint="eastAsia"/>
                <w:sz w:val="18"/>
                <w:szCs w:val="18"/>
                <w:lang w:eastAsia="zh-CN"/>
              </w:rPr>
              <w:t>InGaN</w:t>
            </w:r>
            <w:proofErr w:type="spellEnd"/>
            <w:r>
              <w:rPr>
                <w:rFonts w:hint="eastAsia"/>
                <w:sz w:val="18"/>
                <w:szCs w:val="18"/>
                <w:lang w:eastAsia="zh-CN"/>
              </w:rPr>
              <w:t>/</w:t>
            </w:r>
            <w:proofErr w:type="spellStart"/>
            <w:r>
              <w:rPr>
                <w:rFonts w:hint="eastAsia"/>
                <w:sz w:val="18"/>
                <w:szCs w:val="18"/>
                <w:lang w:eastAsia="zh-CN"/>
              </w:rPr>
              <w:t>GaN</w:t>
            </w:r>
            <w:proofErr w:type="spellEnd"/>
          </w:p>
        </w:tc>
        <w:tc>
          <w:tcPr>
            <w:tcW w:w="436" w:type="pct"/>
            <w:tcBorders>
              <w:top w:val="nil"/>
              <w:left w:val="nil"/>
              <w:bottom w:val="nil"/>
              <w:right w:val="nil"/>
            </w:tcBorders>
            <w:vAlign w:val="center"/>
          </w:tcPr>
          <w:p w14:paraId="351531AA" w14:textId="77777777" w:rsidR="007F66EB" w:rsidRDefault="00000000">
            <w:pPr>
              <w:jc w:val="center"/>
              <w:rPr>
                <w:sz w:val="18"/>
                <w:szCs w:val="18"/>
                <w:lang w:eastAsia="zh-CN"/>
              </w:rPr>
            </w:pPr>
            <w:r>
              <w:rPr>
                <w:rFonts w:ascii="Arial" w:hAnsi="Arial" w:cs="Arial"/>
                <w:sz w:val="18"/>
                <w:szCs w:val="18"/>
                <w:lang w:eastAsia="zh-CN"/>
              </w:rPr>
              <w:t>√</w:t>
            </w:r>
          </w:p>
        </w:tc>
        <w:tc>
          <w:tcPr>
            <w:tcW w:w="767" w:type="pct"/>
            <w:tcBorders>
              <w:top w:val="nil"/>
              <w:left w:val="nil"/>
              <w:bottom w:val="nil"/>
              <w:right w:val="nil"/>
            </w:tcBorders>
            <w:vAlign w:val="center"/>
          </w:tcPr>
          <w:p w14:paraId="091F166A" w14:textId="77777777" w:rsidR="007F66EB" w:rsidRDefault="00000000">
            <w:pPr>
              <w:jc w:val="center"/>
              <w:rPr>
                <w:sz w:val="18"/>
                <w:szCs w:val="18"/>
                <w:lang w:eastAsia="zh-CN"/>
              </w:rPr>
            </w:pPr>
            <w:r>
              <w:rPr>
                <w:rFonts w:ascii="Arial" w:hAnsi="Arial" w:cs="Arial"/>
                <w:sz w:val="18"/>
                <w:szCs w:val="18"/>
                <w:lang w:eastAsia="zh-CN"/>
              </w:rPr>
              <w:t>√</w:t>
            </w:r>
          </w:p>
        </w:tc>
        <w:tc>
          <w:tcPr>
            <w:tcW w:w="676" w:type="pct"/>
            <w:tcBorders>
              <w:top w:val="nil"/>
              <w:left w:val="nil"/>
              <w:bottom w:val="nil"/>
              <w:right w:val="nil"/>
            </w:tcBorders>
            <w:vAlign w:val="center"/>
          </w:tcPr>
          <w:p w14:paraId="08AB87D9" w14:textId="77777777" w:rsidR="007F66EB" w:rsidRDefault="00000000">
            <w:pPr>
              <w:jc w:val="center"/>
              <w:rPr>
                <w:sz w:val="18"/>
                <w:szCs w:val="18"/>
                <w:lang w:eastAsia="zh-CN"/>
              </w:rPr>
            </w:pPr>
            <w:r>
              <w:rPr>
                <w:rFonts w:hint="eastAsia"/>
                <w:sz w:val="18"/>
                <w:szCs w:val="18"/>
                <w:lang w:eastAsia="zh-CN"/>
              </w:rPr>
              <w:t>20-60 Hz</w:t>
            </w:r>
          </w:p>
        </w:tc>
        <w:tc>
          <w:tcPr>
            <w:tcW w:w="906" w:type="pct"/>
            <w:tcBorders>
              <w:top w:val="nil"/>
              <w:left w:val="nil"/>
              <w:bottom w:val="nil"/>
              <w:right w:val="nil"/>
            </w:tcBorders>
            <w:vAlign w:val="center"/>
          </w:tcPr>
          <w:p w14:paraId="3787512C" w14:textId="77777777" w:rsidR="007F66EB" w:rsidRDefault="00000000">
            <w:pPr>
              <w:jc w:val="center"/>
              <w:rPr>
                <w:sz w:val="18"/>
                <w:szCs w:val="18"/>
                <w:lang w:eastAsia="zh-CN"/>
              </w:rPr>
            </w:pPr>
            <w:r>
              <w:rPr>
                <w:rFonts w:ascii="Arial" w:hAnsi="Arial" w:cs="Arial"/>
                <w:sz w:val="18"/>
                <w:szCs w:val="18"/>
                <w:lang w:eastAsia="zh-CN"/>
              </w:rPr>
              <w:t>×</w:t>
            </w:r>
          </w:p>
        </w:tc>
        <w:tc>
          <w:tcPr>
            <w:tcW w:w="489" w:type="pct"/>
            <w:tcBorders>
              <w:top w:val="nil"/>
              <w:left w:val="nil"/>
              <w:bottom w:val="nil"/>
              <w:right w:val="nil"/>
            </w:tcBorders>
            <w:vAlign w:val="center"/>
          </w:tcPr>
          <w:p w14:paraId="5D41C772" w14:textId="77777777" w:rsidR="007F66EB" w:rsidRDefault="00000000">
            <w:pPr>
              <w:jc w:val="center"/>
              <w:rPr>
                <w:sz w:val="18"/>
                <w:szCs w:val="18"/>
                <w:lang w:eastAsia="zh-CN"/>
              </w:rPr>
            </w:pPr>
            <w:r>
              <w:rPr>
                <w:rFonts w:hint="eastAsia"/>
                <w:sz w:val="18"/>
                <w:szCs w:val="18"/>
                <w:lang w:eastAsia="zh-CN"/>
              </w:rPr>
              <w:t>N.A.</w:t>
            </w:r>
          </w:p>
        </w:tc>
        <w:tc>
          <w:tcPr>
            <w:tcW w:w="578" w:type="pct"/>
            <w:tcBorders>
              <w:top w:val="nil"/>
              <w:left w:val="nil"/>
              <w:bottom w:val="nil"/>
              <w:right w:val="nil"/>
            </w:tcBorders>
            <w:vAlign w:val="center"/>
          </w:tcPr>
          <w:p w14:paraId="3F8D3EAD" w14:textId="77777777" w:rsidR="007F66EB" w:rsidRDefault="00000000">
            <w:pPr>
              <w:jc w:val="center"/>
              <w:rPr>
                <w:sz w:val="18"/>
                <w:szCs w:val="18"/>
                <w:lang w:eastAsia="zh-CN"/>
              </w:rPr>
            </w:pPr>
            <w:r>
              <w:rPr>
                <w:rFonts w:ascii="Arial" w:hAnsi="Arial" w:cs="Arial"/>
                <w:sz w:val="18"/>
                <w:szCs w:val="18"/>
                <w:lang w:eastAsia="zh-CN"/>
              </w:rPr>
              <w:t>×</w:t>
            </w:r>
          </w:p>
        </w:tc>
        <w:tc>
          <w:tcPr>
            <w:tcW w:w="418" w:type="pct"/>
            <w:tcBorders>
              <w:top w:val="nil"/>
              <w:left w:val="nil"/>
              <w:bottom w:val="nil"/>
              <w:right w:val="nil"/>
            </w:tcBorders>
            <w:vAlign w:val="center"/>
          </w:tcPr>
          <w:p w14:paraId="28AA39A8" w14:textId="77777777" w:rsidR="007F66EB" w:rsidRDefault="00000000">
            <w:pPr>
              <w:jc w:val="center"/>
              <w:rPr>
                <w:sz w:val="18"/>
                <w:szCs w:val="18"/>
                <w:lang w:eastAsia="zh-CN"/>
              </w:rPr>
            </w:pPr>
            <w:r>
              <w:rPr>
                <w:rFonts w:hint="eastAsia"/>
                <w:sz w:val="18"/>
                <w:szCs w:val="18"/>
                <w:lang w:eastAsia="zh-CN"/>
              </w:rPr>
              <w:fldChar w:fldCharType="begin"/>
            </w:r>
            <w:r>
              <w:rPr>
                <w:rFonts w:hint="eastAsia"/>
                <w:sz w:val="18"/>
                <w:szCs w:val="18"/>
                <w:lang w:eastAsia="zh-CN"/>
              </w:rPr>
              <w:instrText xml:space="preserve"> ADDIN  EN.CITE &lt;EndNote&gt;&lt;Cite&gt;&lt;Author&gt;Sadaf&lt;/Author&gt;&lt;Year&gt;2015&lt;/Year&gt;&lt;RecNum&gt;15&lt;/RecNum&gt;&lt;DisplayText&gt;&lt;style face="superscript"&gt;4&lt;/style&gt;&lt;/DisplayText&gt;&lt;record&gt;&lt;rec-number&gt;15&lt;/rec-number&gt;&lt;foreign-keys&gt;&lt;key app="EN" db-id="e9sp200paax2epete0559vwuzaf5s29xptww" timestamp="1692981274"&gt;15&lt;/key&gt;&lt;/foreign-keys&gt;&lt;ref-type name="Journal Article"&gt;17&lt;/ref-type&gt;&lt;contributors&gt;&lt;authors&gt;&lt;author&gt;Sadaf, S. M.&lt;/author&gt;&lt;author&gt;Ra, Y. H.&lt;/author&gt;&lt;author&gt;Nguyen, H. P. T.&lt;/author&gt;&lt;author&gt;Djavid, M.&lt;/author&gt;&lt;author&gt;Mi, Z.&lt;/author&gt;&lt;/authors&gt;&lt;/contributors&gt;&lt;titles&gt;&lt;title&gt;Alternating-Current InGaN/GaN Tunnel Junction Nanowire White-Light Emitting Diodes&lt;/title&gt;&lt;secondary-title&gt;Nano Letters&lt;/secondary-title&gt;&lt;/titles&gt;&lt;periodical&gt;&lt;full-title&gt;Nano Letters&lt;/full-title&gt;&lt;/periodical&gt;&lt;pages&gt;6696-6701&lt;/pages&gt;&lt;volume&gt;15&lt;/volume&gt;&lt;number&gt;10&lt;/number&gt;&lt;dates&gt;&lt;year&gt;2015&lt;/year&gt;&lt;pub-dates&gt;&lt;date&gt;2015/10/14&lt;/date&gt;&lt;/pub-dates&gt;&lt;/dates&gt;&lt;publisher&gt;American Chemical Society&lt;/publisher&gt;&lt;isbn&gt;1530-6984&lt;/isbn&gt;&lt;urls&gt;&lt;related-urls&gt;&lt;url&gt;https://doi.org/10.1021/acs.nanolett.5b02515&lt;/url&gt;&lt;/related-urls&gt;&lt;/urls&gt;&lt;electronic-resource-num&gt;10.1021/acs.nanolett.5b02515&lt;/electronic-resource-num&gt;&lt;/record&gt;&lt;/Cite&gt;&lt;/EndNote&gt;</w:instrText>
            </w:r>
            <w:r>
              <w:rPr>
                <w:rFonts w:hint="eastAsia"/>
                <w:sz w:val="18"/>
                <w:szCs w:val="18"/>
                <w:lang w:eastAsia="zh-CN"/>
              </w:rPr>
              <w:fldChar w:fldCharType="separate"/>
            </w:r>
            <w:r>
              <w:rPr>
                <w:rFonts w:hint="eastAsia"/>
                <w:sz w:val="18"/>
                <w:szCs w:val="18"/>
                <w:lang w:eastAsia="zh-CN"/>
              </w:rPr>
              <w:t>4</w:t>
            </w:r>
            <w:r>
              <w:rPr>
                <w:rFonts w:hint="eastAsia"/>
                <w:sz w:val="18"/>
                <w:szCs w:val="18"/>
                <w:lang w:eastAsia="zh-CN"/>
              </w:rPr>
              <w:fldChar w:fldCharType="end"/>
            </w:r>
          </w:p>
        </w:tc>
      </w:tr>
      <w:tr w:rsidR="007F66EB" w14:paraId="01625366" w14:textId="77777777">
        <w:trPr>
          <w:trHeight w:val="263"/>
        </w:trPr>
        <w:tc>
          <w:tcPr>
            <w:tcW w:w="726" w:type="pct"/>
            <w:tcBorders>
              <w:top w:val="nil"/>
              <w:left w:val="nil"/>
              <w:bottom w:val="single" w:sz="8" w:space="0" w:color="auto"/>
              <w:right w:val="nil"/>
            </w:tcBorders>
            <w:vAlign w:val="center"/>
          </w:tcPr>
          <w:p w14:paraId="3B9BA2D5" w14:textId="77777777" w:rsidR="007F66EB" w:rsidRDefault="00000000">
            <w:pPr>
              <w:jc w:val="center"/>
              <w:rPr>
                <w:sz w:val="18"/>
                <w:szCs w:val="18"/>
                <w:lang w:eastAsia="zh-CN"/>
              </w:rPr>
            </w:pPr>
            <w:r>
              <w:rPr>
                <w:rFonts w:hint="eastAsia"/>
                <w:sz w:val="18"/>
                <w:szCs w:val="18"/>
                <w:lang w:eastAsia="zh-CN"/>
              </w:rPr>
              <w:t>Al-</w:t>
            </w:r>
            <w:proofErr w:type="spellStart"/>
            <w:r>
              <w:rPr>
                <w:rFonts w:hint="eastAsia"/>
                <w:sz w:val="18"/>
                <w:szCs w:val="18"/>
                <w:lang w:eastAsia="zh-CN"/>
              </w:rPr>
              <w:t>AlOx</w:t>
            </w:r>
            <w:proofErr w:type="spellEnd"/>
            <w:r>
              <w:rPr>
                <w:rFonts w:hint="eastAsia"/>
                <w:sz w:val="18"/>
                <w:szCs w:val="18"/>
                <w:lang w:eastAsia="zh-CN"/>
              </w:rPr>
              <w:t>-Cu</w:t>
            </w:r>
          </w:p>
        </w:tc>
        <w:tc>
          <w:tcPr>
            <w:tcW w:w="436" w:type="pct"/>
            <w:tcBorders>
              <w:top w:val="nil"/>
              <w:left w:val="nil"/>
              <w:bottom w:val="single" w:sz="8" w:space="0" w:color="auto"/>
              <w:right w:val="nil"/>
            </w:tcBorders>
            <w:vAlign w:val="center"/>
          </w:tcPr>
          <w:p w14:paraId="5CC2A789" w14:textId="77777777" w:rsidR="007F66EB" w:rsidRDefault="00000000">
            <w:pPr>
              <w:jc w:val="center"/>
              <w:rPr>
                <w:rFonts w:ascii="Arial" w:hAnsi="Arial" w:cs="Arial"/>
                <w:sz w:val="18"/>
                <w:szCs w:val="18"/>
                <w:lang w:eastAsia="zh-CN"/>
              </w:rPr>
            </w:pPr>
            <w:r>
              <w:rPr>
                <w:rFonts w:ascii="Arial" w:hAnsi="Arial" w:cs="Arial"/>
                <w:sz w:val="18"/>
                <w:szCs w:val="18"/>
                <w:lang w:eastAsia="zh-CN"/>
              </w:rPr>
              <w:t>√</w:t>
            </w:r>
          </w:p>
        </w:tc>
        <w:tc>
          <w:tcPr>
            <w:tcW w:w="767" w:type="pct"/>
            <w:tcBorders>
              <w:top w:val="nil"/>
              <w:left w:val="nil"/>
              <w:bottom w:val="single" w:sz="8" w:space="0" w:color="auto"/>
              <w:right w:val="nil"/>
            </w:tcBorders>
            <w:vAlign w:val="center"/>
          </w:tcPr>
          <w:p w14:paraId="32A20AA9" w14:textId="77777777" w:rsidR="007F66EB" w:rsidRDefault="00000000">
            <w:pPr>
              <w:jc w:val="center"/>
              <w:rPr>
                <w:rFonts w:ascii="Arial" w:hAnsi="Arial" w:cs="Arial"/>
                <w:sz w:val="18"/>
                <w:szCs w:val="18"/>
                <w:lang w:eastAsia="zh-CN"/>
              </w:rPr>
            </w:pPr>
            <w:r>
              <w:rPr>
                <w:rFonts w:ascii="Arial" w:hAnsi="Arial" w:cs="Arial"/>
                <w:sz w:val="18"/>
                <w:szCs w:val="18"/>
                <w:lang w:eastAsia="zh-CN"/>
              </w:rPr>
              <w:t>√</w:t>
            </w:r>
          </w:p>
        </w:tc>
        <w:tc>
          <w:tcPr>
            <w:tcW w:w="676" w:type="pct"/>
            <w:tcBorders>
              <w:top w:val="nil"/>
              <w:left w:val="nil"/>
              <w:bottom w:val="single" w:sz="8" w:space="0" w:color="auto"/>
              <w:right w:val="nil"/>
            </w:tcBorders>
            <w:vAlign w:val="center"/>
          </w:tcPr>
          <w:p w14:paraId="0D7FD1B6" w14:textId="77777777" w:rsidR="007F66EB" w:rsidRDefault="00000000">
            <w:pPr>
              <w:jc w:val="center"/>
              <w:rPr>
                <w:sz w:val="18"/>
                <w:szCs w:val="18"/>
                <w:lang w:eastAsia="zh-CN"/>
              </w:rPr>
            </w:pPr>
            <w:r>
              <w:rPr>
                <w:rFonts w:hint="eastAsia"/>
                <w:sz w:val="18"/>
                <w:szCs w:val="18"/>
                <w:lang w:eastAsia="zh-CN"/>
              </w:rPr>
              <w:t>250 MHz</w:t>
            </w:r>
          </w:p>
        </w:tc>
        <w:tc>
          <w:tcPr>
            <w:tcW w:w="906" w:type="pct"/>
            <w:tcBorders>
              <w:top w:val="nil"/>
              <w:left w:val="nil"/>
              <w:bottom w:val="single" w:sz="8" w:space="0" w:color="auto"/>
              <w:right w:val="nil"/>
            </w:tcBorders>
            <w:vAlign w:val="center"/>
          </w:tcPr>
          <w:p w14:paraId="7B9CDE33" w14:textId="77777777" w:rsidR="007F66EB" w:rsidRDefault="00000000">
            <w:pPr>
              <w:jc w:val="center"/>
              <w:rPr>
                <w:rFonts w:ascii="Arial" w:hAnsi="Arial" w:cs="Arial"/>
                <w:sz w:val="18"/>
                <w:szCs w:val="18"/>
                <w:lang w:eastAsia="zh-CN"/>
              </w:rPr>
            </w:pPr>
            <w:r>
              <w:rPr>
                <w:rFonts w:ascii="Arial" w:hAnsi="Arial" w:cs="Arial"/>
                <w:sz w:val="18"/>
                <w:szCs w:val="18"/>
                <w:lang w:eastAsia="zh-CN"/>
              </w:rPr>
              <w:t>√</w:t>
            </w:r>
          </w:p>
        </w:tc>
        <w:tc>
          <w:tcPr>
            <w:tcW w:w="489" w:type="pct"/>
            <w:tcBorders>
              <w:top w:val="nil"/>
              <w:left w:val="nil"/>
              <w:bottom w:val="single" w:sz="8" w:space="0" w:color="auto"/>
              <w:right w:val="nil"/>
            </w:tcBorders>
            <w:vAlign w:val="center"/>
          </w:tcPr>
          <w:p w14:paraId="4C053560" w14:textId="77777777" w:rsidR="007F66EB" w:rsidRDefault="00000000">
            <w:pPr>
              <w:jc w:val="center"/>
              <w:rPr>
                <w:sz w:val="18"/>
                <w:szCs w:val="18"/>
                <w:lang w:eastAsia="zh-CN"/>
              </w:rPr>
            </w:pPr>
            <w:r>
              <w:rPr>
                <w:rFonts w:hint="eastAsia"/>
                <w:sz w:val="18"/>
                <w:szCs w:val="18"/>
                <w:lang w:eastAsia="zh-CN"/>
              </w:rPr>
              <w:t>160 MHz</w:t>
            </w:r>
          </w:p>
        </w:tc>
        <w:tc>
          <w:tcPr>
            <w:tcW w:w="578" w:type="pct"/>
            <w:tcBorders>
              <w:top w:val="nil"/>
              <w:left w:val="nil"/>
              <w:bottom w:val="single" w:sz="8" w:space="0" w:color="auto"/>
              <w:right w:val="nil"/>
            </w:tcBorders>
            <w:vAlign w:val="center"/>
          </w:tcPr>
          <w:p w14:paraId="7EDD7E9C" w14:textId="77777777" w:rsidR="007F66EB" w:rsidRDefault="00000000">
            <w:pPr>
              <w:jc w:val="center"/>
              <w:rPr>
                <w:rFonts w:ascii="Arial" w:hAnsi="Arial" w:cs="Arial"/>
                <w:sz w:val="18"/>
                <w:szCs w:val="18"/>
                <w:lang w:eastAsia="zh-CN"/>
              </w:rPr>
            </w:pPr>
            <w:r>
              <w:rPr>
                <w:rFonts w:ascii="Arial" w:hAnsi="Arial" w:cs="Arial"/>
                <w:sz w:val="18"/>
                <w:szCs w:val="18"/>
                <w:lang w:eastAsia="zh-CN"/>
              </w:rPr>
              <w:t>√</w:t>
            </w:r>
          </w:p>
        </w:tc>
        <w:tc>
          <w:tcPr>
            <w:tcW w:w="418" w:type="pct"/>
            <w:tcBorders>
              <w:top w:val="nil"/>
              <w:left w:val="nil"/>
              <w:bottom w:val="single" w:sz="8" w:space="0" w:color="auto"/>
              <w:right w:val="nil"/>
            </w:tcBorders>
            <w:vAlign w:val="center"/>
          </w:tcPr>
          <w:p w14:paraId="124F259B" w14:textId="77777777" w:rsidR="007F66EB" w:rsidRDefault="00000000">
            <w:pPr>
              <w:jc w:val="center"/>
              <w:rPr>
                <w:sz w:val="18"/>
                <w:szCs w:val="18"/>
                <w:lang w:eastAsia="zh-CN"/>
              </w:rPr>
            </w:pPr>
            <w:r>
              <w:rPr>
                <w:rFonts w:hint="eastAsia"/>
                <w:sz w:val="18"/>
                <w:szCs w:val="18"/>
                <w:lang w:eastAsia="zh-CN"/>
              </w:rPr>
              <w:t>This work</w:t>
            </w:r>
          </w:p>
        </w:tc>
      </w:tr>
    </w:tbl>
    <w:p w14:paraId="34262A5A" w14:textId="77777777" w:rsidR="007F66EB" w:rsidRDefault="007F66EB">
      <w:pPr>
        <w:pStyle w:val="2"/>
        <w:keepNext w:val="0"/>
        <w:keepLines w:val="0"/>
        <w:widowControl w:val="0"/>
        <w:rPr>
          <w:rFonts w:eastAsia="宋体"/>
          <w:b w:val="0"/>
          <w:bCs w:val="0"/>
          <w:lang w:eastAsia="zh-CN"/>
        </w:rPr>
      </w:pPr>
    </w:p>
    <w:p w14:paraId="37337E50" w14:textId="77777777" w:rsidR="007F66EB" w:rsidRDefault="007F66EB">
      <w:pPr>
        <w:rPr>
          <w:lang w:eastAsia="zh-CN"/>
        </w:rPr>
      </w:pPr>
    </w:p>
    <w:p w14:paraId="4D818A35" w14:textId="77777777" w:rsidR="007F66EB" w:rsidRDefault="00000000">
      <w:pPr>
        <w:pStyle w:val="2"/>
        <w:pageBreakBefore/>
        <w:rPr>
          <w:rFonts w:eastAsia="宋体"/>
          <w:lang w:eastAsia="zh-CN"/>
        </w:rPr>
      </w:pPr>
      <w:bookmarkStart w:id="2" w:name="_Toc76455581"/>
      <w:bookmarkEnd w:id="1"/>
      <w:r>
        <w:rPr>
          <w:lang w:val="en-GB"/>
        </w:rPr>
        <w:lastRenderedPageBreak/>
        <w:t>S2.</w:t>
      </w:r>
      <w:bookmarkEnd w:id="2"/>
      <w:r>
        <w:rPr>
          <w:rFonts w:eastAsia="宋体" w:hint="eastAsia"/>
          <w:lang w:eastAsia="zh-CN"/>
        </w:rPr>
        <w:t xml:space="preserve"> SPP modes analysis at tunnel junction area and the end of Cu waveguides</w:t>
      </w:r>
    </w:p>
    <w:p w14:paraId="7D9FEBD1" w14:textId="77777777" w:rsidR="007F66EB" w:rsidRDefault="00000000">
      <w:pPr>
        <w:spacing w:line="480" w:lineRule="auto"/>
        <w:ind w:firstLineChars="200" w:firstLine="480"/>
        <w:rPr>
          <w:lang w:eastAsia="zh-CN"/>
        </w:rPr>
      </w:pPr>
      <w:r>
        <w:rPr>
          <w:rFonts w:hint="eastAsia"/>
          <w:lang w:val="en-GB"/>
        </w:rPr>
        <w:t>In our earlier result, we have already presented a detailed analysis of SPP modes generated in Al-</w:t>
      </w:r>
      <w:proofErr w:type="spellStart"/>
      <w:r>
        <w:rPr>
          <w:rFonts w:hint="eastAsia"/>
          <w:lang w:val="en-GB"/>
        </w:rPr>
        <w:t>AlOx</w:t>
      </w:r>
      <w:proofErr w:type="spellEnd"/>
      <w:r>
        <w:rPr>
          <w:rFonts w:hint="eastAsia"/>
          <w:lang w:val="en-GB"/>
        </w:rPr>
        <w:t>-Cu tunnel junctions at DC conditions.</w:t>
      </w:r>
      <w:r>
        <w:rPr>
          <w:vertAlign w:val="superscript"/>
          <w:lang w:val="en-GB"/>
        </w:rPr>
        <w:t>[</w:t>
      </w:r>
      <w:r>
        <w:rPr>
          <w:rFonts w:hint="eastAsia"/>
          <w:vertAlign w:val="superscript"/>
          <w:lang w:val="en-GB"/>
        </w:rPr>
        <w:fldChar w:fldCharType="begin"/>
      </w:r>
      <w:r>
        <w:rPr>
          <w:rFonts w:hint="eastAsia"/>
          <w:vertAlign w:val="superscript"/>
          <w:lang w:val="en-GB" w:eastAsia="zh-CN"/>
        </w:rPr>
        <w:instrText xml:space="preserve"> ADDIN  EN.CITE &lt;EndNote&gt;&lt;Cite&gt;&lt;Author&gt;Wang&lt;/Author&gt;&lt;Year&gt;2022&lt;/Year&gt;&lt;RecNum&gt;4&lt;/RecNum&gt;&lt;DisplayText&gt;&lt;style face="superscript"&gt;5&lt;/style&gt;&lt;/DisplayText&gt;&lt;record&gt;&lt;rec-number&gt;4&lt;/rec-number&gt;&lt;foreign-keys&gt;&lt;key app="EN" db-id="rasaxpdacsd5vae225t5a5a8dzd0w90zddd0" timestamp="1685445059"&gt;4&lt;/key&gt;&lt;/foreign-keys&gt;&lt;ref-type name="Journal Article"&gt;17&lt;/ref-type&gt;&lt;contributors&gt;&lt;authors&gt;&lt;author&gt;Wang, Fangwei&lt;/author&gt;&lt;author&gt;Liu, Yan&lt;/author&gt;&lt;author&gt;Hoang, Thanh Xuan&lt;/author&gt;&lt;author&gt;Chu, Hong-Son&lt;/author&gt;&lt;author&gt;Chua, Soo-Jin&lt;/author&gt;&lt;author&gt;Nijhuis, Christian A.&lt;/author&gt;&lt;/authors&gt;&lt;/contributors&gt;&lt;titles&gt;&lt;title&gt;CMOS-Compatible Electronic</w:instrText>
      </w:r>
      <w:r>
        <w:rPr>
          <w:rFonts w:hint="eastAsia"/>
          <w:vertAlign w:val="superscript"/>
          <w:lang w:val="en-GB" w:eastAsia="zh-CN"/>
        </w:rPr>
        <w:instrText>–</w:instrText>
      </w:r>
      <w:r>
        <w:rPr>
          <w:rFonts w:hint="eastAsia"/>
          <w:vertAlign w:val="superscript"/>
          <w:lang w:val="en-GB" w:eastAsia="zh-CN"/>
        </w:rPr>
        <w:instrText>Plasmonic Transducers Based on Plasmonic Tunnel Junctions and Schottky Diodes&lt;/title&gt;&lt;secondary-title&gt;Small&lt;/secondary-title&gt;&lt;/titles&gt;&lt;periodical&gt;&lt;full-title&gt;Small&lt;/full-title&gt;&lt;/periodical&gt;&lt;pages&gt;2105684&lt;/pages&gt;&lt;volume&gt;18&lt;/volume&gt;&lt;number&gt;1&lt;/number&gt;&lt;keywords&gt;&lt;keyword&gt;complementary metal</w:instrText>
      </w:r>
      <w:r>
        <w:rPr>
          <w:rFonts w:hint="eastAsia"/>
          <w:vertAlign w:val="superscript"/>
          <w:lang w:val="en-GB" w:eastAsia="zh-CN"/>
        </w:rPr>
        <w:instrText>–</w:instrText>
      </w:r>
      <w:r>
        <w:rPr>
          <w:rFonts w:hint="eastAsia"/>
          <w:vertAlign w:val="superscript"/>
          <w:lang w:val="en-GB" w:eastAsia="zh-CN"/>
        </w:rPr>
        <w:instrText>oxide</w:instrText>
      </w:r>
      <w:r>
        <w:rPr>
          <w:rFonts w:hint="eastAsia"/>
          <w:vertAlign w:val="superscript"/>
          <w:lang w:val="en-GB" w:eastAsia="zh-CN"/>
        </w:rPr>
        <w:instrText>–</w:instrText>
      </w:r>
      <w:r>
        <w:rPr>
          <w:rFonts w:hint="eastAsia"/>
          <w:vertAlign w:val="superscript"/>
          <w:lang w:val="en-GB" w:eastAsia="zh-CN"/>
        </w:rPr>
        <w:instrText>semiconductor compatibility&lt;/keyword&gt;&lt;keyword&gt;copper waveguides&lt;/keyword&gt;&lt;keyword&gt;Schottky diodes&lt;/keyword&gt;&lt;keyword&gt;surface plasmon polaritons&lt;/keyword&gt;&lt;keyword&gt;tunnel junctions&lt;/keyword&gt;&lt;/keywords&gt;&lt;dates&gt;&lt;year&gt;2022&lt;/year&gt;&lt;pub-dates&gt;&lt;date&gt;2022/01/01&lt;/date&gt;&lt;/pub-dates&gt;&lt;/dates&gt;&lt;publisher&gt;John Wiley &amp;amp; Sons, Ltd&lt;/publisher&gt;&lt;isbn&gt;1613-6810&lt;/isbn&gt;&lt;work-type&gt;https://doi.org/10.1002/smll.202105684&lt;/work-type&gt;&lt;urls&gt;&lt;related-urls&gt;&lt;url&gt;https://doi.org/10.1002/smll.202105684&lt;/url&gt;&lt;/related-urls&gt;&lt;/urls&gt;&lt;electronic-resource-num&gt;https://doi.org/10.1002/smll.202105684&lt;/electronic-resource-num&gt;&lt;access-date&gt;2023/05/30&lt;/access-date&gt;&lt;/record&gt;&lt;/Cite&gt;&lt;/EndNote&gt;</w:instrText>
      </w:r>
      <w:r>
        <w:rPr>
          <w:rFonts w:hint="eastAsia"/>
          <w:vertAlign w:val="superscript"/>
          <w:lang w:val="en-GB"/>
        </w:rPr>
        <w:fldChar w:fldCharType="separate"/>
      </w:r>
      <w:r>
        <w:rPr>
          <w:rFonts w:hint="eastAsia"/>
          <w:vertAlign w:val="superscript"/>
          <w:lang w:val="en-GB" w:eastAsia="zh-CN"/>
        </w:rPr>
        <w:t>5</w:t>
      </w:r>
      <w:r>
        <w:rPr>
          <w:rFonts w:hint="eastAsia"/>
          <w:vertAlign w:val="superscript"/>
          <w:lang w:val="en-GB"/>
        </w:rPr>
        <w:fldChar w:fldCharType="end"/>
      </w:r>
      <w:r>
        <w:rPr>
          <w:vertAlign w:val="superscript"/>
          <w:lang w:val="en-GB"/>
        </w:rPr>
        <w:t>]</w:t>
      </w:r>
      <w:r>
        <w:rPr>
          <w:rFonts w:hint="eastAsia"/>
          <w:lang w:eastAsia="zh-CN"/>
        </w:rPr>
        <w:t xml:space="preserve"> Here we provide an elaborate discussion about the effect of AC driving frequency on the SPP modes generated at the junction area and also at the end of plasmonic waveguides. Figure S1 shows the real-plane images of light emission collected from tunnel junctions, where Cu was grounded and Al was biased. To analyze the excited and propagated SPP modes, we have installed a pinhole along the collection path to select areas of interest and collect light emission at the junction center (upward dotted circle) and the end of waveguides (downward dotted circle). As is shown in Figure S1, light emission was observed mainly from the junction area and the </w:t>
      </w:r>
      <w:r>
        <w:rPr>
          <w:rFonts w:hint="eastAsia"/>
          <w:lang w:val="en-GB"/>
        </w:rPr>
        <w:t>Cu waveguiding edge</w:t>
      </w:r>
      <w:r>
        <w:rPr>
          <w:rFonts w:hint="eastAsia"/>
          <w:lang w:eastAsia="zh-CN"/>
        </w:rPr>
        <w:t>, which agrees well with our previous result. Figure S2 and Figure S3 illustrate the back focal-plane images of light emission collected from the center of tunnel junctions and the waveguiding edge, respectively. The inner and outer arcs correspond to the scattering of Cu-air (N.A = 1.0) and Cu-SiO</w:t>
      </w:r>
      <w:r>
        <w:rPr>
          <w:rFonts w:hint="eastAsia"/>
          <w:vertAlign w:val="subscript"/>
          <w:lang w:eastAsia="zh-CN"/>
        </w:rPr>
        <w:t>2</w:t>
      </w:r>
      <w:r>
        <w:rPr>
          <w:rFonts w:hint="eastAsia"/>
          <w:lang w:eastAsia="zh-CN"/>
        </w:rPr>
        <w:t xml:space="preserve"> (N.A = 1.49) SPP modes. We observe that the excited SPP modes at the junction area and the waveguiding edge do not change at different AC driving frequencies, even though the corresponding light-emitting intensity is significantly different.  </w:t>
      </w:r>
    </w:p>
    <w:p w14:paraId="7B26A596" w14:textId="77777777" w:rsidR="007F66EB" w:rsidRDefault="00000000">
      <w:pPr>
        <w:spacing w:after="200" w:line="480" w:lineRule="auto"/>
        <w:ind w:firstLine="720"/>
        <w:jc w:val="center"/>
      </w:pPr>
      <w:r>
        <w:rPr>
          <w:rFonts w:hint="eastAsia"/>
          <w:lang w:val="en-GB"/>
        </w:rPr>
        <w:t xml:space="preserve"> </w:t>
      </w:r>
      <w:r>
        <w:rPr>
          <w:noProof/>
        </w:rPr>
        <w:drawing>
          <wp:inline distT="0" distB="0" distL="114300" distR="114300" wp14:anchorId="0D216B59" wp14:editId="561FED74">
            <wp:extent cx="2520315" cy="2520315"/>
            <wp:effectExtent l="0" t="0" r="5715" b="571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pic:cNvPicPr>
                  </pic:nvPicPr>
                  <pic:blipFill>
                    <a:blip r:embed="rId10"/>
                    <a:stretch>
                      <a:fillRect/>
                    </a:stretch>
                  </pic:blipFill>
                  <pic:spPr>
                    <a:xfrm>
                      <a:off x="0" y="0"/>
                      <a:ext cx="2520315" cy="2520315"/>
                    </a:xfrm>
                    <a:prstGeom prst="rect">
                      <a:avLst/>
                    </a:prstGeom>
                    <a:noFill/>
                    <a:ln>
                      <a:noFill/>
                    </a:ln>
                  </pic:spPr>
                </pic:pic>
              </a:graphicData>
            </a:graphic>
          </wp:inline>
        </w:drawing>
      </w:r>
    </w:p>
    <w:p w14:paraId="14AB64A7" w14:textId="77777777" w:rsidR="007F66EB" w:rsidRDefault="00000000">
      <w:pPr>
        <w:spacing w:line="480" w:lineRule="auto"/>
        <w:rPr>
          <w:lang w:val="en-GB" w:eastAsia="zh-CN"/>
        </w:rPr>
      </w:pPr>
      <w:r>
        <w:rPr>
          <w:b/>
          <w:bCs/>
          <w:lang w:val="en-GB"/>
        </w:rPr>
        <w:lastRenderedPageBreak/>
        <w:t>Figure S</w:t>
      </w:r>
      <w:r>
        <w:rPr>
          <w:rFonts w:hint="eastAsia"/>
          <w:b/>
          <w:bCs/>
          <w:lang w:eastAsia="zh-CN"/>
        </w:rPr>
        <w:t>1</w:t>
      </w:r>
      <w:r>
        <w:rPr>
          <w:b/>
          <w:bCs/>
          <w:lang w:val="en-GB"/>
        </w:rPr>
        <w:t>.</w:t>
      </w:r>
      <w:r>
        <w:rPr>
          <w:lang w:val="en-GB"/>
        </w:rPr>
        <w:t xml:space="preserve"> </w:t>
      </w:r>
      <w:r>
        <w:rPr>
          <w:rFonts w:hint="eastAsia"/>
          <w:lang w:eastAsia="zh-CN"/>
        </w:rPr>
        <w:t xml:space="preserve">Real-plane images of light emission collected from </w:t>
      </w:r>
      <w:r>
        <w:rPr>
          <w:lang w:val="en-GB"/>
        </w:rPr>
        <w:t>Al/</w:t>
      </w:r>
      <w:proofErr w:type="spellStart"/>
      <w:r>
        <w:rPr>
          <w:lang w:val="en-GB"/>
        </w:rPr>
        <w:t>AlO</w:t>
      </w:r>
      <w:r>
        <w:rPr>
          <w:vertAlign w:val="subscript"/>
          <w:lang w:val="en-GB"/>
        </w:rPr>
        <w:t>X</w:t>
      </w:r>
      <w:proofErr w:type="spellEnd"/>
      <w:r>
        <w:rPr>
          <w:lang w:val="en-GB"/>
        </w:rPr>
        <w:t>/Cu tunnel junctions</w:t>
      </w:r>
      <w:r>
        <w:rPr>
          <w:rFonts w:hint="eastAsia"/>
          <w:lang w:eastAsia="zh-CN"/>
        </w:rPr>
        <w:t>. Cu was grounded, and Al was biased negatively for larger breakdown voltages. The two dotted circles represent the collection area of the junction center and waveguide end shown in Figures S2 and S3, receptively.</w:t>
      </w:r>
    </w:p>
    <w:p w14:paraId="0E412992" w14:textId="77777777" w:rsidR="007F66EB" w:rsidRDefault="00000000">
      <w:pPr>
        <w:spacing w:line="480" w:lineRule="auto"/>
        <w:jc w:val="center"/>
        <w:rPr>
          <w:b/>
          <w:bCs/>
          <w:lang w:val="en-GB"/>
        </w:rPr>
      </w:pPr>
      <w:r>
        <w:rPr>
          <w:noProof/>
        </w:rPr>
        <w:drawing>
          <wp:inline distT="0" distB="0" distL="114300" distR="114300" wp14:anchorId="21E556DB" wp14:editId="7641CF9F">
            <wp:extent cx="5039995" cy="4618355"/>
            <wp:effectExtent l="0" t="0" r="1270" b="190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11"/>
                    <a:stretch>
                      <a:fillRect/>
                    </a:stretch>
                  </pic:blipFill>
                  <pic:spPr>
                    <a:xfrm>
                      <a:off x="0" y="0"/>
                      <a:ext cx="5039995" cy="4618355"/>
                    </a:xfrm>
                    <a:prstGeom prst="rect">
                      <a:avLst/>
                    </a:prstGeom>
                    <a:noFill/>
                    <a:ln>
                      <a:noFill/>
                    </a:ln>
                  </pic:spPr>
                </pic:pic>
              </a:graphicData>
            </a:graphic>
          </wp:inline>
        </w:drawing>
      </w:r>
    </w:p>
    <w:p w14:paraId="74E483C7" w14:textId="77777777" w:rsidR="007F66EB" w:rsidRDefault="00000000">
      <w:pPr>
        <w:spacing w:line="480" w:lineRule="auto"/>
        <w:rPr>
          <w:rFonts w:cs="Times New Roman"/>
          <w:lang w:eastAsia="zh-CN"/>
        </w:rPr>
      </w:pPr>
      <w:r>
        <w:rPr>
          <w:b/>
          <w:bCs/>
          <w:lang w:val="en-GB"/>
        </w:rPr>
        <w:t>Figure S2.</w:t>
      </w:r>
      <w:r>
        <w:rPr>
          <w:lang w:val="en-GB"/>
        </w:rPr>
        <w:t xml:space="preserve"> </w:t>
      </w:r>
      <w:r>
        <w:rPr>
          <w:rFonts w:hint="eastAsia"/>
          <w:lang w:eastAsia="zh-CN"/>
        </w:rPr>
        <w:t>Frequency-dependent back focal-plane images of light emission collected only from the center of tunnel junctions (downward circle area in Figure S1). The inner and outer arcs correspond to the scattering of Cu-air and Cu-SiO</w:t>
      </w:r>
      <w:r>
        <w:rPr>
          <w:rFonts w:hint="eastAsia"/>
          <w:vertAlign w:val="subscript"/>
          <w:lang w:eastAsia="zh-CN"/>
        </w:rPr>
        <w:t>2</w:t>
      </w:r>
      <w:r>
        <w:rPr>
          <w:rFonts w:hint="eastAsia"/>
          <w:lang w:eastAsia="zh-CN"/>
        </w:rPr>
        <w:t xml:space="preserve"> SPP modes. </w:t>
      </w:r>
    </w:p>
    <w:p w14:paraId="7DA05CE7" w14:textId="77777777" w:rsidR="007F66EB" w:rsidRDefault="00000000">
      <w:pPr>
        <w:spacing w:line="480" w:lineRule="auto"/>
        <w:jc w:val="center"/>
      </w:pPr>
      <w:r>
        <w:rPr>
          <w:noProof/>
        </w:rPr>
        <w:lastRenderedPageBreak/>
        <w:drawing>
          <wp:inline distT="0" distB="0" distL="114300" distR="114300" wp14:anchorId="55C6EC37" wp14:editId="4B60D1B9">
            <wp:extent cx="5039995" cy="4593590"/>
            <wp:effectExtent l="0" t="0" r="1270" b="508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pic:cNvPicPr>
                  </pic:nvPicPr>
                  <pic:blipFill>
                    <a:blip r:embed="rId12"/>
                    <a:stretch>
                      <a:fillRect/>
                    </a:stretch>
                  </pic:blipFill>
                  <pic:spPr>
                    <a:xfrm>
                      <a:off x="0" y="0"/>
                      <a:ext cx="5039995" cy="4593590"/>
                    </a:xfrm>
                    <a:prstGeom prst="rect">
                      <a:avLst/>
                    </a:prstGeom>
                  </pic:spPr>
                </pic:pic>
              </a:graphicData>
            </a:graphic>
          </wp:inline>
        </w:drawing>
      </w:r>
    </w:p>
    <w:p w14:paraId="0C19149D" w14:textId="77777777" w:rsidR="007F66EB" w:rsidRDefault="00000000">
      <w:pPr>
        <w:spacing w:line="480" w:lineRule="auto"/>
        <w:rPr>
          <w:lang w:eastAsia="zh-CN"/>
        </w:rPr>
      </w:pPr>
      <w:r>
        <w:rPr>
          <w:b/>
          <w:bCs/>
          <w:lang w:val="en-GB"/>
        </w:rPr>
        <w:t>Figure S</w:t>
      </w:r>
      <w:r>
        <w:rPr>
          <w:rFonts w:hint="eastAsia"/>
          <w:b/>
          <w:bCs/>
          <w:lang w:eastAsia="zh-CN"/>
        </w:rPr>
        <w:t>3</w:t>
      </w:r>
      <w:r>
        <w:rPr>
          <w:b/>
          <w:bCs/>
          <w:lang w:val="en-GB"/>
        </w:rPr>
        <w:t>.</w:t>
      </w:r>
      <w:r>
        <w:rPr>
          <w:lang w:val="en-GB"/>
        </w:rPr>
        <w:t xml:space="preserve"> </w:t>
      </w:r>
      <w:r>
        <w:rPr>
          <w:rFonts w:hint="eastAsia"/>
          <w:lang w:eastAsia="zh-CN"/>
        </w:rPr>
        <w:t xml:space="preserve">Frequency-dependent back-plane images of light emission collected only from the end of Cu waveguides (upward circle area in Figure S1). </w:t>
      </w:r>
    </w:p>
    <w:p w14:paraId="393886E7" w14:textId="77777777" w:rsidR="007F66EB" w:rsidRDefault="007F66EB">
      <w:pPr>
        <w:spacing w:line="480" w:lineRule="auto"/>
        <w:jc w:val="both"/>
        <w:rPr>
          <w:lang w:eastAsia="zh-CN"/>
        </w:rPr>
      </w:pPr>
    </w:p>
    <w:p w14:paraId="489C2AC7" w14:textId="77777777" w:rsidR="007F66EB" w:rsidRDefault="00000000">
      <w:pPr>
        <w:pStyle w:val="2"/>
        <w:pageBreakBefore/>
        <w:rPr>
          <w:rFonts w:eastAsia="宋体"/>
          <w:lang w:eastAsia="zh-CN"/>
        </w:rPr>
      </w:pPr>
      <w:bookmarkStart w:id="3" w:name="_Toc76455582"/>
      <w:bookmarkStart w:id="4" w:name="_Hlk67789651"/>
      <w:r>
        <w:rPr>
          <w:lang w:val="en-GB"/>
        </w:rPr>
        <w:lastRenderedPageBreak/>
        <w:t xml:space="preserve">S3. </w:t>
      </w:r>
      <w:bookmarkEnd w:id="3"/>
      <w:r>
        <w:rPr>
          <w:rFonts w:eastAsia="宋体" w:hint="eastAsia"/>
          <w:lang w:eastAsia="zh-CN"/>
        </w:rPr>
        <w:t>Cutoff frequency extraction and RC constant of tunnel junctions</w:t>
      </w:r>
    </w:p>
    <w:bookmarkEnd w:id="4"/>
    <w:p w14:paraId="2A21EC7C" w14:textId="77777777" w:rsidR="007F66EB" w:rsidRDefault="00000000">
      <w:pPr>
        <w:spacing w:line="480" w:lineRule="auto"/>
        <w:ind w:firstLineChars="200" w:firstLine="480"/>
      </w:pPr>
      <w:r>
        <w:rPr>
          <w:rFonts w:hint="eastAsia"/>
          <w:lang w:eastAsia="zh-CN"/>
        </w:rPr>
        <w:t>In principle, the</w:t>
      </w:r>
      <w:r>
        <w:rPr>
          <w:rFonts w:hint="eastAsia"/>
          <w:lang w:val="en-GB"/>
        </w:rPr>
        <w:t xml:space="preserve"> ultimate modulation speed</w:t>
      </w:r>
      <w:r>
        <w:rPr>
          <w:rFonts w:hint="eastAsia"/>
          <w:lang w:eastAsia="zh-CN"/>
        </w:rPr>
        <w:t xml:space="preserve"> of our demonstrated electronic-plasmonic modulators</w:t>
      </w:r>
      <w:r>
        <w:rPr>
          <w:rFonts w:hint="eastAsia"/>
          <w:lang w:val="en-GB"/>
        </w:rPr>
        <w:t xml:space="preserve"> is </w:t>
      </w:r>
      <w:r>
        <w:rPr>
          <w:rFonts w:hint="eastAsia"/>
          <w:lang w:eastAsia="zh-CN"/>
        </w:rPr>
        <w:t>limited</w:t>
      </w:r>
      <w:r>
        <w:rPr>
          <w:rFonts w:hint="eastAsia"/>
          <w:lang w:val="en-GB"/>
        </w:rPr>
        <w:t xml:space="preserve"> by the </w:t>
      </w:r>
      <w:proofErr w:type="spellStart"/>
      <w:r>
        <w:rPr>
          <w:rFonts w:hint="eastAsia"/>
          <w:lang w:val="en-GB"/>
        </w:rPr>
        <w:t>tunneling</w:t>
      </w:r>
      <w:proofErr w:type="spellEnd"/>
      <w:r>
        <w:rPr>
          <w:rFonts w:hint="eastAsia"/>
          <w:lang w:val="en-GB"/>
        </w:rPr>
        <w:t xml:space="preserve"> time of electrons through the barriers</w:t>
      </w:r>
      <w:r>
        <w:rPr>
          <w:rFonts w:hint="eastAsia"/>
          <w:lang w:eastAsia="zh-CN"/>
        </w:rPr>
        <w:t xml:space="preserve"> at a frequency of a few </w:t>
      </w:r>
      <w:proofErr w:type="gramStart"/>
      <w:r>
        <w:rPr>
          <w:rFonts w:hint="eastAsia"/>
          <w:lang w:eastAsia="zh-CN"/>
        </w:rPr>
        <w:t>THz</w:t>
      </w:r>
      <w:r>
        <w:rPr>
          <w:rFonts w:hint="eastAsia"/>
          <w:lang w:val="en-GB"/>
        </w:rPr>
        <w:t>.</w:t>
      </w:r>
      <w:r>
        <w:rPr>
          <w:vertAlign w:val="superscript"/>
          <w:lang w:val="en-GB"/>
        </w:rPr>
        <w:t>[</w:t>
      </w:r>
      <w:proofErr w:type="gramEnd"/>
      <w:r>
        <w:rPr>
          <w:vertAlign w:val="superscript"/>
          <w:lang w:val="en-GB"/>
        </w:rPr>
        <w:t>6-8]</w:t>
      </w:r>
      <w:r>
        <w:rPr>
          <w:rFonts w:hint="eastAsia"/>
          <w:lang w:val="en-GB"/>
        </w:rPr>
        <w:t xml:space="preserve"> However, experimental </w:t>
      </w:r>
      <w:r>
        <w:rPr>
          <w:rFonts w:hint="eastAsia"/>
          <w:lang w:eastAsia="zh-CN"/>
        </w:rPr>
        <w:t xml:space="preserve">verification of </w:t>
      </w:r>
      <w:r>
        <w:rPr>
          <w:rFonts w:hint="eastAsia"/>
          <w:lang w:val="en-GB"/>
        </w:rPr>
        <w:t xml:space="preserve">electronic-plasmonic modulation </w:t>
      </w:r>
      <w:r>
        <w:rPr>
          <w:rFonts w:hint="eastAsia"/>
          <w:lang w:eastAsia="zh-CN"/>
        </w:rPr>
        <w:t>at the THz regime is hindered by</w:t>
      </w:r>
      <w:r>
        <w:rPr>
          <w:rFonts w:hint="eastAsia"/>
          <w:lang w:val="en-GB"/>
        </w:rPr>
        <w:t xml:space="preserve"> </w:t>
      </w:r>
      <w:r>
        <w:rPr>
          <w:rFonts w:hint="eastAsia"/>
          <w:lang w:eastAsia="zh-CN"/>
        </w:rPr>
        <w:t>the</w:t>
      </w:r>
      <w:r>
        <w:rPr>
          <w:rFonts w:hint="eastAsia"/>
          <w:lang w:val="en-GB"/>
        </w:rPr>
        <w:t xml:space="preserve"> RC time constant of the junction itself </w:t>
      </w:r>
      <w:r>
        <w:rPr>
          <w:rFonts w:hint="eastAsia"/>
          <w:lang w:eastAsia="zh-CN"/>
        </w:rPr>
        <w:t>and</w:t>
      </w:r>
      <w:r>
        <w:rPr>
          <w:rFonts w:hint="eastAsia"/>
          <w:lang w:val="en-GB"/>
        </w:rPr>
        <w:t xml:space="preserve"> the impedance matching of electric connections.</w:t>
      </w:r>
      <w:r>
        <w:rPr>
          <w:rFonts w:hint="eastAsia"/>
          <w:lang w:eastAsia="zh-CN"/>
        </w:rPr>
        <w:t xml:space="preserve"> Thus, it is vital to measure the RC constant of tunnel junctions and extract the corresponding cutoff frequency. An R&amp;S FSV40 VNA was used to measure the one-port S-parameter of the junctions. GSG probes were attached to the input pads of a junction. A probe calibration was performed to shift the reference plane to the tip of the probe. Figure S4a shows the equivalent circuit model diagram of tunnel junctions, where </w:t>
      </w:r>
      <w:r>
        <w:rPr>
          <w:rFonts w:hint="eastAsia"/>
          <w:i/>
          <w:iCs/>
          <w:lang w:eastAsia="zh-CN"/>
        </w:rPr>
        <w:t>L</w:t>
      </w:r>
      <w:r>
        <w:rPr>
          <w:rFonts w:hint="eastAsia"/>
          <w:vertAlign w:val="subscript"/>
          <w:lang w:eastAsia="zh-CN"/>
        </w:rPr>
        <w:t>S</w:t>
      </w:r>
      <w:r>
        <w:rPr>
          <w:rFonts w:hint="eastAsia"/>
          <w:lang w:eastAsia="zh-CN"/>
        </w:rPr>
        <w:t xml:space="preserve">, </w:t>
      </w:r>
      <w:r>
        <w:rPr>
          <w:rFonts w:hint="eastAsia"/>
          <w:i/>
          <w:iCs/>
          <w:lang w:eastAsia="zh-CN"/>
        </w:rPr>
        <w:t>R</w:t>
      </w:r>
      <w:r>
        <w:rPr>
          <w:rFonts w:hint="eastAsia"/>
          <w:vertAlign w:val="subscript"/>
          <w:lang w:eastAsia="zh-CN"/>
        </w:rPr>
        <w:t>S</w:t>
      </w:r>
      <w:r>
        <w:rPr>
          <w:rFonts w:hint="eastAsia"/>
          <w:lang w:eastAsia="zh-CN"/>
        </w:rPr>
        <w:t xml:space="preserve">, </w:t>
      </w:r>
      <w:proofErr w:type="spellStart"/>
      <w:r>
        <w:rPr>
          <w:rFonts w:hint="eastAsia"/>
          <w:i/>
          <w:iCs/>
          <w:lang w:eastAsia="zh-CN"/>
        </w:rPr>
        <w:t>C</w:t>
      </w:r>
      <w:r>
        <w:rPr>
          <w:rFonts w:hint="eastAsia"/>
          <w:vertAlign w:val="subscript"/>
          <w:lang w:eastAsia="zh-CN"/>
        </w:rPr>
        <w:t>j</w:t>
      </w:r>
      <w:proofErr w:type="spellEnd"/>
      <w:r>
        <w:rPr>
          <w:rFonts w:hint="eastAsia"/>
          <w:lang w:eastAsia="zh-CN"/>
        </w:rPr>
        <w:t xml:space="preserve">, and </w:t>
      </w:r>
      <w:proofErr w:type="spellStart"/>
      <w:r>
        <w:rPr>
          <w:rFonts w:hint="eastAsia"/>
          <w:i/>
          <w:iCs/>
          <w:lang w:eastAsia="zh-CN"/>
        </w:rPr>
        <w:t>R</w:t>
      </w:r>
      <w:r>
        <w:rPr>
          <w:rFonts w:hint="eastAsia"/>
          <w:vertAlign w:val="subscript"/>
          <w:lang w:eastAsia="zh-CN"/>
        </w:rPr>
        <w:t>j</w:t>
      </w:r>
      <w:proofErr w:type="spellEnd"/>
      <w:r>
        <w:rPr>
          <w:rFonts w:hint="eastAsia"/>
          <w:lang w:eastAsia="zh-CN"/>
        </w:rPr>
        <w:t xml:space="preserve"> are the series inductance, connection resistance, capacitance, and resistance of the junction, respectively. Figure S4b illustrates the measured and fitted impedance plotted against the applied RF frequency and the corresponding cutoff frequency is fitted to be 8.5 GHz, which is 1-2 orders of magnitude higher than the applied maximum RF frequency when we measure modulation of light emission and plasmonic signals. </w:t>
      </w:r>
    </w:p>
    <w:p w14:paraId="727A22DE" w14:textId="77777777" w:rsidR="007F66EB" w:rsidRDefault="00000000">
      <w:pPr>
        <w:spacing w:line="480" w:lineRule="auto"/>
        <w:jc w:val="center"/>
        <w:rPr>
          <w:b/>
          <w:bCs/>
          <w:lang w:val="en-GB"/>
        </w:rPr>
      </w:pPr>
      <w:r>
        <w:rPr>
          <w:noProof/>
        </w:rPr>
        <w:drawing>
          <wp:inline distT="0" distB="0" distL="114300" distR="114300" wp14:anchorId="5C5A7495" wp14:editId="153751D2">
            <wp:extent cx="5039995" cy="1710690"/>
            <wp:effectExtent l="0" t="0" r="127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3"/>
                    <a:stretch>
                      <a:fillRect/>
                    </a:stretch>
                  </pic:blipFill>
                  <pic:spPr>
                    <a:xfrm>
                      <a:off x="0" y="0"/>
                      <a:ext cx="5039995" cy="1710690"/>
                    </a:xfrm>
                    <a:prstGeom prst="rect">
                      <a:avLst/>
                    </a:prstGeom>
                    <a:noFill/>
                    <a:ln>
                      <a:noFill/>
                    </a:ln>
                  </pic:spPr>
                </pic:pic>
              </a:graphicData>
            </a:graphic>
          </wp:inline>
        </w:drawing>
      </w:r>
    </w:p>
    <w:p w14:paraId="529885F9" w14:textId="77777777" w:rsidR="007F66EB" w:rsidRDefault="00000000">
      <w:pPr>
        <w:spacing w:line="480" w:lineRule="auto"/>
        <w:rPr>
          <w:rFonts w:cs="Times New Roman"/>
        </w:rPr>
      </w:pPr>
      <w:r>
        <w:rPr>
          <w:rFonts w:cs="Times New Roman"/>
          <w:b/>
          <w:bCs/>
          <w:lang w:val="en-GB"/>
        </w:rPr>
        <w:t>Figure S</w:t>
      </w:r>
      <w:r>
        <w:rPr>
          <w:rFonts w:cs="Times New Roman" w:hint="eastAsia"/>
          <w:b/>
          <w:bCs/>
          <w:lang w:eastAsia="zh-CN"/>
        </w:rPr>
        <w:t>4</w:t>
      </w:r>
      <w:r>
        <w:rPr>
          <w:rFonts w:cs="Times New Roman"/>
          <w:b/>
          <w:bCs/>
          <w:lang w:val="en-GB" w:eastAsia="zh-CN"/>
        </w:rPr>
        <w:t>.</w:t>
      </w:r>
      <w:r>
        <w:rPr>
          <w:rFonts w:cs="Times New Roman"/>
          <w:lang w:val="en-GB"/>
        </w:rPr>
        <w:t xml:space="preserve"> </w:t>
      </w:r>
      <w:r>
        <w:rPr>
          <w:rFonts w:hint="eastAsia"/>
          <w:lang w:val="en-GB"/>
        </w:rPr>
        <w:t>Estimation of the cut-off frequency</w:t>
      </w:r>
      <w:r>
        <w:rPr>
          <w:rFonts w:cs="Times New Roman" w:hint="eastAsia"/>
          <w:lang w:eastAsia="zh-CN"/>
        </w:rPr>
        <w:t xml:space="preserve">. a) </w:t>
      </w:r>
      <w:r>
        <w:rPr>
          <w:rFonts w:hint="eastAsia"/>
          <w:lang w:eastAsia="zh-CN"/>
        </w:rPr>
        <w:t xml:space="preserve">Equivalent circuit model diagram of tunnel junctions. </w:t>
      </w:r>
      <w:r>
        <w:rPr>
          <w:rFonts w:hint="eastAsia"/>
          <w:i/>
          <w:iCs/>
          <w:lang w:eastAsia="zh-CN"/>
        </w:rPr>
        <w:t>L</w:t>
      </w:r>
      <w:r>
        <w:rPr>
          <w:rFonts w:hint="eastAsia"/>
          <w:vertAlign w:val="subscript"/>
          <w:lang w:eastAsia="zh-CN"/>
        </w:rPr>
        <w:t>S</w:t>
      </w:r>
      <w:r>
        <w:rPr>
          <w:rFonts w:hint="eastAsia"/>
          <w:lang w:eastAsia="zh-CN"/>
        </w:rPr>
        <w:t xml:space="preserve">, </w:t>
      </w:r>
      <w:r>
        <w:rPr>
          <w:rFonts w:hint="eastAsia"/>
          <w:i/>
          <w:iCs/>
          <w:lang w:eastAsia="zh-CN"/>
        </w:rPr>
        <w:t>R</w:t>
      </w:r>
      <w:r>
        <w:rPr>
          <w:rFonts w:hint="eastAsia"/>
          <w:vertAlign w:val="subscript"/>
          <w:lang w:eastAsia="zh-CN"/>
        </w:rPr>
        <w:t>S</w:t>
      </w:r>
      <w:r>
        <w:rPr>
          <w:rFonts w:hint="eastAsia"/>
          <w:lang w:eastAsia="zh-CN"/>
        </w:rPr>
        <w:t xml:space="preserve">, </w:t>
      </w:r>
      <w:proofErr w:type="spellStart"/>
      <w:r>
        <w:rPr>
          <w:rFonts w:hint="eastAsia"/>
          <w:i/>
          <w:iCs/>
          <w:lang w:eastAsia="zh-CN"/>
        </w:rPr>
        <w:t>C</w:t>
      </w:r>
      <w:r>
        <w:rPr>
          <w:rFonts w:hint="eastAsia"/>
          <w:vertAlign w:val="subscript"/>
          <w:lang w:eastAsia="zh-CN"/>
        </w:rPr>
        <w:t>j</w:t>
      </w:r>
      <w:proofErr w:type="spellEnd"/>
      <w:r>
        <w:rPr>
          <w:rFonts w:hint="eastAsia"/>
          <w:lang w:eastAsia="zh-CN"/>
        </w:rPr>
        <w:t xml:space="preserve">, and </w:t>
      </w:r>
      <w:proofErr w:type="spellStart"/>
      <w:r>
        <w:rPr>
          <w:rFonts w:hint="eastAsia"/>
          <w:i/>
          <w:iCs/>
          <w:lang w:eastAsia="zh-CN"/>
        </w:rPr>
        <w:t>R</w:t>
      </w:r>
      <w:r>
        <w:rPr>
          <w:rFonts w:hint="eastAsia"/>
          <w:vertAlign w:val="subscript"/>
          <w:lang w:eastAsia="zh-CN"/>
        </w:rPr>
        <w:t>j</w:t>
      </w:r>
      <w:proofErr w:type="spellEnd"/>
      <w:r>
        <w:rPr>
          <w:rFonts w:hint="eastAsia"/>
          <w:lang w:eastAsia="zh-CN"/>
        </w:rPr>
        <w:t xml:space="preserve"> are the series inductance, connection resistance, capacitance, and resistance of the junction, respectively. The fitted equation of the equivalent circuit model is also presented below the diagram. b) The measured and fitted impedance plotted against the applied RF frequency. The tunnel junction area is 5</w:t>
      </w:r>
      <w:r>
        <w:rPr>
          <w:rFonts w:hint="eastAsia"/>
          <w:lang w:eastAsia="zh-CN"/>
        </w:rPr>
        <w:t>×</w:t>
      </w:r>
      <w:r>
        <w:rPr>
          <w:rFonts w:hint="eastAsia"/>
          <w:lang w:eastAsia="zh-CN"/>
        </w:rPr>
        <w:t xml:space="preserve">5 </w:t>
      </w:r>
      <w:r>
        <w:rPr>
          <w:rFonts w:ascii="Symbol" w:hAnsi="Symbol" w:cs="Symbol"/>
          <w:lang w:eastAsia="zh-CN"/>
        </w:rPr>
        <w:t>m</w:t>
      </w:r>
      <w:r>
        <w:rPr>
          <w:rFonts w:hint="eastAsia"/>
          <w:lang w:eastAsia="zh-CN"/>
        </w:rPr>
        <w:t>m</w:t>
      </w:r>
      <w:r>
        <w:rPr>
          <w:rFonts w:hint="eastAsia"/>
          <w:vertAlign w:val="superscript"/>
          <w:lang w:eastAsia="zh-CN"/>
        </w:rPr>
        <w:t>2</w:t>
      </w:r>
      <w:r>
        <w:rPr>
          <w:rFonts w:hint="eastAsia"/>
          <w:lang w:eastAsia="zh-CN"/>
        </w:rPr>
        <w:t>.</w:t>
      </w:r>
    </w:p>
    <w:p w14:paraId="40588DE1" w14:textId="77777777" w:rsidR="007F66EB" w:rsidRDefault="00000000">
      <w:pPr>
        <w:pStyle w:val="2"/>
        <w:pageBreakBefore/>
        <w:rPr>
          <w:rFonts w:eastAsia="宋体"/>
          <w:lang w:eastAsia="zh-CN"/>
        </w:rPr>
      </w:pPr>
      <w:r>
        <w:rPr>
          <w:lang w:val="en-GB"/>
        </w:rPr>
        <w:lastRenderedPageBreak/>
        <w:t>S</w:t>
      </w:r>
      <w:r>
        <w:rPr>
          <w:rFonts w:eastAsia="宋体" w:hint="eastAsia"/>
          <w:lang w:eastAsia="zh-CN"/>
        </w:rPr>
        <w:t>4</w:t>
      </w:r>
      <w:r>
        <w:rPr>
          <w:lang w:val="en-GB"/>
        </w:rPr>
        <w:t xml:space="preserve">. </w:t>
      </w:r>
      <w:r>
        <w:rPr>
          <w:rFonts w:eastAsia="宋体"/>
          <w:lang w:eastAsia="zh-CN"/>
        </w:rPr>
        <w:t>Frequency-dependent reflection coefficient at the input of tunnel junctions.</w:t>
      </w:r>
    </w:p>
    <w:p w14:paraId="2047C436" w14:textId="77777777" w:rsidR="007F66EB" w:rsidRDefault="00000000">
      <w:pPr>
        <w:spacing w:line="480" w:lineRule="auto"/>
        <w:ind w:firstLineChars="200" w:firstLine="480"/>
      </w:pPr>
      <w:r>
        <w:rPr>
          <w:rFonts w:hint="eastAsia"/>
          <w:lang w:eastAsia="zh-CN"/>
        </w:rPr>
        <w:t xml:space="preserve">An R&amp;S FSV40 VNA was used to measure the Reflection coefficient at the input of the junction when the applied frequency ranges from 10 MHz to 1 GHz. Figure S5a presents the equivalent circuit model diagram of a lossless matching network, where </w:t>
      </w:r>
      <w:r>
        <w:rPr>
          <w:rFonts w:cs="Times New Roman"/>
          <w:i/>
          <w:iCs/>
          <w:lang w:eastAsia="zh-CN"/>
        </w:rPr>
        <w:t>Γ</w:t>
      </w:r>
      <w:r>
        <w:rPr>
          <w:rFonts w:cs="Times New Roman" w:hint="eastAsia"/>
          <w:lang w:eastAsia="zh-CN"/>
        </w:rPr>
        <w:t>(</w:t>
      </w:r>
      <w:r>
        <w:rPr>
          <w:rFonts w:cs="Times New Roman"/>
          <w:i/>
          <w:iCs/>
          <w:lang w:eastAsia="zh-CN"/>
        </w:rPr>
        <w:t>ω</w:t>
      </w:r>
      <w:r>
        <w:rPr>
          <w:rFonts w:cs="Times New Roman" w:hint="eastAsia"/>
          <w:lang w:eastAsia="zh-CN"/>
        </w:rPr>
        <w:t>) is defined as the r</w:t>
      </w:r>
      <w:r>
        <w:rPr>
          <w:rFonts w:hint="eastAsia"/>
          <w:lang w:eastAsia="zh-CN"/>
        </w:rPr>
        <w:t xml:space="preserve">eflection coefficient at the input of the junction. Figure S5b shows the plot of the </w:t>
      </w:r>
      <w:r>
        <w:rPr>
          <w:rFonts w:cs="Times New Roman" w:hint="eastAsia"/>
          <w:lang w:eastAsia="zh-CN"/>
        </w:rPr>
        <w:t>r</w:t>
      </w:r>
      <w:r>
        <w:rPr>
          <w:rFonts w:hint="eastAsia"/>
          <w:lang w:eastAsia="zh-CN"/>
        </w:rPr>
        <w:t xml:space="preserve">eflection coefficient </w:t>
      </w:r>
      <w:r>
        <w:rPr>
          <w:rFonts w:cs="Times New Roman"/>
          <w:i/>
          <w:iCs/>
          <w:lang w:eastAsia="zh-CN"/>
        </w:rPr>
        <w:t>Γ</w:t>
      </w:r>
      <w:r>
        <w:rPr>
          <w:rFonts w:cs="Times New Roman" w:hint="eastAsia"/>
          <w:lang w:eastAsia="zh-CN"/>
        </w:rPr>
        <w:t>(</w:t>
      </w:r>
      <w:r>
        <w:rPr>
          <w:rFonts w:cs="Times New Roman"/>
          <w:i/>
          <w:iCs/>
          <w:lang w:eastAsia="zh-CN"/>
        </w:rPr>
        <w:t>ω</w:t>
      </w:r>
      <w:r>
        <w:rPr>
          <w:rFonts w:cs="Times New Roman" w:hint="eastAsia"/>
          <w:lang w:eastAsia="zh-CN"/>
        </w:rPr>
        <w:t xml:space="preserve">) as a function of input frequency. We observe that </w:t>
      </w:r>
      <w:r>
        <w:rPr>
          <w:rFonts w:hint="eastAsia"/>
          <w:lang w:eastAsia="zh-CN"/>
        </w:rPr>
        <w:t xml:space="preserve">there is a dip in the reflection coefficient (from the measured junction impedance) between 10 and 100 MHz, suggesting the power delivered from the power source to the junction has a peak within this frequency range. This is the reason why the measured modulated current (Figure 3d), as well as light-emitting intensity (Figure 4c) increases when the applied frequency increases beyond 10 MHz and finally decreases shapely beyond 100 </w:t>
      </w:r>
      <w:proofErr w:type="spellStart"/>
      <w:r>
        <w:rPr>
          <w:rFonts w:hint="eastAsia"/>
          <w:lang w:eastAsia="zh-CN"/>
        </w:rPr>
        <w:t>MHz.</w:t>
      </w:r>
      <w:proofErr w:type="spellEnd"/>
      <w:r>
        <w:rPr>
          <w:rFonts w:hint="eastAsia"/>
          <w:lang w:eastAsia="zh-CN"/>
        </w:rPr>
        <w:t xml:space="preserve"> </w:t>
      </w:r>
      <w:r>
        <w:rPr>
          <w:rFonts w:hint="eastAsia"/>
          <w:lang w:val="en-GB"/>
        </w:rPr>
        <w:t xml:space="preserve">Due to </w:t>
      </w:r>
      <w:r>
        <w:rPr>
          <w:rFonts w:hint="eastAsia"/>
          <w:lang w:eastAsia="zh-CN"/>
        </w:rPr>
        <w:t xml:space="preserve">the </w:t>
      </w:r>
      <w:r>
        <w:rPr>
          <w:rFonts w:hint="eastAsia"/>
          <w:lang w:val="en-GB"/>
        </w:rPr>
        <w:t xml:space="preserve">Bode-Fano </w:t>
      </w:r>
      <w:proofErr w:type="gramStart"/>
      <w:r>
        <w:rPr>
          <w:rFonts w:hint="eastAsia"/>
          <w:lang w:val="en-GB"/>
        </w:rPr>
        <w:t>criterion,</w:t>
      </w:r>
      <w:r>
        <w:rPr>
          <w:vertAlign w:val="superscript"/>
          <w:lang w:val="en-GB"/>
        </w:rPr>
        <w:t>[</w:t>
      </w:r>
      <w:proofErr w:type="gramEnd"/>
      <w:r>
        <w:rPr>
          <w:vertAlign w:val="superscript"/>
          <w:lang w:val="en-GB"/>
        </w:rPr>
        <w:t>9-10]</w:t>
      </w:r>
      <w:r>
        <w:rPr>
          <w:rFonts w:hint="eastAsia"/>
          <w:lang w:val="en-GB"/>
        </w:rPr>
        <w:t xml:space="preserve"> broadband matching for parallel RC load impedance is </w:t>
      </w:r>
      <w:r>
        <w:rPr>
          <w:rFonts w:hint="eastAsia"/>
          <w:lang w:eastAsia="zh-CN"/>
        </w:rPr>
        <w:t xml:space="preserve">difficult to implement experimentally as shown in our demonstration. </w:t>
      </w:r>
      <w:r>
        <w:rPr>
          <w:rFonts w:hint="eastAsia"/>
          <w:lang w:val="en-GB"/>
        </w:rPr>
        <w:t>Therefore,</w:t>
      </w:r>
      <w:r>
        <w:rPr>
          <w:rFonts w:hint="eastAsia"/>
          <w:lang w:eastAsia="zh-CN"/>
        </w:rPr>
        <w:t xml:space="preserve"> in future work,</w:t>
      </w:r>
      <w:r>
        <w:rPr>
          <w:rFonts w:hint="eastAsia"/>
          <w:lang w:val="en-GB"/>
        </w:rPr>
        <w:t xml:space="preserve"> there are two possible ways</w:t>
      </w:r>
      <w:r>
        <w:rPr>
          <w:rFonts w:hint="eastAsia"/>
          <w:lang w:eastAsia="zh-CN"/>
        </w:rPr>
        <w:t xml:space="preserve"> to overcome the impedance mismatch: </w:t>
      </w:r>
      <w:r>
        <w:rPr>
          <w:rFonts w:hint="eastAsia"/>
          <w:lang w:val="en-GB"/>
        </w:rPr>
        <w:t>1) narrow bandwidth (single frequency) matching, which may complicate the whole measurement;</w:t>
      </w:r>
      <w:r>
        <w:rPr>
          <w:rFonts w:hint="eastAsia"/>
          <w:lang w:eastAsia="zh-CN"/>
        </w:rPr>
        <w:t xml:space="preserve"> </w:t>
      </w:r>
      <w:r>
        <w:rPr>
          <w:rFonts w:hint="eastAsia"/>
          <w:lang w:val="en-GB"/>
        </w:rPr>
        <w:t xml:space="preserve">2) using </w:t>
      </w:r>
      <w:r>
        <w:rPr>
          <w:rFonts w:hint="eastAsia"/>
          <w:lang w:eastAsia="zh-CN"/>
        </w:rPr>
        <w:t xml:space="preserve">a </w:t>
      </w:r>
      <w:r>
        <w:rPr>
          <w:rFonts w:hint="eastAsia"/>
          <w:lang w:val="en-GB"/>
        </w:rPr>
        <w:t xml:space="preserve">high RF power source (signal generator </w:t>
      </w:r>
      <w:r>
        <w:rPr>
          <w:rFonts w:hint="eastAsia"/>
          <w:lang w:eastAsia="zh-CN"/>
        </w:rPr>
        <w:t>and</w:t>
      </w:r>
      <w:r>
        <w:rPr>
          <w:rFonts w:hint="eastAsia"/>
          <w:lang w:val="en-GB"/>
        </w:rPr>
        <w:t xml:space="preserve"> amplifier) to let sufficient power reach the </w:t>
      </w:r>
      <w:r>
        <w:rPr>
          <w:rFonts w:hint="eastAsia"/>
          <w:lang w:eastAsia="zh-CN"/>
        </w:rPr>
        <w:t xml:space="preserve">tunnel </w:t>
      </w:r>
      <w:proofErr w:type="gramStart"/>
      <w:r>
        <w:rPr>
          <w:rFonts w:hint="eastAsia"/>
          <w:lang w:eastAsia="zh-CN"/>
        </w:rPr>
        <w:t>junctions.</w:t>
      </w:r>
      <w:r>
        <w:rPr>
          <w:vertAlign w:val="superscript"/>
          <w:lang w:eastAsia="zh-CN"/>
        </w:rPr>
        <w:t>[</w:t>
      </w:r>
      <w:proofErr w:type="gramEnd"/>
      <w:r>
        <w:rPr>
          <w:vertAlign w:val="superscript"/>
          <w:lang w:eastAsia="zh-CN"/>
        </w:rPr>
        <w:t>8, 11]</w:t>
      </w:r>
      <w:r>
        <w:rPr>
          <w:rFonts w:hint="eastAsia"/>
          <w:vertAlign w:val="superscript"/>
          <w:lang w:eastAsia="zh-CN"/>
        </w:rPr>
        <w:t xml:space="preserve"> </w:t>
      </w:r>
    </w:p>
    <w:p w14:paraId="7C3F0C6D" w14:textId="77777777" w:rsidR="007F66EB" w:rsidRDefault="00000000">
      <w:pPr>
        <w:spacing w:line="480" w:lineRule="auto"/>
        <w:rPr>
          <w:b/>
          <w:bCs/>
          <w:lang w:val="en-GB"/>
        </w:rPr>
      </w:pPr>
      <w:r>
        <w:rPr>
          <w:noProof/>
        </w:rPr>
        <w:drawing>
          <wp:inline distT="0" distB="0" distL="114300" distR="114300" wp14:anchorId="064AA907" wp14:editId="79432CCF">
            <wp:extent cx="5039995" cy="1734820"/>
            <wp:effectExtent l="0" t="0" r="1270" b="317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pic:cNvPicPr>
                  </pic:nvPicPr>
                  <pic:blipFill>
                    <a:blip r:embed="rId14"/>
                    <a:stretch>
                      <a:fillRect/>
                    </a:stretch>
                  </pic:blipFill>
                  <pic:spPr>
                    <a:xfrm>
                      <a:off x="0" y="0"/>
                      <a:ext cx="5039995" cy="1734820"/>
                    </a:xfrm>
                    <a:prstGeom prst="rect">
                      <a:avLst/>
                    </a:prstGeom>
                    <a:noFill/>
                    <a:ln>
                      <a:noFill/>
                    </a:ln>
                  </pic:spPr>
                </pic:pic>
              </a:graphicData>
            </a:graphic>
          </wp:inline>
        </w:drawing>
      </w:r>
    </w:p>
    <w:p w14:paraId="19CCB660" w14:textId="77777777" w:rsidR="007F66EB" w:rsidRDefault="00000000">
      <w:pPr>
        <w:spacing w:line="480" w:lineRule="auto"/>
        <w:jc w:val="both"/>
        <w:rPr>
          <w:rFonts w:cs="Times New Roman"/>
          <w:lang w:eastAsia="zh-CN"/>
        </w:rPr>
      </w:pPr>
      <w:r>
        <w:rPr>
          <w:rFonts w:cs="Times New Roman"/>
          <w:b/>
          <w:bCs/>
          <w:lang w:val="en-GB"/>
        </w:rPr>
        <w:t>Figure S</w:t>
      </w:r>
      <w:r>
        <w:rPr>
          <w:rFonts w:cs="Times New Roman" w:hint="eastAsia"/>
          <w:b/>
          <w:bCs/>
          <w:lang w:eastAsia="zh-CN"/>
        </w:rPr>
        <w:t>5</w:t>
      </w:r>
      <w:r>
        <w:rPr>
          <w:rFonts w:cs="Times New Roman"/>
          <w:b/>
          <w:bCs/>
          <w:lang w:val="en-GB" w:eastAsia="zh-CN"/>
        </w:rPr>
        <w:t>.</w:t>
      </w:r>
      <w:r>
        <w:rPr>
          <w:rFonts w:cs="Times New Roman"/>
          <w:lang w:val="en-GB"/>
        </w:rPr>
        <w:t xml:space="preserve"> </w:t>
      </w:r>
      <w:r>
        <w:rPr>
          <w:rFonts w:hint="eastAsia"/>
          <w:lang w:eastAsia="zh-CN"/>
        </w:rPr>
        <w:t>Reflection coefficient at the input of the junction. a) Equivalent circuit model diagram of a lossless matching network and the Bode-Fano Criterion equation. b) Frequency-dependent reflection coefficient at the input of the junction.</w:t>
      </w:r>
    </w:p>
    <w:p w14:paraId="5D7D2F41" w14:textId="77777777" w:rsidR="007F66EB" w:rsidRDefault="007F66EB">
      <w:pPr>
        <w:spacing w:line="480" w:lineRule="auto"/>
        <w:jc w:val="both"/>
        <w:rPr>
          <w:rFonts w:cs="Times New Roman"/>
          <w:lang w:val="en-GB" w:eastAsia="zh-CN"/>
        </w:rPr>
      </w:pPr>
    </w:p>
    <w:p w14:paraId="268ABB2A" w14:textId="77777777" w:rsidR="007F66EB" w:rsidRDefault="00000000">
      <w:pPr>
        <w:spacing w:line="480" w:lineRule="auto"/>
        <w:rPr>
          <w:rFonts w:cs="Times New Roman"/>
          <w:b/>
          <w:bCs/>
        </w:rPr>
      </w:pPr>
      <w:r>
        <w:rPr>
          <w:rFonts w:cs="Times New Roman" w:hint="eastAsia"/>
          <w:b/>
          <w:bCs/>
        </w:rPr>
        <w:lastRenderedPageBreak/>
        <w:t>Reference</w:t>
      </w:r>
    </w:p>
    <w:p w14:paraId="333AF8F9" w14:textId="77777777" w:rsidR="007F66EB" w:rsidRDefault="00000000">
      <w:pPr>
        <w:spacing w:line="480" w:lineRule="auto"/>
        <w:jc w:val="both"/>
        <w:rPr>
          <w:rFonts w:cs="Times New Roman"/>
          <w:lang w:val="en-GB" w:eastAsia="zh-CN"/>
        </w:rPr>
      </w:pPr>
      <w:r>
        <w:rPr>
          <w:rFonts w:eastAsia="等线" w:cs="Times New Roman"/>
        </w:rPr>
        <w:t xml:space="preserve">1. Du, W., et al., </w:t>
      </w:r>
      <w:r>
        <w:rPr>
          <w:rFonts w:eastAsia="等线" w:cs="Times New Roman"/>
          <w:i/>
        </w:rPr>
        <w:t>Highly efficient on-chip direct electronic–plasmonic transducers.</w:t>
      </w:r>
      <w:r>
        <w:rPr>
          <w:rFonts w:eastAsia="等线" w:cs="Times New Roman"/>
        </w:rPr>
        <w:t xml:space="preserve"> Nature Photonics, 2017. </w:t>
      </w:r>
      <w:r>
        <w:rPr>
          <w:rFonts w:eastAsia="等线" w:cs="Times New Roman"/>
          <w:b/>
        </w:rPr>
        <w:t>11</w:t>
      </w:r>
      <w:r>
        <w:rPr>
          <w:rFonts w:eastAsia="等线" w:cs="Times New Roman"/>
        </w:rPr>
        <w:t>(10): p. 623-627.</w:t>
      </w:r>
    </w:p>
    <w:p w14:paraId="786E4391" w14:textId="77777777" w:rsidR="007F66EB" w:rsidRDefault="00000000">
      <w:pPr>
        <w:spacing w:line="480" w:lineRule="auto"/>
        <w:jc w:val="both"/>
        <w:rPr>
          <w:rFonts w:cs="Times New Roman"/>
          <w:lang w:val="en-GB" w:eastAsia="zh-CN"/>
        </w:rPr>
      </w:pPr>
      <w:r>
        <w:rPr>
          <w:rFonts w:eastAsia="等线" w:cs="Times New Roman"/>
        </w:rPr>
        <w:t xml:space="preserve">2. </w:t>
      </w:r>
      <w:proofErr w:type="spellStart"/>
      <w:r>
        <w:rPr>
          <w:rFonts w:eastAsia="等线" w:cs="Times New Roman"/>
        </w:rPr>
        <w:t>Parzefall</w:t>
      </w:r>
      <w:proofErr w:type="spellEnd"/>
      <w:r>
        <w:rPr>
          <w:rFonts w:eastAsia="等线" w:cs="Times New Roman"/>
        </w:rPr>
        <w:t xml:space="preserve">, M., et al., </w:t>
      </w:r>
      <w:r>
        <w:rPr>
          <w:rFonts w:eastAsia="等线" w:cs="Times New Roman"/>
          <w:i/>
        </w:rPr>
        <w:t>Antenna-coupled photon emission from hexagonal boron nitride tunnel junctions.</w:t>
      </w:r>
      <w:r>
        <w:rPr>
          <w:rFonts w:eastAsia="等线" w:cs="Times New Roman"/>
        </w:rPr>
        <w:t xml:space="preserve"> Nature Nanotechnology, 2015. </w:t>
      </w:r>
      <w:r>
        <w:rPr>
          <w:rFonts w:eastAsia="等线" w:cs="Times New Roman"/>
          <w:b/>
        </w:rPr>
        <w:t>10</w:t>
      </w:r>
      <w:r>
        <w:rPr>
          <w:rFonts w:eastAsia="等线" w:cs="Times New Roman"/>
        </w:rPr>
        <w:t>(12): p. 1058-1063.</w:t>
      </w:r>
    </w:p>
    <w:p w14:paraId="39230D15" w14:textId="77777777" w:rsidR="007F66EB" w:rsidRDefault="00000000">
      <w:pPr>
        <w:spacing w:line="480" w:lineRule="auto"/>
        <w:jc w:val="both"/>
        <w:rPr>
          <w:rFonts w:cs="Times New Roman"/>
          <w:lang w:val="en-GB" w:eastAsia="zh-CN"/>
        </w:rPr>
      </w:pPr>
      <w:r>
        <w:rPr>
          <w:rFonts w:eastAsia="等线" w:cs="Times New Roman"/>
        </w:rPr>
        <w:t xml:space="preserve">3. Wang, F., et al., </w:t>
      </w:r>
      <w:r>
        <w:rPr>
          <w:rFonts w:eastAsia="等线" w:cs="Times New Roman"/>
          <w:i/>
        </w:rPr>
        <w:t>Spatial Control over Stable Light-Emission from AC-Driven CMOS-Compatible Quantum Mechanical Tunnel Junctions.</w:t>
      </w:r>
      <w:r>
        <w:rPr>
          <w:rFonts w:eastAsia="等线" w:cs="Times New Roman"/>
        </w:rPr>
        <w:t xml:space="preserve"> Laser &amp; Photonics Reviews, 2022. </w:t>
      </w:r>
      <w:r>
        <w:rPr>
          <w:rFonts w:eastAsia="等线" w:cs="Times New Roman"/>
          <w:b/>
        </w:rPr>
        <w:t>16</w:t>
      </w:r>
      <w:r>
        <w:rPr>
          <w:rFonts w:eastAsia="等线" w:cs="Times New Roman"/>
        </w:rPr>
        <w:t>(5): p. 2100419.</w:t>
      </w:r>
    </w:p>
    <w:p w14:paraId="10B9BEC4" w14:textId="77777777" w:rsidR="007F66EB" w:rsidRDefault="00000000">
      <w:pPr>
        <w:spacing w:line="480" w:lineRule="auto"/>
        <w:jc w:val="both"/>
        <w:rPr>
          <w:rFonts w:eastAsia="等线" w:cs="Times New Roman"/>
        </w:rPr>
      </w:pPr>
      <w:r>
        <w:rPr>
          <w:rFonts w:eastAsia="等线" w:cs="Times New Roman"/>
        </w:rPr>
        <w:t xml:space="preserve">4. Sadaf, S. M., et al., </w:t>
      </w:r>
      <w:r>
        <w:rPr>
          <w:rFonts w:eastAsia="等线" w:cs="Times New Roman"/>
          <w:i/>
          <w:iCs/>
        </w:rPr>
        <w:t xml:space="preserve">Alternating-Current </w:t>
      </w:r>
      <w:proofErr w:type="spellStart"/>
      <w:r>
        <w:rPr>
          <w:rFonts w:eastAsia="等线" w:cs="Times New Roman"/>
          <w:i/>
          <w:iCs/>
        </w:rPr>
        <w:t>InGaN</w:t>
      </w:r>
      <w:proofErr w:type="spellEnd"/>
      <w:r>
        <w:rPr>
          <w:rFonts w:eastAsia="等线" w:cs="Times New Roman"/>
          <w:i/>
          <w:iCs/>
        </w:rPr>
        <w:t>/</w:t>
      </w:r>
      <w:proofErr w:type="spellStart"/>
      <w:r>
        <w:rPr>
          <w:rFonts w:eastAsia="等线" w:cs="Times New Roman"/>
          <w:i/>
          <w:iCs/>
        </w:rPr>
        <w:t>GaN</w:t>
      </w:r>
      <w:proofErr w:type="spellEnd"/>
      <w:r>
        <w:rPr>
          <w:rFonts w:eastAsia="等线" w:cs="Times New Roman"/>
          <w:i/>
          <w:iCs/>
        </w:rPr>
        <w:t xml:space="preserve"> Tunnel Junction Nanowire White-Light Emitting Diodes</w:t>
      </w:r>
      <w:r>
        <w:rPr>
          <w:rFonts w:eastAsia="等线" w:cs="Times New Roman"/>
        </w:rPr>
        <w:t xml:space="preserve">. Nano Letters, 2015. </w:t>
      </w:r>
      <w:r>
        <w:rPr>
          <w:rFonts w:eastAsia="等线" w:cs="Times New Roman"/>
          <w:b/>
          <w:bCs/>
        </w:rPr>
        <w:t>15</w:t>
      </w:r>
      <w:r>
        <w:rPr>
          <w:rFonts w:eastAsia="等线" w:cs="Times New Roman"/>
        </w:rPr>
        <w:t>(10): p. 6696-6701.</w:t>
      </w:r>
    </w:p>
    <w:p w14:paraId="40D81A67" w14:textId="77777777" w:rsidR="007F66EB" w:rsidRDefault="00000000">
      <w:pPr>
        <w:spacing w:line="480" w:lineRule="auto"/>
        <w:jc w:val="both"/>
        <w:rPr>
          <w:rFonts w:eastAsia="等线" w:cs="Times New Roman"/>
        </w:rPr>
      </w:pPr>
      <w:r>
        <w:rPr>
          <w:rFonts w:eastAsia="等线" w:cs="Times New Roman"/>
        </w:rPr>
        <w:t xml:space="preserve">5. Wang, F., et al., </w:t>
      </w:r>
      <w:r>
        <w:rPr>
          <w:rFonts w:eastAsia="等线" w:cs="Times New Roman"/>
          <w:i/>
        </w:rPr>
        <w:t>CMOS-Compatible Electronic–Plasmonic Transducers Based on Plasmonic Tunnel Junctions and Schottky Diodes.</w:t>
      </w:r>
      <w:r>
        <w:rPr>
          <w:rFonts w:eastAsia="等线" w:cs="Times New Roman"/>
        </w:rPr>
        <w:t xml:space="preserve"> Small, 2022. </w:t>
      </w:r>
      <w:r>
        <w:rPr>
          <w:rFonts w:eastAsia="等线" w:cs="Times New Roman"/>
          <w:b/>
        </w:rPr>
        <w:t>18</w:t>
      </w:r>
      <w:r>
        <w:rPr>
          <w:rFonts w:eastAsia="等线" w:cs="Times New Roman"/>
        </w:rPr>
        <w:t>(1): p. 2105684.</w:t>
      </w:r>
    </w:p>
    <w:p w14:paraId="3D79B9E9" w14:textId="77777777" w:rsidR="007F66EB" w:rsidRDefault="00000000">
      <w:pPr>
        <w:spacing w:line="480" w:lineRule="auto"/>
        <w:jc w:val="both"/>
        <w:rPr>
          <w:rFonts w:eastAsia="等线" w:cs="Times New Roman"/>
        </w:rPr>
      </w:pPr>
      <w:r>
        <w:rPr>
          <w:rFonts w:eastAsia="等线" w:cs="Times New Roman"/>
        </w:rPr>
        <w:t>6. Février, P. and J. Gabelli</w:t>
      </w:r>
      <w:r>
        <w:rPr>
          <w:rFonts w:eastAsia="等线" w:cs="Times New Roman" w:hint="eastAsia"/>
        </w:rPr>
        <w:t>,</w:t>
      </w:r>
      <w:r>
        <w:rPr>
          <w:rFonts w:eastAsia="等线" w:cs="Times New Roman"/>
        </w:rPr>
        <w:t xml:space="preserve"> </w:t>
      </w:r>
      <w:proofErr w:type="gramStart"/>
      <w:r>
        <w:rPr>
          <w:rFonts w:eastAsia="等线" w:cs="Times New Roman"/>
          <w:i/>
          <w:iCs/>
        </w:rPr>
        <w:t>Tunneling</w:t>
      </w:r>
      <w:proofErr w:type="gramEnd"/>
      <w:r>
        <w:rPr>
          <w:rFonts w:eastAsia="等线" w:cs="Times New Roman"/>
          <w:i/>
          <w:iCs/>
        </w:rPr>
        <w:t xml:space="preserve"> time probed by quantum shot noise.</w:t>
      </w:r>
      <w:r>
        <w:rPr>
          <w:rFonts w:eastAsia="等线" w:cs="Times New Roman"/>
        </w:rPr>
        <w:t xml:space="preserve"> Nature Communications, 2018. </w:t>
      </w:r>
      <w:r>
        <w:rPr>
          <w:rFonts w:eastAsia="等线" w:cs="Times New Roman"/>
          <w:b/>
          <w:bCs/>
        </w:rPr>
        <w:t>9</w:t>
      </w:r>
      <w:r>
        <w:rPr>
          <w:rFonts w:eastAsia="等线" w:cs="Times New Roman"/>
        </w:rPr>
        <w:t>(1): p. 4940.</w:t>
      </w:r>
    </w:p>
    <w:p w14:paraId="01DDE6FB" w14:textId="77777777" w:rsidR="007F66EB" w:rsidRDefault="00000000">
      <w:pPr>
        <w:spacing w:line="480" w:lineRule="auto"/>
        <w:jc w:val="both"/>
        <w:rPr>
          <w:rFonts w:eastAsia="等线" w:cs="Times New Roman"/>
          <w:lang w:eastAsia="zh-CN"/>
        </w:rPr>
      </w:pPr>
      <w:r>
        <w:rPr>
          <w:rFonts w:eastAsia="等线" w:cs="Times New Roman"/>
          <w:lang w:eastAsia="zh-CN"/>
        </w:rPr>
        <w:t xml:space="preserve">7. </w:t>
      </w:r>
      <w:proofErr w:type="spellStart"/>
      <w:r>
        <w:rPr>
          <w:rFonts w:eastAsia="等线" w:cs="Times New Roman"/>
          <w:lang w:eastAsia="zh-CN"/>
        </w:rPr>
        <w:t>Parzefall</w:t>
      </w:r>
      <w:proofErr w:type="spellEnd"/>
      <w:r>
        <w:rPr>
          <w:rFonts w:eastAsia="等线" w:cs="Times New Roman"/>
          <w:lang w:eastAsia="zh-CN"/>
        </w:rPr>
        <w:t xml:space="preserve">, M., et al., </w:t>
      </w:r>
      <w:r>
        <w:rPr>
          <w:rFonts w:eastAsia="等线" w:cs="Times New Roman"/>
          <w:i/>
          <w:iCs/>
          <w:lang w:eastAsia="zh-CN"/>
        </w:rPr>
        <w:t>Light from van der Waals quantum tunneling devices.</w:t>
      </w:r>
      <w:r>
        <w:rPr>
          <w:rFonts w:eastAsia="等线" w:cs="Times New Roman"/>
          <w:lang w:eastAsia="zh-CN"/>
        </w:rPr>
        <w:t xml:space="preserve"> Nature Communications, 2019. </w:t>
      </w:r>
      <w:r>
        <w:rPr>
          <w:rFonts w:eastAsia="等线" w:cs="Times New Roman"/>
          <w:b/>
          <w:bCs/>
          <w:lang w:eastAsia="zh-CN"/>
        </w:rPr>
        <w:t>10</w:t>
      </w:r>
      <w:r>
        <w:rPr>
          <w:rFonts w:eastAsia="等线" w:cs="Times New Roman"/>
          <w:lang w:eastAsia="zh-CN"/>
        </w:rPr>
        <w:t>(1): p. 292.</w:t>
      </w:r>
    </w:p>
    <w:p w14:paraId="38F2DBAA" w14:textId="77777777" w:rsidR="007F66EB" w:rsidRDefault="00000000">
      <w:pPr>
        <w:spacing w:line="480" w:lineRule="auto"/>
        <w:jc w:val="both"/>
        <w:rPr>
          <w:rFonts w:eastAsia="等线" w:cs="Times New Roman"/>
          <w:lang w:eastAsia="zh-CN"/>
        </w:rPr>
      </w:pPr>
      <w:r>
        <w:rPr>
          <w:rFonts w:eastAsia="等线" w:cs="Times New Roman"/>
          <w:lang w:eastAsia="zh-CN"/>
        </w:rPr>
        <w:t xml:space="preserve">8. </w:t>
      </w:r>
      <w:proofErr w:type="spellStart"/>
      <w:r>
        <w:rPr>
          <w:rFonts w:eastAsia="等线" w:cs="Times New Roman"/>
          <w:lang w:eastAsia="zh-CN"/>
        </w:rPr>
        <w:t>Parzefall</w:t>
      </w:r>
      <w:proofErr w:type="spellEnd"/>
      <w:r>
        <w:rPr>
          <w:rFonts w:eastAsia="等线" w:cs="Times New Roman"/>
          <w:lang w:eastAsia="zh-CN"/>
        </w:rPr>
        <w:t xml:space="preserve">, M. and L. Novotny, </w:t>
      </w:r>
      <w:r>
        <w:rPr>
          <w:rFonts w:eastAsia="等线" w:cs="Times New Roman"/>
          <w:i/>
          <w:iCs/>
          <w:lang w:eastAsia="zh-CN"/>
        </w:rPr>
        <w:t>Light at the End of the Tunnel.</w:t>
      </w:r>
      <w:r>
        <w:rPr>
          <w:rFonts w:eastAsia="等线" w:cs="Times New Roman"/>
          <w:lang w:eastAsia="zh-CN"/>
        </w:rPr>
        <w:t xml:space="preserve"> ACS Photonics, 2018. </w:t>
      </w:r>
      <w:r>
        <w:rPr>
          <w:rFonts w:eastAsia="等线" w:cs="Times New Roman"/>
          <w:b/>
          <w:bCs/>
          <w:lang w:eastAsia="zh-CN"/>
        </w:rPr>
        <w:t>5</w:t>
      </w:r>
      <w:r>
        <w:rPr>
          <w:rFonts w:eastAsia="等线" w:cs="Times New Roman"/>
          <w:lang w:eastAsia="zh-CN"/>
        </w:rPr>
        <w:t>(11): p. 4195-4202.</w:t>
      </w:r>
    </w:p>
    <w:p w14:paraId="57E1D03E" w14:textId="77777777" w:rsidR="007F66EB" w:rsidRDefault="00000000">
      <w:pPr>
        <w:spacing w:line="480" w:lineRule="auto"/>
        <w:jc w:val="both"/>
        <w:rPr>
          <w:rFonts w:eastAsia="等线" w:cs="Times New Roman"/>
          <w:lang w:eastAsia="zh-CN"/>
        </w:rPr>
      </w:pPr>
      <w:r>
        <w:rPr>
          <w:rFonts w:eastAsia="等线" w:cs="Times New Roman" w:hint="eastAsia"/>
          <w:lang w:eastAsia="zh-CN"/>
        </w:rPr>
        <w:t>9</w:t>
      </w:r>
      <w:r>
        <w:rPr>
          <w:rFonts w:eastAsia="等线" w:cs="Times New Roman"/>
          <w:lang w:eastAsia="zh-CN"/>
        </w:rPr>
        <w:t xml:space="preserve">. Yang, X., et al., </w:t>
      </w:r>
      <w:r>
        <w:rPr>
          <w:rFonts w:eastAsia="等线" w:cs="Times New Roman"/>
          <w:i/>
          <w:iCs/>
          <w:lang w:eastAsia="zh-CN"/>
        </w:rPr>
        <w:t>Broadband Time-Modulated Absorber beyond the Bode-Fano Limit for Short Pulses by Energy Trapping.</w:t>
      </w:r>
      <w:r>
        <w:rPr>
          <w:rFonts w:eastAsia="等线" w:cs="Times New Roman"/>
          <w:lang w:eastAsia="zh-CN"/>
        </w:rPr>
        <w:t xml:space="preserve"> Physical Review Applied, 2022. </w:t>
      </w:r>
      <w:r>
        <w:rPr>
          <w:rFonts w:eastAsia="等线" w:cs="Times New Roman"/>
          <w:b/>
          <w:bCs/>
          <w:lang w:eastAsia="zh-CN"/>
        </w:rPr>
        <w:t>17</w:t>
      </w:r>
      <w:r>
        <w:rPr>
          <w:rFonts w:eastAsia="等线" w:cs="Times New Roman"/>
          <w:lang w:eastAsia="zh-CN"/>
        </w:rPr>
        <w:t>(4): p. 044003.</w:t>
      </w:r>
    </w:p>
    <w:p w14:paraId="0CFEAFF2" w14:textId="77777777" w:rsidR="007F66EB" w:rsidRDefault="00000000">
      <w:pPr>
        <w:spacing w:line="480" w:lineRule="auto"/>
        <w:jc w:val="both"/>
        <w:rPr>
          <w:rFonts w:eastAsia="等线" w:cs="Times New Roman"/>
          <w:lang w:eastAsia="zh-CN"/>
        </w:rPr>
      </w:pPr>
      <w:r>
        <w:rPr>
          <w:rFonts w:eastAsia="等线" w:cs="Times New Roman" w:hint="eastAsia"/>
          <w:lang w:eastAsia="zh-CN"/>
        </w:rPr>
        <w:t>1</w:t>
      </w:r>
      <w:r>
        <w:rPr>
          <w:rFonts w:eastAsia="等线" w:cs="Times New Roman"/>
          <w:lang w:eastAsia="zh-CN"/>
        </w:rPr>
        <w:t xml:space="preserve">0. </w:t>
      </w:r>
      <w:proofErr w:type="spellStart"/>
      <w:r>
        <w:rPr>
          <w:rFonts w:eastAsia="等线" w:cs="Times New Roman"/>
          <w:lang w:eastAsia="zh-CN"/>
        </w:rPr>
        <w:t>Shlivinski</w:t>
      </w:r>
      <w:proofErr w:type="spellEnd"/>
      <w:r>
        <w:rPr>
          <w:rFonts w:eastAsia="等线" w:cs="Times New Roman"/>
          <w:lang w:eastAsia="zh-CN"/>
        </w:rPr>
        <w:t xml:space="preserve">, A. and Y. Hadad, </w:t>
      </w:r>
      <w:r>
        <w:rPr>
          <w:rFonts w:eastAsia="等线" w:cs="Times New Roman"/>
          <w:i/>
          <w:iCs/>
          <w:lang w:eastAsia="zh-CN"/>
        </w:rPr>
        <w:t>Beyond the Bode-Fano Bound: Wideband Impedance Matching for Short Pulses Using Temporal Switching of Transmission-Line Parameters.</w:t>
      </w:r>
      <w:r>
        <w:rPr>
          <w:rFonts w:eastAsia="等线" w:cs="Times New Roman"/>
          <w:lang w:eastAsia="zh-CN"/>
        </w:rPr>
        <w:t xml:space="preserve"> Physical Review Letters, 2018. </w:t>
      </w:r>
      <w:r>
        <w:rPr>
          <w:rFonts w:eastAsia="等线" w:cs="Times New Roman"/>
          <w:b/>
          <w:bCs/>
          <w:lang w:eastAsia="zh-CN"/>
        </w:rPr>
        <w:t>121</w:t>
      </w:r>
      <w:r>
        <w:rPr>
          <w:rFonts w:eastAsia="等线" w:cs="Times New Roman"/>
          <w:lang w:eastAsia="zh-CN"/>
        </w:rPr>
        <w:t>(20): p. 204301.</w:t>
      </w:r>
    </w:p>
    <w:p w14:paraId="21B08D17" w14:textId="77777777" w:rsidR="007F66EB" w:rsidRDefault="00000000">
      <w:pPr>
        <w:spacing w:line="480" w:lineRule="auto"/>
        <w:jc w:val="both"/>
        <w:rPr>
          <w:rFonts w:eastAsia="等线" w:cs="Times New Roman"/>
          <w:lang w:eastAsia="zh-CN"/>
        </w:rPr>
      </w:pPr>
      <w:r>
        <w:rPr>
          <w:rFonts w:eastAsia="等线" w:cs="Times New Roman" w:hint="eastAsia"/>
          <w:lang w:eastAsia="zh-CN"/>
        </w:rPr>
        <w:t>1</w:t>
      </w:r>
      <w:r>
        <w:rPr>
          <w:rFonts w:eastAsia="等线" w:cs="Times New Roman"/>
          <w:lang w:eastAsia="zh-CN"/>
        </w:rPr>
        <w:t xml:space="preserve">1. Hervé, M., et al., </w:t>
      </w:r>
      <w:r>
        <w:rPr>
          <w:rFonts w:eastAsia="等线" w:cs="Times New Roman"/>
          <w:i/>
          <w:iCs/>
          <w:lang w:eastAsia="zh-CN"/>
        </w:rPr>
        <w:t>High frequency transmission to a junction of a scanning tunneling microscope.</w:t>
      </w:r>
      <w:r>
        <w:rPr>
          <w:rFonts w:eastAsia="等线" w:cs="Times New Roman"/>
          <w:lang w:eastAsia="zh-CN"/>
        </w:rPr>
        <w:t xml:space="preserve"> Applied Physics Letters, 2015. </w:t>
      </w:r>
      <w:r>
        <w:rPr>
          <w:rFonts w:eastAsia="等线" w:cs="Times New Roman"/>
          <w:b/>
          <w:bCs/>
          <w:lang w:eastAsia="zh-CN"/>
        </w:rPr>
        <w:t>107</w:t>
      </w:r>
      <w:r>
        <w:rPr>
          <w:rFonts w:eastAsia="等线" w:cs="Times New Roman"/>
          <w:lang w:eastAsia="zh-CN"/>
        </w:rPr>
        <w:t>(9).</w:t>
      </w:r>
    </w:p>
    <w:sectPr w:rsidR="007F66EB" w:rsidSect="008D14DC">
      <w:footerReference w:type="default" r:id="rId15"/>
      <w:footerReference w:type="firs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7976A" w14:textId="77777777" w:rsidR="00A053A3" w:rsidRDefault="00A053A3">
      <w:r>
        <w:separator/>
      </w:r>
    </w:p>
  </w:endnote>
  <w:endnote w:type="continuationSeparator" w:id="0">
    <w:p w14:paraId="23BF1FFA" w14:textId="77777777" w:rsidR="00A053A3" w:rsidRDefault="00A05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no Pro">
    <w:altName w:val="Times New Roman"/>
    <w:charset w:val="00"/>
    <w:family w:val="roman"/>
    <w:pitch w:val="default"/>
    <w:sig w:usb0="00000000" w:usb1="00000000"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Yu Gothic"/>
    <w:panose1 w:val="02020609040205080304"/>
    <w:charset w:val="80"/>
    <w:family w:val="modern"/>
    <w:pitch w:val="default"/>
    <w:sig w:usb0="00000000" w:usb1="00000000" w:usb2="08000012" w:usb3="00000000" w:csb0="0002009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342431"/>
    </w:sdtPr>
    <w:sdtContent>
      <w:p w14:paraId="6143CB68" w14:textId="77777777" w:rsidR="007F66EB" w:rsidRDefault="00000000">
        <w:pPr>
          <w:pStyle w:val="ab"/>
          <w:jc w:val="center"/>
        </w:pPr>
        <w:r>
          <w:t>S</w:t>
        </w:r>
        <w:r>
          <w:fldChar w:fldCharType="begin"/>
        </w:r>
        <w:r>
          <w:instrText>PAGE   \* MERGEFORMAT</w:instrText>
        </w:r>
        <w:r>
          <w:fldChar w:fldCharType="separate"/>
        </w:r>
        <w:r>
          <w:rPr>
            <w:lang w:val="nl-NL"/>
          </w:rPr>
          <w:t>8</w:t>
        </w:r>
        <w:r>
          <w:fldChar w:fldCharType="end"/>
        </w:r>
      </w:p>
    </w:sdtContent>
  </w:sdt>
  <w:p w14:paraId="00DF2D20" w14:textId="77777777" w:rsidR="007F66EB" w:rsidRDefault="007F66EB">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1514268"/>
    </w:sdtPr>
    <w:sdtContent>
      <w:p w14:paraId="109C44E8" w14:textId="77777777" w:rsidR="007F66EB" w:rsidRDefault="00000000">
        <w:pPr>
          <w:pStyle w:val="ab"/>
          <w:jc w:val="center"/>
        </w:pPr>
        <w:r>
          <w:t>S</w:t>
        </w:r>
        <w:r>
          <w:fldChar w:fldCharType="begin"/>
        </w:r>
        <w:r>
          <w:instrText xml:space="preserve"> PAGE   \* MERGEFORMAT </w:instrText>
        </w:r>
        <w:r>
          <w:fldChar w:fldCharType="separate"/>
        </w:r>
        <w:r>
          <w:t>1</w:t>
        </w:r>
        <w:r>
          <w:fldChar w:fldCharType="end"/>
        </w:r>
      </w:p>
    </w:sdtContent>
  </w:sdt>
  <w:p w14:paraId="560C2427" w14:textId="77777777" w:rsidR="007F66EB" w:rsidRDefault="007F66EB">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41157" w14:textId="77777777" w:rsidR="00A053A3" w:rsidRDefault="00A053A3">
      <w:r>
        <w:separator/>
      </w:r>
    </w:p>
  </w:footnote>
  <w:footnote w:type="continuationSeparator" w:id="0">
    <w:p w14:paraId="1B66125C" w14:textId="77777777" w:rsidR="00A053A3" w:rsidRDefault="00A053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163ECC"/>
    <w:multiLevelType w:val="multilevel"/>
    <w:tmpl w:val="44163ECC"/>
    <w:lvl w:ilvl="0">
      <w:start w:val="1"/>
      <w:numFmt w:val="decimal"/>
      <w:pStyle w:val="24References"/>
      <w:lvlText w:val="[%1]"/>
      <w:lvlJc w:val="left"/>
      <w:pPr>
        <w:ind w:left="786"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520094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bordersDoNotSurroundHeader/>
  <w:bordersDoNotSurroundFooter/>
  <w:proofState w:spelling="clean" w:grammar="clean"/>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I3NzIxszA0NDA2MTFU0lEKTi0uzszPAykwMq8FAPMAtAgtAAAA"/>
    <w:docVar w:name="EN.InstantFormat" w:val="&lt;ENInstantFormat&gt;&lt;Enabled&gt;1&lt;/Enabled&gt;&lt;ScanUnformatted&gt;1&lt;/ScanUnformatted&gt;&lt;ScanChanges&gt;1&lt;/ScanChanges&gt;&lt;Suspended&gt;1&lt;/Suspended&gt;&lt;/ENInstantFormat&gt;"/>
    <w:docVar w:name="EN.Layout" w:val="&lt;ENLayout&gt;&lt;Style&gt;Nano Letter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asaxpdacsd5vae225t5a5a8dzd0w90zddd0&quot;&gt;My EndNote Library&lt;record-ids&gt;&lt;item&gt;4&lt;/item&gt;&lt;item&gt;5&lt;/item&gt;&lt;item&gt;7&lt;/item&gt;&lt;item&gt;9&lt;/item&gt;&lt;/record-ids&gt;&lt;/item&gt;&lt;/Libraries&gt;"/>
  </w:docVars>
  <w:rsids>
    <w:rsidRoot w:val="00172A27"/>
    <w:rsid w:val="000052F0"/>
    <w:rsid w:val="0000560C"/>
    <w:rsid w:val="00010331"/>
    <w:rsid w:val="000136AE"/>
    <w:rsid w:val="00017612"/>
    <w:rsid w:val="00020BEF"/>
    <w:rsid w:val="0002437C"/>
    <w:rsid w:val="000243A5"/>
    <w:rsid w:val="00025385"/>
    <w:rsid w:val="00032E54"/>
    <w:rsid w:val="00033A68"/>
    <w:rsid w:val="0003667B"/>
    <w:rsid w:val="00037891"/>
    <w:rsid w:val="00040726"/>
    <w:rsid w:val="00040992"/>
    <w:rsid w:val="0004232A"/>
    <w:rsid w:val="00043119"/>
    <w:rsid w:val="00043254"/>
    <w:rsid w:val="000444D8"/>
    <w:rsid w:val="00045227"/>
    <w:rsid w:val="000500F0"/>
    <w:rsid w:val="00051291"/>
    <w:rsid w:val="00053718"/>
    <w:rsid w:val="000576F7"/>
    <w:rsid w:val="00061527"/>
    <w:rsid w:val="000639B1"/>
    <w:rsid w:val="00064783"/>
    <w:rsid w:val="0006724F"/>
    <w:rsid w:val="00076447"/>
    <w:rsid w:val="000836E2"/>
    <w:rsid w:val="00083DFC"/>
    <w:rsid w:val="00086CD0"/>
    <w:rsid w:val="0009601F"/>
    <w:rsid w:val="000961AD"/>
    <w:rsid w:val="00096EF0"/>
    <w:rsid w:val="00097982"/>
    <w:rsid w:val="000A054D"/>
    <w:rsid w:val="000A1E5B"/>
    <w:rsid w:val="000A2714"/>
    <w:rsid w:val="000A31C3"/>
    <w:rsid w:val="000A596D"/>
    <w:rsid w:val="000B012E"/>
    <w:rsid w:val="000B2DC0"/>
    <w:rsid w:val="000B2F79"/>
    <w:rsid w:val="000B7D3E"/>
    <w:rsid w:val="000C068F"/>
    <w:rsid w:val="000C2B1D"/>
    <w:rsid w:val="000D07A5"/>
    <w:rsid w:val="000D23A5"/>
    <w:rsid w:val="000D36B1"/>
    <w:rsid w:val="000E06D6"/>
    <w:rsid w:val="000E0847"/>
    <w:rsid w:val="000E08BC"/>
    <w:rsid w:val="000E32C2"/>
    <w:rsid w:val="000E5DDA"/>
    <w:rsid w:val="000E6473"/>
    <w:rsid w:val="000F0507"/>
    <w:rsid w:val="000F0FB5"/>
    <w:rsid w:val="000F1864"/>
    <w:rsid w:val="000F56FD"/>
    <w:rsid w:val="000F7154"/>
    <w:rsid w:val="00100D2D"/>
    <w:rsid w:val="00103B60"/>
    <w:rsid w:val="00103DCD"/>
    <w:rsid w:val="00104CFC"/>
    <w:rsid w:val="001073E2"/>
    <w:rsid w:val="00113A92"/>
    <w:rsid w:val="00117D9D"/>
    <w:rsid w:val="00120FFF"/>
    <w:rsid w:val="001211E5"/>
    <w:rsid w:val="001261F2"/>
    <w:rsid w:val="001272A2"/>
    <w:rsid w:val="00132B04"/>
    <w:rsid w:val="00133C85"/>
    <w:rsid w:val="0013595E"/>
    <w:rsid w:val="00135CC1"/>
    <w:rsid w:val="00136EE3"/>
    <w:rsid w:val="0014160E"/>
    <w:rsid w:val="00142746"/>
    <w:rsid w:val="00143456"/>
    <w:rsid w:val="001441D5"/>
    <w:rsid w:val="0014432B"/>
    <w:rsid w:val="00144ED6"/>
    <w:rsid w:val="00150313"/>
    <w:rsid w:val="00152142"/>
    <w:rsid w:val="00153EF5"/>
    <w:rsid w:val="00157560"/>
    <w:rsid w:val="00165B7B"/>
    <w:rsid w:val="00167B06"/>
    <w:rsid w:val="001703BC"/>
    <w:rsid w:val="00172A27"/>
    <w:rsid w:val="00174599"/>
    <w:rsid w:val="001756C8"/>
    <w:rsid w:val="001764E1"/>
    <w:rsid w:val="00176D41"/>
    <w:rsid w:val="00180719"/>
    <w:rsid w:val="00182684"/>
    <w:rsid w:val="00182E7A"/>
    <w:rsid w:val="00197FCD"/>
    <w:rsid w:val="001A1BDA"/>
    <w:rsid w:val="001A2C1F"/>
    <w:rsid w:val="001A6019"/>
    <w:rsid w:val="001A7A95"/>
    <w:rsid w:val="001A7CAE"/>
    <w:rsid w:val="001B2422"/>
    <w:rsid w:val="001B5484"/>
    <w:rsid w:val="001B6005"/>
    <w:rsid w:val="001C0A72"/>
    <w:rsid w:val="001C17D6"/>
    <w:rsid w:val="001C6B5D"/>
    <w:rsid w:val="001C7676"/>
    <w:rsid w:val="001D1B59"/>
    <w:rsid w:val="001D2606"/>
    <w:rsid w:val="001D3B68"/>
    <w:rsid w:val="001D7440"/>
    <w:rsid w:val="001E1C92"/>
    <w:rsid w:val="001E2C6E"/>
    <w:rsid w:val="001E394B"/>
    <w:rsid w:val="001E6ABB"/>
    <w:rsid w:val="001E6FEC"/>
    <w:rsid w:val="001E7CC3"/>
    <w:rsid w:val="001F2194"/>
    <w:rsid w:val="001F2C74"/>
    <w:rsid w:val="001F308F"/>
    <w:rsid w:val="001F5CAF"/>
    <w:rsid w:val="001F7B9C"/>
    <w:rsid w:val="00200E2F"/>
    <w:rsid w:val="00201F19"/>
    <w:rsid w:val="00203E65"/>
    <w:rsid w:val="00214A1A"/>
    <w:rsid w:val="002207AD"/>
    <w:rsid w:val="00221DB0"/>
    <w:rsid w:val="002242EE"/>
    <w:rsid w:val="00224848"/>
    <w:rsid w:val="002259DD"/>
    <w:rsid w:val="00227D4A"/>
    <w:rsid w:val="00230085"/>
    <w:rsid w:val="002301F9"/>
    <w:rsid w:val="002327D0"/>
    <w:rsid w:val="00237311"/>
    <w:rsid w:val="0024080E"/>
    <w:rsid w:val="002412D0"/>
    <w:rsid w:val="002434C2"/>
    <w:rsid w:val="00246CF2"/>
    <w:rsid w:val="00254414"/>
    <w:rsid w:val="00254BFB"/>
    <w:rsid w:val="002572D1"/>
    <w:rsid w:val="0025752D"/>
    <w:rsid w:val="00257623"/>
    <w:rsid w:val="002625A6"/>
    <w:rsid w:val="002704C3"/>
    <w:rsid w:val="002710B3"/>
    <w:rsid w:val="0027767E"/>
    <w:rsid w:val="00280FB3"/>
    <w:rsid w:val="0028164A"/>
    <w:rsid w:val="002839FA"/>
    <w:rsid w:val="00284DDC"/>
    <w:rsid w:val="002851CE"/>
    <w:rsid w:val="00286780"/>
    <w:rsid w:val="00293FB8"/>
    <w:rsid w:val="00295047"/>
    <w:rsid w:val="00297B3C"/>
    <w:rsid w:val="00297F34"/>
    <w:rsid w:val="002A1F2F"/>
    <w:rsid w:val="002A2B84"/>
    <w:rsid w:val="002A62E7"/>
    <w:rsid w:val="002A65F9"/>
    <w:rsid w:val="002A76C4"/>
    <w:rsid w:val="002B1481"/>
    <w:rsid w:val="002B18B4"/>
    <w:rsid w:val="002C0107"/>
    <w:rsid w:val="002C0FE4"/>
    <w:rsid w:val="002C1615"/>
    <w:rsid w:val="002C30C6"/>
    <w:rsid w:val="002C3672"/>
    <w:rsid w:val="002C4F56"/>
    <w:rsid w:val="002C709A"/>
    <w:rsid w:val="002D231B"/>
    <w:rsid w:val="002D2D85"/>
    <w:rsid w:val="002D54DF"/>
    <w:rsid w:val="002D633B"/>
    <w:rsid w:val="002D76A6"/>
    <w:rsid w:val="002D76E1"/>
    <w:rsid w:val="002D7BA1"/>
    <w:rsid w:val="002E2309"/>
    <w:rsid w:val="002E4610"/>
    <w:rsid w:val="002E72DB"/>
    <w:rsid w:val="002F30F7"/>
    <w:rsid w:val="002F493C"/>
    <w:rsid w:val="002F62F0"/>
    <w:rsid w:val="002F7000"/>
    <w:rsid w:val="0030076C"/>
    <w:rsid w:val="00304F92"/>
    <w:rsid w:val="0030547E"/>
    <w:rsid w:val="00305F77"/>
    <w:rsid w:val="003078E8"/>
    <w:rsid w:val="0031106A"/>
    <w:rsid w:val="003167E3"/>
    <w:rsid w:val="00316BD8"/>
    <w:rsid w:val="00322BB4"/>
    <w:rsid w:val="00325BB9"/>
    <w:rsid w:val="00327CDD"/>
    <w:rsid w:val="00327EED"/>
    <w:rsid w:val="003302B7"/>
    <w:rsid w:val="003336CE"/>
    <w:rsid w:val="003344CC"/>
    <w:rsid w:val="003359F3"/>
    <w:rsid w:val="00336318"/>
    <w:rsid w:val="0033774E"/>
    <w:rsid w:val="003416DF"/>
    <w:rsid w:val="00342D12"/>
    <w:rsid w:val="00344140"/>
    <w:rsid w:val="003444EB"/>
    <w:rsid w:val="003454C8"/>
    <w:rsid w:val="003464DE"/>
    <w:rsid w:val="00347DFC"/>
    <w:rsid w:val="00354A52"/>
    <w:rsid w:val="00354E1B"/>
    <w:rsid w:val="00355C0C"/>
    <w:rsid w:val="00356BE9"/>
    <w:rsid w:val="00356BED"/>
    <w:rsid w:val="00365470"/>
    <w:rsid w:val="003740E0"/>
    <w:rsid w:val="00382E0E"/>
    <w:rsid w:val="00384839"/>
    <w:rsid w:val="00386342"/>
    <w:rsid w:val="00386CDA"/>
    <w:rsid w:val="00387540"/>
    <w:rsid w:val="0039394F"/>
    <w:rsid w:val="00394843"/>
    <w:rsid w:val="003A2735"/>
    <w:rsid w:val="003A2E4C"/>
    <w:rsid w:val="003A46E5"/>
    <w:rsid w:val="003A5BA5"/>
    <w:rsid w:val="003A6D24"/>
    <w:rsid w:val="003A7AFE"/>
    <w:rsid w:val="003B19FE"/>
    <w:rsid w:val="003B2E0D"/>
    <w:rsid w:val="003B4C0C"/>
    <w:rsid w:val="003C3C0A"/>
    <w:rsid w:val="003C4588"/>
    <w:rsid w:val="003D3A6C"/>
    <w:rsid w:val="003E74C7"/>
    <w:rsid w:val="003F2962"/>
    <w:rsid w:val="003F42A8"/>
    <w:rsid w:val="003F4A79"/>
    <w:rsid w:val="003F5A97"/>
    <w:rsid w:val="003F68F5"/>
    <w:rsid w:val="004005B6"/>
    <w:rsid w:val="0040462F"/>
    <w:rsid w:val="00412594"/>
    <w:rsid w:val="00413881"/>
    <w:rsid w:val="00417641"/>
    <w:rsid w:val="00417B37"/>
    <w:rsid w:val="00423789"/>
    <w:rsid w:val="00427E11"/>
    <w:rsid w:val="0043122D"/>
    <w:rsid w:val="004360F3"/>
    <w:rsid w:val="004410D5"/>
    <w:rsid w:val="00443208"/>
    <w:rsid w:val="004506B1"/>
    <w:rsid w:val="00457764"/>
    <w:rsid w:val="0046799E"/>
    <w:rsid w:val="00485207"/>
    <w:rsid w:val="0049728E"/>
    <w:rsid w:val="00497E08"/>
    <w:rsid w:val="004A15B0"/>
    <w:rsid w:val="004A24FC"/>
    <w:rsid w:val="004C20FD"/>
    <w:rsid w:val="004C295B"/>
    <w:rsid w:val="004C6FF6"/>
    <w:rsid w:val="004D5B72"/>
    <w:rsid w:val="004D5BFB"/>
    <w:rsid w:val="004D5F3C"/>
    <w:rsid w:val="004E3212"/>
    <w:rsid w:val="004E467B"/>
    <w:rsid w:val="004F216B"/>
    <w:rsid w:val="005000E8"/>
    <w:rsid w:val="00502FF3"/>
    <w:rsid w:val="005031F3"/>
    <w:rsid w:val="00506611"/>
    <w:rsid w:val="00506673"/>
    <w:rsid w:val="0051256F"/>
    <w:rsid w:val="00513536"/>
    <w:rsid w:val="005144BB"/>
    <w:rsid w:val="00525B93"/>
    <w:rsid w:val="005272A1"/>
    <w:rsid w:val="00532D80"/>
    <w:rsid w:val="00536A18"/>
    <w:rsid w:val="005376DE"/>
    <w:rsid w:val="00545A6C"/>
    <w:rsid w:val="00552783"/>
    <w:rsid w:val="00553324"/>
    <w:rsid w:val="0055373E"/>
    <w:rsid w:val="00553F88"/>
    <w:rsid w:val="0055404D"/>
    <w:rsid w:val="005627B5"/>
    <w:rsid w:val="0056450B"/>
    <w:rsid w:val="005651D3"/>
    <w:rsid w:val="00566760"/>
    <w:rsid w:val="00573836"/>
    <w:rsid w:val="005738AA"/>
    <w:rsid w:val="005816DB"/>
    <w:rsid w:val="00581D22"/>
    <w:rsid w:val="00583E98"/>
    <w:rsid w:val="00585410"/>
    <w:rsid w:val="005872E5"/>
    <w:rsid w:val="00587810"/>
    <w:rsid w:val="00587B4B"/>
    <w:rsid w:val="0059059E"/>
    <w:rsid w:val="005912BB"/>
    <w:rsid w:val="0059205D"/>
    <w:rsid w:val="00593DCE"/>
    <w:rsid w:val="00597415"/>
    <w:rsid w:val="005A07CB"/>
    <w:rsid w:val="005A61B7"/>
    <w:rsid w:val="005A678B"/>
    <w:rsid w:val="005B0935"/>
    <w:rsid w:val="005B1576"/>
    <w:rsid w:val="005B3AAE"/>
    <w:rsid w:val="005B53D6"/>
    <w:rsid w:val="005C68FB"/>
    <w:rsid w:val="005D33C9"/>
    <w:rsid w:val="005D40A5"/>
    <w:rsid w:val="005E3188"/>
    <w:rsid w:val="005F0C43"/>
    <w:rsid w:val="005F198D"/>
    <w:rsid w:val="005F35B6"/>
    <w:rsid w:val="005F6772"/>
    <w:rsid w:val="00602957"/>
    <w:rsid w:val="0060503D"/>
    <w:rsid w:val="00607BE0"/>
    <w:rsid w:val="00607E5A"/>
    <w:rsid w:val="00610A46"/>
    <w:rsid w:val="006156C3"/>
    <w:rsid w:val="00623944"/>
    <w:rsid w:val="00623C80"/>
    <w:rsid w:val="0062672A"/>
    <w:rsid w:val="00634867"/>
    <w:rsid w:val="0063767E"/>
    <w:rsid w:val="00643200"/>
    <w:rsid w:val="00643B5F"/>
    <w:rsid w:val="00645C0F"/>
    <w:rsid w:val="00645E40"/>
    <w:rsid w:val="006558CA"/>
    <w:rsid w:val="00662F4B"/>
    <w:rsid w:val="0067137D"/>
    <w:rsid w:val="00673281"/>
    <w:rsid w:val="006755F0"/>
    <w:rsid w:val="00676E73"/>
    <w:rsid w:val="00681091"/>
    <w:rsid w:val="00681393"/>
    <w:rsid w:val="0068308A"/>
    <w:rsid w:val="006851F9"/>
    <w:rsid w:val="00690E84"/>
    <w:rsid w:val="00693F7A"/>
    <w:rsid w:val="0069509F"/>
    <w:rsid w:val="00695317"/>
    <w:rsid w:val="00695734"/>
    <w:rsid w:val="006A0EDD"/>
    <w:rsid w:val="006A1E70"/>
    <w:rsid w:val="006A5830"/>
    <w:rsid w:val="006B11C0"/>
    <w:rsid w:val="006B2BF6"/>
    <w:rsid w:val="006B2C30"/>
    <w:rsid w:val="006B646E"/>
    <w:rsid w:val="006C05BD"/>
    <w:rsid w:val="006C4A97"/>
    <w:rsid w:val="006C5624"/>
    <w:rsid w:val="006C6085"/>
    <w:rsid w:val="006C65EF"/>
    <w:rsid w:val="006C672D"/>
    <w:rsid w:val="006D1B93"/>
    <w:rsid w:val="006D4530"/>
    <w:rsid w:val="006F1B19"/>
    <w:rsid w:val="006F1E52"/>
    <w:rsid w:val="006F2265"/>
    <w:rsid w:val="006F3EBC"/>
    <w:rsid w:val="006F49D1"/>
    <w:rsid w:val="006F68A9"/>
    <w:rsid w:val="006F77D2"/>
    <w:rsid w:val="006F7B0A"/>
    <w:rsid w:val="007002A4"/>
    <w:rsid w:val="00703D2B"/>
    <w:rsid w:val="00704031"/>
    <w:rsid w:val="007073E2"/>
    <w:rsid w:val="00717155"/>
    <w:rsid w:val="00721FC0"/>
    <w:rsid w:val="00723E54"/>
    <w:rsid w:val="007277D9"/>
    <w:rsid w:val="007320A7"/>
    <w:rsid w:val="00740308"/>
    <w:rsid w:val="00744F42"/>
    <w:rsid w:val="00747D2E"/>
    <w:rsid w:val="007522B9"/>
    <w:rsid w:val="007610E0"/>
    <w:rsid w:val="00766A8C"/>
    <w:rsid w:val="00767CC9"/>
    <w:rsid w:val="00771EDD"/>
    <w:rsid w:val="007766BA"/>
    <w:rsid w:val="007771BD"/>
    <w:rsid w:val="00777E99"/>
    <w:rsid w:val="00780208"/>
    <w:rsid w:val="007879B9"/>
    <w:rsid w:val="00792182"/>
    <w:rsid w:val="00796B7E"/>
    <w:rsid w:val="007972B9"/>
    <w:rsid w:val="00797BEF"/>
    <w:rsid w:val="007A13F6"/>
    <w:rsid w:val="007A4339"/>
    <w:rsid w:val="007A4963"/>
    <w:rsid w:val="007A4FA0"/>
    <w:rsid w:val="007A5D67"/>
    <w:rsid w:val="007A6021"/>
    <w:rsid w:val="007A74BF"/>
    <w:rsid w:val="007B1165"/>
    <w:rsid w:val="007B2564"/>
    <w:rsid w:val="007B2D0B"/>
    <w:rsid w:val="007B5112"/>
    <w:rsid w:val="007B5A3B"/>
    <w:rsid w:val="007B7C9E"/>
    <w:rsid w:val="007C0E7B"/>
    <w:rsid w:val="007C18F9"/>
    <w:rsid w:val="007D1135"/>
    <w:rsid w:val="007D4651"/>
    <w:rsid w:val="007D7D19"/>
    <w:rsid w:val="007E3B29"/>
    <w:rsid w:val="007F0884"/>
    <w:rsid w:val="007F140D"/>
    <w:rsid w:val="007F62B9"/>
    <w:rsid w:val="007F66EB"/>
    <w:rsid w:val="007F7FEA"/>
    <w:rsid w:val="00804464"/>
    <w:rsid w:val="00810A43"/>
    <w:rsid w:val="0081298E"/>
    <w:rsid w:val="00814C90"/>
    <w:rsid w:val="0082126A"/>
    <w:rsid w:val="008236A1"/>
    <w:rsid w:val="008344E9"/>
    <w:rsid w:val="00837348"/>
    <w:rsid w:val="00840F6F"/>
    <w:rsid w:val="00844160"/>
    <w:rsid w:val="0084488A"/>
    <w:rsid w:val="008469B4"/>
    <w:rsid w:val="00846C31"/>
    <w:rsid w:val="0085083E"/>
    <w:rsid w:val="00851827"/>
    <w:rsid w:val="0085210A"/>
    <w:rsid w:val="008603F7"/>
    <w:rsid w:val="00861343"/>
    <w:rsid w:val="00862E1B"/>
    <w:rsid w:val="00864978"/>
    <w:rsid w:val="00870B0D"/>
    <w:rsid w:val="00872E12"/>
    <w:rsid w:val="00873929"/>
    <w:rsid w:val="0087750B"/>
    <w:rsid w:val="008849A6"/>
    <w:rsid w:val="00885F8F"/>
    <w:rsid w:val="00887909"/>
    <w:rsid w:val="00893E14"/>
    <w:rsid w:val="00895493"/>
    <w:rsid w:val="008A0772"/>
    <w:rsid w:val="008A0E63"/>
    <w:rsid w:val="008A19DF"/>
    <w:rsid w:val="008A2029"/>
    <w:rsid w:val="008A2964"/>
    <w:rsid w:val="008A3452"/>
    <w:rsid w:val="008A3A07"/>
    <w:rsid w:val="008A4ED5"/>
    <w:rsid w:val="008B1DC9"/>
    <w:rsid w:val="008B49CA"/>
    <w:rsid w:val="008C20DE"/>
    <w:rsid w:val="008C50EA"/>
    <w:rsid w:val="008C5583"/>
    <w:rsid w:val="008C6B2A"/>
    <w:rsid w:val="008D0600"/>
    <w:rsid w:val="008D14DC"/>
    <w:rsid w:val="008D42A2"/>
    <w:rsid w:val="008D549A"/>
    <w:rsid w:val="008E551A"/>
    <w:rsid w:val="008E5C46"/>
    <w:rsid w:val="008F1C01"/>
    <w:rsid w:val="008F4752"/>
    <w:rsid w:val="008F784B"/>
    <w:rsid w:val="009003DF"/>
    <w:rsid w:val="00903AD4"/>
    <w:rsid w:val="0090716A"/>
    <w:rsid w:val="0091106D"/>
    <w:rsid w:val="009121BB"/>
    <w:rsid w:val="00912ADD"/>
    <w:rsid w:val="00912E16"/>
    <w:rsid w:val="00915E28"/>
    <w:rsid w:val="0092654B"/>
    <w:rsid w:val="009272CA"/>
    <w:rsid w:val="00931D7C"/>
    <w:rsid w:val="00933C50"/>
    <w:rsid w:val="009341FE"/>
    <w:rsid w:val="00935C84"/>
    <w:rsid w:val="00940237"/>
    <w:rsid w:val="00941DBA"/>
    <w:rsid w:val="009434DD"/>
    <w:rsid w:val="00944793"/>
    <w:rsid w:val="00947BA6"/>
    <w:rsid w:val="00950EA8"/>
    <w:rsid w:val="00962012"/>
    <w:rsid w:val="009638C4"/>
    <w:rsid w:val="00964404"/>
    <w:rsid w:val="00967E72"/>
    <w:rsid w:val="00970187"/>
    <w:rsid w:val="009701FD"/>
    <w:rsid w:val="00970C9D"/>
    <w:rsid w:val="00972D94"/>
    <w:rsid w:val="00972E62"/>
    <w:rsid w:val="009752B7"/>
    <w:rsid w:val="009761F3"/>
    <w:rsid w:val="00986FB8"/>
    <w:rsid w:val="00990EDB"/>
    <w:rsid w:val="009926D3"/>
    <w:rsid w:val="009946C1"/>
    <w:rsid w:val="00995863"/>
    <w:rsid w:val="00996380"/>
    <w:rsid w:val="00996A18"/>
    <w:rsid w:val="00996D4A"/>
    <w:rsid w:val="00997CEC"/>
    <w:rsid w:val="009A071D"/>
    <w:rsid w:val="009A4F39"/>
    <w:rsid w:val="009A73F0"/>
    <w:rsid w:val="009B1154"/>
    <w:rsid w:val="009B286C"/>
    <w:rsid w:val="009B2ACE"/>
    <w:rsid w:val="009B60BF"/>
    <w:rsid w:val="009B6746"/>
    <w:rsid w:val="009B73E0"/>
    <w:rsid w:val="009B7FFA"/>
    <w:rsid w:val="009C1765"/>
    <w:rsid w:val="009C265A"/>
    <w:rsid w:val="009C401D"/>
    <w:rsid w:val="009C4597"/>
    <w:rsid w:val="009C6C2D"/>
    <w:rsid w:val="009D232A"/>
    <w:rsid w:val="009D49BA"/>
    <w:rsid w:val="009D4B62"/>
    <w:rsid w:val="009E08FF"/>
    <w:rsid w:val="009E2918"/>
    <w:rsid w:val="009E3EC4"/>
    <w:rsid w:val="009E53E0"/>
    <w:rsid w:val="009E62B1"/>
    <w:rsid w:val="009F114F"/>
    <w:rsid w:val="009F3F56"/>
    <w:rsid w:val="009F639C"/>
    <w:rsid w:val="00A01886"/>
    <w:rsid w:val="00A01AA9"/>
    <w:rsid w:val="00A04718"/>
    <w:rsid w:val="00A050F2"/>
    <w:rsid w:val="00A053A3"/>
    <w:rsid w:val="00A07E00"/>
    <w:rsid w:val="00A1124E"/>
    <w:rsid w:val="00A11E28"/>
    <w:rsid w:val="00A11ECE"/>
    <w:rsid w:val="00A140D2"/>
    <w:rsid w:val="00A150C3"/>
    <w:rsid w:val="00A16666"/>
    <w:rsid w:val="00A22B66"/>
    <w:rsid w:val="00A27FD2"/>
    <w:rsid w:val="00A30B58"/>
    <w:rsid w:val="00A32379"/>
    <w:rsid w:val="00A3456E"/>
    <w:rsid w:val="00A37774"/>
    <w:rsid w:val="00A4347C"/>
    <w:rsid w:val="00A439D6"/>
    <w:rsid w:val="00A4413C"/>
    <w:rsid w:val="00A44304"/>
    <w:rsid w:val="00A45066"/>
    <w:rsid w:val="00A453A0"/>
    <w:rsid w:val="00A53EC3"/>
    <w:rsid w:val="00A5434E"/>
    <w:rsid w:val="00A5586B"/>
    <w:rsid w:val="00A569CD"/>
    <w:rsid w:val="00A6062E"/>
    <w:rsid w:val="00A657C5"/>
    <w:rsid w:val="00A67C90"/>
    <w:rsid w:val="00A71175"/>
    <w:rsid w:val="00A715C6"/>
    <w:rsid w:val="00A71D07"/>
    <w:rsid w:val="00A72C1A"/>
    <w:rsid w:val="00A7651E"/>
    <w:rsid w:val="00A77817"/>
    <w:rsid w:val="00A908D7"/>
    <w:rsid w:val="00A9240E"/>
    <w:rsid w:val="00AA4EF2"/>
    <w:rsid w:val="00AA7174"/>
    <w:rsid w:val="00AC1452"/>
    <w:rsid w:val="00AC2374"/>
    <w:rsid w:val="00AC3238"/>
    <w:rsid w:val="00AD451E"/>
    <w:rsid w:val="00AE0043"/>
    <w:rsid w:val="00AE2B54"/>
    <w:rsid w:val="00AF133D"/>
    <w:rsid w:val="00AF570C"/>
    <w:rsid w:val="00AF6943"/>
    <w:rsid w:val="00AF6ABD"/>
    <w:rsid w:val="00B01BFA"/>
    <w:rsid w:val="00B0228E"/>
    <w:rsid w:val="00B0379E"/>
    <w:rsid w:val="00B147F1"/>
    <w:rsid w:val="00B15071"/>
    <w:rsid w:val="00B15AD4"/>
    <w:rsid w:val="00B17FE4"/>
    <w:rsid w:val="00B205B7"/>
    <w:rsid w:val="00B20A99"/>
    <w:rsid w:val="00B228BF"/>
    <w:rsid w:val="00B22E3C"/>
    <w:rsid w:val="00B25262"/>
    <w:rsid w:val="00B3070F"/>
    <w:rsid w:val="00B31223"/>
    <w:rsid w:val="00B315C5"/>
    <w:rsid w:val="00B32F59"/>
    <w:rsid w:val="00B3439D"/>
    <w:rsid w:val="00B355AF"/>
    <w:rsid w:val="00B36CFA"/>
    <w:rsid w:val="00B37B6C"/>
    <w:rsid w:val="00B411F7"/>
    <w:rsid w:val="00B457D7"/>
    <w:rsid w:val="00B53032"/>
    <w:rsid w:val="00B558D4"/>
    <w:rsid w:val="00B55B2B"/>
    <w:rsid w:val="00B63F20"/>
    <w:rsid w:val="00B67A0B"/>
    <w:rsid w:val="00B70420"/>
    <w:rsid w:val="00B71F65"/>
    <w:rsid w:val="00B73EAA"/>
    <w:rsid w:val="00B81E24"/>
    <w:rsid w:val="00B85BDB"/>
    <w:rsid w:val="00BA1BC9"/>
    <w:rsid w:val="00BA2037"/>
    <w:rsid w:val="00BA762D"/>
    <w:rsid w:val="00BB3336"/>
    <w:rsid w:val="00BB62DE"/>
    <w:rsid w:val="00BB7B37"/>
    <w:rsid w:val="00BC4BDB"/>
    <w:rsid w:val="00BC5971"/>
    <w:rsid w:val="00BD019C"/>
    <w:rsid w:val="00BD16DF"/>
    <w:rsid w:val="00BE04E1"/>
    <w:rsid w:val="00BE30F4"/>
    <w:rsid w:val="00BE65E3"/>
    <w:rsid w:val="00BE79EC"/>
    <w:rsid w:val="00BF3380"/>
    <w:rsid w:val="00BF37D3"/>
    <w:rsid w:val="00BF451F"/>
    <w:rsid w:val="00BF4704"/>
    <w:rsid w:val="00BF54C3"/>
    <w:rsid w:val="00BF5BC7"/>
    <w:rsid w:val="00BF6E9F"/>
    <w:rsid w:val="00C04B3A"/>
    <w:rsid w:val="00C079F4"/>
    <w:rsid w:val="00C07C62"/>
    <w:rsid w:val="00C14C32"/>
    <w:rsid w:val="00C20EDB"/>
    <w:rsid w:val="00C27B5D"/>
    <w:rsid w:val="00C27C87"/>
    <w:rsid w:val="00C32DA5"/>
    <w:rsid w:val="00C37037"/>
    <w:rsid w:val="00C421B3"/>
    <w:rsid w:val="00C43706"/>
    <w:rsid w:val="00C4499B"/>
    <w:rsid w:val="00C4557D"/>
    <w:rsid w:val="00C45817"/>
    <w:rsid w:val="00C52CB6"/>
    <w:rsid w:val="00C52E50"/>
    <w:rsid w:val="00C5331F"/>
    <w:rsid w:val="00C54099"/>
    <w:rsid w:val="00C56BD8"/>
    <w:rsid w:val="00C60DEF"/>
    <w:rsid w:val="00C618B1"/>
    <w:rsid w:val="00C61A10"/>
    <w:rsid w:val="00C662F3"/>
    <w:rsid w:val="00C66C1A"/>
    <w:rsid w:val="00C70B41"/>
    <w:rsid w:val="00C76A7C"/>
    <w:rsid w:val="00C80F98"/>
    <w:rsid w:val="00C81185"/>
    <w:rsid w:val="00C8245F"/>
    <w:rsid w:val="00C8247C"/>
    <w:rsid w:val="00C83D25"/>
    <w:rsid w:val="00C90FCC"/>
    <w:rsid w:val="00C911AB"/>
    <w:rsid w:val="00C96668"/>
    <w:rsid w:val="00C96C36"/>
    <w:rsid w:val="00CA0751"/>
    <w:rsid w:val="00CA45D9"/>
    <w:rsid w:val="00CA70E8"/>
    <w:rsid w:val="00CA761B"/>
    <w:rsid w:val="00CB13AA"/>
    <w:rsid w:val="00CB4B3E"/>
    <w:rsid w:val="00CC19D4"/>
    <w:rsid w:val="00CC2F9E"/>
    <w:rsid w:val="00CC6127"/>
    <w:rsid w:val="00CC63A9"/>
    <w:rsid w:val="00CC6A7B"/>
    <w:rsid w:val="00CD177D"/>
    <w:rsid w:val="00CD2B15"/>
    <w:rsid w:val="00CD7122"/>
    <w:rsid w:val="00CE0733"/>
    <w:rsid w:val="00CE326B"/>
    <w:rsid w:val="00CE4924"/>
    <w:rsid w:val="00CE605D"/>
    <w:rsid w:val="00CF008D"/>
    <w:rsid w:val="00CF4429"/>
    <w:rsid w:val="00CF6109"/>
    <w:rsid w:val="00D00A64"/>
    <w:rsid w:val="00D0249F"/>
    <w:rsid w:val="00D04CDA"/>
    <w:rsid w:val="00D0616D"/>
    <w:rsid w:val="00D06E78"/>
    <w:rsid w:val="00D14800"/>
    <w:rsid w:val="00D164E0"/>
    <w:rsid w:val="00D24D09"/>
    <w:rsid w:val="00D321B8"/>
    <w:rsid w:val="00D33CC6"/>
    <w:rsid w:val="00D35C9F"/>
    <w:rsid w:val="00D365FA"/>
    <w:rsid w:val="00D37857"/>
    <w:rsid w:val="00D43077"/>
    <w:rsid w:val="00D44D30"/>
    <w:rsid w:val="00D50431"/>
    <w:rsid w:val="00D52D05"/>
    <w:rsid w:val="00D552E5"/>
    <w:rsid w:val="00D55ED1"/>
    <w:rsid w:val="00D62431"/>
    <w:rsid w:val="00D6370F"/>
    <w:rsid w:val="00D653BA"/>
    <w:rsid w:val="00D67E7F"/>
    <w:rsid w:val="00D732CF"/>
    <w:rsid w:val="00D75F4E"/>
    <w:rsid w:val="00D76CCE"/>
    <w:rsid w:val="00D82301"/>
    <w:rsid w:val="00D82B6D"/>
    <w:rsid w:val="00D83E8C"/>
    <w:rsid w:val="00D90657"/>
    <w:rsid w:val="00D93F44"/>
    <w:rsid w:val="00D9464B"/>
    <w:rsid w:val="00D97B84"/>
    <w:rsid w:val="00DA2CA9"/>
    <w:rsid w:val="00DA78D3"/>
    <w:rsid w:val="00DB2A98"/>
    <w:rsid w:val="00DB4949"/>
    <w:rsid w:val="00DB6439"/>
    <w:rsid w:val="00DC5D57"/>
    <w:rsid w:val="00DC6E81"/>
    <w:rsid w:val="00DC7AEC"/>
    <w:rsid w:val="00DC7C5C"/>
    <w:rsid w:val="00DD0EC2"/>
    <w:rsid w:val="00DD78DD"/>
    <w:rsid w:val="00DE0CD2"/>
    <w:rsid w:val="00DE19B7"/>
    <w:rsid w:val="00DE2FA1"/>
    <w:rsid w:val="00DE7044"/>
    <w:rsid w:val="00DF0786"/>
    <w:rsid w:val="00DF14CB"/>
    <w:rsid w:val="00DF316F"/>
    <w:rsid w:val="00DF471E"/>
    <w:rsid w:val="00DF4FA4"/>
    <w:rsid w:val="00DF5F4F"/>
    <w:rsid w:val="00DF7B50"/>
    <w:rsid w:val="00E016B3"/>
    <w:rsid w:val="00E02611"/>
    <w:rsid w:val="00E02CFD"/>
    <w:rsid w:val="00E04109"/>
    <w:rsid w:val="00E05566"/>
    <w:rsid w:val="00E10D4B"/>
    <w:rsid w:val="00E13284"/>
    <w:rsid w:val="00E13778"/>
    <w:rsid w:val="00E13EA0"/>
    <w:rsid w:val="00E2247D"/>
    <w:rsid w:val="00E23EE3"/>
    <w:rsid w:val="00E262EC"/>
    <w:rsid w:val="00E27549"/>
    <w:rsid w:val="00E32C10"/>
    <w:rsid w:val="00E34059"/>
    <w:rsid w:val="00E432D6"/>
    <w:rsid w:val="00E476E1"/>
    <w:rsid w:val="00E55760"/>
    <w:rsid w:val="00E55AB2"/>
    <w:rsid w:val="00E56693"/>
    <w:rsid w:val="00E61B16"/>
    <w:rsid w:val="00E61D14"/>
    <w:rsid w:val="00E73625"/>
    <w:rsid w:val="00E74574"/>
    <w:rsid w:val="00E76C74"/>
    <w:rsid w:val="00E81BE9"/>
    <w:rsid w:val="00E82ACD"/>
    <w:rsid w:val="00E83A1B"/>
    <w:rsid w:val="00E86566"/>
    <w:rsid w:val="00E9293E"/>
    <w:rsid w:val="00E96440"/>
    <w:rsid w:val="00EA3245"/>
    <w:rsid w:val="00EA4DE5"/>
    <w:rsid w:val="00EB5DF5"/>
    <w:rsid w:val="00EC1125"/>
    <w:rsid w:val="00EC1AC2"/>
    <w:rsid w:val="00EC293A"/>
    <w:rsid w:val="00ED3BB3"/>
    <w:rsid w:val="00ED430F"/>
    <w:rsid w:val="00ED7AA9"/>
    <w:rsid w:val="00EE14A8"/>
    <w:rsid w:val="00EE4800"/>
    <w:rsid w:val="00EE5662"/>
    <w:rsid w:val="00EE6F32"/>
    <w:rsid w:val="00F01343"/>
    <w:rsid w:val="00F0692D"/>
    <w:rsid w:val="00F1297D"/>
    <w:rsid w:val="00F16AC5"/>
    <w:rsid w:val="00F27F80"/>
    <w:rsid w:val="00F3212F"/>
    <w:rsid w:val="00F3599C"/>
    <w:rsid w:val="00F402BE"/>
    <w:rsid w:val="00F428FF"/>
    <w:rsid w:val="00F439CD"/>
    <w:rsid w:val="00F44B52"/>
    <w:rsid w:val="00F46E13"/>
    <w:rsid w:val="00F46F41"/>
    <w:rsid w:val="00F53554"/>
    <w:rsid w:val="00F651F5"/>
    <w:rsid w:val="00F66660"/>
    <w:rsid w:val="00F66F8A"/>
    <w:rsid w:val="00F6758E"/>
    <w:rsid w:val="00F7276C"/>
    <w:rsid w:val="00F744C3"/>
    <w:rsid w:val="00F77EF8"/>
    <w:rsid w:val="00F82348"/>
    <w:rsid w:val="00FA1114"/>
    <w:rsid w:val="00FA3207"/>
    <w:rsid w:val="00FA39BB"/>
    <w:rsid w:val="00FA428B"/>
    <w:rsid w:val="00FA7AB9"/>
    <w:rsid w:val="00FB18B8"/>
    <w:rsid w:val="00FB64AB"/>
    <w:rsid w:val="00FB7D9A"/>
    <w:rsid w:val="00FC06B0"/>
    <w:rsid w:val="00FC3958"/>
    <w:rsid w:val="00FD0903"/>
    <w:rsid w:val="00FD2C1D"/>
    <w:rsid w:val="00FD634A"/>
    <w:rsid w:val="00FD639A"/>
    <w:rsid w:val="00FE117C"/>
    <w:rsid w:val="00FE305B"/>
    <w:rsid w:val="00FE7E5E"/>
    <w:rsid w:val="00FF2250"/>
    <w:rsid w:val="00FF3FCD"/>
    <w:rsid w:val="00FF5A52"/>
    <w:rsid w:val="024C0ED1"/>
    <w:rsid w:val="04EC3DA3"/>
    <w:rsid w:val="052031DD"/>
    <w:rsid w:val="05B85306"/>
    <w:rsid w:val="06C769F4"/>
    <w:rsid w:val="077D28F0"/>
    <w:rsid w:val="09601141"/>
    <w:rsid w:val="0CD33899"/>
    <w:rsid w:val="0E2F10C9"/>
    <w:rsid w:val="0ED2335F"/>
    <w:rsid w:val="10DB22BF"/>
    <w:rsid w:val="1148677C"/>
    <w:rsid w:val="14047C61"/>
    <w:rsid w:val="16715B9B"/>
    <w:rsid w:val="16DC468E"/>
    <w:rsid w:val="18CF6A39"/>
    <w:rsid w:val="1A9A08B1"/>
    <w:rsid w:val="1ED20022"/>
    <w:rsid w:val="20582D58"/>
    <w:rsid w:val="214F3F42"/>
    <w:rsid w:val="21C34AF1"/>
    <w:rsid w:val="22844842"/>
    <w:rsid w:val="25480F3B"/>
    <w:rsid w:val="27D70696"/>
    <w:rsid w:val="28594F38"/>
    <w:rsid w:val="2A1B750A"/>
    <w:rsid w:val="2B086CEE"/>
    <w:rsid w:val="2C2C6C04"/>
    <w:rsid w:val="2C8D1227"/>
    <w:rsid w:val="2D395BAA"/>
    <w:rsid w:val="2D69135F"/>
    <w:rsid w:val="30385391"/>
    <w:rsid w:val="30562CB1"/>
    <w:rsid w:val="32C50E86"/>
    <w:rsid w:val="33296AFD"/>
    <w:rsid w:val="334071FA"/>
    <w:rsid w:val="36F505E3"/>
    <w:rsid w:val="37553354"/>
    <w:rsid w:val="383150C7"/>
    <w:rsid w:val="38D7084C"/>
    <w:rsid w:val="396751E8"/>
    <w:rsid w:val="3C263F3D"/>
    <w:rsid w:val="3F112386"/>
    <w:rsid w:val="3F63308A"/>
    <w:rsid w:val="3F9D4706"/>
    <w:rsid w:val="3FF1711D"/>
    <w:rsid w:val="40FE4130"/>
    <w:rsid w:val="42D178AE"/>
    <w:rsid w:val="43A33E23"/>
    <w:rsid w:val="49855075"/>
    <w:rsid w:val="4DBC686F"/>
    <w:rsid w:val="4DC74AA8"/>
    <w:rsid w:val="4F1B2D66"/>
    <w:rsid w:val="50A44355"/>
    <w:rsid w:val="51097E01"/>
    <w:rsid w:val="51CC6EC2"/>
    <w:rsid w:val="531F2FEB"/>
    <w:rsid w:val="546B6463"/>
    <w:rsid w:val="552E0B0E"/>
    <w:rsid w:val="567C2B91"/>
    <w:rsid w:val="576425B3"/>
    <w:rsid w:val="5A9418A9"/>
    <w:rsid w:val="5BDB693B"/>
    <w:rsid w:val="5C236D4A"/>
    <w:rsid w:val="5D5061F6"/>
    <w:rsid w:val="5DA62130"/>
    <w:rsid w:val="5DE0264F"/>
    <w:rsid w:val="5F2C20FF"/>
    <w:rsid w:val="654D6C3E"/>
    <w:rsid w:val="678E479A"/>
    <w:rsid w:val="6B356FEF"/>
    <w:rsid w:val="6C9C2AC7"/>
    <w:rsid w:val="6EBE6D36"/>
    <w:rsid w:val="6F5B773E"/>
    <w:rsid w:val="71704C57"/>
    <w:rsid w:val="71E72B95"/>
    <w:rsid w:val="71FB6B90"/>
    <w:rsid w:val="72360424"/>
    <w:rsid w:val="723C3CDD"/>
    <w:rsid w:val="73C24B2B"/>
    <w:rsid w:val="770B7532"/>
    <w:rsid w:val="7B794906"/>
    <w:rsid w:val="7C67794C"/>
  </w:rsids>
  <m:mathPr>
    <m:mathFont m:val="Cambria Math"/>
    <m:brkBin m:val="before"/>
    <m:brkBinSub m:val="--"/>
    <m:smallFrac m:val="0"/>
    <m:dispDef/>
    <m:lMargin m:val="0"/>
    <m:rMargin m:val="0"/>
    <m:defJc m:val="centerGroup"/>
    <m:wrapIndent m:val="1440"/>
    <m:intLim m:val="subSup"/>
    <m:naryLim m:val="undOvr"/>
  </m:mathPr>
  <w:themeFontLang w:val="en-GB"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7CE712"/>
  <w15:docId w15:val="{8D6CC4B5-8B2C-40B7-A034-9AF42B985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unhideWhenUsed="1" w:qFormat="1"/>
    <w:lsdException w:name="line number" w:semiHidden="1"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cstheme="minorBidi"/>
      <w:sz w:val="24"/>
      <w:szCs w:val="24"/>
      <w:lang w:eastAsia="en-US"/>
    </w:rPr>
  </w:style>
  <w:style w:type="paragraph" w:styleId="1">
    <w:name w:val="heading 1"/>
    <w:next w:val="a"/>
    <w:uiPriority w:val="9"/>
    <w:qFormat/>
    <w:pPr>
      <w:spacing w:beforeAutospacing="1" w:afterAutospacing="1"/>
      <w:outlineLvl w:val="0"/>
    </w:pPr>
    <w:rPr>
      <w:rFonts w:ascii="宋体" w:hAnsi="宋体" w:hint="eastAsia"/>
      <w:b/>
      <w:bCs/>
      <w:kern w:val="44"/>
      <w:sz w:val="48"/>
      <w:szCs w:val="48"/>
    </w:rPr>
  </w:style>
  <w:style w:type="paragraph" w:styleId="2">
    <w:name w:val="heading 2"/>
    <w:basedOn w:val="a"/>
    <w:next w:val="a"/>
    <w:link w:val="20"/>
    <w:uiPriority w:val="9"/>
    <w:unhideWhenUsed/>
    <w:qFormat/>
    <w:pPr>
      <w:keepNext/>
      <w:keepLines/>
      <w:spacing w:line="480" w:lineRule="auto"/>
      <w:outlineLvl w:val="1"/>
    </w:pPr>
    <w:rPr>
      <w:rFonts w:eastAsia="Times New Roman" w:cs="Times New Roman"/>
      <w:b/>
      <w:bCs/>
    </w:rPr>
  </w:style>
  <w:style w:type="paragraph" w:styleId="3">
    <w:name w:val="heading 3"/>
    <w:next w:val="a"/>
    <w:uiPriority w:val="9"/>
    <w:semiHidden/>
    <w:unhideWhenUsed/>
    <w:qFormat/>
    <w:pPr>
      <w:spacing w:beforeAutospacing="1" w:afterAutospacing="1"/>
      <w:outlineLvl w:val="2"/>
    </w:pPr>
    <w:rPr>
      <w:rFonts w:ascii="宋体" w:hAnsi="宋体" w:hint="eastAsia"/>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rFonts w:ascii="Segoe UI" w:hAnsi="Segoe UI" w:cs="Segoe UI"/>
      <w:sz w:val="18"/>
      <w:szCs w:val="18"/>
    </w:rPr>
  </w:style>
  <w:style w:type="character" w:styleId="a5">
    <w:name w:val="annotation reference"/>
    <w:basedOn w:val="a0"/>
    <w:uiPriority w:val="99"/>
    <w:unhideWhenUsed/>
    <w:qFormat/>
    <w:rPr>
      <w:sz w:val="16"/>
      <w:szCs w:val="16"/>
    </w:rPr>
  </w:style>
  <w:style w:type="paragraph" w:styleId="a6">
    <w:name w:val="annotation text"/>
    <w:basedOn w:val="a"/>
    <w:link w:val="a7"/>
    <w:uiPriority w:val="99"/>
    <w:unhideWhenUsed/>
    <w:qFormat/>
    <w:rPr>
      <w:sz w:val="20"/>
      <w:szCs w:val="20"/>
    </w:rPr>
  </w:style>
  <w:style w:type="paragraph" w:styleId="a8">
    <w:name w:val="annotation subject"/>
    <w:basedOn w:val="a6"/>
    <w:next w:val="a6"/>
    <w:link w:val="a9"/>
    <w:uiPriority w:val="99"/>
    <w:semiHidden/>
    <w:unhideWhenUsed/>
    <w:qFormat/>
    <w:rPr>
      <w:b/>
      <w:bCs/>
    </w:rPr>
  </w:style>
  <w:style w:type="character" w:styleId="aa">
    <w:name w:val="FollowedHyperlink"/>
    <w:basedOn w:val="a0"/>
    <w:uiPriority w:val="99"/>
    <w:semiHidden/>
    <w:unhideWhenUsed/>
    <w:qFormat/>
    <w:rPr>
      <w:color w:val="800080" w:themeColor="followedHyperlink"/>
      <w:u w:val="single"/>
    </w:rPr>
  </w:style>
  <w:style w:type="paragraph" w:styleId="ab">
    <w:name w:val="footer"/>
    <w:basedOn w:val="a"/>
    <w:link w:val="ac"/>
    <w:uiPriority w:val="99"/>
    <w:unhideWhenUsed/>
    <w:qFormat/>
    <w:pPr>
      <w:tabs>
        <w:tab w:val="center" w:pos="4513"/>
        <w:tab w:val="right" w:pos="9026"/>
      </w:tabs>
    </w:pPr>
  </w:style>
  <w:style w:type="character" w:styleId="ad">
    <w:name w:val="footnote reference"/>
    <w:basedOn w:val="a0"/>
    <w:uiPriority w:val="99"/>
    <w:semiHidden/>
    <w:unhideWhenUsed/>
    <w:qFormat/>
    <w:rPr>
      <w:vertAlign w:val="superscript"/>
    </w:rPr>
  </w:style>
  <w:style w:type="paragraph" w:styleId="ae">
    <w:name w:val="footnote text"/>
    <w:basedOn w:val="a"/>
    <w:link w:val="af"/>
    <w:uiPriority w:val="99"/>
    <w:semiHidden/>
    <w:unhideWhenUsed/>
    <w:qFormat/>
    <w:rPr>
      <w:sz w:val="20"/>
      <w:szCs w:val="20"/>
    </w:rPr>
  </w:style>
  <w:style w:type="paragraph" w:styleId="af0">
    <w:name w:val="header"/>
    <w:basedOn w:val="a"/>
    <w:link w:val="af1"/>
    <w:uiPriority w:val="99"/>
    <w:unhideWhenUsed/>
    <w:qFormat/>
    <w:pPr>
      <w:tabs>
        <w:tab w:val="center" w:pos="4513"/>
        <w:tab w:val="right" w:pos="9026"/>
      </w:tabs>
    </w:pPr>
  </w:style>
  <w:style w:type="character" w:styleId="af2">
    <w:name w:val="Hyperlink"/>
    <w:basedOn w:val="a0"/>
    <w:uiPriority w:val="99"/>
    <w:unhideWhenUsed/>
    <w:qFormat/>
    <w:rPr>
      <w:color w:val="0000FF"/>
      <w:u w:val="single"/>
    </w:rPr>
  </w:style>
  <w:style w:type="character" w:styleId="af3">
    <w:name w:val="line number"/>
    <w:basedOn w:val="a0"/>
    <w:uiPriority w:val="99"/>
    <w:semiHidden/>
    <w:unhideWhenUsed/>
    <w:qFormat/>
  </w:style>
  <w:style w:type="character" w:styleId="af4">
    <w:name w:val="page number"/>
    <w:basedOn w:val="a0"/>
    <w:uiPriority w:val="99"/>
    <w:semiHidden/>
    <w:unhideWhenUsed/>
    <w:qFormat/>
  </w:style>
  <w:style w:type="table" w:styleId="af5">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a"/>
    <w:next w:val="a"/>
    <w:uiPriority w:val="39"/>
    <w:unhideWhenUsed/>
    <w:qFormat/>
    <w:pPr>
      <w:spacing w:after="100"/>
      <w:ind w:left="240"/>
    </w:pPr>
  </w:style>
  <w:style w:type="paragraph" w:styleId="af6">
    <w:name w:val="List Paragraph"/>
    <w:basedOn w:val="a"/>
    <w:uiPriority w:val="34"/>
    <w:qFormat/>
    <w:pPr>
      <w:ind w:left="720"/>
      <w:contextualSpacing/>
    </w:pPr>
  </w:style>
  <w:style w:type="character" w:customStyle="1" w:styleId="a4">
    <w:name w:val="批注框文本 字符"/>
    <w:basedOn w:val="a0"/>
    <w:link w:val="a3"/>
    <w:uiPriority w:val="99"/>
    <w:semiHidden/>
    <w:qFormat/>
    <w:rPr>
      <w:rFonts w:ascii="Segoe UI" w:hAnsi="Segoe UI" w:cs="Segoe UI"/>
      <w:sz w:val="18"/>
      <w:szCs w:val="18"/>
      <w:lang w:val="en-US"/>
    </w:rPr>
  </w:style>
  <w:style w:type="character" w:styleId="af7">
    <w:name w:val="Placeholder Text"/>
    <w:basedOn w:val="a0"/>
    <w:uiPriority w:val="99"/>
    <w:semiHidden/>
    <w:qFormat/>
    <w:rPr>
      <w:color w:val="808080"/>
    </w:rPr>
  </w:style>
  <w:style w:type="character" w:customStyle="1" w:styleId="a7">
    <w:name w:val="批注文字 字符"/>
    <w:basedOn w:val="a0"/>
    <w:link w:val="a6"/>
    <w:uiPriority w:val="99"/>
    <w:qFormat/>
    <w:rPr>
      <w:rFonts w:ascii="Times New Roman" w:hAnsi="Times New Roman"/>
      <w:sz w:val="20"/>
      <w:szCs w:val="20"/>
      <w:lang w:val="en-US"/>
    </w:rPr>
  </w:style>
  <w:style w:type="character" w:customStyle="1" w:styleId="af">
    <w:name w:val="脚注文本 字符"/>
    <w:basedOn w:val="a0"/>
    <w:link w:val="ae"/>
    <w:uiPriority w:val="99"/>
    <w:semiHidden/>
    <w:qFormat/>
    <w:rPr>
      <w:rFonts w:ascii="Times New Roman" w:hAnsi="Times New Roman"/>
      <w:sz w:val="20"/>
      <w:szCs w:val="20"/>
      <w:lang w:val="en-US"/>
    </w:rPr>
  </w:style>
  <w:style w:type="paragraph" w:customStyle="1" w:styleId="TESupportingInformation">
    <w:name w:val="TE_Supporting_Information"/>
    <w:basedOn w:val="a"/>
    <w:next w:val="a"/>
    <w:qFormat/>
    <w:pPr>
      <w:adjustRightInd w:val="0"/>
      <w:spacing w:line="276" w:lineRule="auto"/>
      <w:jc w:val="both"/>
    </w:pPr>
    <w:rPr>
      <w:rFonts w:ascii="Arno Pro" w:eastAsia="Times New Roman" w:hAnsi="Arno Pro" w:cs="Times New Roman"/>
      <w:kern w:val="20"/>
    </w:rPr>
  </w:style>
  <w:style w:type="character" w:customStyle="1" w:styleId="a9">
    <w:name w:val="批注主题 字符"/>
    <w:basedOn w:val="a7"/>
    <w:link w:val="a8"/>
    <w:uiPriority w:val="99"/>
    <w:semiHidden/>
    <w:qFormat/>
    <w:rPr>
      <w:rFonts w:ascii="Times New Roman" w:hAnsi="Times New Roman"/>
      <w:b/>
      <w:bCs/>
      <w:sz w:val="20"/>
      <w:szCs w:val="20"/>
      <w:lang w:val="en-US"/>
    </w:rPr>
  </w:style>
  <w:style w:type="paragraph" w:customStyle="1" w:styleId="EndNoteBibliographyTitle">
    <w:name w:val="EndNote Bibliography Title"/>
    <w:basedOn w:val="a"/>
    <w:link w:val="EndNoteBibliographyTitleChar"/>
    <w:qFormat/>
    <w:pPr>
      <w:jc w:val="center"/>
    </w:pPr>
    <w:rPr>
      <w:rFonts w:cs="Times New Roman"/>
    </w:rPr>
  </w:style>
  <w:style w:type="character" w:customStyle="1" w:styleId="EndNoteBibliographyTitleChar">
    <w:name w:val="EndNote Bibliography Title Char"/>
    <w:basedOn w:val="a0"/>
    <w:link w:val="EndNoteBibliographyTitle"/>
    <w:qFormat/>
    <w:rPr>
      <w:rFonts w:ascii="Times New Roman" w:hAnsi="Times New Roman" w:cs="Times New Roman"/>
      <w:sz w:val="24"/>
      <w:szCs w:val="24"/>
      <w:lang w:val="en-US"/>
    </w:rPr>
  </w:style>
  <w:style w:type="paragraph" w:customStyle="1" w:styleId="EndNoteBibliography">
    <w:name w:val="EndNote Bibliography"/>
    <w:basedOn w:val="a"/>
    <w:link w:val="EndNoteBibliographyChar"/>
    <w:qFormat/>
    <w:rPr>
      <w:rFonts w:cs="Times New Roman"/>
    </w:rPr>
  </w:style>
  <w:style w:type="character" w:customStyle="1" w:styleId="EndNoteBibliographyChar">
    <w:name w:val="EndNote Bibliography Char"/>
    <w:basedOn w:val="a0"/>
    <w:link w:val="EndNoteBibliography"/>
    <w:qFormat/>
    <w:rPr>
      <w:rFonts w:ascii="Times New Roman" w:hAnsi="Times New Roman" w:cs="Times New Roman"/>
      <w:sz w:val="24"/>
      <w:szCs w:val="24"/>
      <w:lang w:val="en-US"/>
    </w:rPr>
  </w:style>
  <w:style w:type="paragraph" w:customStyle="1" w:styleId="24References">
    <w:name w:val="24. References"/>
    <w:basedOn w:val="a"/>
    <w:qFormat/>
    <w:pPr>
      <w:numPr>
        <w:numId w:val="1"/>
      </w:numPr>
      <w:ind w:left="720"/>
    </w:pPr>
    <w:rPr>
      <w:rFonts w:eastAsiaTheme="minorEastAsia"/>
    </w:rPr>
  </w:style>
  <w:style w:type="character" w:customStyle="1" w:styleId="af1">
    <w:name w:val="页眉 字符"/>
    <w:basedOn w:val="a0"/>
    <w:link w:val="af0"/>
    <w:uiPriority w:val="99"/>
    <w:qFormat/>
    <w:rPr>
      <w:rFonts w:ascii="Times New Roman" w:hAnsi="Times New Roman"/>
      <w:sz w:val="24"/>
      <w:szCs w:val="24"/>
      <w:lang w:val="en-US"/>
    </w:rPr>
  </w:style>
  <w:style w:type="character" w:customStyle="1" w:styleId="ac">
    <w:name w:val="页脚 字符"/>
    <w:basedOn w:val="a0"/>
    <w:link w:val="ab"/>
    <w:uiPriority w:val="99"/>
    <w:qFormat/>
    <w:rPr>
      <w:rFonts w:ascii="Times New Roman" w:hAnsi="Times New Roman"/>
      <w:sz w:val="24"/>
      <w:szCs w:val="24"/>
      <w:lang w:val="en-US"/>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20">
    <w:name w:val="标题 2 字符"/>
    <w:basedOn w:val="a0"/>
    <w:link w:val="2"/>
    <w:uiPriority w:val="9"/>
    <w:qFormat/>
    <w:rPr>
      <w:rFonts w:ascii="Times New Roman" w:eastAsia="Times New Roman" w:hAnsi="Times New Roman" w:cs="Times New Roman"/>
      <w:b/>
      <w:bCs/>
      <w:sz w:val="24"/>
      <w:szCs w:val="24"/>
      <w:lang w:val="en-US"/>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10">
    <w:name w:val="修订1"/>
    <w:hidden/>
    <w:uiPriority w:val="99"/>
    <w:semiHidden/>
    <w:qFormat/>
    <w:rPr>
      <w:rFonts w:cstheme="minorBidi"/>
      <w:sz w:val="24"/>
      <w:szCs w:val="24"/>
      <w:lang w:eastAsia="en-US"/>
    </w:rPr>
  </w:style>
  <w:style w:type="paragraph" w:customStyle="1" w:styleId="21">
    <w:name w:val="修订2"/>
    <w:hidden/>
    <w:uiPriority w:val="99"/>
    <w:unhideWhenUsed/>
    <w:qFormat/>
    <w:rPr>
      <w:rFonts w:cstheme="minorBidi"/>
      <w:sz w:val="24"/>
      <w:szCs w:val="24"/>
      <w:lang w:eastAsia="en-US"/>
    </w:rPr>
  </w:style>
  <w:style w:type="paragraph" w:customStyle="1" w:styleId="BCAuthorAddress">
    <w:name w:val="BC_Author_Address"/>
    <w:basedOn w:val="a"/>
    <w:next w:val="a"/>
    <w:rsid w:val="00B37B6C"/>
    <w:pPr>
      <w:spacing w:after="240" w:line="480" w:lineRule="auto"/>
      <w:jc w:val="center"/>
    </w:pPr>
    <w:rPr>
      <w:rFonts w:ascii="Times" w:eastAsiaTheme="minorEastAsia" w:hAnsi="Times"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eleguoyx@nus.edu.sg"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qian.zhang@nusricq.cn"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A81853-C285-499C-A8BC-F93DA23B4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2573</Words>
  <Characters>14669</Characters>
  <Application>Microsoft Office Word</Application>
  <DocSecurity>0</DocSecurity>
  <Lines>122</Lines>
  <Paragraphs>34</Paragraphs>
  <ScaleCrop>false</ScaleCrop>
  <Company/>
  <LinksUpToDate>false</LinksUpToDate>
  <CharactersWithSpaces>17208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Qian</dc:creator>
  <cp:lastModifiedBy>Qian Zhang</cp:lastModifiedBy>
  <cp:revision>2</cp:revision>
  <cp:lastPrinted>2023-11-23T07:36:00Z</cp:lastPrinted>
  <dcterms:created xsi:type="dcterms:W3CDTF">2023-12-22T07:20:00Z</dcterms:created>
  <dcterms:modified xsi:type="dcterms:W3CDTF">2023-12-22T07:20:00Z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http://www.zotero.org/styles/advanced-materials</vt:lpwstr>
  </property>
  <property fmtid="{D5CDD505-2E9C-101B-9397-08002B2CF9AE}" pid="3" name="Mendeley Recent Style Name 0_1">
    <vt:lpwstr>Advanced Materials</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http://www.zotero.org/styles/electrochimica-acta</vt:lpwstr>
  </property>
  <property fmtid="{D5CDD505-2E9C-101B-9397-08002B2CF9AE}" pid="11" name="Mendeley Recent Style Name 4_1">
    <vt:lpwstr>Electrochimica Acta</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f0599b44-e86c-3684-9742-e411a2b8fc15</vt:lpwstr>
  </property>
  <property fmtid="{D5CDD505-2E9C-101B-9397-08002B2CF9AE}" pid="24" name="Mendeley Citation Style_1">
    <vt:lpwstr>http://www.zotero.org/styles/nature</vt:lpwstr>
  </property>
  <property fmtid="{D5CDD505-2E9C-101B-9397-08002B2CF9AE}" pid="25" name="KSOProductBuildVer">
    <vt:lpwstr>1033-12.2.0.13306</vt:lpwstr>
  </property>
  <property fmtid="{D5CDD505-2E9C-101B-9397-08002B2CF9AE}" pid="26" name="ICV">
    <vt:lpwstr>0FDB9FC807244DF8A42FFFCAF6B33EDD_13</vt:lpwstr>
  </property>
</Properties>
</file>