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3ABBB" w14:textId="77777777" w:rsidR="00761037" w:rsidRPr="003913EB" w:rsidRDefault="00761037" w:rsidP="00761037">
      <w:pPr>
        <w:pStyle w:val="SNSynopsisTOC"/>
        <w:rPr>
          <w:color w:val="000000" w:themeColor="text1"/>
          <w:sz w:val="32"/>
          <w:szCs w:val="32"/>
          <w:lang w:eastAsia="zh-CN"/>
        </w:rPr>
      </w:pPr>
      <w:r w:rsidRPr="003913EB">
        <w:rPr>
          <w:color w:val="000000" w:themeColor="text1"/>
          <w:sz w:val="32"/>
          <w:szCs w:val="32"/>
          <w:lang w:eastAsia="zh-CN"/>
        </w:rPr>
        <w:t>Supplementary Material</w:t>
      </w:r>
    </w:p>
    <w:p w14:paraId="7A0001B1" w14:textId="77777777" w:rsidR="001B20CB" w:rsidRPr="003913EB" w:rsidRDefault="001B20CB" w:rsidP="00BC15B9">
      <w:pPr>
        <w:pStyle w:val="SNSynopsisTOC"/>
        <w:jc w:val="left"/>
        <w:rPr>
          <w:b/>
          <w:color w:val="000000" w:themeColor="text1"/>
        </w:rPr>
      </w:pPr>
    </w:p>
    <w:p w14:paraId="6D4DDE8E" w14:textId="102B4D35" w:rsidR="00BC15B9" w:rsidRPr="003913EB" w:rsidRDefault="00BC15B9" w:rsidP="00755639">
      <w:pPr>
        <w:pStyle w:val="SNSynopsisTOC"/>
        <w:jc w:val="center"/>
        <w:rPr>
          <w:b/>
          <w:color w:val="000000" w:themeColor="text1"/>
        </w:rPr>
      </w:pPr>
      <w:r w:rsidRPr="003913EB">
        <w:rPr>
          <w:b/>
          <w:color w:val="000000" w:themeColor="text1"/>
        </w:rPr>
        <w:t xml:space="preserve">Simultaneous </w:t>
      </w:r>
      <w:r w:rsidR="00FE6E45">
        <w:rPr>
          <w:b/>
          <w:color w:val="000000" w:themeColor="text1"/>
        </w:rPr>
        <w:t>B</w:t>
      </w:r>
      <w:r w:rsidRPr="003913EB">
        <w:rPr>
          <w:b/>
          <w:color w:val="000000" w:themeColor="text1"/>
        </w:rPr>
        <w:t>roadband and High Circular Dichroism with Two-Dimensional All-Dielectric Chiral Metasurface</w:t>
      </w:r>
    </w:p>
    <w:p w14:paraId="5F5FE625" w14:textId="77777777" w:rsidR="00761037" w:rsidRPr="003913EB" w:rsidRDefault="00AB0025" w:rsidP="00761037">
      <w:pPr>
        <w:pStyle w:val="BBAuthorName"/>
        <w:jc w:val="left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Rui W</w:t>
      </w:r>
      <w:r w:rsidR="005D7AEE" w:rsidRPr="003913EB">
        <w:rPr>
          <w:color w:val="000000" w:themeColor="text1"/>
          <w:lang w:val="de-DE"/>
        </w:rPr>
        <w:t>ang, Chenqian Wang, Ti Sun, Xin</w:t>
      </w:r>
      <w:r w:rsidR="00761037" w:rsidRPr="003913EB">
        <w:rPr>
          <w:color w:val="000000" w:themeColor="text1"/>
          <w:lang w:val="de-DE"/>
        </w:rPr>
        <w:t xml:space="preserve"> Hu*, and Chinhua Wang*</w:t>
      </w:r>
      <w:r w:rsidRPr="003913EB">
        <w:rPr>
          <w:color w:val="000000" w:themeColor="text1"/>
          <w:lang w:val="de-DE"/>
        </w:rPr>
        <w:t xml:space="preserve"> </w:t>
      </w:r>
    </w:p>
    <w:p w14:paraId="7D0CFD51" w14:textId="77777777" w:rsidR="00761037" w:rsidRPr="003913EB" w:rsidRDefault="00761037" w:rsidP="00761037">
      <w:pPr>
        <w:pStyle w:val="BCAuthorAddress"/>
        <w:jc w:val="left"/>
        <w:rPr>
          <w:rFonts w:ascii="Times New Roman" w:eastAsia="MS Mincho" w:hAnsi="Times New Roman"/>
          <w:color w:val="000000" w:themeColor="text1"/>
          <w:szCs w:val="24"/>
          <w:lang w:eastAsia="ja-JP"/>
        </w:rPr>
      </w:pPr>
      <w:r w:rsidRPr="003913EB">
        <w:rPr>
          <w:rFonts w:ascii="Times New Roman" w:eastAsia="MS Mincho" w:hAnsi="Times New Roman"/>
          <w:b/>
          <w:bCs/>
          <w:color w:val="000000" w:themeColor="text1"/>
          <w:szCs w:val="24"/>
          <w:lang w:val="de-DE" w:eastAsia="ja-JP"/>
        </w:rPr>
        <w:t xml:space="preserve">Corresponding author: </w:t>
      </w:r>
      <w:r w:rsidRPr="003913EB">
        <w:rPr>
          <w:rFonts w:ascii="Times New Roman" w:eastAsia="MS Mincho" w:hAnsi="Times New Roman"/>
          <w:bCs/>
          <w:color w:val="000000" w:themeColor="text1"/>
          <w:szCs w:val="24"/>
          <w:lang w:val="de-DE" w:eastAsia="ja-JP"/>
        </w:rPr>
        <w:t>Hu Xin</w:t>
      </w:r>
      <w:r w:rsidR="00A63F6A" w:rsidRPr="003913EB">
        <w:rPr>
          <w:rFonts w:ascii="Times New Roman" w:eastAsia="MS Mincho" w:hAnsi="Times New Roman"/>
          <w:bCs/>
          <w:color w:val="000000" w:themeColor="text1"/>
          <w:szCs w:val="24"/>
          <w:lang w:val="de-DE" w:eastAsia="ja-JP"/>
        </w:rPr>
        <w:t>,</w:t>
      </w:r>
      <w:r w:rsidRPr="003913EB">
        <w:rPr>
          <w:rFonts w:ascii="Times New Roman" w:eastAsia="MS Mincho" w:hAnsi="Times New Roman"/>
          <w:bCs/>
          <w:color w:val="000000" w:themeColor="text1"/>
          <w:szCs w:val="24"/>
          <w:lang w:val="de-DE" w:eastAsia="ja-JP"/>
        </w:rPr>
        <w:t xml:space="preserve"> and</w:t>
      </w:r>
      <w:r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 xml:space="preserve"> </w:t>
      </w:r>
      <w:r w:rsidRPr="003913EB">
        <w:rPr>
          <w:rFonts w:ascii="Times New Roman" w:eastAsia="MS Mincho" w:hAnsi="Times New Roman"/>
          <w:color w:val="000000" w:themeColor="text1"/>
          <w:szCs w:val="24"/>
          <w:lang w:val="en-GB" w:eastAsia="ja-JP"/>
        </w:rPr>
        <w:t xml:space="preserve">Chinhua Wang, </w:t>
      </w:r>
      <w:r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>School of Optoelectronic Science and Engineering &amp; Collaborative Innovation Center of Suzhou Nano Science and Technology Soochow</w:t>
      </w:r>
      <w:r w:rsidRPr="003913EB">
        <w:rPr>
          <w:rFonts w:ascii="Times New Roman" w:eastAsia="MS Mincho" w:hAnsi="Times New Roman" w:hint="eastAsia"/>
          <w:color w:val="000000" w:themeColor="text1"/>
          <w:szCs w:val="24"/>
          <w:lang w:val="de-DE" w:eastAsia="ja-JP"/>
        </w:rPr>
        <w:t xml:space="preserve"> </w:t>
      </w:r>
      <w:r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>University, Suzhou 215006, China</w:t>
      </w:r>
      <w:r w:rsidR="00A63F6A"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>;</w:t>
      </w:r>
      <w:r w:rsidRPr="003913EB">
        <w:rPr>
          <w:rFonts w:ascii="Times New Roman" w:eastAsia="MS Mincho" w:hAnsi="Times New Roman"/>
          <w:color w:val="000000" w:themeColor="text1"/>
          <w:szCs w:val="24"/>
          <w:lang w:eastAsia="ja-JP"/>
        </w:rPr>
        <w:t xml:space="preserve"> and Key Lab of Advanced Optical Manufacturing Technologies of Jiangsu Province &amp; Key Lab of Modern Optical Technologies of Education Ministry of China, Soochow University, Suzhou 215006</w:t>
      </w:r>
      <w:r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>, China</w:t>
      </w:r>
      <w:r w:rsidRPr="003913EB">
        <w:rPr>
          <w:rFonts w:ascii="Times New Roman" w:eastAsia="MS Mincho" w:hAnsi="Times New Roman"/>
          <w:color w:val="000000" w:themeColor="text1"/>
          <w:szCs w:val="24"/>
          <w:lang w:eastAsia="ja-JP"/>
        </w:rPr>
        <w:t xml:space="preserve">; </w:t>
      </w:r>
      <w:r w:rsidRPr="003913EB">
        <w:rPr>
          <w:rFonts w:ascii="Times New Roman" w:eastAsia="MS Mincho" w:hAnsi="Times New Roman" w:hint="eastAsia"/>
          <w:color w:val="000000" w:themeColor="text1"/>
          <w:szCs w:val="24"/>
          <w:lang w:eastAsia="ja-JP"/>
        </w:rPr>
        <w:t>E</w:t>
      </w:r>
      <w:r w:rsidRPr="003913EB">
        <w:rPr>
          <w:rFonts w:ascii="Times New Roman" w:eastAsia="MS Mincho" w:hAnsi="Times New Roman"/>
          <w:color w:val="000000" w:themeColor="text1"/>
          <w:szCs w:val="24"/>
          <w:lang w:eastAsia="ja-JP"/>
        </w:rPr>
        <w:t>-mail</w:t>
      </w:r>
      <w:r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>: huxin@suda.edu.cn</w:t>
      </w:r>
      <w:r w:rsidR="00A63F6A"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>,</w:t>
      </w:r>
      <w:r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 xml:space="preserve"> and chinhua.wang@suda.edu.cn</w:t>
      </w:r>
    </w:p>
    <w:p w14:paraId="765F117F" w14:textId="77777777" w:rsidR="00761037" w:rsidRPr="003913EB" w:rsidRDefault="00761037" w:rsidP="00761037">
      <w:pPr>
        <w:pStyle w:val="BCAuthorAddress"/>
        <w:jc w:val="left"/>
        <w:rPr>
          <w:color w:val="000000" w:themeColor="text1"/>
          <w:lang w:val="de-DE"/>
        </w:rPr>
      </w:pPr>
      <w:r w:rsidRPr="003913EB">
        <w:rPr>
          <w:rFonts w:ascii="Times New Roman" w:eastAsia="MS Mincho" w:hAnsi="Times New Roman"/>
          <w:b/>
          <w:bCs/>
          <w:color w:val="000000" w:themeColor="text1"/>
          <w:szCs w:val="24"/>
          <w:lang w:val="en-GB" w:eastAsia="ja-JP"/>
        </w:rPr>
        <w:t>Rui Wang, Chenqian Wang</w:t>
      </w:r>
      <w:r w:rsidR="00A63F6A" w:rsidRPr="003913EB">
        <w:rPr>
          <w:rFonts w:ascii="Times New Roman" w:eastAsia="MS Mincho" w:hAnsi="Times New Roman"/>
          <w:b/>
          <w:bCs/>
          <w:color w:val="000000" w:themeColor="text1"/>
          <w:szCs w:val="24"/>
          <w:lang w:val="en-GB" w:eastAsia="ja-JP"/>
        </w:rPr>
        <w:t>,</w:t>
      </w:r>
      <w:r w:rsidRPr="003913EB">
        <w:rPr>
          <w:rFonts w:ascii="Times New Roman" w:eastAsia="MS Mincho" w:hAnsi="Times New Roman"/>
          <w:b/>
          <w:bCs/>
          <w:color w:val="000000" w:themeColor="text1"/>
          <w:szCs w:val="24"/>
          <w:lang w:val="en-GB" w:eastAsia="ja-JP"/>
        </w:rPr>
        <w:t xml:space="preserve"> and Ti Sun</w:t>
      </w:r>
      <w:r w:rsidRPr="003913EB">
        <w:rPr>
          <w:rFonts w:ascii="Times New Roman" w:eastAsia="MS Mincho" w:hAnsi="Times New Roman"/>
          <w:b/>
          <w:bCs/>
          <w:color w:val="000000" w:themeColor="text1"/>
          <w:szCs w:val="24"/>
          <w:lang w:val="de-DE" w:eastAsia="ja-JP"/>
        </w:rPr>
        <w:t>:</w:t>
      </w:r>
      <w:r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 xml:space="preserve"> School of Optoelectronic Science and Engineering Soochow</w:t>
      </w:r>
      <w:r w:rsidRPr="003913EB">
        <w:rPr>
          <w:rFonts w:ascii="Times New Roman" w:eastAsia="MS Mincho" w:hAnsi="Times New Roman" w:hint="eastAsia"/>
          <w:color w:val="000000" w:themeColor="text1"/>
          <w:szCs w:val="24"/>
          <w:lang w:val="de-DE" w:eastAsia="ja-JP"/>
        </w:rPr>
        <w:t xml:space="preserve"> </w:t>
      </w:r>
      <w:r w:rsidR="00A63F6A"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>University, Suzhou</w:t>
      </w:r>
      <w:r w:rsidR="00637C55" w:rsidRPr="003913EB">
        <w:rPr>
          <w:rFonts w:ascii="Times New Roman" w:eastAsia="MS Mincho" w:hAnsi="Times New Roman"/>
          <w:color w:val="000000" w:themeColor="text1"/>
          <w:szCs w:val="24"/>
          <w:lang w:eastAsia="ja-JP"/>
        </w:rPr>
        <w:t xml:space="preserve"> 215006</w:t>
      </w:r>
      <w:r w:rsidR="00A63F6A"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>, China;</w:t>
      </w:r>
      <w:r w:rsidRPr="003913EB">
        <w:rPr>
          <w:rFonts w:ascii="Times New Roman" w:eastAsia="MS Mincho" w:hAnsi="Times New Roman"/>
          <w:color w:val="000000" w:themeColor="text1"/>
          <w:szCs w:val="24"/>
          <w:lang w:eastAsia="ja-JP"/>
        </w:rPr>
        <w:t xml:space="preserve"> and Key Lab of Advanced Optical Manufacturing Technologies of Jiangsu Province &amp; Key Lab of Modern Optical Technologies of Education Ministry of China, Soochow University, Suzhou 215006, </w:t>
      </w:r>
      <w:r w:rsidRPr="003913EB">
        <w:rPr>
          <w:rFonts w:ascii="Times New Roman" w:eastAsia="MS Mincho" w:hAnsi="Times New Roman"/>
          <w:color w:val="000000" w:themeColor="text1"/>
          <w:szCs w:val="24"/>
          <w:lang w:val="de-DE" w:eastAsia="ja-JP"/>
        </w:rPr>
        <w:t>China; E-mail: 20224039003@stu.suda.edu.cn</w:t>
      </w:r>
    </w:p>
    <w:p w14:paraId="382F25C1" w14:textId="77777777" w:rsidR="00C07266" w:rsidRPr="003913EB" w:rsidRDefault="00C07266" w:rsidP="00C07266">
      <w:pPr>
        <w:pStyle w:val="BCAuthorAddress"/>
        <w:rPr>
          <w:color w:val="000000" w:themeColor="text1"/>
          <w:lang w:val="de-DE"/>
        </w:rPr>
      </w:pPr>
    </w:p>
    <w:p w14:paraId="03C83742" w14:textId="77777777" w:rsidR="00761037" w:rsidRPr="003913EB" w:rsidRDefault="00761037" w:rsidP="00761037">
      <w:pPr>
        <w:pStyle w:val="BIEmailAddress"/>
        <w:rPr>
          <w:color w:val="000000" w:themeColor="text1"/>
          <w:lang w:val="de-DE"/>
        </w:rPr>
      </w:pPr>
    </w:p>
    <w:p w14:paraId="32FC7FCC" w14:textId="77777777" w:rsidR="00ED255C" w:rsidRPr="003913EB" w:rsidRDefault="00ED255C" w:rsidP="00ED255C">
      <w:pPr>
        <w:pStyle w:val="BDAbstract"/>
        <w:rPr>
          <w:color w:val="000000" w:themeColor="text1"/>
          <w:lang w:val="de-DE"/>
        </w:rPr>
      </w:pPr>
    </w:p>
    <w:p w14:paraId="1BBF7E04" w14:textId="77777777" w:rsidR="0018680A" w:rsidRPr="003913EB" w:rsidRDefault="00BC15B9" w:rsidP="0018680A">
      <w:pPr>
        <w:pStyle w:val="SNSynopsisTOC"/>
        <w:jc w:val="left"/>
        <w:rPr>
          <w:b/>
          <w:bCs/>
          <w:color w:val="000000" w:themeColor="text1"/>
          <w:lang w:val="de-DE"/>
        </w:rPr>
      </w:pPr>
      <w:r w:rsidRPr="003913EB">
        <w:rPr>
          <w:b/>
          <w:bCs/>
          <w:color w:val="000000" w:themeColor="text1"/>
          <w:lang w:val="de-DE"/>
        </w:rPr>
        <w:lastRenderedPageBreak/>
        <w:t>1. Details of the optimization and calculation process of the HER and UBB structures</w:t>
      </w:r>
    </w:p>
    <w:p w14:paraId="1C522F2E" w14:textId="77777777" w:rsidR="00BC15B9" w:rsidRPr="003913EB" w:rsidRDefault="00BC15B9" w:rsidP="00A0517C">
      <w:pPr>
        <w:pStyle w:val="TAMainText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The structural parameters of the proposed two-dimensional all-dielectric chiral metasurfaces are optimized by the particle swarm optimization (PSO) algorithm</w:t>
      </w:r>
      <w:r w:rsidRPr="003913EB">
        <w:rPr>
          <w:rFonts w:hint="eastAsia"/>
          <w:color w:val="000000" w:themeColor="text1"/>
          <w:lang w:val="de-DE"/>
        </w:rPr>
        <w:t>,</w:t>
      </w:r>
      <w:r w:rsidRPr="003913EB">
        <w:rPr>
          <w:color w:val="000000" w:themeColor="text1"/>
          <w:lang w:val="de-DE"/>
        </w:rPr>
        <w:t xml:space="preserve"> and the process is shown in Figure S1. In order to obtain high circular dichroism (CD) and polarization extinction ratio (PER) simultaneously over the target </w:t>
      </w:r>
      <w:r w:rsidRPr="003913EB">
        <w:rPr>
          <w:rFonts w:hint="eastAsia"/>
          <w:color w:val="000000" w:themeColor="text1"/>
          <w:lang w:val="de-DE"/>
        </w:rPr>
        <w:t>bands</w:t>
      </w:r>
      <w:r w:rsidRPr="003913EB">
        <w:rPr>
          <w:color w:val="000000" w:themeColor="text1"/>
          <w:lang w:val="de-DE"/>
        </w:rPr>
        <w:t>, the figure of merit (</w:t>
      </w:r>
      <w:r w:rsidRPr="003913EB">
        <w:rPr>
          <w:i/>
          <w:color w:val="000000" w:themeColor="text1"/>
          <w:lang w:val="de-DE"/>
        </w:rPr>
        <w:t>FOM</w:t>
      </w:r>
      <w:r w:rsidRPr="003913EB">
        <w:rPr>
          <w:color w:val="000000" w:themeColor="text1"/>
          <w:lang w:val="de-DE"/>
        </w:rPr>
        <w:t>) is defined as:</w:t>
      </w:r>
    </w:p>
    <w:p w14:paraId="17E8B561" w14:textId="77777777" w:rsidR="00BC15B9" w:rsidRPr="003913EB" w:rsidRDefault="00386F49" w:rsidP="00386F49">
      <w:pPr>
        <w:pStyle w:val="equation1"/>
        <w:rPr>
          <w:color w:val="000000" w:themeColor="text1"/>
        </w:rPr>
      </w:pPr>
      <w:r w:rsidRPr="003913EB">
        <w:rPr>
          <w:color w:val="000000" w:themeColor="text1"/>
        </w:rPr>
        <w:tab/>
      </w:r>
      <w:r w:rsidRPr="003913EB">
        <w:rPr>
          <w:color w:val="000000" w:themeColor="text1"/>
          <w:position w:val="-14"/>
        </w:rPr>
        <w:object w:dxaOrig="5480" w:dyaOrig="400" w14:anchorId="19A606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20.4pt" o:ole="">
            <v:imagedata r:id="rId7" o:title=""/>
          </v:shape>
          <o:OLEObject Type="Embed" ProgID="Equation.DSMT4" ShapeID="_x0000_i1025" DrawAspect="Content" ObjectID="_1758533013" r:id="rId8"/>
        </w:object>
      </w:r>
      <w:r w:rsidR="006661AF" w:rsidRPr="003913EB">
        <w:rPr>
          <w:color w:val="000000" w:themeColor="text1"/>
        </w:rPr>
        <w:tab/>
        <w:t>(S1)</w:t>
      </w:r>
    </w:p>
    <w:p w14:paraId="55831085" w14:textId="77777777" w:rsidR="00BC15B9" w:rsidRPr="003913EB" w:rsidRDefault="00A0517C" w:rsidP="00BC15B9">
      <w:pPr>
        <w:pStyle w:val="SNSynopsisTOC"/>
        <w:rPr>
          <w:bCs/>
          <w:color w:val="000000" w:themeColor="text1"/>
        </w:rPr>
      </w:pPr>
      <w:r w:rsidRPr="003913EB">
        <w:rPr>
          <w:bCs/>
          <w:color w:val="000000" w:themeColor="text1"/>
        </w:rPr>
        <w:t>w</w:t>
      </w:r>
      <w:r w:rsidR="00BC15B9" w:rsidRPr="003913EB">
        <w:rPr>
          <w:bCs/>
          <w:color w:val="000000" w:themeColor="text1"/>
        </w:rPr>
        <w:t xml:space="preserve">here </w:t>
      </w:r>
      <w:r w:rsidR="00BC15B9" w:rsidRPr="003913EB">
        <w:rPr>
          <w:bCs/>
          <w:i/>
          <w:color w:val="000000" w:themeColor="text1"/>
        </w:rPr>
        <w:t>T</w:t>
      </w:r>
      <w:r w:rsidR="00BC15B9" w:rsidRPr="003913EB">
        <w:rPr>
          <w:bCs/>
          <w:color w:val="000000" w:themeColor="text1"/>
          <w:vertAlign w:val="subscript"/>
        </w:rPr>
        <w:t>LCP</w:t>
      </w:r>
      <w:r w:rsidR="00BC15B9" w:rsidRPr="003913EB">
        <w:rPr>
          <w:bCs/>
          <w:color w:val="000000" w:themeColor="text1"/>
        </w:rPr>
        <w:t xml:space="preserve"> and </w:t>
      </w:r>
      <w:r w:rsidR="00BC15B9" w:rsidRPr="003913EB">
        <w:rPr>
          <w:rFonts w:hint="eastAsia"/>
          <w:bCs/>
          <w:i/>
          <w:color w:val="000000" w:themeColor="text1"/>
        </w:rPr>
        <w:t>T</w:t>
      </w:r>
      <w:r w:rsidR="00BC15B9" w:rsidRPr="003913EB">
        <w:rPr>
          <w:bCs/>
          <w:color w:val="000000" w:themeColor="text1"/>
          <w:vertAlign w:val="subscript"/>
        </w:rPr>
        <w:t>RCP</w:t>
      </w:r>
      <w:r w:rsidR="00BC15B9" w:rsidRPr="003913EB">
        <w:rPr>
          <w:bCs/>
          <w:color w:val="000000" w:themeColor="text1"/>
        </w:rPr>
        <w:t xml:space="preserve"> </w:t>
      </w:r>
      <w:r w:rsidR="00BC15B9" w:rsidRPr="003913EB">
        <w:rPr>
          <w:rFonts w:hint="eastAsia"/>
          <w:bCs/>
          <w:color w:val="000000" w:themeColor="text1"/>
        </w:rPr>
        <w:t>are</w:t>
      </w:r>
      <w:r w:rsidR="00BC15B9" w:rsidRPr="003913EB">
        <w:rPr>
          <w:bCs/>
          <w:color w:val="000000" w:themeColor="text1"/>
        </w:rPr>
        <w:t xml:space="preserve"> </w:t>
      </w:r>
      <w:r w:rsidR="00BC15B9" w:rsidRPr="003913EB">
        <w:rPr>
          <w:rFonts w:hint="eastAsia"/>
          <w:bCs/>
          <w:color w:val="000000" w:themeColor="text1"/>
        </w:rPr>
        <w:t>t</w:t>
      </w:r>
      <w:r w:rsidR="00BC15B9" w:rsidRPr="003913EB">
        <w:rPr>
          <w:bCs/>
          <w:color w:val="000000" w:themeColor="text1"/>
        </w:rPr>
        <w:t xml:space="preserve">he transmittance matrices of LCP and RCP incident light in the targeted wavelength range, respectively. </w:t>
      </w:r>
      <w:r w:rsidR="00BC15B9" w:rsidRPr="003913EB">
        <w:rPr>
          <w:bCs/>
          <w:i/>
          <w:color w:val="000000" w:themeColor="text1"/>
        </w:rPr>
        <w:t>A</w:t>
      </w:r>
      <w:r w:rsidR="00BC15B9" w:rsidRPr="003913EB">
        <w:rPr>
          <w:bCs/>
          <w:color w:val="000000" w:themeColor="text1"/>
        </w:rPr>
        <w:t xml:space="preserve"> and </w:t>
      </w:r>
      <w:r w:rsidR="00BC15B9" w:rsidRPr="003913EB">
        <w:rPr>
          <w:bCs/>
          <w:i/>
          <w:color w:val="000000" w:themeColor="text1"/>
        </w:rPr>
        <w:t>B</w:t>
      </w:r>
      <w:r w:rsidR="00BC15B9" w:rsidRPr="003913EB">
        <w:rPr>
          <w:bCs/>
          <w:color w:val="000000" w:themeColor="text1"/>
        </w:rPr>
        <w:t xml:space="preserve"> are the weighing factors. For the HER structure and UBB structure, the target wavelength range and the weigh</w:t>
      </w:r>
      <w:r w:rsidR="0007782E" w:rsidRPr="003913EB">
        <w:rPr>
          <w:bCs/>
          <w:color w:val="000000" w:themeColor="text1"/>
        </w:rPr>
        <w:t>t</w:t>
      </w:r>
      <w:r w:rsidR="00BC15B9" w:rsidRPr="003913EB">
        <w:rPr>
          <w:bCs/>
          <w:color w:val="000000" w:themeColor="text1"/>
        </w:rPr>
        <w:t xml:space="preserve">ing factors are set as 1.40–1.60 μm, </w:t>
      </w:r>
      <w:r w:rsidR="00BC15B9" w:rsidRPr="003913EB">
        <w:rPr>
          <w:bCs/>
          <w:i/>
          <w:color w:val="000000" w:themeColor="text1"/>
        </w:rPr>
        <w:t xml:space="preserve">A </w:t>
      </w:r>
      <w:r w:rsidR="00BC15B9" w:rsidRPr="003913EB">
        <w:rPr>
          <w:bCs/>
          <w:color w:val="000000" w:themeColor="text1"/>
        </w:rPr>
        <w:t xml:space="preserve">= 1, </w:t>
      </w:r>
      <w:r w:rsidR="00BC15B9" w:rsidRPr="003913EB">
        <w:rPr>
          <w:bCs/>
          <w:i/>
          <w:color w:val="000000" w:themeColor="text1"/>
        </w:rPr>
        <w:t xml:space="preserve">B </w:t>
      </w:r>
      <w:r w:rsidR="00BC15B9" w:rsidRPr="003913EB">
        <w:rPr>
          <w:bCs/>
          <w:color w:val="000000" w:themeColor="text1"/>
        </w:rPr>
        <w:t xml:space="preserve">= 2 and 1.35–1.75 μm, </w:t>
      </w:r>
      <w:r w:rsidR="00BC15B9" w:rsidRPr="003913EB">
        <w:rPr>
          <w:bCs/>
          <w:i/>
          <w:color w:val="000000" w:themeColor="text1"/>
        </w:rPr>
        <w:t xml:space="preserve">A </w:t>
      </w:r>
      <w:r w:rsidR="00BC15B9" w:rsidRPr="003913EB">
        <w:rPr>
          <w:bCs/>
          <w:color w:val="000000" w:themeColor="text1"/>
        </w:rPr>
        <w:t xml:space="preserve">= 1, and </w:t>
      </w:r>
      <w:r w:rsidR="00BC15B9" w:rsidRPr="003913EB">
        <w:rPr>
          <w:bCs/>
          <w:i/>
          <w:color w:val="000000" w:themeColor="text1"/>
        </w:rPr>
        <w:t xml:space="preserve">B </w:t>
      </w:r>
      <w:r w:rsidR="00BC15B9" w:rsidRPr="003913EB">
        <w:rPr>
          <w:bCs/>
          <w:color w:val="000000" w:themeColor="text1"/>
        </w:rPr>
        <w:t>= 1, respectively.</w:t>
      </w:r>
    </w:p>
    <w:p w14:paraId="201DA6B2" w14:textId="77777777" w:rsidR="00BC15B9" w:rsidRPr="003913EB" w:rsidRDefault="00A63F6A" w:rsidP="00A63F6A">
      <w:pPr>
        <w:pStyle w:val="SNSynopsisTOC"/>
        <w:jc w:val="center"/>
        <w:rPr>
          <w:color w:val="000000" w:themeColor="text1"/>
          <w:lang w:val="de-DE"/>
        </w:rPr>
      </w:pPr>
      <w:r w:rsidRPr="003913EB">
        <w:rPr>
          <w:noProof/>
          <w:color w:val="000000" w:themeColor="text1"/>
          <w:lang w:eastAsia="zh-CN"/>
        </w:rPr>
        <w:drawing>
          <wp:inline distT="0" distB="0" distL="0" distR="0" wp14:anchorId="11555B63" wp14:editId="129F9F7D">
            <wp:extent cx="2251710" cy="3662680"/>
            <wp:effectExtent l="0" t="0" r="0" b="0"/>
            <wp:docPr id="8" name="图片 8" descr="E:\小论文数据\nanophotonic\600dpi\Figures\Figure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小论文数据\nanophotonic\600dpi\Figures\Figure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AF1E" w14:textId="77777777" w:rsidR="003B1F56" w:rsidRPr="003913EB" w:rsidRDefault="00BC15B9" w:rsidP="00ED255C">
      <w:pPr>
        <w:pStyle w:val="VAFigureCaption"/>
        <w:rPr>
          <w:color w:val="000000" w:themeColor="text1"/>
          <w:lang w:val="de-DE"/>
        </w:rPr>
      </w:pPr>
      <w:r w:rsidRPr="003913EB">
        <w:rPr>
          <w:b/>
          <w:color w:val="000000" w:themeColor="text1"/>
          <w:lang w:val="de-DE"/>
        </w:rPr>
        <w:t>F</w:t>
      </w:r>
      <w:r w:rsidRPr="003913EB">
        <w:rPr>
          <w:rFonts w:hint="eastAsia"/>
          <w:b/>
          <w:color w:val="000000" w:themeColor="text1"/>
          <w:lang w:val="de-DE"/>
        </w:rPr>
        <w:t>igure</w:t>
      </w:r>
      <w:r w:rsidRPr="003913EB">
        <w:rPr>
          <w:b/>
          <w:color w:val="000000" w:themeColor="text1"/>
          <w:lang w:val="de-DE"/>
        </w:rPr>
        <w:t xml:space="preserve"> S1</w:t>
      </w:r>
      <w:r w:rsidR="00093A26" w:rsidRPr="003913EB">
        <w:rPr>
          <w:b/>
          <w:color w:val="000000" w:themeColor="text1"/>
          <w:lang w:val="de-DE"/>
        </w:rPr>
        <w:t>:</w:t>
      </w:r>
      <w:r w:rsidRPr="003913EB">
        <w:rPr>
          <w:color w:val="000000" w:themeColor="text1"/>
          <w:lang w:val="de-DE"/>
        </w:rPr>
        <w:t xml:space="preserve"> Flow chart of PSO algorithm</w:t>
      </w:r>
      <w:r w:rsidR="00637C55" w:rsidRPr="003913EB">
        <w:rPr>
          <w:color w:val="000000" w:themeColor="text1"/>
          <w:lang w:val="de-DE"/>
        </w:rPr>
        <w:t>.</w:t>
      </w:r>
    </w:p>
    <w:p w14:paraId="61D980E7" w14:textId="1D9D5995" w:rsidR="006B6168" w:rsidRPr="003913EB" w:rsidRDefault="00BC15B9" w:rsidP="00BC15B9">
      <w:pPr>
        <w:pStyle w:val="SNSynopsisTOC"/>
        <w:jc w:val="left"/>
        <w:rPr>
          <w:b/>
          <w:bCs/>
          <w:color w:val="000000" w:themeColor="text1"/>
          <w:lang w:val="de-DE"/>
        </w:rPr>
      </w:pPr>
      <w:bookmarkStart w:id="0" w:name="_Hlk132028085"/>
      <w:r w:rsidRPr="003913EB">
        <w:rPr>
          <w:b/>
          <w:bCs/>
          <w:color w:val="000000" w:themeColor="text1"/>
          <w:lang w:val="de-DE"/>
        </w:rPr>
        <w:lastRenderedPageBreak/>
        <w:t xml:space="preserve">2. </w:t>
      </w:r>
      <w:r w:rsidRPr="003913EB">
        <w:rPr>
          <w:rFonts w:hint="eastAsia"/>
          <w:b/>
          <w:bCs/>
          <w:color w:val="000000" w:themeColor="text1"/>
          <w:lang w:val="de-DE"/>
        </w:rPr>
        <w:t>C</w:t>
      </w:r>
      <w:r w:rsidRPr="003913EB">
        <w:rPr>
          <w:b/>
          <w:bCs/>
          <w:color w:val="000000" w:themeColor="text1"/>
          <w:lang w:val="de-DE"/>
        </w:rPr>
        <w:t xml:space="preserve">alculation </w:t>
      </w:r>
      <w:r w:rsidRPr="003913EB">
        <w:rPr>
          <w:rFonts w:hint="eastAsia"/>
          <w:b/>
          <w:bCs/>
          <w:color w:val="000000" w:themeColor="text1"/>
          <w:lang w:val="de-DE"/>
        </w:rPr>
        <w:t>of</w:t>
      </w:r>
      <w:r w:rsidRPr="003913EB">
        <w:rPr>
          <w:b/>
          <w:bCs/>
          <w:color w:val="000000" w:themeColor="text1"/>
          <w:lang w:val="de-DE"/>
        </w:rPr>
        <w:t xml:space="preserve"> Multipole Moment</w:t>
      </w:r>
      <w:r w:rsidRPr="003913EB">
        <w:rPr>
          <w:rFonts w:hint="eastAsia"/>
          <w:b/>
          <w:bCs/>
          <w:color w:val="000000" w:themeColor="text1"/>
          <w:lang w:val="de-DE"/>
        </w:rPr>
        <w:t xml:space="preserve"> </w:t>
      </w:r>
    </w:p>
    <w:bookmarkEnd w:id="0"/>
    <w:p w14:paraId="5E6D3BB7" w14:textId="77777777" w:rsidR="00093A26" w:rsidRPr="003913EB" w:rsidRDefault="00BC15B9" w:rsidP="00093A26">
      <w:pPr>
        <w:pStyle w:val="TAMainText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The multipole moments can be calculated by obtaining the polarization current distribution within the nanoparticle in Cartesian coordinates</w:t>
      </w:r>
      <w:r w:rsidR="00811329" w:rsidRPr="003913EB">
        <w:rPr>
          <w:color w:val="000000" w:themeColor="text1"/>
          <w:lang w:val="de-DE"/>
        </w:rPr>
        <w:t xml:space="preserve"> [</w:t>
      </w:r>
      <w:r w:rsidR="00D517A1" w:rsidRPr="003913EB">
        <w:rPr>
          <w:color w:val="000000" w:themeColor="text1"/>
          <w:lang w:val="de-DE"/>
        </w:rPr>
        <w:t>1,</w:t>
      </w:r>
      <w:r w:rsidR="00811329" w:rsidRPr="003913EB">
        <w:rPr>
          <w:color w:val="000000" w:themeColor="text1"/>
          <w:lang w:val="de-DE"/>
        </w:rPr>
        <w:t xml:space="preserve"> </w:t>
      </w:r>
      <w:r w:rsidR="00D517A1" w:rsidRPr="003913EB">
        <w:rPr>
          <w:color w:val="000000" w:themeColor="text1"/>
          <w:lang w:val="de-DE"/>
        </w:rPr>
        <w:t>2</w:t>
      </w:r>
      <w:r w:rsidR="00811329" w:rsidRPr="003913EB">
        <w:rPr>
          <w:color w:val="000000" w:themeColor="text1"/>
          <w:lang w:val="de-DE"/>
        </w:rPr>
        <w:t>]</w:t>
      </w:r>
    </w:p>
    <w:p w14:paraId="1F98D4F1" w14:textId="77777777" w:rsidR="00BC15B9" w:rsidRPr="003913EB" w:rsidRDefault="00386F49" w:rsidP="00386F49">
      <w:pPr>
        <w:pStyle w:val="equation1"/>
        <w:rPr>
          <w:color w:val="000000" w:themeColor="text1"/>
        </w:rPr>
      </w:pPr>
      <w:r w:rsidRPr="003913EB">
        <w:rPr>
          <w:color w:val="000000" w:themeColor="text1"/>
        </w:rPr>
        <w:tab/>
      </w:r>
      <w:r w:rsidRPr="003913EB">
        <w:rPr>
          <w:color w:val="000000" w:themeColor="text1"/>
          <w:position w:val="-36"/>
        </w:rPr>
        <w:object w:dxaOrig="5340" w:dyaOrig="780" w14:anchorId="10B62C92">
          <v:shape id="_x0000_i1026" type="#_x0000_t75" style="width:267pt;height:37.8pt" o:ole="">
            <v:imagedata r:id="rId10" o:title=""/>
          </v:shape>
          <o:OLEObject Type="Embed" ProgID="Equation.DSMT4" ShapeID="_x0000_i1026" DrawAspect="Content" ObjectID="_1758533014" r:id="rId11"/>
        </w:object>
      </w:r>
      <w:r w:rsidR="00BC15B9" w:rsidRPr="003913EB">
        <w:rPr>
          <w:color w:val="000000" w:themeColor="text1"/>
        </w:rPr>
        <w:tab/>
        <w:t>(S2)</w:t>
      </w:r>
    </w:p>
    <w:p w14:paraId="452DE5E3" w14:textId="77777777" w:rsidR="00BC15B9" w:rsidRPr="003913EB" w:rsidRDefault="00386F49" w:rsidP="00386F49">
      <w:pPr>
        <w:pStyle w:val="equation1"/>
        <w:rPr>
          <w:color w:val="000000" w:themeColor="text1"/>
        </w:rPr>
      </w:pPr>
      <w:r w:rsidRPr="003913EB">
        <w:rPr>
          <w:color w:val="000000" w:themeColor="text1"/>
        </w:rPr>
        <w:tab/>
      </w:r>
      <w:r w:rsidRPr="003913EB">
        <w:rPr>
          <w:color w:val="000000" w:themeColor="text1"/>
          <w:position w:val="-36"/>
        </w:rPr>
        <w:object w:dxaOrig="2380" w:dyaOrig="780" w14:anchorId="37D88C52">
          <v:shape id="_x0000_i1027" type="#_x0000_t75" style="width:120pt;height:37.8pt" o:ole="">
            <v:imagedata r:id="rId12" o:title=""/>
          </v:shape>
          <o:OLEObject Type="Embed" ProgID="Equation.DSMT4" ShapeID="_x0000_i1027" DrawAspect="Content" ObjectID="_1758533015" r:id="rId13"/>
        </w:object>
      </w:r>
      <w:r w:rsidR="00BC15B9" w:rsidRPr="003913EB">
        <w:rPr>
          <w:color w:val="000000" w:themeColor="text1"/>
        </w:rPr>
        <w:tab/>
        <w:t>(S3)</w:t>
      </w:r>
    </w:p>
    <w:p w14:paraId="0CD9021F" w14:textId="77777777" w:rsidR="00BC15B9" w:rsidRPr="003913EB" w:rsidRDefault="00386F49" w:rsidP="00386F49">
      <w:pPr>
        <w:pStyle w:val="equation1"/>
        <w:rPr>
          <w:color w:val="000000" w:themeColor="text1"/>
        </w:rPr>
      </w:pPr>
      <w:r w:rsidRPr="003913EB">
        <w:rPr>
          <w:color w:val="000000" w:themeColor="text1"/>
        </w:rPr>
        <w:tab/>
      </w:r>
      <w:r w:rsidRPr="003913EB">
        <w:rPr>
          <w:color w:val="000000" w:themeColor="text1"/>
          <w:position w:val="-94"/>
        </w:rPr>
        <w:object w:dxaOrig="6100" w:dyaOrig="1320" w14:anchorId="098BF0DF">
          <v:shape id="_x0000_i1028" type="#_x0000_t75" style="width:302.4pt;height:66.6pt" o:ole="">
            <v:imagedata r:id="rId14" o:title=""/>
          </v:shape>
          <o:OLEObject Type="Embed" ProgID="Equation.DSMT4" ShapeID="_x0000_i1028" DrawAspect="Content" ObjectID="_1758533016" r:id="rId15"/>
        </w:object>
      </w:r>
      <w:r w:rsidR="00BC15B9" w:rsidRPr="003913EB">
        <w:rPr>
          <w:color w:val="000000" w:themeColor="text1"/>
        </w:rPr>
        <w:tab/>
        <w:t>(S4)</w:t>
      </w:r>
    </w:p>
    <w:p w14:paraId="7C330BC4" w14:textId="77777777" w:rsidR="00BC15B9" w:rsidRPr="003913EB" w:rsidRDefault="00386F49" w:rsidP="00093A26">
      <w:pPr>
        <w:pStyle w:val="equation1"/>
        <w:rPr>
          <w:color w:val="000000" w:themeColor="text1"/>
        </w:rPr>
      </w:pPr>
      <w:r w:rsidRPr="003913EB">
        <w:rPr>
          <w:color w:val="000000" w:themeColor="text1"/>
        </w:rPr>
        <w:tab/>
      </w:r>
      <w:r w:rsidRPr="003913EB">
        <w:rPr>
          <w:color w:val="000000" w:themeColor="text1"/>
          <w:position w:val="-36"/>
        </w:rPr>
        <w:object w:dxaOrig="4020" w:dyaOrig="740" w14:anchorId="58A44EA3">
          <v:shape id="_x0000_i1029" type="#_x0000_t75" style="width:199.8pt;height:37.8pt" o:ole="">
            <v:imagedata r:id="rId16" o:title=""/>
          </v:shape>
          <o:OLEObject Type="Embed" ProgID="Equation.DSMT4" ShapeID="_x0000_i1029" DrawAspect="Content" ObjectID="_1758533017" r:id="rId17"/>
        </w:object>
      </w:r>
      <w:r w:rsidR="00BC15B9" w:rsidRPr="003913EB">
        <w:rPr>
          <w:color w:val="000000" w:themeColor="text1"/>
        </w:rPr>
        <w:tab/>
        <w:t>(S5)</w:t>
      </w:r>
    </w:p>
    <w:p w14:paraId="4D575A5C" w14:textId="77777777" w:rsidR="00BC15B9" w:rsidRPr="003913EB" w:rsidRDefault="003A47E9" w:rsidP="00BC15B9">
      <w:pPr>
        <w:pStyle w:val="SNSynopsisTOC"/>
        <w:jc w:val="left"/>
        <w:rPr>
          <w:color w:val="000000" w:themeColor="text1"/>
          <w:lang w:val="de-DE"/>
        </w:rPr>
      </w:pPr>
      <w:r w:rsidRPr="003913EB">
        <w:rPr>
          <w:rFonts w:ascii="Times New Roman" w:eastAsiaTheme="minorEastAsia" w:hAnsi="Times New Roman"/>
          <w:color w:val="000000" w:themeColor="text1"/>
          <w:lang w:val="de-DE" w:eastAsia="zh-CN"/>
        </w:rPr>
        <w:t>wh</w:t>
      </w:r>
      <w:r w:rsidR="00BC15B9" w:rsidRPr="003913EB">
        <w:rPr>
          <w:color w:val="000000" w:themeColor="text1"/>
          <w:lang w:val="de-DE"/>
        </w:rPr>
        <w:t xml:space="preserve">ere, </w:t>
      </w:r>
      <w:r w:rsidR="00BC15B9" w:rsidRPr="003913EB">
        <w:rPr>
          <w:b/>
          <w:color w:val="000000" w:themeColor="text1"/>
          <w:lang w:val="de-DE"/>
        </w:rPr>
        <w:t>p</w:t>
      </w:r>
      <w:r w:rsidR="00BC15B9" w:rsidRPr="003913EB">
        <w:rPr>
          <w:color w:val="000000" w:themeColor="text1"/>
          <w:lang w:val="de-DE"/>
        </w:rPr>
        <w:t xml:space="preserve">, </w:t>
      </w:r>
      <w:r w:rsidR="00BC15B9" w:rsidRPr="003913EB">
        <w:rPr>
          <w:b/>
          <w:color w:val="000000" w:themeColor="text1"/>
          <w:lang w:val="de-DE"/>
        </w:rPr>
        <w:t>m</w:t>
      </w:r>
      <w:r w:rsidR="00BC15B9" w:rsidRPr="003913EB">
        <w:rPr>
          <w:color w:val="000000" w:themeColor="text1"/>
          <w:lang w:val="de-DE"/>
        </w:rPr>
        <w:t xml:space="preserve">, </w:t>
      </w:r>
      <m:oMath>
        <m:sSup>
          <m:s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color w:val="000000" w:themeColor="text1"/>
                    <w:lang w:val="de-DE"/>
                  </w:rPr>
                </m:ctrlPr>
              </m:acc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de-DE"/>
                  </w:rPr>
                  <m:t>Q</m:t>
                </m:r>
              </m:e>
            </m:acc>
          </m:e>
          <m:sup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sup>
        </m:sSup>
      </m:oMath>
      <w:r w:rsidR="00BC15B9" w:rsidRPr="003913EB">
        <w:rPr>
          <w:color w:val="000000" w:themeColor="text1"/>
          <w:lang w:val="de-DE"/>
        </w:rPr>
        <w:t xml:space="preserve">, </w:t>
      </w:r>
      <m:oMath>
        <m:sSup>
          <m:s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color w:val="000000" w:themeColor="text1"/>
                    <w:lang w:val="de-DE"/>
                  </w:rPr>
                </m:ctrlPr>
              </m:acc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de-DE"/>
                  </w:rPr>
                  <m:t>Q</m:t>
                </m:r>
              </m:e>
            </m:acc>
          </m:e>
          <m:sup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m</m:t>
            </m:r>
          </m:sup>
        </m:sSup>
      </m:oMath>
      <w:r w:rsidR="00BC15B9" w:rsidRPr="003913EB">
        <w:rPr>
          <w:color w:val="000000" w:themeColor="text1"/>
          <w:lang w:val="de-DE"/>
        </w:rPr>
        <w:t xml:space="preserve"> are electric dipole moment</w:t>
      </w:r>
      <w:r w:rsidR="00BC15B9" w:rsidRPr="003913EB">
        <w:rPr>
          <w:rFonts w:hint="eastAsia"/>
          <w:color w:val="000000" w:themeColor="text1"/>
          <w:lang w:val="de-DE"/>
        </w:rPr>
        <w:t>,</w:t>
      </w:r>
      <w:r w:rsidR="00BC15B9" w:rsidRPr="003913EB">
        <w:rPr>
          <w:color w:val="000000" w:themeColor="text1"/>
          <w:lang w:val="de-DE"/>
        </w:rPr>
        <w:t xml:space="preserve"> magnetic dipole moment, electric quadrupole moment and magnetic quadrupole moment in the Cartesian representation respectively, </w:t>
      </w:r>
      <w:r w:rsidR="00BC15B9" w:rsidRPr="003913EB">
        <w:rPr>
          <w:i/>
          <w:color w:val="000000" w:themeColor="text1"/>
          <w:lang w:val="de-DE"/>
        </w:rPr>
        <w:t>J</w:t>
      </w:r>
      <w:r w:rsidR="00BC15B9" w:rsidRPr="003913EB">
        <w:rPr>
          <w:color w:val="000000" w:themeColor="text1"/>
          <w:vertAlign w:val="subscript"/>
          <w:lang w:val="de-DE"/>
        </w:rPr>
        <w:t xml:space="preserve">n </w:t>
      </w:r>
      <w:r w:rsidR="00BC15B9" w:rsidRPr="003913EB">
        <w:rPr>
          <w:color w:val="000000" w:themeColor="text1"/>
          <w:lang w:val="de-DE"/>
        </w:rPr>
        <w:t>denotes n</w:t>
      </w:r>
      <w:r w:rsidR="00BC15B9" w:rsidRPr="003913EB">
        <w:rPr>
          <w:color w:val="000000" w:themeColor="text1"/>
          <w:vertAlign w:val="superscript"/>
          <w:lang w:val="de-DE"/>
        </w:rPr>
        <w:t>th</w:t>
      </w:r>
      <w:r w:rsidR="00BC15B9" w:rsidRPr="003913EB">
        <w:rPr>
          <w:color w:val="000000" w:themeColor="text1"/>
          <w:lang w:val="de-DE"/>
        </w:rPr>
        <w:t xml:space="preserve">-order spherical Bessel function, </w:t>
      </w:r>
      <m:oMath>
        <m:acc>
          <m:acc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acc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U</m:t>
            </m:r>
          </m:e>
        </m:acc>
      </m:oMath>
      <w:r w:rsidR="00BC15B9" w:rsidRPr="003913EB">
        <w:rPr>
          <w:color w:val="000000" w:themeColor="text1"/>
          <w:lang w:val="de-DE"/>
        </w:rPr>
        <w:t xml:space="preserve"> denotes the 3D unit tensor, and </w:t>
      </w:r>
      <w:r w:rsidR="00BC15B9" w:rsidRPr="003913EB">
        <w:rPr>
          <w:i/>
          <w:color w:val="000000" w:themeColor="text1"/>
          <w:lang w:val="de-DE"/>
        </w:rPr>
        <w:t>k</w:t>
      </w:r>
      <w:r w:rsidR="00BC15B9" w:rsidRPr="003913EB">
        <w:rPr>
          <w:color w:val="000000" w:themeColor="text1"/>
          <w:lang w:val="de-DE"/>
        </w:rPr>
        <w:t xml:space="preserve"> is the wave number in the surroundings (air). The polarization current can be calculated by this equation:</w:t>
      </w:r>
    </w:p>
    <w:p w14:paraId="2B325483" w14:textId="77777777" w:rsidR="00BC15B9" w:rsidRPr="003913EB" w:rsidRDefault="00386F49" w:rsidP="00386F49">
      <w:pPr>
        <w:pStyle w:val="equation1"/>
        <w:rPr>
          <w:color w:val="000000" w:themeColor="text1"/>
        </w:rPr>
      </w:pPr>
      <w:r w:rsidRPr="003913EB">
        <w:rPr>
          <w:color w:val="000000" w:themeColor="text1"/>
        </w:rPr>
        <w:tab/>
      </w:r>
      <w:r w:rsidRPr="003913EB">
        <w:rPr>
          <w:color w:val="000000" w:themeColor="text1"/>
          <w:position w:val="-12"/>
        </w:rPr>
        <w:object w:dxaOrig="2060" w:dyaOrig="360" w14:anchorId="3269A2D3">
          <v:shape id="_x0000_i1030" type="#_x0000_t75" style="width:102pt;height:16.8pt" o:ole="">
            <v:imagedata r:id="rId18" o:title=""/>
          </v:shape>
          <o:OLEObject Type="Embed" ProgID="Equation.DSMT4" ShapeID="_x0000_i1030" DrawAspect="Content" ObjectID="_1758533018" r:id="rId19"/>
        </w:object>
      </w:r>
      <w:r w:rsidR="00BC15B9" w:rsidRPr="003913EB">
        <w:rPr>
          <w:color w:val="000000" w:themeColor="text1"/>
        </w:rPr>
        <w:tab/>
        <w:t>(S6)</w:t>
      </w:r>
    </w:p>
    <w:p w14:paraId="44E0FE4E" w14:textId="77777777" w:rsidR="00BC15B9" w:rsidRPr="003913EB" w:rsidRDefault="00BC15B9" w:rsidP="00BC15B9">
      <w:pPr>
        <w:pStyle w:val="SNSynopsisTOC"/>
        <w:rPr>
          <w:bCs/>
          <w:color w:val="000000" w:themeColor="text1"/>
          <w:vertAlign w:val="superscript"/>
        </w:rPr>
      </w:pPr>
      <w:r w:rsidRPr="003913EB">
        <w:rPr>
          <w:bCs/>
          <w:color w:val="000000" w:themeColor="text1"/>
        </w:rPr>
        <w:t xml:space="preserve">where </w:t>
      </w:r>
      <w:r w:rsidRPr="003913EB">
        <w:rPr>
          <w:bCs/>
          <w:i/>
          <w:color w:val="000000" w:themeColor="text1"/>
        </w:rPr>
        <w:t xml:space="preserve">ω </w:t>
      </w:r>
      <w:r w:rsidRPr="003913EB">
        <w:rPr>
          <w:bCs/>
          <w:color w:val="000000" w:themeColor="text1"/>
        </w:rPr>
        <w:t xml:space="preserve">is the angular frequency of the induced light, </w:t>
      </w:r>
      <w:r w:rsidRPr="003913EB">
        <w:rPr>
          <w:b/>
          <w:bCs/>
          <w:color w:val="000000" w:themeColor="text1"/>
        </w:rPr>
        <w:t>E(r)</w:t>
      </w:r>
      <w:r w:rsidRPr="003913EB">
        <w:rPr>
          <w:bCs/>
          <w:color w:val="000000" w:themeColor="text1"/>
        </w:rPr>
        <w:t xml:space="preserve"> is the total electric ﬁeld inside the nanoparticles (a-Si), and </w:t>
      </w:r>
      <w:r w:rsidRPr="003913EB">
        <w:rPr>
          <w:bCs/>
          <w:i/>
          <w:color w:val="000000" w:themeColor="text1"/>
        </w:rPr>
        <w:t>ε</w:t>
      </w:r>
      <w:r w:rsidRPr="003913EB">
        <w:rPr>
          <w:bCs/>
          <w:color w:val="000000" w:themeColor="text1"/>
          <w:vertAlign w:val="subscript"/>
        </w:rPr>
        <w:t>0</w:t>
      </w:r>
      <w:r w:rsidRPr="003913EB">
        <w:rPr>
          <w:bCs/>
          <w:color w:val="000000" w:themeColor="text1"/>
        </w:rPr>
        <w:t xml:space="preserve">, </w:t>
      </w:r>
      <w:r w:rsidRPr="003913EB">
        <w:rPr>
          <w:bCs/>
          <w:i/>
          <w:color w:val="000000" w:themeColor="text1"/>
        </w:rPr>
        <w:t>ε</w:t>
      </w:r>
      <w:r w:rsidRPr="003913EB">
        <w:rPr>
          <w:bCs/>
          <w:color w:val="000000" w:themeColor="text1"/>
        </w:rPr>
        <w:t xml:space="preserve">, </w:t>
      </w:r>
      <w:r w:rsidRPr="003913EB">
        <w:rPr>
          <w:bCs/>
          <w:i/>
          <w:color w:val="000000" w:themeColor="text1"/>
        </w:rPr>
        <w:t>ε</w:t>
      </w:r>
      <w:r w:rsidRPr="003913EB">
        <w:rPr>
          <w:bCs/>
          <w:color w:val="000000" w:themeColor="text1"/>
          <w:vertAlign w:val="subscript"/>
        </w:rPr>
        <w:t>d</w:t>
      </w:r>
      <w:r w:rsidRPr="003913EB">
        <w:rPr>
          <w:bCs/>
          <w:color w:val="000000" w:themeColor="text1"/>
        </w:rPr>
        <w:t xml:space="preserve"> are the vacuum permittivity, relative permittivity of the nanoparticles and the surroundings (air) respectively. The scattering cross section of these multipole moments, </w:t>
      </w:r>
      <w:r w:rsidR="000C5DED" w:rsidRPr="003913EB">
        <w:rPr>
          <w:bCs/>
          <w:color w:val="000000" w:themeColor="text1"/>
        </w:rPr>
        <w:t>i.e.</w:t>
      </w:r>
      <w:r w:rsidRPr="003913EB">
        <w:rPr>
          <w:bCs/>
          <w:color w:val="000000" w:themeColor="text1"/>
        </w:rPr>
        <w:t xml:space="preserve">, the scattering </w:t>
      </w:r>
      <w:r w:rsidRPr="003913EB">
        <w:rPr>
          <w:rFonts w:hint="eastAsia"/>
          <w:bCs/>
          <w:color w:val="000000" w:themeColor="text1"/>
        </w:rPr>
        <w:t>power</w:t>
      </w:r>
      <w:r w:rsidRPr="003913EB">
        <w:rPr>
          <w:bCs/>
          <w:color w:val="000000" w:themeColor="text1"/>
        </w:rPr>
        <w:t>, can be calculated from the following equations</w:t>
      </w:r>
      <w:r w:rsidR="00811329" w:rsidRPr="003913EB">
        <w:rPr>
          <w:bCs/>
          <w:color w:val="000000" w:themeColor="text1"/>
        </w:rPr>
        <w:t xml:space="preserve"> [1]</w:t>
      </w:r>
      <w:r w:rsidRPr="003913EB">
        <w:rPr>
          <w:bCs/>
          <w:color w:val="000000" w:themeColor="text1"/>
        </w:rPr>
        <w:t>:</w:t>
      </w:r>
    </w:p>
    <w:p w14:paraId="0688D294" w14:textId="77777777" w:rsidR="00BC15B9" w:rsidRPr="003913EB" w:rsidRDefault="00386F49" w:rsidP="00386F49">
      <w:pPr>
        <w:pStyle w:val="equation1"/>
        <w:rPr>
          <w:color w:val="000000" w:themeColor="text1"/>
        </w:rPr>
      </w:pPr>
      <w:r w:rsidRPr="003913EB">
        <w:rPr>
          <w:color w:val="000000" w:themeColor="text1"/>
        </w:rPr>
        <w:lastRenderedPageBreak/>
        <w:tab/>
      </w:r>
      <w:r w:rsidRPr="003913EB">
        <w:rPr>
          <w:color w:val="000000" w:themeColor="text1"/>
          <w:position w:val="-36"/>
        </w:rPr>
        <w:object w:dxaOrig="2500" w:dyaOrig="780" w14:anchorId="199849CD">
          <v:shape id="_x0000_i1031" type="#_x0000_t75" style="width:124.8pt;height:37.8pt" o:ole="">
            <v:imagedata r:id="rId20" o:title=""/>
          </v:shape>
          <o:OLEObject Type="Embed" ProgID="Equation.DSMT4" ShapeID="_x0000_i1031" DrawAspect="Content" ObjectID="_1758533019" r:id="rId21"/>
        </w:object>
      </w:r>
      <w:r w:rsidR="00BC15B9" w:rsidRPr="003913EB">
        <w:rPr>
          <w:color w:val="000000" w:themeColor="text1"/>
        </w:rPr>
        <w:tab/>
        <w:t>(S7)</w:t>
      </w:r>
    </w:p>
    <w:p w14:paraId="4A031BE1" w14:textId="77777777" w:rsidR="00BC15B9" w:rsidRPr="003913EB" w:rsidRDefault="00386F49" w:rsidP="00386F49">
      <w:pPr>
        <w:pStyle w:val="equation1"/>
        <w:rPr>
          <w:color w:val="000000" w:themeColor="text1"/>
        </w:rPr>
      </w:pPr>
      <w:r w:rsidRPr="003913EB">
        <w:rPr>
          <w:color w:val="000000" w:themeColor="text1"/>
        </w:rPr>
        <w:tab/>
      </w:r>
      <w:r w:rsidRPr="003913EB">
        <w:rPr>
          <w:color w:val="000000" w:themeColor="text1"/>
          <w:position w:val="-36"/>
        </w:rPr>
        <w:object w:dxaOrig="2560" w:dyaOrig="840" w14:anchorId="02540C73">
          <v:shape id="_x0000_i1032" type="#_x0000_t75" style="width:129pt;height:39.6pt" o:ole="">
            <v:imagedata r:id="rId22" o:title=""/>
          </v:shape>
          <o:OLEObject Type="Embed" ProgID="Equation.DSMT4" ShapeID="_x0000_i1032" DrawAspect="Content" ObjectID="_1758533020" r:id="rId23"/>
        </w:object>
      </w:r>
      <w:r w:rsidR="00BC15B9" w:rsidRPr="003913EB">
        <w:rPr>
          <w:color w:val="000000" w:themeColor="text1"/>
        </w:rPr>
        <w:tab/>
        <w:t>(S8)</w:t>
      </w:r>
    </w:p>
    <w:p w14:paraId="745175B4" w14:textId="77777777" w:rsidR="00BC15B9" w:rsidRPr="003913EB" w:rsidRDefault="00386F49" w:rsidP="00386F49">
      <w:pPr>
        <w:pStyle w:val="equation1"/>
        <w:rPr>
          <w:color w:val="000000" w:themeColor="text1"/>
        </w:rPr>
      </w:pPr>
      <w:r w:rsidRPr="003913EB">
        <w:rPr>
          <w:color w:val="000000" w:themeColor="text1"/>
        </w:rPr>
        <w:tab/>
      </w:r>
      <w:r w:rsidRPr="003913EB">
        <w:rPr>
          <w:color w:val="000000" w:themeColor="text1"/>
          <w:position w:val="-36"/>
        </w:rPr>
        <w:object w:dxaOrig="2940" w:dyaOrig="780" w14:anchorId="6D6E5C7C">
          <v:shape id="_x0000_i1033" type="#_x0000_t75" style="width:149.4pt;height:37.8pt" o:ole="">
            <v:imagedata r:id="rId24" o:title=""/>
          </v:shape>
          <o:OLEObject Type="Embed" ProgID="Equation.DSMT4" ShapeID="_x0000_i1033" DrawAspect="Content" ObjectID="_1758533021" r:id="rId25"/>
        </w:object>
      </w:r>
      <w:r w:rsidR="00BC15B9" w:rsidRPr="003913EB">
        <w:rPr>
          <w:color w:val="000000" w:themeColor="text1"/>
        </w:rPr>
        <w:tab/>
        <w:t>(S9)</w:t>
      </w:r>
    </w:p>
    <w:p w14:paraId="741D7AF7" w14:textId="77777777" w:rsidR="00BC15B9" w:rsidRPr="003913EB" w:rsidRDefault="00386F49" w:rsidP="00386F49">
      <w:pPr>
        <w:pStyle w:val="equation1"/>
        <w:rPr>
          <w:color w:val="000000" w:themeColor="text1"/>
        </w:rPr>
      </w:pPr>
      <w:r w:rsidRPr="003913EB">
        <w:rPr>
          <w:color w:val="000000" w:themeColor="text1"/>
        </w:rPr>
        <w:tab/>
      </w:r>
      <w:r w:rsidRPr="003913EB">
        <w:rPr>
          <w:color w:val="000000" w:themeColor="text1"/>
          <w:position w:val="-36"/>
        </w:rPr>
        <w:object w:dxaOrig="3000" w:dyaOrig="859" w14:anchorId="3DDEF08B">
          <v:shape id="_x0000_i1034" type="#_x0000_t75" style="width:152.4pt;height:42pt" o:ole="">
            <v:imagedata r:id="rId26" o:title=""/>
          </v:shape>
          <o:OLEObject Type="Embed" ProgID="Equation.DSMT4" ShapeID="_x0000_i1034" DrawAspect="Content" ObjectID="_1758533022" r:id="rId27"/>
        </w:object>
      </w:r>
      <w:r w:rsidR="00BC15B9" w:rsidRPr="003913EB">
        <w:rPr>
          <w:color w:val="000000" w:themeColor="text1"/>
        </w:rPr>
        <w:tab/>
        <w:t>(S10)</w:t>
      </w:r>
    </w:p>
    <w:p w14:paraId="2A034A3F" w14:textId="77777777" w:rsidR="00BC15B9" w:rsidRPr="003913EB" w:rsidRDefault="00BC15B9" w:rsidP="00BC15B9">
      <w:pPr>
        <w:pStyle w:val="SNSynopsisTOC"/>
        <w:jc w:val="left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 xml:space="preserve">where </w:t>
      </w:r>
      <w:r w:rsidRPr="003913EB">
        <w:rPr>
          <w:i/>
          <w:color w:val="000000" w:themeColor="text1"/>
          <w:lang w:val="de-DE"/>
        </w:rPr>
        <w:t>p</w:t>
      </w:r>
      <w:r w:rsidRPr="003913EB">
        <w:rPr>
          <w:i/>
          <w:color w:val="000000" w:themeColor="text1"/>
          <w:vertAlign w:val="subscript"/>
          <w:lang w:val="de-DE"/>
        </w:rPr>
        <w:t>α</w:t>
      </w:r>
      <w:r w:rsidRPr="003913EB">
        <w:rPr>
          <w:color w:val="000000" w:themeColor="text1"/>
          <w:lang w:val="de-DE"/>
        </w:rPr>
        <w:t xml:space="preserve">, </w:t>
      </w:r>
      <w:r w:rsidRPr="003913EB">
        <w:rPr>
          <w:i/>
          <w:color w:val="000000" w:themeColor="text1"/>
          <w:lang w:val="de-DE"/>
        </w:rPr>
        <w:t>m</w:t>
      </w:r>
      <w:r w:rsidRPr="003913EB">
        <w:rPr>
          <w:i/>
          <w:color w:val="000000" w:themeColor="text1"/>
          <w:vertAlign w:val="subscript"/>
          <w:lang w:val="de-DE"/>
        </w:rPr>
        <w:t>α</w:t>
      </w:r>
      <w:r w:rsidRPr="003913EB">
        <w:rPr>
          <w:color w:val="000000" w:themeColor="text1"/>
          <w:lang w:val="de-DE"/>
        </w:rPr>
        <w:t xml:space="preserve">,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Q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αβ</m:t>
            </m:r>
          </m:sub>
          <m:sup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sup>
        </m:sSubSup>
      </m:oMath>
      <w:r w:rsidRPr="003913EB">
        <w:rPr>
          <w:color w:val="000000" w:themeColor="text1"/>
          <w:lang w:val="de-DE"/>
        </w:rPr>
        <w:t xml:space="preserve">,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lang w:val="de-DE"/>
          </w:rPr>
          <m:t xml:space="preserve"> </m:t>
        </m:r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Q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αβ</m:t>
            </m:r>
          </m:sub>
          <m:sup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m</m:t>
            </m:r>
          </m:sup>
        </m:sSubSup>
      </m:oMath>
      <w:r w:rsidRPr="003913EB">
        <w:rPr>
          <w:color w:val="000000" w:themeColor="text1"/>
          <w:lang w:val="de-DE"/>
        </w:rPr>
        <w:t xml:space="preserve"> are the electric </w:t>
      </w:r>
      <w:r w:rsidRPr="003913EB">
        <w:rPr>
          <w:rFonts w:hint="eastAsia"/>
          <w:color w:val="000000" w:themeColor="text1"/>
          <w:lang w:val="de-DE"/>
        </w:rPr>
        <w:t>and</w:t>
      </w:r>
      <w:r w:rsidRPr="003913EB">
        <w:rPr>
          <w:color w:val="000000" w:themeColor="text1"/>
          <w:lang w:val="de-DE"/>
        </w:rPr>
        <w:t xml:space="preserve"> magnetic dipole moment, as well as the electric </w:t>
      </w:r>
      <w:r w:rsidRPr="003913EB">
        <w:rPr>
          <w:rFonts w:hint="eastAsia"/>
          <w:color w:val="000000" w:themeColor="text1"/>
          <w:lang w:val="de-DE"/>
        </w:rPr>
        <w:t>and</w:t>
      </w:r>
      <w:r w:rsidRPr="003913EB">
        <w:rPr>
          <w:color w:val="000000" w:themeColor="text1"/>
          <w:lang w:val="de-DE"/>
        </w:rPr>
        <w:t xml:space="preserve"> magnetic quadrupole moment respectively, |</w:t>
      </w:r>
      <w:r w:rsidRPr="003913EB">
        <w:rPr>
          <w:b/>
          <w:color w:val="000000" w:themeColor="text1"/>
          <w:lang w:val="de-DE"/>
        </w:rPr>
        <w:t>E</w:t>
      </w:r>
      <w:r w:rsidRPr="003913EB">
        <w:rPr>
          <w:color w:val="000000" w:themeColor="text1"/>
          <w:vertAlign w:val="subscript"/>
          <w:lang w:val="de-DE"/>
        </w:rPr>
        <w:t>inc</w:t>
      </w:r>
      <w:r w:rsidRPr="003913EB">
        <w:rPr>
          <w:color w:val="000000" w:themeColor="text1"/>
          <w:lang w:val="de-DE"/>
        </w:rPr>
        <w:t xml:space="preserve">| is the electric field amplitude </w:t>
      </w:r>
      <w:r w:rsidRPr="003913EB">
        <w:rPr>
          <w:rFonts w:hint="eastAsia"/>
          <w:color w:val="000000" w:themeColor="text1"/>
          <w:lang w:val="de-DE"/>
        </w:rPr>
        <w:t>of</w:t>
      </w:r>
      <w:r w:rsidRPr="003913EB">
        <w:rPr>
          <w:color w:val="000000" w:themeColor="text1"/>
          <w:lang w:val="de-DE"/>
        </w:rPr>
        <w:t xml:space="preserve"> </w:t>
      </w:r>
      <w:r w:rsidRPr="003913EB">
        <w:rPr>
          <w:rFonts w:hint="eastAsia"/>
          <w:color w:val="000000" w:themeColor="text1"/>
          <w:lang w:val="de-DE"/>
        </w:rPr>
        <w:t>the</w:t>
      </w:r>
      <w:r w:rsidRPr="003913EB">
        <w:rPr>
          <w:color w:val="000000" w:themeColor="text1"/>
          <w:lang w:val="de-DE"/>
        </w:rPr>
        <w:t xml:space="preserve"> incident plane wave, </w:t>
      </w:r>
      <w:r w:rsidRPr="003913EB">
        <w:rPr>
          <w:i/>
          <w:color w:val="000000" w:themeColor="text1"/>
          <w:lang w:val="de-DE"/>
        </w:rPr>
        <w:t>k</w:t>
      </w:r>
      <w:r w:rsidRPr="003913EB">
        <w:rPr>
          <w:color w:val="000000" w:themeColor="text1"/>
          <w:lang w:val="de-DE"/>
        </w:rPr>
        <w:t xml:space="preserve"> is the </w:t>
      </w:r>
      <w:r w:rsidRPr="003913EB">
        <w:rPr>
          <w:rFonts w:hint="eastAsia"/>
          <w:color w:val="000000" w:themeColor="text1"/>
          <w:lang w:val="de-DE"/>
        </w:rPr>
        <w:t>wave</w:t>
      </w:r>
      <w:r w:rsidRPr="003913EB">
        <w:rPr>
          <w:color w:val="000000" w:themeColor="text1"/>
          <w:lang w:val="de-DE"/>
        </w:rPr>
        <w:t xml:space="preserve">number in the surroundings, and </w:t>
      </w:r>
      <w:r w:rsidRPr="003913EB">
        <w:rPr>
          <w:i/>
          <w:color w:val="000000" w:themeColor="text1"/>
          <w:lang w:val="de-DE"/>
        </w:rPr>
        <w:t>c</w:t>
      </w:r>
      <w:r w:rsidRPr="003913EB">
        <w:rPr>
          <w:color w:val="000000" w:themeColor="text1"/>
          <w:lang w:val="de-DE"/>
        </w:rPr>
        <w:t xml:space="preserve"> is the speed of light in vacuum</w:t>
      </w:r>
      <w:r w:rsidRPr="003913EB">
        <w:rPr>
          <w:rFonts w:hint="eastAsia"/>
          <w:color w:val="000000" w:themeColor="text1"/>
          <w:lang w:val="de-DE"/>
        </w:rPr>
        <w:t>.</w:t>
      </w:r>
      <w:r w:rsidRPr="003913EB">
        <w:rPr>
          <w:color w:val="000000" w:themeColor="text1"/>
          <w:lang w:val="de-DE"/>
        </w:rPr>
        <w:t xml:space="preserve"> </w:t>
      </w:r>
    </w:p>
    <w:p w14:paraId="5E4FD174" w14:textId="4BE016C6" w:rsidR="0018680A" w:rsidRPr="003913EB" w:rsidRDefault="00BC15B9" w:rsidP="005128F4">
      <w:pPr>
        <w:pStyle w:val="TAMainText"/>
        <w:jc w:val="center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The specific calculation process is as follows</w:t>
      </w:r>
      <w:r w:rsidRPr="003913EB">
        <w:rPr>
          <w:rFonts w:hint="eastAsia"/>
          <w:color w:val="000000" w:themeColor="text1"/>
          <w:lang w:val="de-DE"/>
        </w:rPr>
        <w:t>.</w:t>
      </w:r>
      <w:r w:rsidRPr="003913EB">
        <w:rPr>
          <w:color w:val="000000" w:themeColor="text1"/>
          <w:lang w:val="de-DE"/>
        </w:rPr>
        <w:t xml:space="preserve"> First, we use finite difference time domain (FDTD) method to obtain the electric field distribution </w:t>
      </w:r>
      <w:r w:rsidRPr="003913EB">
        <w:rPr>
          <w:b/>
          <w:color w:val="000000" w:themeColor="text1"/>
          <w:lang w:val="de-DE"/>
        </w:rPr>
        <w:t>E(r)</w:t>
      </w:r>
      <w:r w:rsidRPr="003913EB">
        <w:rPr>
          <w:color w:val="000000" w:themeColor="text1"/>
          <w:lang w:val="de-DE"/>
        </w:rPr>
        <w:t xml:space="preserve"> and the refractive index distribution </w:t>
      </w:r>
      <w:r w:rsidRPr="003913EB">
        <w:rPr>
          <w:i/>
          <w:color w:val="000000" w:themeColor="text1"/>
          <w:lang w:val="de-DE"/>
        </w:rPr>
        <w:t>ε</w:t>
      </w:r>
      <w:r w:rsidRPr="003913EB">
        <w:rPr>
          <w:rFonts w:hint="eastAsia"/>
          <w:color w:val="000000" w:themeColor="text1"/>
          <w:lang w:val="de-DE"/>
        </w:rPr>
        <w:t>(</w:t>
      </w:r>
      <w:r w:rsidRPr="003913EB">
        <w:rPr>
          <w:rFonts w:hint="eastAsia"/>
          <w:b/>
          <w:color w:val="000000" w:themeColor="text1"/>
          <w:lang w:val="de-DE"/>
        </w:rPr>
        <w:t>r</w:t>
      </w:r>
      <w:r w:rsidRPr="003913EB">
        <w:rPr>
          <w:rFonts w:hint="eastAsia"/>
          <w:color w:val="000000" w:themeColor="text1"/>
          <w:lang w:val="de-DE"/>
        </w:rPr>
        <w:t>)</w:t>
      </w:r>
      <w:r w:rsidRPr="003913EB">
        <w:rPr>
          <w:i/>
          <w:color w:val="000000" w:themeColor="text1"/>
          <w:lang w:val="de-DE"/>
        </w:rPr>
        <w:t xml:space="preserve"> </w:t>
      </w:r>
      <w:r w:rsidRPr="003913EB">
        <w:rPr>
          <w:color w:val="000000" w:themeColor="text1"/>
          <w:lang w:val="de-DE"/>
        </w:rPr>
        <w:t xml:space="preserve">within a unit cell. In full wave simulations, periodic boundary conditions were implemented in the X and Y directions, while the Z direction was subject to perfectly matched layers (PMLs) to simulate the incidence of a plane wave from the substrate. After obtaining </w:t>
      </w:r>
      <w:r w:rsidRPr="003913EB">
        <w:rPr>
          <w:b/>
          <w:color w:val="000000" w:themeColor="text1"/>
          <w:lang w:val="de-DE"/>
        </w:rPr>
        <w:t xml:space="preserve">E(r) </w:t>
      </w:r>
      <w:r w:rsidRPr="003913EB">
        <w:rPr>
          <w:color w:val="000000" w:themeColor="text1"/>
          <w:lang w:val="de-DE"/>
        </w:rPr>
        <w:t>and</w:t>
      </w:r>
      <w:r w:rsidRPr="003913EB">
        <w:rPr>
          <w:b/>
          <w:color w:val="000000" w:themeColor="text1"/>
          <w:lang w:val="de-DE"/>
        </w:rPr>
        <w:t xml:space="preserve"> </w:t>
      </w:r>
      <w:r w:rsidRPr="003913EB">
        <w:rPr>
          <w:i/>
          <w:color w:val="000000" w:themeColor="text1"/>
          <w:lang w:val="de-DE"/>
        </w:rPr>
        <w:t>ε</w:t>
      </w:r>
      <w:r w:rsidRPr="003913EB">
        <w:rPr>
          <w:rFonts w:hint="eastAsia"/>
          <w:color w:val="000000" w:themeColor="text1"/>
          <w:lang w:val="de-DE"/>
        </w:rPr>
        <w:t>(</w:t>
      </w:r>
      <w:r w:rsidRPr="003913EB">
        <w:rPr>
          <w:rFonts w:hint="eastAsia"/>
          <w:b/>
          <w:color w:val="000000" w:themeColor="text1"/>
          <w:lang w:val="de-DE"/>
        </w:rPr>
        <w:t>r</w:t>
      </w:r>
      <w:r w:rsidRPr="003913EB">
        <w:rPr>
          <w:rFonts w:hint="eastAsia"/>
          <w:color w:val="000000" w:themeColor="text1"/>
          <w:lang w:val="de-DE"/>
        </w:rPr>
        <w:t>)</w:t>
      </w:r>
      <w:r w:rsidRPr="003913EB">
        <w:rPr>
          <w:color w:val="000000" w:themeColor="text1"/>
          <w:lang w:val="de-DE"/>
        </w:rPr>
        <w:t xml:space="preserve"> the polarization current distribution </w:t>
      </w:r>
      <w:r w:rsidRPr="003913EB">
        <w:rPr>
          <w:b/>
          <w:color w:val="000000" w:themeColor="text1"/>
          <w:lang w:val="de-DE"/>
        </w:rPr>
        <w:t>j</w:t>
      </w:r>
      <w:r w:rsidRPr="003913EB">
        <w:rPr>
          <w:color w:val="000000" w:themeColor="text1"/>
          <w:lang w:val="de-DE"/>
        </w:rPr>
        <w:t xml:space="preserve"> can be calculated from Equation S6. With </w:t>
      </w:r>
      <w:r w:rsidRPr="003913EB">
        <w:rPr>
          <w:b/>
          <w:color w:val="000000" w:themeColor="text1"/>
          <w:lang w:val="de-DE"/>
        </w:rPr>
        <w:t xml:space="preserve">j </w:t>
      </w:r>
      <w:r w:rsidRPr="003913EB">
        <w:rPr>
          <w:color w:val="000000" w:themeColor="text1"/>
          <w:lang w:val="de-DE"/>
        </w:rPr>
        <w:t>the components of the multipole moment can be calculated numerically from Equation S2</w:t>
      </w:r>
      <w:r w:rsidRPr="003913EB">
        <w:rPr>
          <w:color w:val="000000" w:themeColor="text1"/>
        </w:rPr>
        <w:t>–</w:t>
      </w:r>
      <w:r w:rsidRPr="003913EB">
        <w:rPr>
          <w:color w:val="000000" w:themeColor="text1"/>
          <w:lang w:val="de-DE"/>
        </w:rPr>
        <w:t xml:space="preserve">S5. Once the components of the multipole moment are obtained, the scattering cross section of each multipole, </w:t>
      </w:r>
      <w:r w:rsidR="000C5DED" w:rsidRPr="003913EB">
        <w:rPr>
          <w:color w:val="000000" w:themeColor="text1"/>
          <w:lang w:val="de-DE"/>
        </w:rPr>
        <w:t>i.e.</w:t>
      </w:r>
      <w:r w:rsidRPr="003913EB">
        <w:rPr>
          <w:color w:val="000000" w:themeColor="text1"/>
          <w:lang w:val="de-DE"/>
        </w:rPr>
        <w:t xml:space="preserve"> the scatter</w:t>
      </w:r>
      <w:r w:rsidR="0018680A" w:rsidRPr="003913EB">
        <w:rPr>
          <w:color w:val="000000" w:themeColor="text1"/>
          <w:lang w:val="de-DE"/>
        </w:rPr>
        <w:t>ing</w:t>
      </w:r>
      <w:r w:rsidRPr="003913EB">
        <w:rPr>
          <w:color w:val="000000" w:themeColor="text1"/>
          <w:lang w:val="de-DE"/>
        </w:rPr>
        <w:t xml:space="preserve"> power, can be calculated from Equation S7</w:t>
      </w:r>
      <w:r w:rsidRPr="003913EB">
        <w:rPr>
          <w:color w:val="000000" w:themeColor="text1"/>
        </w:rPr>
        <w:t>–</w:t>
      </w:r>
      <w:r w:rsidRPr="003913EB">
        <w:rPr>
          <w:color w:val="000000" w:themeColor="text1"/>
          <w:lang w:val="de-DE"/>
        </w:rPr>
        <w:t>S10.</w:t>
      </w:r>
      <w:r w:rsidR="0018680A" w:rsidRPr="003913EB">
        <w:rPr>
          <w:color w:val="000000" w:themeColor="text1"/>
          <w:lang w:val="de-DE"/>
        </w:rPr>
        <w:t xml:space="preserve"> The calculated scattering power for HER structure is shown in Figure S2.</w:t>
      </w:r>
      <w:r w:rsidR="00500006" w:rsidRPr="003913EB">
        <w:rPr>
          <w:color w:val="000000" w:themeColor="text1"/>
        </w:rPr>
        <w:t xml:space="preserve"> </w:t>
      </w:r>
      <w:r w:rsidR="00500006" w:rsidRPr="003913EB">
        <w:rPr>
          <w:color w:val="000000" w:themeColor="text1"/>
          <w:lang w:val="de-DE"/>
        </w:rPr>
        <w:t xml:space="preserve">To </w:t>
      </w:r>
      <w:r w:rsidR="00792FA6" w:rsidRPr="003913EB">
        <w:rPr>
          <w:color w:val="000000" w:themeColor="text1"/>
          <w:lang w:val="de-DE"/>
        </w:rPr>
        <w:t xml:space="preserve">confirm the negligible contributions from higher order multipoles, </w:t>
      </w:r>
      <w:r w:rsidR="00500006" w:rsidRPr="003913EB">
        <w:rPr>
          <w:color w:val="000000" w:themeColor="text1"/>
          <w:lang w:val="de-DE"/>
        </w:rPr>
        <w:t>the intensity of the oct</w:t>
      </w:r>
      <w:r w:rsidR="00196AD0" w:rsidRPr="003913EB">
        <w:rPr>
          <w:color w:val="000000" w:themeColor="text1"/>
          <w:lang w:val="de-DE"/>
        </w:rPr>
        <w:t>u</w:t>
      </w:r>
      <w:r w:rsidR="00500006" w:rsidRPr="003913EB">
        <w:rPr>
          <w:color w:val="000000" w:themeColor="text1"/>
          <w:lang w:val="de-DE"/>
        </w:rPr>
        <w:t>pol</w:t>
      </w:r>
      <w:r w:rsidR="00196AD0" w:rsidRPr="003913EB">
        <w:rPr>
          <w:color w:val="000000" w:themeColor="text1"/>
          <w:lang w:val="de-DE"/>
        </w:rPr>
        <w:t>e</w:t>
      </w:r>
      <w:r w:rsidR="00500006" w:rsidRPr="003913EB">
        <w:rPr>
          <w:color w:val="000000" w:themeColor="text1"/>
          <w:lang w:val="de-DE"/>
        </w:rPr>
        <w:t xml:space="preserve"> </w:t>
      </w:r>
      <w:r w:rsidR="00792FA6" w:rsidRPr="003913EB">
        <w:rPr>
          <w:color w:val="000000" w:themeColor="text1"/>
          <w:lang w:val="de-DE"/>
        </w:rPr>
        <w:t>is also given in Figure S2</w:t>
      </w:r>
      <w:r w:rsidR="00500006" w:rsidRPr="003913EB">
        <w:rPr>
          <w:color w:val="000000" w:themeColor="text1"/>
          <w:lang w:val="de-DE"/>
        </w:rPr>
        <w:t xml:space="preserve">. </w:t>
      </w:r>
      <w:r w:rsidR="00671B59" w:rsidRPr="003913EB">
        <w:rPr>
          <w:color w:val="000000" w:themeColor="text1"/>
          <w:lang w:val="de-DE"/>
        </w:rPr>
        <w:t xml:space="preserve">It is seen that </w:t>
      </w:r>
      <w:r w:rsidR="00500006" w:rsidRPr="003913EB">
        <w:rPr>
          <w:color w:val="000000" w:themeColor="text1"/>
          <w:lang w:val="de-DE"/>
        </w:rPr>
        <w:t xml:space="preserve">the </w:t>
      </w:r>
      <w:r w:rsidR="00500006" w:rsidRPr="003913EB">
        <w:rPr>
          <w:color w:val="000000" w:themeColor="text1"/>
          <w:lang w:val="de-DE"/>
        </w:rPr>
        <w:lastRenderedPageBreak/>
        <w:t xml:space="preserve">scattering intensity </w:t>
      </w:r>
      <w:r w:rsidR="00196AD0" w:rsidRPr="003913EB">
        <w:rPr>
          <w:color w:val="000000" w:themeColor="text1"/>
          <w:lang w:val="de-DE"/>
        </w:rPr>
        <w:t xml:space="preserve">of the octupole </w:t>
      </w:r>
      <w:r w:rsidR="00500006" w:rsidRPr="003913EB">
        <w:rPr>
          <w:color w:val="000000" w:themeColor="text1"/>
          <w:lang w:val="de-DE"/>
        </w:rPr>
        <w:t xml:space="preserve">is nearly two orders of magnitude lower than </w:t>
      </w:r>
      <w:r w:rsidR="00671B59" w:rsidRPr="003913EB">
        <w:rPr>
          <w:color w:val="000000" w:themeColor="text1"/>
          <w:lang w:val="de-DE"/>
        </w:rPr>
        <w:t xml:space="preserve">that of </w:t>
      </w:r>
      <w:r w:rsidR="00500006" w:rsidRPr="003913EB">
        <w:rPr>
          <w:color w:val="000000" w:themeColor="text1"/>
          <w:lang w:val="de-DE"/>
        </w:rPr>
        <w:t>the first four multipoles</w:t>
      </w:r>
      <w:r w:rsidR="00671B59" w:rsidRPr="003913EB">
        <w:rPr>
          <w:color w:val="000000" w:themeColor="text1"/>
          <w:lang w:val="de-DE"/>
        </w:rPr>
        <w:t xml:space="preserve"> within the operational band</w:t>
      </w:r>
      <w:r w:rsidR="00500006" w:rsidRPr="003913EB">
        <w:rPr>
          <w:color w:val="000000" w:themeColor="text1"/>
          <w:lang w:val="de-DE"/>
        </w:rPr>
        <w:t>. This suggests that the oct</w:t>
      </w:r>
      <w:r w:rsidR="00196AD0" w:rsidRPr="003913EB">
        <w:rPr>
          <w:color w:val="000000" w:themeColor="text1"/>
          <w:lang w:val="de-DE"/>
        </w:rPr>
        <w:t>u</w:t>
      </w:r>
      <w:r w:rsidR="00500006" w:rsidRPr="003913EB">
        <w:rPr>
          <w:color w:val="000000" w:themeColor="text1"/>
          <w:lang w:val="de-DE"/>
        </w:rPr>
        <w:t>pol</w:t>
      </w:r>
      <w:r w:rsidR="00196AD0" w:rsidRPr="003913EB">
        <w:rPr>
          <w:color w:val="000000" w:themeColor="text1"/>
          <w:lang w:val="de-DE"/>
        </w:rPr>
        <w:t>e</w:t>
      </w:r>
      <w:r w:rsidR="00500006" w:rsidRPr="003913EB">
        <w:rPr>
          <w:color w:val="000000" w:themeColor="text1"/>
          <w:lang w:val="de-DE"/>
        </w:rPr>
        <w:t xml:space="preserve"> and </w:t>
      </w:r>
      <w:r w:rsidR="00671B59" w:rsidRPr="003913EB">
        <w:rPr>
          <w:color w:val="000000" w:themeColor="text1"/>
          <w:lang w:val="de-DE"/>
        </w:rPr>
        <w:t>even</w:t>
      </w:r>
      <w:r w:rsidR="00500006" w:rsidRPr="003913EB">
        <w:rPr>
          <w:color w:val="000000" w:themeColor="text1"/>
          <w:lang w:val="de-DE"/>
        </w:rPr>
        <w:t xml:space="preserve"> higher-order modes can be effectively </w:t>
      </w:r>
      <w:r w:rsidR="00671B59" w:rsidRPr="003913EB">
        <w:rPr>
          <w:color w:val="000000" w:themeColor="text1"/>
          <w:lang w:val="de-DE"/>
        </w:rPr>
        <w:t>neglect</w:t>
      </w:r>
      <w:r w:rsidR="00500006" w:rsidRPr="003913EB">
        <w:rPr>
          <w:color w:val="000000" w:themeColor="text1"/>
          <w:lang w:val="de-DE"/>
        </w:rPr>
        <w:t xml:space="preserve">ed during </w:t>
      </w:r>
      <w:r w:rsidR="00671B59" w:rsidRPr="003913EB">
        <w:rPr>
          <w:color w:val="000000" w:themeColor="text1"/>
          <w:lang w:val="de-DE"/>
        </w:rPr>
        <w:t xml:space="preserve">the analysis based on </w:t>
      </w:r>
      <w:r w:rsidR="00500006" w:rsidRPr="003913EB">
        <w:rPr>
          <w:color w:val="000000" w:themeColor="text1"/>
          <w:lang w:val="de-DE"/>
        </w:rPr>
        <w:t>multipole decomposition.</w:t>
      </w:r>
      <w:r w:rsidR="005128F4" w:rsidRPr="005128F4">
        <w:rPr>
          <w:noProof/>
        </w:rPr>
        <w:t xml:space="preserve"> </w:t>
      </w:r>
      <w:r w:rsidR="005128F4">
        <w:rPr>
          <w:noProof/>
        </w:rPr>
        <w:drawing>
          <wp:inline distT="0" distB="0" distL="0" distR="0" wp14:anchorId="6D191EF7" wp14:editId="2E437ADE">
            <wp:extent cx="4892040" cy="1990790"/>
            <wp:effectExtent l="0" t="0" r="3810" b="9525"/>
            <wp:docPr id="1243736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3630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0076" cy="200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B275" w14:textId="7EE448AB" w:rsidR="0018680A" w:rsidRPr="003913EB" w:rsidRDefault="0018680A" w:rsidP="00B86D00">
      <w:pPr>
        <w:pStyle w:val="TAMainText"/>
        <w:ind w:firstLine="0"/>
        <w:rPr>
          <w:color w:val="000000" w:themeColor="text1"/>
          <w:lang w:val="de-DE"/>
        </w:rPr>
      </w:pPr>
      <w:r w:rsidRPr="003913EB">
        <w:rPr>
          <w:b/>
          <w:color w:val="000000" w:themeColor="text1"/>
          <w:lang w:val="de-DE"/>
        </w:rPr>
        <w:t>Figure S2:</w:t>
      </w:r>
      <w:r w:rsidRPr="003913EB">
        <w:rPr>
          <w:color w:val="000000" w:themeColor="text1"/>
          <w:lang w:val="de-DE"/>
        </w:rPr>
        <w:t xml:space="preserve"> Scattering power of individual multipole components in HER structure up to octupol</w:t>
      </w:r>
      <w:r w:rsidR="00196AD0" w:rsidRPr="003913EB">
        <w:rPr>
          <w:color w:val="000000" w:themeColor="text1"/>
          <w:lang w:val="de-DE"/>
        </w:rPr>
        <w:t>e</w:t>
      </w:r>
      <w:r w:rsidRPr="003913EB">
        <w:rPr>
          <w:color w:val="000000" w:themeColor="text1"/>
          <w:lang w:val="de-DE"/>
        </w:rPr>
        <w:t xml:space="preserve"> excited by (A) LCP and (B) RCP incidence.</w:t>
      </w:r>
    </w:p>
    <w:p w14:paraId="14AD927D" w14:textId="77777777" w:rsidR="006B6168" w:rsidRPr="003913EB" w:rsidRDefault="006B6168" w:rsidP="006B6168">
      <w:pPr>
        <w:pStyle w:val="TAMainText"/>
        <w:ind w:firstLine="0"/>
        <w:rPr>
          <w:color w:val="000000" w:themeColor="text1"/>
          <w:lang w:val="de-DE"/>
        </w:rPr>
      </w:pPr>
    </w:p>
    <w:p w14:paraId="3550193B" w14:textId="77777777" w:rsidR="00BC15B9" w:rsidRPr="003913EB" w:rsidRDefault="00BC15B9" w:rsidP="00BC15B9">
      <w:pPr>
        <w:pStyle w:val="SNSynopsisTOC"/>
        <w:jc w:val="left"/>
        <w:rPr>
          <w:b/>
          <w:bCs/>
          <w:color w:val="000000" w:themeColor="text1"/>
          <w:lang w:val="de-DE"/>
        </w:rPr>
      </w:pPr>
      <w:bookmarkStart w:id="1" w:name="_Hlk145084056"/>
      <w:r w:rsidRPr="003913EB">
        <w:rPr>
          <w:b/>
          <w:bCs/>
          <w:color w:val="000000" w:themeColor="text1"/>
          <w:lang w:val="de-DE"/>
        </w:rPr>
        <w:t>3. Vectorial field interference of multipoles in the reflection of HER structure under RCP incidence</w:t>
      </w:r>
    </w:p>
    <w:p w14:paraId="7E2A00D4" w14:textId="4A18BB22" w:rsidR="006B6168" w:rsidRPr="003913EB" w:rsidRDefault="006B6168" w:rsidP="00B3516C">
      <w:pPr>
        <w:pStyle w:val="TAMainText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Figure S3A</w:t>
      </w:r>
      <w:r w:rsidRPr="003913EB">
        <w:rPr>
          <w:color w:val="000000" w:themeColor="text1"/>
        </w:rPr>
        <w:t>–</w:t>
      </w:r>
      <w:r w:rsidRPr="003913EB">
        <w:rPr>
          <w:color w:val="000000" w:themeColor="text1"/>
          <w:lang w:val="de-DE"/>
        </w:rPr>
        <w:t xml:space="preserve">D gives the plots of amplitude and phase of individual components,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i/>
          <w:color w:val="000000" w:themeColor="text1"/>
          <w:vertAlign w:val="subscript"/>
          <w:lang w:val="de-DE"/>
        </w:rPr>
        <w:t>i</w:t>
      </w:r>
      <w:r w:rsidRPr="003913EB">
        <w:rPr>
          <w:color w:val="000000" w:themeColor="text1"/>
          <w:lang w:val="de-DE"/>
        </w:rPr>
        <w:t xml:space="preserve"> (∙) and their interaction processes under RCP incidence. The interaction among the components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i/>
          <w:color w:val="000000" w:themeColor="text1"/>
          <w:vertAlign w:val="subscript"/>
          <w:lang w:val="de-DE"/>
        </w:rPr>
        <w:t>i</w:t>
      </w:r>
      <w:r w:rsidRPr="003913EB">
        <w:rPr>
          <w:color w:val="000000" w:themeColor="text1"/>
          <w:lang w:val="de-DE"/>
        </w:rPr>
        <w:t xml:space="preserve"> (∙) (</w:t>
      </w:r>
      <w:r w:rsidRPr="003913EB">
        <w:rPr>
          <w:i/>
          <w:color w:val="000000" w:themeColor="text1"/>
          <w:lang w:val="de-DE"/>
        </w:rPr>
        <w:t xml:space="preserve">i </w:t>
      </w:r>
      <w:r w:rsidRPr="003913EB">
        <w:rPr>
          <w:color w:val="000000" w:themeColor="text1"/>
          <w:lang w:val="de-DE"/>
        </w:rPr>
        <w:t>= 1</w:t>
      </w:r>
      <w:r w:rsidRPr="003913EB">
        <w:rPr>
          <w:color w:val="000000" w:themeColor="text1"/>
        </w:rPr>
        <w:t>–</w:t>
      </w:r>
      <w:r w:rsidRPr="003913EB">
        <w:rPr>
          <w:color w:val="000000" w:themeColor="text1"/>
          <w:lang w:val="de-DE"/>
        </w:rPr>
        <w:t xml:space="preserve">4) in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bCs/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bCs/>
                <w:i/>
                <w:color w:val="000000" w:themeColor="text1"/>
                <w:lang w:val="de-DE"/>
              </w:rPr>
              <m:t>x</m:t>
            </m:r>
          </m:sub>
          <m:sup>
            <m:r>
              <m:rPr>
                <m:nor/>
              </m:rPr>
              <w:rPr>
                <w:bCs/>
                <w:color w:val="000000" w:themeColor="text1"/>
                <w:lang w:val="de-DE"/>
              </w:rPr>
              <m:t>sc</m:t>
            </m:r>
          </m:sup>
        </m:sSubSup>
      </m:oMath>
      <w:r w:rsidRPr="003913EB">
        <w:rPr>
          <w:color w:val="000000" w:themeColor="text1"/>
          <w:lang w:val="de-DE"/>
        </w:rPr>
        <w:t xml:space="preserve"> or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i/>
          <w:color w:val="000000" w:themeColor="text1"/>
          <w:vertAlign w:val="subscript"/>
          <w:lang w:val="de-DE"/>
        </w:rPr>
        <w:t>i</w:t>
      </w:r>
      <w:r w:rsidRPr="003913EB">
        <w:rPr>
          <w:color w:val="000000" w:themeColor="text1"/>
          <w:lang w:val="de-DE"/>
        </w:rPr>
        <w:t xml:space="preserve"> (∙) (</w:t>
      </w:r>
      <w:r w:rsidRPr="003913EB">
        <w:rPr>
          <w:i/>
          <w:color w:val="000000" w:themeColor="text1"/>
          <w:lang w:val="de-DE"/>
        </w:rPr>
        <w:t xml:space="preserve">i </w:t>
      </w:r>
      <w:r w:rsidRPr="003913EB">
        <w:rPr>
          <w:color w:val="000000" w:themeColor="text1"/>
          <w:lang w:val="de-DE"/>
        </w:rPr>
        <w:t>= 5</w:t>
      </w:r>
      <w:r w:rsidRPr="003913EB">
        <w:rPr>
          <w:color w:val="000000" w:themeColor="text1"/>
        </w:rPr>
        <w:t>–</w:t>
      </w:r>
      <w:r w:rsidRPr="003913EB">
        <w:rPr>
          <w:color w:val="000000" w:themeColor="text1"/>
          <w:lang w:val="de-DE"/>
        </w:rPr>
        <w:t xml:space="preserve">8) in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bCs/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bCs/>
                <w:i/>
                <w:color w:val="000000" w:themeColor="text1"/>
                <w:lang w:val="de-DE"/>
              </w:rPr>
              <m:t>y</m:t>
            </m:r>
          </m:sub>
          <m:sup>
            <m:r>
              <m:rPr>
                <m:nor/>
              </m:rPr>
              <w:rPr>
                <w:bCs/>
                <w:color w:val="000000" w:themeColor="text1"/>
                <w:lang w:val="de-DE"/>
              </w:rPr>
              <m:t>sc</m:t>
            </m:r>
          </m:sup>
        </m:sSubSup>
      </m:oMath>
      <w:r w:rsidRPr="003913EB">
        <w:rPr>
          <w:rFonts w:hint="eastAsia"/>
          <w:color w:val="000000" w:themeColor="text1"/>
          <w:lang w:val="de-DE"/>
        </w:rPr>
        <w:t xml:space="preserve"> </w:t>
      </w:r>
      <w:r w:rsidRPr="003913EB">
        <w:rPr>
          <w:color w:val="000000" w:themeColor="text1"/>
          <w:lang w:val="de-DE"/>
        </w:rPr>
        <w:t>can be understood by the two-stage interference of these components In</w:t>
      </w:r>
      <w:r w:rsidRPr="003913EB">
        <w:rPr>
          <w:bCs/>
          <w:color w:val="000000" w:themeColor="text1"/>
          <w:lang w:val="de-DE"/>
        </w:rPr>
        <w:t xml:space="preserve">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bCs/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bCs/>
                <w:i/>
                <w:color w:val="000000" w:themeColor="text1"/>
                <w:lang w:val="de-DE"/>
              </w:rPr>
              <m:t>x</m:t>
            </m:r>
          </m:sub>
          <m:sup>
            <m:r>
              <m:rPr>
                <m:nor/>
              </m:rPr>
              <w:rPr>
                <w:bCs/>
                <w:color w:val="000000" w:themeColor="text1"/>
                <w:lang w:val="de-DE"/>
              </w:rPr>
              <m:t>sc</m:t>
            </m:r>
          </m:sup>
        </m:sSubSup>
      </m:oMath>
      <w:r w:rsidRPr="003913EB">
        <w:rPr>
          <w:color w:val="000000" w:themeColor="text1"/>
          <w:lang w:val="de-DE"/>
        </w:rPr>
        <w:t xml:space="preserve">, the phase difference between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1</w:t>
      </w:r>
      <w:r w:rsidRPr="003913EB">
        <w:rPr>
          <w:color w:val="000000" w:themeColor="text1"/>
          <w:lang w:val="de-DE"/>
        </w:rPr>
        <w:t xml:space="preserve"> and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3</w:t>
      </w:r>
      <w:r w:rsidRPr="003913EB">
        <w:rPr>
          <w:color w:val="000000" w:themeColor="text1"/>
          <w:lang w:val="de-DE"/>
        </w:rPr>
        <w:t xml:space="preserve"> is </w:t>
      </w:r>
      <w:r w:rsidR="00D83D5B" w:rsidRPr="003913EB">
        <w:rPr>
          <w:color w:val="000000" w:themeColor="text1"/>
          <w:lang w:val="de-DE"/>
        </w:rPr>
        <w:t>~</w:t>
      </w:r>
      <w:r w:rsidRPr="003913EB">
        <w:rPr>
          <w:color w:val="000000" w:themeColor="text1"/>
          <w:lang w:val="de-DE"/>
        </w:rPr>
        <w:t xml:space="preserve">90°, resulting in an interferometric field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1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3</w:t>
      </w:r>
      <w:r w:rsidRPr="003913EB">
        <w:rPr>
          <w:color w:val="000000" w:themeColor="text1"/>
          <w:lang w:val="de-DE"/>
        </w:rPr>
        <w:t xml:space="preserve">. Similarly, the phase difference between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2</w:t>
      </w:r>
      <w:r w:rsidRPr="003913EB">
        <w:rPr>
          <w:color w:val="000000" w:themeColor="text1"/>
          <w:lang w:val="de-DE"/>
        </w:rPr>
        <w:t xml:space="preserve"> and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4</w:t>
      </w:r>
      <w:r w:rsidRPr="003913EB">
        <w:rPr>
          <w:color w:val="000000" w:themeColor="text1"/>
          <w:lang w:val="de-DE"/>
        </w:rPr>
        <w:t xml:space="preserve"> is </w:t>
      </w:r>
      <w:r w:rsidR="00D83D5B" w:rsidRPr="003913EB">
        <w:rPr>
          <w:color w:val="000000" w:themeColor="text1"/>
          <w:lang w:val="de-DE"/>
        </w:rPr>
        <w:t>~</w:t>
      </w:r>
      <w:r w:rsidRPr="003913EB">
        <w:rPr>
          <w:color w:val="000000" w:themeColor="text1"/>
          <w:lang w:val="de-DE"/>
        </w:rPr>
        <w:t xml:space="preserve">90° resulting in an interferometric field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2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4</w:t>
      </w:r>
      <w:r w:rsidRPr="003913EB">
        <w:rPr>
          <w:color w:val="000000" w:themeColor="text1"/>
          <w:lang w:val="de-DE"/>
        </w:rPr>
        <w:t>. A</w:t>
      </w:r>
      <w:r w:rsidRPr="003913EB">
        <w:rPr>
          <w:rFonts w:hint="eastAsia"/>
          <w:color w:val="000000" w:themeColor="text1"/>
          <w:lang w:val="de-DE"/>
        </w:rPr>
        <w:t>s</w:t>
      </w:r>
      <w:r w:rsidRPr="003913EB">
        <w:rPr>
          <w:color w:val="000000" w:themeColor="text1"/>
          <w:lang w:val="de-DE"/>
        </w:rPr>
        <w:t xml:space="preserve"> </w:t>
      </w:r>
      <w:r w:rsidRPr="003913EB">
        <w:rPr>
          <w:rFonts w:hint="eastAsia"/>
          <w:color w:val="000000" w:themeColor="text1"/>
          <w:lang w:val="de-DE"/>
        </w:rPr>
        <w:t>a</w:t>
      </w:r>
      <w:r w:rsidRPr="003913EB">
        <w:rPr>
          <w:color w:val="000000" w:themeColor="text1"/>
          <w:lang w:val="de-DE"/>
        </w:rPr>
        <w:t xml:space="preserve"> </w:t>
      </w:r>
      <w:r w:rsidRPr="003913EB">
        <w:rPr>
          <w:rFonts w:hint="eastAsia"/>
          <w:color w:val="000000" w:themeColor="text1"/>
          <w:lang w:val="de-DE"/>
        </w:rPr>
        <w:t>result</w:t>
      </w:r>
      <w:r w:rsidRPr="003913EB">
        <w:rPr>
          <w:color w:val="000000" w:themeColor="text1"/>
          <w:lang w:val="de-DE"/>
        </w:rPr>
        <w:t xml:space="preserve">, the fields of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1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3</w:t>
      </w:r>
      <w:r w:rsidRPr="003913EB">
        <w:rPr>
          <w:color w:val="000000" w:themeColor="text1"/>
          <w:lang w:val="de-DE"/>
        </w:rPr>
        <w:t xml:space="preserve"> and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2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4</w:t>
      </w:r>
      <w:r w:rsidRPr="003913EB">
        <w:rPr>
          <w:color w:val="000000" w:themeColor="text1"/>
          <w:lang w:val="de-DE"/>
        </w:rPr>
        <w:t xml:space="preserve"> are almost </w:t>
      </w:r>
      <w:r w:rsidRPr="003913EB">
        <w:rPr>
          <w:rFonts w:hint="eastAsia"/>
          <w:color w:val="000000" w:themeColor="text1"/>
          <w:lang w:val="de-DE"/>
        </w:rPr>
        <w:t>in</w:t>
      </w:r>
      <w:r w:rsidRPr="003913EB">
        <w:rPr>
          <w:color w:val="000000" w:themeColor="text1"/>
          <w:lang w:val="de-DE"/>
        </w:rPr>
        <w:t xml:space="preserve"> phase, i.e., the phase difference between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1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="00D058F0" w:rsidRPr="003913EB">
        <w:rPr>
          <w:color w:val="000000" w:themeColor="text1"/>
          <w:vertAlign w:val="subscript"/>
          <w:lang w:val="de-DE"/>
        </w:rPr>
        <w:t>3</w:t>
      </w:r>
      <w:r w:rsidRPr="003913EB">
        <w:rPr>
          <w:color w:val="000000" w:themeColor="text1"/>
          <w:lang w:val="de-DE"/>
        </w:rPr>
        <w:t xml:space="preserve"> and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2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="00D058F0" w:rsidRPr="003913EB">
        <w:rPr>
          <w:color w:val="000000" w:themeColor="text1"/>
          <w:vertAlign w:val="subscript"/>
          <w:lang w:val="de-DE"/>
        </w:rPr>
        <w:t>4</w:t>
      </w:r>
      <w:r w:rsidRPr="003913EB">
        <w:rPr>
          <w:color w:val="000000" w:themeColor="text1"/>
          <w:lang w:val="de-DE"/>
        </w:rPr>
        <w:t xml:space="preserve"> is </w:t>
      </w:r>
      <w:r w:rsidRPr="003913EB">
        <w:rPr>
          <w:rFonts w:hint="eastAsia"/>
          <w:color w:val="000000" w:themeColor="text1"/>
          <w:lang w:val="de-DE"/>
        </w:rPr>
        <w:t>less</w:t>
      </w:r>
      <w:r w:rsidRPr="003913EB">
        <w:rPr>
          <w:color w:val="000000" w:themeColor="text1"/>
          <w:lang w:val="de-DE"/>
        </w:rPr>
        <w:t xml:space="preserve"> </w:t>
      </w:r>
      <w:r w:rsidRPr="003913EB">
        <w:rPr>
          <w:rFonts w:hint="eastAsia"/>
          <w:color w:val="000000" w:themeColor="text1"/>
          <w:lang w:val="de-DE"/>
        </w:rPr>
        <w:t>than</w:t>
      </w:r>
      <w:r w:rsidRPr="003913EB">
        <w:rPr>
          <w:color w:val="000000" w:themeColor="text1"/>
          <w:lang w:val="de-DE"/>
        </w:rPr>
        <w:t xml:space="preserve"> 90°, which results in </w:t>
      </w:r>
      <w:r w:rsidRPr="003913EB">
        <w:rPr>
          <w:rFonts w:hint="eastAsia"/>
          <w:color w:val="000000" w:themeColor="text1"/>
          <w:lang w:val="de-DE"/>
        </w:rPr>
        <w:t>con</w:t>
      </w:r>
      <w:r w:rsidRPr="003913EB">
        <w:rPr>
          <w:color w:val="000000" w:themeColor="text1"/>
          <w:lang w:val="de-DE"/>
        </w:rPr>
        <w:t xml:space="preserve">structive interference. The amplitude and phase of the first-stage interference,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1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3</w:t>
      </w:r>
      <w:r w:rsidRPr="003913EB">
        <w:rPr>
          <w:color w:val="000000" w:themeColor="text1"/>
          <w:lang w:val="de-DE"/>
        </w:rPr>
        <w:t xml:space="preserve"> and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2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4</w:t>
      </w:r>
      <w:r w:rsidRPr="003913EB">
        <w:rPr>
          <w:color w:val="000000" w:themeColor="text1"/>
          <w:lang w:val="de-DE"/>
        </w:rPr>
        <w:t>, are plotted with a solid green and a blue line, respectively, in Figure S</w:t>
      </w:r>
      <w:r w:rsidR="00B3516C" w:rsidRPr="003913EB">
        <w:rPr>
          <w:color w:val="000000" w:themeColor="text1"/>
          <w:lang w:val="de-DE"/>
        </w:rPr>
        <w:t>3</w:t>
      </w:r>
      <w:r w:rsidRPr="003913EB">
        <w:rPr>
          <w:color w:val="000000" w:themeColor="text1"/>
          <w:lang w:val="de-DE"/>
        </w:rPr>
        <w:t xml:space="preserve">A and B. The amplitude after the second-stage </w:t>
      </w:r>
      <w:r w:rsidRPr="003913EB">
        <w:rPr>
          <w:color w:val="000000" w:themeColor="text1"/>
          <w:lang w:val="de-DE"/>
        </w:rPr>
        <w:lastRenderedPageBreak/>
        <w:t xml:space="preserve">interference between the fields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1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3</w:t>
      </w:r>
      <w:r w:rsidRPr="003913EB">
        <w:rPr>
          <w:color w:val="000000" w:themeColor="text1"/>
          <w:lang w:val="de-DE"/>
        </w:rPr>
        <w:t xml:space="preserve"> and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2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4</w:t>
      </w:r>
      <w:r w:rsidRPr="003913EB">
        <w:rPr>
          <w:color w:val="000000" w:themeColor="text1"/>
          <w:lang w:val="de-DE"/>
        </w:rPr>
        <w:t xml:space="preserve"> is plotted with a solid black line in Figure S</w:t>
      </w:r>
      <w:r w:rsidR="00B3516C" w:rsidRPr="003913EB">
        <w:rPr>
          <w:color w:val="000000" w:themeColor="text1"/>
          <w:lang w:val="de-DE"/>
        </w:rPr>
        <w:t>3</w:t>
      </w:r>
      <w:r w:rsidR="001A0540" w:rsidRPr="003913EB">
        <w:rPr>
          <w:color w:val="000000" w:themeColor="text1"/>
          <w:lang w:val="de-DE"/>
        </w:rPr>
        <w:t>A</w:t>
      </w:r>
      <w:r w:rsidRPr="003913EB">
        <w:rPr>
          <w:color w:val="000000" w:themeColor="text1"/>
          <w:lang w:val="de-DE"/>
        </w:rPr>
        <w:t xml:space="preserve">. It is seen that the overall amplitude of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bCs/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bCs/>
                <w:i/>
                <w:color w:val="000000" w:themeColor="text1"/>
                <w:lang w:val="de-DE"/>
              </w:rPr>
              <m:t>x</m:t>
            </m:r>
          </m:sub>
          <m:sup>
            <m:r>
              <m:rPr>
                <m:nor/>
              </m:rPr>
              <w:rPr>
                <w:bCs/>
                <w:color w:val="000000" w:themeColor="text1"/>
                <w:lang w:val="de-DE"/>
              </w:rPr>
              <m:t>sc</m:t>
            </m:r>
          </m:sup>
        </m:sSubSup>
      </m:oMath>
      <w:r w:rsidRPr="003913EB">
        <w:rPr>
          <w:color w:val="000000" w:themeColor="text1"/>
          <w:lang w:val="de-DE"/>
        </w:rPr>
        <w:t xml:space="preserve"> after the 2-stage interference becomes </w:t>
      </w:r>
      <w:r w:rsidRPr="003913EB">
        <w:rPr>
          <w:rFonts w:hint="eastAsia"/>
          <w:color w:val="000000" w:themeColor="text1"/>
          <w:lang w:val="de-DE"/>
        </w:rPr>
        <w:t>high</w:t>
      </w:r>
      <w:r w:rsidRPr="003913EB">
        <w:rPr>
          <w:color w:val="000000" w:themeColor="text1"/>
          <w:lang w:val="de-DE"/>
        </w:rPr>
        <w:t xml:space="preserve"> and flat within the whole wavelength band of interest (grey shaded area)</w:t>
      </w:r>
      <w:r w:rsidRPr="003913EB">
        <w:rPr>
          <w:rFonts w:hint="eastAsia"/>
          <w:color w:val="000000" w:themeColor="text1"/>
          <w:lang w:val="de-DE"/>
        </w:rPr>
        <w:t>.</w:t>
      </w:r>
      <w:r w:rsidRPr="003913EB">
        <w:rPr>
          <w:color w:val="000000" w:themeColor="text1"/>
          <w:lang w:val="de-DE"/>
        </w:rPr>
        <w:t xml:space="preserve"> Similar</w:t>
      </w:r>
      <w:r w:rsidRPr="003913EB">
        <w:rPr>
          <w:rFonts w:hint="eastAsia"/>
          <w:color w:val="000000" w:themeColor="text1"/>
          <w:lang w:val="de-DE"/>
        </w:rPr>
        <w:t>ly</w:t>
      </w:r>
      <w:r w:rsidRPr="003913EB">
        <w:rPr>
          <w:color w:val="000000" w:themeColor="text1"/>
          <w:lang w:val="de-DE"/>
        </w:rPr>
        <w:t xml:space="preserve">, a two-stage constructive interference among the four components,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i/>
          <w:color w:val="000000" w:themeColor="text1"/>
          <w:vertAlign w:val="subscript"/>
          <w:lang w:val="de-DE"/>
        </w:rPr>
        <w:t>i</w:t>
      </w:r>
      <w:r w:rsidRPr="003913EB">
        <w:rPr>
          <w:color w:val="000000" w:themeColor="text1"/>
          <w:lang w:val="de-DE"/>
        </w:rPr>
        <w:t xml:space="preserve"> (∙) (</w:t>
      </w:r>
      <w:r w:rsidRPr="003913EB">
        <w:rPr>
          <w:i/>
          <w:color w:val="000000" w:themeColor="text1"/>
          <w:lang w:val="de-DE"/>
        </w:rPr>
        <w:t xml:space="preserve">i </w:t>
      </w:r>
      <w:r w:rsidRPr="003913EB">
        <w:rPr>
          <w:color w:val="000000" w:themeColor="text1"/>
          <w:lang w:val="de-DE"/>
        </w:rPr>
        <w:t>= 5</w:t>
      </w:r>
      <w:r w:rsidRPr="003913EB">
        <w:rPr>
          <w:color w:val="000000" w:themeColor="text1"/>
        </w:rPr>
        <w:t>–</w:t>
      </w:r>
      <w:r w:rsidRPr="003913EB">
        <w:rPr>
          <w:color w:val="000000" w:themeColor="text1"/>
          <w:lang w:val="de-DE"/>
        </w:rPr>
        <w:t xml:space="preserve">8) of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bCs/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bCs/>
                <w:i/>
                <w:color w:val="000000" w:themeColor="text1"/>
                <w:lang w:val="de-DE"/>
              </w:rPr>
              <m:t>y</m:t>
            </m:r>
          </m:sub>
          <m:sup>
            <m:r>
              <m:rPr>
                <m:nor/>
              </m:rPr>
              <w:rPr>
                <w:bCs/>
                <w:color w:val="000000" w:themeColor="text1"/>
                <w:lang w:val="de-DE"/>
              </w:rPr>
              <m:t>sc</m:t>
            </m:r>
          </m:sup>
        </m:sSubSup>
      </m:oMath>
      <w:r w:rsidRPr="003913EB">
        <w:rPr>
          <w:color w:val="000000" w:themeColor="text1"/>
          <w:lang w:val="de-DE"/>
        </w:rPr>
        <w:t xml:space="preserve"> results in an overall field 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5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6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7</w:t>
      </w:r>
      <w:r w:rsidRPr="003913EB">
        <w:rPr>
          <w:color w:val="000000" w:themeColor="text1"/>
          <w:lang w:val="de-DE"/>
        </w:rPr>
        <w:t>+</w:t>
      </w:r>
      <w:r w:rsidRPr="003913EB">
        <w:rPr>
          <w:i/>
          <w:color w:val="000000" w:themeColor="text1"/>
          <w:lang w:val="de-DE"/>
        </w:rPr>
        <w:t>F</w:t>
      </w:r>
      <w:r w:rsidRPr="003913EB">
        <w:rPr>
          <w:color w:val="000000" w:themeColor="text1"/>
          <w:vertAlign w:val="subscript"/>
          <w:lang w:val="de-DE"/>
        </w:rPr>
        <w:t>8</w:t>
      </w:r>
      <w:r w:rsidRPr="003913EB">
        <w:rPr>
          <w:color w:val="000000" w:themeColor="text1"/>
          <w:lang w:val="de-DE"/>
        </w:rPr>
        <w:t xml:space="preserve"> with a high amplitude, as depicted in Figure S</w:t>
      </w:r>
      <w:r w:rsidR="00B3516C" w:rsidRPr="003913EB">
        <w:rPr>
          <w:color w:val="000000" w:themeColor="text1"/>
          <w:lang w:val="de-DE"/>
        </w:rPr>
        <w:t>3</w:t>
      </w:r>
      <w:r w:rsidRPr="003913EB">
        <w:rPr>
          <w:color w:val="000000" w:themeColor="text1"/>
          <w:lang w:val="de-DE"/>
        </w:rPr>
        <w:t>C</w:t>
      </w:r>
      <w:r w:rsidR="001A0540" w:rsidRPr="003913EB">
        <w:rPr>
          <w:color w:val="000000" w:themeColor="text1"/>
          <w:lang w:val="de-DE"/>
        </w:rPr>
        <w:t xml:space="preserve"> </w:t>
      </w:r>
      <w:r w:rsidR="001A0540" w:rsidRPr="003913EB">
        <w:rPr>
          <w:color w:val="000000" w:themeColor="text1"/>
        </w:rPr>
        <w:t xml:space="preserve">and </w:t>
      </w:r>
      <w:r w:rsidRPr="003913EB">
        <w:rPr>
          <w:color w:val="000000" w:themeColor="text1"/>
          <w:lang w:val="de-DE"/>
        </w:rPr>
        <w:t>D. The intensity of the far field of reflection can thus be calculated by (</w:t>
      </w:r>
      <m:oMath>
        <m:r>
          <m:rPr>
            <m:nor/>
          </m:rPr>
          <w:rPr>
            <w:color w:val="000000" w:themeColor="text1"/>
            <w:lang w:val="de-DE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lang w:val="de-DE"/>
              </w:rPr>
            </m:ctrlPr>
          </m:sSupPr>
          <m:e>
            <m:sSubSup>
              <m:sSubSupPr>
                <m:ctrlPr>
                  <w:rPr>
                    <w:rFonts w:ascii="Cambria Math" w:hAnsi="Cambria Math"/>
                    <w:i/>
                    <w:color w:val="000000" w:themeColor="text1"/>
                    <w:lang w:val="de-DE"/>
                  </w:rPr>
                </m:ctrlPr>
              </m:sSubSupPr>
              <m:e>
                <m:r>
                  <m:rPr>
                    <m:nor/>
                  </m:rPr>
                  <w:rPr>
                    <w:color w:val="000000" w:themeColor="text1"/>
                    <w:lang w:val="de-DE"/>
                  </w:rPr>
                  <m:t>|</m:t>
                </m:r>
                <m:r>
                  <m:rPr>
                    <m:nor/>
                  </m:rPr>
                  <w:rPr>
                    <w:i/>
                    <w:color w:val="000000" w:themeColor="text1"/>
                    <w:lang w:val="de-D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  <w:lang w:val="de-DE"/>
                  </w:rPr>
                  <m:t>x</m:t>
                </m:r>
              </m:sub>
              <m:sup>
                <m:r>
                  <m:rPr>
                    <m:nor/>
                  </m:rPr>
                  <w:rPr>
                    <w:color w:val="000000" w:themeColor="text1"/>
                    <w:lang w:val="de-DE"/>
                  </w:rPr>
                  <m:t>sc</m:t>
                </m:r>
              </m:sup>
            </m:sSubSup>
            <m:r>
              <m:rPr>
                <m:nor/>
              </m:rPr>
              <w:rPr>
                <w:color w:val="000000" w:themeColor="text1"/>
                <w:lang w:val="de-DE"/>
              </w:rPr>
              <m:t>|</m:t>
            </m:r>
          </m:e>
          <m:sup>
            <m:r>
              <m:rPr>
                <m:nor/>
              </m:rPr>
              <w:rPr>
                <w:color w:val="000000" w:themeColor="text1"/>
                <w:lang w:val="de-DE"/>
              </w:rPr>
              <m:t>2</m:t>
            </m:r>
          </m:sup>
        </m:sSup>
        <m:r>
          <m:rPr>
            <m:nor/>
          </m:rPr>
          <w:rPr>
            <w:color w:val="000000" w:themeColor="text1"/>
            <w:lang w:val="de-DE"/>
          </w:rPr>
          <m:t xml:space="preserve"> + 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lang w:val="de-DE"/>
              </w:rPr>
            </m:ctrlPr>
          </m:sSupPr>
          <m:e>
            <m:sSubSup>
              <m:sSubSupPr>
                <m:ctrlPr>
                  <w:rPr>
                    <w:rFonts w:ascii="Cambria Math" w:hAnsi="Cambria Math"/>
                    <w:i/>
                    <w:color w:val="000000" w:themeColor="text1"/>
                    <w:lang w:val="de-DE"/>
                  </w:rPr>
                </m:ctrlPr>
              </m:sSubSupPr>
              <m:e>
                <m:r>
                  <m:rPr>
                    <m:nor/>
                  </m:rPr>
                  <w:rPr>
                    <w:color w:val="000000" w:themeColor="text1"/>
                    <w:lang w:val="de-DE"/>
                  </w:rPr>
                  <m:t>|</m:t>
                </m:r>
                <m:r>
                  <m:rPr>
                    <m:nor/>
                  </m:rPr>
                  <w:rPr>
                    <w:i/>
                    <w:color w:val="000000" w:themeColor="text1"/>
                    <w:lang w:val="de-D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  <w:lang w:val="de-DE"/>
                  </w:rPr>
                  <m:t>y</m:t>
                </m:r>
              </m:sub>
              <m:sup>
                <m:r>
                  <m:rPr>
                    <m:nor/>
                  </m:rPr>
                  <w:rPr>
                    <w:color w:val="000000" w:themeColor="text1"/>
                    <w:lang w:val="de-DE"/>
                  </w:rPr>
                  <m:t>sc</m:t>
                </m:r>
              </m:sup>
            </m:sSubSup>
            <m:r>
              <m:rPr>
                <m:nor/>
              </m:rPr>
              <w:rPr>
                <w:color w:val="000000" w:themeColor="text1"/>
                <w:lang w:val="de-DE"/>
              </w:rPr>
              <m:t>|</m:t>
            </m:r>
          </m:e>
          <m:sup>
            <m:r>
              <m:rPr>
                <m:nor/>
              </m:rPr>
              <w:rPr>
                <w:color w:val="000000" w:themeColor="text1"/>
                <w:lang w:val="de-DE"/>
              </w:rPr>
              <m:t>2</m:t>
            </m:r>
          </m:sup>
        </m:sSup>
      </m:oMath>
      <w:r w:rsidRPr="003913EB">
        <w:rPr>
          <w:color w:val="000000" w:themeColor="text1"/>
          <w:lang w:val="de-DE"/>
        </w:rPr>
        <w:t xml:space="preserve">), which will result in a high reflection in the case of RCP incidence. </w:t>
      </w:r>
    </w:p>
    <w:bookmarkEnd w:id="1"/>
    <w:p w14:paraId="5CE4C765" w14:textId="77777777" w:rsidR="00BC15B9" w:rsidRPr="003913EB" w:rsidRDefault="003833A3" w:rsidP="009431DF">
      <w:pPr>
        <w:pStyle w:val="SNSynopsisTOC"/>
        <w:jc w:val="center"/>
        <w:rPr>
          <w:bCs/>
          <w:color w:val="000000" w:themeColor="text1"/>
          <w:lang w:val="de-DE"/>
        </w:rPr>
      </w:pPr>
      <w:r w:rsidRPr="003913EB">
        <w:rPr>
          <w:bCs/>
          <w:noProof/>
          <w:color w:val="000000" w:themeColor="text1"/>
          <w:lang w:eastAsia="zh-CN"/>
        </w:rPr>
        <w:drawing>
          <wp:inline distT="0" distB="0" distL="0" distR="0" wp14:anchorId="197FCAF6" wp14:editId="5699F71D">
            <wp:extent cx="4508938" cy="3524143"/>
            <wp:effectExtent l="0" t="0" r="6350" b="635"/>
            <wp:docPr id="9" name="图片 9" descr="E:\审稿意见回复\Figure_Re\FigureS555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审稿意见回复\Figure_Re\FigureS555l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74" cy="352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25B29" w14:textId="2E8387D7" w:rsidR="003B1F56" w:rsidRPr="003913EB" w:rsidRDefault="00BC15B9" w:rsidP="00093A26">
      <w:pPr>
        <w:pStyle w:val="VAFigureCaption"/>
        <w:rPr>
          <w:color w:val="000000" w:themeColor="text1"/>
          <w:lang w:val="de-DE"/>
        </w:rPr>
      </w:pPr>
      <w:r w:rsidRPr="003913EB">
        <w:rPr>
          <w:b/>
          <w:color w:val="000000" w:themeColor="text1"/>
          <w:lang w:val="de-DE"/>
        </w:rPr>
        <w:t>Figure S</w:t>
      </w:r>
      <w:r w:rsidR="00500006" w:rsidRPr="003913EB">
        <w:rPr>
          <w:b/>
          <w:color w:val="000000" w:themeColor="text1"/>
          <w:lang w:val="de-DE"/>
        </w:rPr>
        <w:t>3</w:t>
      </w:r>
      <w:r w:rsidR="00093A26" w:rsidRPr="003913EB">
        <w:rPr>
          <w:b/>
          <w:color w:val="000000" w:themeColor="text1"/>
          <w:lang w:val="de-DE"/>
        </w:rPr>
        <w:t>:</w:t>
      </w:r>
      <w:r w:rsidRPr="003913EB">
        <w:rPr>
          <w:color w:val="000000" w:themeColor="text1"/>
          <w:lang w:val="de-DE"/>
        </w:rPr>
        <w:t xml:space="preserve"> Vectorial field interference of multipoles in the reflection of HER</w:t>
      </w:r>
      <w:r w:rsidR="003833A3" w:rsidRPr="003913EB">
        <w:rPr>
          <w:color w:val="000000" w:themeColor="text1"/>
          <w:lang w:val="de-DE"/>
        </w:rPr>
        <w:t xml:space="preserve"> structure under RCP incidence.</w:t>
      </w:r>
      <w:r w:rsidRPr="003913EB">
        <w:rPr>
          <w:color w:val="000000" w:themeColor="text1"/>
          <w:lang w:val="de-DE"/>
        </w:rPr>
        <w:t xml:space="preserve"> </w:t>
      </w:r>
      <w:r w:rsidR="00D35BAF" w:rsidRPr="003913EB">
        <w:rPr>
          <w:color w:val="000000" w:themeColor="text1"/>
          <w:lang w:val="de-DE"/>
        </w:rPr>
        <w:t>(</w:t>
      </w:r>
      <w:r w:rsidR="003833A3" w:rsidRPr="003913EB">
        <w:rPr>
          <w:color w:val="000000" w:themeColor="text1"/>
          <w:lang w:val="de-DE"/>
        </w:rPr>
        <w:t>A</w:t>
      </w:r>
      <w:r w:rsidRPr="003913EB">
        <w:rPr>
          <w:color w:val="000000" w:themeColor="text1"/>
          <w:lang w:val="de-DE"/>
        </w:rPr>
        <w:t xml:space="preserve">, </w:t>
      </w:r>
      <w:r w:rsidR="003833A3" w:rsidRPr="003913EB">
        <w:rPr>
          <w:color w:val="000000" w:themeColor="text1"/>
          <w:lang w:val="de-DE"/>
        </w:rPr>
        <w:t>C</w:t>
      </w:r>
      <w:r w:rsidRPr="003913EB">
        <w:rPr>
          <w:color w:val="000000" w:themeColor="text1"/>
          <w:lang w:val="de-DE"/>
        </w:rPr>
        <w:t xml:space="preserve">) Amplitudes of the four components of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x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Pr="003913EB">
        <w:rPr>
          <w:rFonts w:hint="eastAsia"/>
          <w:color w:val="000000" w:themeColor="text1"/>
          <w:lang w:val="de-DE"/>
        </w:rPr>
        <w:t xml:space="preserve"> </w:t>
      </w:r>
      <w:r w:rsidRPr="003913EB">
        <w:rPr>
          <w:color w:val="000000" w:themeColor="text1"/>
          <w:lang w:val="de-DE"/>
        </w:rPr>
        <w:t xml:space="preserve">and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y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Pr="003913EB">
        <w:rPr>
          <w:color w:val="000000" w:themeColor="text1"/>
          <w:lang w:val="de-DE"/>
        </w:rPr>
        <w:t xml:space="preserve">, respectively, as well as the amplitudes formed by the first-stage and second-stage interference. </w:t>
      </w:r>
      <w:r w:rsidR="00D35BAF" w:rsidRPr="003913EB">
        <w:rPr>
          <w:color w:val="000000" w:themeColor="text1"/>
          <w:lang w:val="de-DE"/>
        </w:rPr>
        <w:t>(</w:t>
      </w:r>
      <w:r w:rsidR="003833A3" w:rsidRPr="003913EB">
        <w:rPr>
          <w:color w:val="000000" w:themeColor="text1"/>
          <w:lang w:val="de-DE"/>
        </w:rPr>
        <w:t>B</w:t>
      </w:r>
      <w:r w:rsidRPr="003913EB">
        <w:rPr>
          <w:color w:val="000000" w:themeColor="text1"/>
          <w:lang w:val="de-DE"/>
        </w:rPr>
        <w:t xml:space="preserve">, </w:t>
      </w:r>
      <w:r w:rsidR="003833A3" w:rsidRPr="003913EB">
        <w:rPr>
          <w:color w:val="000000" w:themeColor="text1"/>
          <w:lang w:val="de-DE"/>
        </w:rPr>
        <w:t>D</w:t>
      </w:r>
      <w:r w:rsidRPr="003913EB">
        <w:rPr>
          <w:color w:val="000000" w:themeColor="text1"/>
          <w:lang w:val="de-DE"/>
        </w:rPr>
        <w:t xml:space="preserve">) The corresponding phases of different components of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x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Pr="003913EB">
        <w:rPr>
          <w:rFonts w:hint="eastAsia"/>
          <w:color w:val="000000" w:themeColor="text1"/>
          <w:lang w:val="de-DE"/>
        </w:rPr>
        <w:t xml:space="preserve"> </w:t>
      </w:r>
      <w:r w:rsidRPr="003913EB">
        <w:rPr>
          <w:color w:val="000000" w:themeColor="text1"/>
          <w:lang w:val="de-DE"/>
        </w:rPr>
        <w:t xml:space="preserve">and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y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Pr="003913EB">
        <w:rPr>
          <w:color w:val="000000" w:themeColor="text1"/>
          <w:lang w:val="de-DE"/>
        </w:rPr>
        <w:t>, and those after the first-stage and second-stage interference.</w:t>
      </w:r>
      <w:r w:rsidR="001D2B68" w:rsidRPr="003913EB">
        <w:rPr>
          <w:color w:val="000000" w:themeColor="text1"/>
          <w:lang w:val="de-DE"/>
        </w:rPr>
        <w:t xml:space="preserve"> </w:t>
      </w:r>
    </w:p>
    <w:p w14:paraId="4359F77A" w14:textId="11F61D8E" w:rsidR="001D2B68" w:rsidRPr="003913EB" w:rsidRDefault="001D2B68" w:rsidP="001D2B68">
      <w:pPr>
        <w:pStyle w:val="TAMainText"/>
        <w:rPr>
          <w:color w:val="000000" w:themeColor="text1"/>
          <w:lang w:val="de-DE"/>
        </w:rPr>
      </w:pPr>
      <w:r w:rsidRPr="003913EB">
        <w:rPr>
          <w:rFonts w:hint="eastAsia"/>
          <w:color w:val="000000" w:themeColor="text1"/>
          <w:lang w:val="de-DE"/>
        </w:rPr>
        <w:lastRenderedPageBreak/>
        <w:t>Figure</w:t>
      </w:r>
      <w:r w:rsidRPr="003913EB">
        <w:rPr>
          <w:color w:val="000000" w:themeColor="text1"/>
          <w:lang w:val="de-DE"/>
        </w:rPr>
        <w:t xml:space="preserve"> S4 </w:t>
      </w:r>
      <w:r w:rsidRPr="003913EB">
        <w:rPr>
          <w:rFonts w:hint="eastAsia"/>
          <w:color w:val="000000" w:themeColor="text1"/>
          <w:lang w:val="de-DE"/>
        </w:rPr>
        <w:t>shows</w:t>
      </w:r>
      <w:r w:rsidRPr="003913EB">
        <w:rPr>
          <w:color w:val="000000" w:themeColor="text1"/>
          <w:lang w:val="de-DE"/>
        </w:rPr>
        <w:t xml:space="preserve"> </w:t>
      </w:r>
      <w:r w:rsidRPr="003913EB">
        <w:rPr>
          <w:rFonts w:hint="eastAsia"/>
          <w:color w:val="000000" w:themeColor="text1"/>
          <w:lang w:val="de-DE"/>
        </w:rPr>
        <w:t>the</w:t>
      </w:r>
      <w:r w:rsidRPr="003913EB">
        <w:rPr>
          <w:color w:val="000000" w:themeColor="text1"/>
          <w:lang w:val="de-DE"/>
        </w:rPr>
        <w:t xml:space="preserve"> intensity of the far field of reflection (</w:t>
      </w:r>
      <m:oMath>
        <m:sSup>
          <m:sSupPr>
            <m:ctrlPr>
              <w:rPr>
                <w:rFonts w:ascii="Cambria Math" w:hAnsi="Cambria Math"/>
                <w:bCs/>
                <w:color w:val="000000" w:themeColor="text1"/>
                <w:lang w:val="de-DE"/>
              </w:rPr>
            </m:ctrlPr>
          </m:sSupPr>
          <m:e>
            <m:r>
              <m:rPr>
                <m:nor/>
              </m:rPr>
              <w:rPr>
                <w:bCs/>
                <w:color w:val="000000" w:themeColor="text1"/>
                <w:lang w:val="de-DE"/>
              </w:rPr>
              <m:t>|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color w:val="000000" w:themeColor="text1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bCs/>
                    <w:i/>
                    <w:color w:val="000000" w:themeColor="text1"/>
                    <w:lang w:val="de-DE"/>
                  </w:rPr>
                  <m:t>E</m:t>
                </m:r>
              </m:e>
              <m:sup>
                <m:r>
                  <m:rPr>
                    <m:nor/>
                  </m:rPr>
                  <w:rPr>
                    <w:bCs/>
                    <w:color w:val="000000" w:themeColor="text1"/>
                    <w:lang w:val="de-DE"/>
                  </w:rPr>
                  <m:t>sc</m:t>
                </m:r>
              </m:sup>
            </m:sSup>
            <m:r>
              <m:rPr>
                <m:nor/>
              </m:rPr>
              <w:rPr>
                <w:color w:val="000000" w:themeColor="text1"/>
                <w:lang w:val="de-DE"/>
              </w:rPr>
              <m:t>|</m:t>
            </m:r>
          </m:e>
          <m:sup>
            <m:r>
              <m:rPr>
                <m:nor/>
              </m:rPr>
              <w:rPr>
                <w:bCs/>
                <w:color w:val="000000" w:themeColor="text1"/>
                <w:lang w:val="de-DE"/>
              </w:rPr>
              <m:t>2</m:t>
            </m:r>
          </m:sup>
        </m:sSup>
        <m:r>
          <m:rPr>
            <m:nor/>
          </m:rPr>
          <w:rPr>
            <w:color w:val="000000" w:themeColor="text1"/>
            <w:lang w:val="de-DE"/>
          </w:rPr>
          <m:t xml:space="preserve"> =</m:t>
        </m:r>
        <m:sSup>
          <m:sSupPr>
            <m:ctrlPr>
              <w:rPr>
                <w:rFonts w:ascii="Cambria Math" w:hAnsi="Cambria Math"/>
                <w:bCs/>
                <w:color w:val="000000" w:themeColor="text1"/>
                <w:lang w:val="de-DE"/>
              </w:rPr>
            </m:ctrlPr>
          </m:sSupPr>
          <m:e>
            <m:r>
              <m:rPr>
                <m:nor/>
              </m:rPr>
              <w:rPr>
                <w:bCs/>
                <w:color w:val="000000" w:themeColor="text1"/>
                <w:lang w:val="de-DE"/>
              </w:rPr>
              <m:t xml:space="preserve"> |</m:t>
            </m:r>
            <m:sSubSup>
              <m:sSubSupPr>
                <m:ctrlPr>
                  <w:rPr>
                    <w:rFonts w:ascii="Cambria Math" w:hAnsi="Cambria Math"/>
                    <w:color w:val="000000" w:themeColor="text1"/>
                    <w:lang w:val="de-DE"/>
                  </w:rPr>
                </m:ctrlPr>
              </m:sSubSupPr>
              <m:e>
                <m:r>
                  <m:rPr>
                    <m:nor/>
                  </m:rPr>
                  <w:rPr>
                    <w:bCs/>
                    <w:i/>
                    <w:color w:val="000000" w:themeColor="text1"/>
                    <w:lang w:val="de-D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bCs/>
                    <w:i/>
                    <w:color w:val="000000" w:themeColor="text1"/>
                    <w:lang w:val="de-DE"/>
                  </w:rPr>
                  <m:t>x</m:t>
                </m:r>
              </m:sub>
              <m:sup>
                <m:r>
                  <m:rPr>
                    <m:nor/>
                  </m:rPr>
                  <w:rPr>
                    <w:bCs/>
                    <w:color w:val="000000" w:themeColor="text1"/>
                    <w:lang w:val="de-DE"/>
                  </w:rPr>
                  <m:t>sc</m:t>
                </m:r>
              </m:sup>
            </m:sSubSup>
            <m:r>
              <m:rPr>
                <m:nor/>
              </m:rPr>
              <w:rPr>
                <w:color w:val="000000" w:themeColor="text1"/>
                <w:lang w:val="de-DE"/>
              </w:rPr>
              <m:t>|</m:t>
            </m:r>
          </m:e>
          <m:sup>
            <m:r>
              <m:rPr>
                <m:nor/>
              </m:rPr>
              <w:rPr>
                <w:bCs/>
                <w:color w:val="000000" w:themeColor="text1"/>
                <w:lang w:val="de-DE"/>
              </w:rPr>
              <m:t>2</m:t>
            </m:r>
          </m:sup>
        </m:sSup>
        <m:r>
          <m:rPr>
            <m:nor/>
          </m:rPr>
          <w:rPr>
            <w:color w:val="000000" w:themeColor="text1"/>
            <w:lang w:val="de-DE"/>
          </w:rPr>
          <m:t xml:space="preserve"> + </m:t>
        </m:r>
        <m:sSup>
          <m:sSupPr>
            <m:ctrlPr>
              <w:rPr>
                <w:rFonts w:ascii="Cambria Math" w:hAnsi="Cambria Math"/>
                <w:bCs/>
                <w:color w:val="000000" w:themeColor="text1"/>
                <w:lang w:val="de-DE"/>
              </w:rPr>
            </m:ctrlPr>
          </m:sSupPr>
          <m:e>
            <m:r>
              <m:rPr>
                <m:nor/>
              </m:rPr>
              <w:rPr>
                <w:bCs/>
                <w:color w:val="000000" w:themeColor="text1"/>
                <w:lang w:val="de-DE"/>
              </w:rPr>
              <m:t>|</m:t>
            </m:r>
            <m:sSubSup>
              <m:sSubSupPr>
                <m:ctrlPr>
                  <w:rPr>
                    <w:rFonts w:ascii="Cambria Math" w:hAnsi="Cambria Math"/>
                    <w:color w:val="000000" w:themeColor="text1"/>
                    <w:lang w:val="de-DE"/>
                  </w:rPr>
                </m:ctrlPr>
              </m:sSubSupPr>
              <m:e>
                <m:r>
                  <m:rPr>
                    <m:nor/>
                  </m:rPr>
                  <w:rPr>
                    <w:bCs/>
                    <w:i/>
                    <w:color w:val="000000" w:themeColor="text1"/>
                    <w:lang w:val="de-D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bCs/>
                    <w:i/>
                    <w:color w:val="000000" w:themeColor="text1"/>
                    <w:lang w:val="de-DE"/>
                  </w:rPr>
                  <m:t>y</m:t>
                </m:r>
              </m:sub>
              <m:sup>
                <m:r>
                  <m:rPr>
                    <m:nor/>
                  </m:rPr>
                  <w:rPr>
                    <w:bCs/>
                    <w:color w:val="000000" w:themeColor="text1"/>
                    <w:lang w:val="de-DE"/>
                  </w:rPr>
                  <m:t>sc</m:t>
                </m:r>
              </m:sup>
            </m:sSubSup>
            <m:r>
              <m:rPr>
                <m:nor/>
              </m:rPr>
              <w:rPr>
                <w:color w:val="000000" w:themeColor="text1"/>
                <w:lang w:val="de-DE"/>
              </w:rPr>
              <m:t>|</m:t>
            </m:r>
          </m:e>
          <m:sup>
            <m:r>
              <m:rPr>
                <m:nor/>
              </m:rPr>
              <w:rPr>
                <w:bCs/>
                <w:color w:val="000000" w:themeColor="text1"/>
                <w:lang w:val="de-DE"/>
              </w:rPr>
              <m:t>2</m:t>
            </m:r>
          </m:sup>
        </m:sSup>
      </m:oMath>
      <w:r w:rsidRPr="003913EB">
        <w:rPr>
          <w:color w:val="000000" w:themeColor="text1"/>
          <w:lang w:val="de-DE"/>
        </w:rPr>
        <w:t xml:space="preserve">) </w:t>
      </w:r>
      <w:r w:rsidRPr="003913EB">
        <w:rPr>
          <w:rFonts w:hint="eastAsia"/>
          <w:color w:val="000000" w:themeColor="text1"/>
          <w:lang w:val="de-DE"/>
        </w:rPr>
        <w:t>when</w:t>
      </w:r>
      <w:r w:rsidRPr="003913EB">
        <w:rPr>
          <w:color w:val="000000" w:themeColor="text1"/>
          <w:lang w:val="de-DE"/>
        </w:rPr>
        <w:t xml:space="preserve"> LCP and RCP inciden</w:t>
      </w:r>
      <w:r w:rsidRPr="003913EB">
        <w:rPr>
          <w:rFonts w:hint="eastAsia"/>
          <w:color w:val="000000" w:themeColor="text1"/>
          <w:lang w:val="de-DE"/>
        </w:rPr>
        <w:t>t</w:t>
      </w:r>
      <w:r w:rsidRPr="003913EB">
        <w:rPr>
          <w:color w:val="000000" w:themeColor="text1"/>
          <w:lang w:val="de-DE"/>
        </w:rPr>
        <w:t xml:space="preserve"> </w:t>
      </w:r>
      <w:r w:rsidRPr="003913EB">
        <w:rPr>
          <w:rFonts w:hint="eastAsia"/>
          <w:color w:val="000000" w:themeColor="text1"/>
          <w:lang w:val="de-DE"/>
        </w:rPr>
        <w:t>the</w:t>
      </w:r>
      <w:r w:rsidRPr="003913EB">
        <w:rPr>
          <w:color w:val="000000" w:themeColor="text1"/>
          <w:lang w:val="de-DE"/>
        </w:rPr>
        <w:t xml:space="preserve"> HER </w:t>
      </w:r>
      <w:r w:rsidRPr="003913EB">
        <w:rPr>
          <w:rFonts w:hint="eastAsia"/>
          <w:color w:val="000000" w:themeColor="text1"/>
          <w:lang w:val="de-DE"/>
        </w:rPr>
        <w:t>structure</w:t>
      </w:r>
      <w:r w:rsidRPr="003913EB">
        <w:rPr>
          <w:color w:val="000000" w:themeColor="text1"/>
          <w:lang w:val="de-DE"/>
        </w:rPr>
        <w:t xml:space="preserve">, respectively. It can be seen within the working band of HER, denoted by the grey region in the figure, the reflected field intensities of the RCP </w:t>
      </w:r>
      <w:r w:rsidRPr="003913EB">
        <w:rPr>
          <w:rFonts w:hint="eastAsia"/>
          <w:bCs/>
          <w:iCs/>
          <w:color w:val="000000" w:themeColor="text1"/>
        </w:rPr>
        <w:t>incidence</w:t>
      </w:r>
      <w:r w:rsidRPr="003913EB">
        <w:rPr>
          <w:color w:val="000000" w:themeColor="text1"/>
          <w:lang w:val="de-DE"/>
        </w:rPr>
        <w:t xml:space="preserve"> are noticeably higher compared to those of the LCP </w:t>
      </w:r>
      <w:r w:rsidRPr="003913EB">
        <w:rPr>
          <w:rFonts w:hint="eastAsia"/>
          <w:bCs/>
          <w:iCs/>
          <w:color w:val="000000" w:themeColor="text1"/>
        </w:rPr>
        <w:t>incidence</w:t>
      </w:r>
      <w:r w:rsidRPr="003913EB">
        <w:rPr>
          <w:color w:val="000000" w:themeColor="text1"/>
          <w:lang w:val="de-DE"/>
        </w:rPr>
        <w:t xml:space="preserve">, which is consistent with the result in Figure 2D. This finding provides a convincing explanation for the broadband CD exhibited by the proposed chiral metasurface. </w:t>
      </w:r>
    </w:p>
    <w:p w14:paraId="6D77CD32" w14:textId="77777777" w:rsidR="001D2B68" w:rsidRPr="003913EB" w:rsidRDefault="001D2B68" w:rsidP="001D2B68">
      <w:pPr>
        <w:pStyle w:val="SNSynopsisTOC"/>
        <w:jc w:val="center"/>
        <w:rPr>
          <w:color w:val="000000" w:themeColor="text1"/>
          <w:lang w:val="de-DE"/>
        </w:rPr>
      </w:pPr>
      <w:r w:rsidRPr="003913EB">
        <w:rPr>
          <w:noProof/>
          <w:color w:val="000000" w:themeColor="text1"/>
          <w:lang w:eastAsia="zh-CN"/>
        </w:rPr>
        <w:drawing>
          <wp:inline distT="0" distB="0" distL="0" distR="0" wp14:anchorId="55395C6E" wp14:editId="149BBA16">
            <wp:extent cx="2420782" cy="1866123"/>
            <wp:effectExtent l="0" t="0" r="0" b="1270"/>
            <wp:docPr id="1" name="图片 1" descr="E:\小论文数据\nanophotonic\600dpi\Figures\Figure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小论文数据\nanophotonic\600dpi\Figures\FigureS3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58" cy="186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ED6C" w14:textId="7A054D6E" w:rsidR="005F2FDF" w:rsidRPr="003913EB" w:rsidRDefault="001D2B68" w:rsidP="001D2B68">
      <w:pPr>
        <w:pStyle w:val="SNSynopsisTOC"/>
        <w:rPr>
          <w:color w:val="000000" w:themeColor="text1"/>
          <w:lang w:val="de-DE"/>
        </w:rPr>
      </w:pPr>
      <w:r w:rsidRPr="003913EB">
        <w:rPr>
          <w:rFonts w:hint="eastAsia"/>
          <w:b/>
          <w:bCs/>
          <w:color w:val="000000" w:themeColor="text1"/>
          <w:lang w:val="de-DE"/>
        </w:rPr>
        <w:t>F</w:t>
      </w:r>
      <w:r w:rsidRPr="003913EB">
        <w:rPr>
          <w:b/>
          <w:bCs/>
          <w:color w:val="000000" w:themeColor="text1"/>
          <w:lang w:val="de-DE"/>
        </w:rPr>
        <w:t xml:space="preserve">igure S4: </w:t>
      </w:r>
      <w:r w:rsidRPr="003913EB">
        <w:rPr>
          <w:color w:val="000000" w:themeColor="text1"/>
          <w:lang w:val="de-DE"/>
        </w:rPr>
        <w:t xml:space="preserve">Scattering CD spectrum </w:t>
      </w:r>
      <w:r w:rsidR="000557E7" w:rsidRPr="003913EB">
        <w:rPr>
          <w:rFonts w:hint="eastAsia"/>
          <w:iCs/>
          <w:color w:val="000000" w:themeColor="text1"/>
        </w:rPr>
        <w:t xml:space="preserve">for the structure </w:t>
      </w:r>
      <w:r w:rsidR="000557E7" w:rsidRPr="003913EB">
        <w:rPr>
          <w:iCs/>
          <w:color w:val="000000" w:themeColor="text1"/>
        </w:rPr>
        <w:t>HER</w:t>
      </w:r>
      <w:r w:rsidR="000557E7" w:rsidRPr="003913EB">
        <w:rPr>
          <w:color w:val="000000" w:themeColor="text1"/>
          <w:lang w:val="de-DE"/>
        </w:rPr>
        <w:t xml:space="preserve"> </w:t>
      </w:r>
      <w:r w:rsidRPr="003913EB">
        <w:rPr>
          <w:color w:val="000000" w:themeColor="text1"/>
          <w:lang w:val="de-DE"/>
        </w:rPr>
        <w:t>based on semi-quantitative multipoles model.</w:t>
      </w:r>
    </w:p>
    <w:p w14:paraId="48015AE7" w14:textId="77777777" w:rsidR="00DE6281" w:rsidRPr="003913EB" w:rsidRDefault="00DE6281" w:rsidP="001D2B68">
      <w:pPr>
        <w:pStyle w:val="SNSynopsisTOC"/>
        <w:rPr>
          <w:color w:val="000000" w:themeColor="text1"/>
          <w:lang w:val="de-DE"/>
        </w:rPr>
      </w:pPr>
    </w:p>
    <w:p w14:paraId="33F42FDF" w14:textId="1CFF12AB" w:rsidR="005F2FDF" w:rsidRPr="003913EB" w:rsidRDefault="005F2FDF" w:rsidP="00E77577">
      <w:pPr>
        <w:pStyle w:val="SNSynopsisTOC"/>
        <w:jc w:val="left"/>
        <w:rPr>
          <w:b/>
          <w:bCs/>
          <w:color w:val="000000" w:themeColor="text1"/>
          <w:lang w:val="de-DE"/>
        </w:rPr>
      </w:pPr>
      <w:r w:rsidRPr="003913EB">
        <w:rPr>
          <w:b/>
          <w:bCs/>
          <w:color w:val="000000" w:themeColor="text1"/>
          <w:lang w:val="de-DE"/>
        </w:rPr>
        <w:t>4. Vectorial field interference of multipoles in the UBB structure</w:t>
      </w:r>
    </w:p>
    <w:p w14:paraId="6E301C31" w14:textId="5064F12D" w:rsidR="00E82CE1" w:rsidRPr="003913EB" w:rsidRDefault="00E82CE1" w:rsidP="00E82CE1">
      <w:pPr>
        <w:pStyle w:val="TAMainText"/>
        <w:rPr>
          <w:color w:val="000000" w:themeColor="text1"/>
          <w:lang w:val="de-DE"/>
        </w:rPr>
      </w:pPr>
      <w:r w:rsidRPr="003913EB">
        <w:rPr>
          <w:rFonts w:hint="eastAsia"/>
          <w:color w:val="000000" w:themeColor="text1"/>
          <w:lang w:val="de-DE"/>
        </w:rPr>
        <w:t xml:space="preserve">Due to the structural similarity, the </w:t>
      </w:r>
      <w:r w:rsidR="00E77577" w:rsidRPr="003913EB">
        <w:rPr>
          <w:color w:val="000000" w:themeColor="text1"/>
          <w:lang w:val="de-DE"/>
        </w:rPr>
        <w:t xml:space="preserve">interaction among </w:t>
      </w:r>
      <w:r w:rsidRPr="003913EB">
        <w:rPr>
          <w:rFonts w:hint="eastAsia"/>
          <w:color w:val="000000" w:themeColor="text1"/>
          <w:lang w:val="de-DE"/>
        </w:rPr>
        <w:t>the multipole</w:t>
      </w:r>
      <w:r w:rsidR="00E77577" w:rsidRPr="003913EB">
        <w:rPr>
          <w:color w:val="000000" w:themeColor="text1"/>
          <w:lang w:val="de-DE"/>
        </w:rPr>
        <w:t>s</w:t>
      </w:r>
      <w:r w:rsidRPr="003913EB">
        <w:rPr>
          <w:rFonts w:hint="eastAsia"/>
          <w:color w:val="000000" w:themeColor="text1"/>
          <w:lang w:val="de-DE"/>
        </w:rPr>
        <w:t xml:space="preserve"> of the UBB structure </w:t>
      </w:r>
      <w:r w:rsidR="00E77577" w:rsidRPr="003913EB">
        <w:rPr>
          <w:color w:val="000000" w:themeColor="text1"/>
          <w:lang w:val="de-DE"/>
        </w:rPr>
        <w:t xml:space="preserve">is the same as that of </w:t>
      </w:r>
      <w:r w:rsidRPr="003913EB">
        <w:rPr>
          <w:rFonts w:hint="eastAsia"/>
          <w:color w:val="000000" w:themeColor="text1"/>
          <w:lang w:val="de-DE"/>
        </w:rPr>
        <w:t>the HER structure</w:t>
      </w:r>
      <w:r w:rsidR="00E77577" w:rsidRPr="003913EB">
        <w:rPr>
          <w:color w:val="000000" w:themeColor="text1"/>
          <w:lang w:val="de-DE"/>
        </w:rPr>
        <w:t xml:space="preserve">. The detailed vectorial field interference of multipoles in the reflection of UBB structure under LCP and RCP incidence are given </w:t>
      </w:r>
      <w:r w:rsidRPr="003913EB">
        <w:rPr>
          <w:color w:val="000000" w:themeColor="text1"/>
          <w:lang w:val="de-DE"/>
        </w:rPr>
        <w:t>in Figure S</w:t>
      </w:r>
      <w:r w:rsidR="001D2B68" w:rsidRPr="003913EB">
        <w:rPr>
          <w:color w:val="000000" w:themeColor="text1"/>
          <w:lang w:val="de-DE"/>
        </w:rPr>
        <w:t>5</w:t>
      </w:r>
      <w:r w:rsidRPr="003913EB">
        <w:rPr>
          <w:color w:val="000000" w:themeColor="text1"/>
          <w:lang w:val="de-DE"/>
        </w:rPr>
        <w:t xml:space="preserve"> and Figure S</w:t>
      </w:r>
      <w:r w:rsidR="001D2B68" w:rsidRPr="003913EB">
        <w:rPr>
          <w:color w:val="000000" w:themeColor="text1"/>
          <w:lang w:val="de-DE"/>
        </w:rPr>
        <w:t>6</w:t>
      </w:r>
      <w:r w:rsidR="00E77577" w:rsidRPr="003913EB">
        <w:rPr>
          <w:color w:val="000000" w:themeColor="text1"/>
          <w:lang w:val="de-DE"/>
        </w:rPr>
        <w:t>, respectively</w:t>
      </w:r>
      <w:r w:rsidRPr="003913EB">
        <w:rPr>
          <w:color w:val="000000" w:themeColor="text1"/>
          <w:lang w:val="de-DE"/>
        </w:rPr>
        <w:t>.</w:t>
      </w:r>
    </w:p>
    <w:p w14:paraId="46B67E02" w14:textId="1B0BF94A" w:rsidR="00E82CE1" w:rsidRPr="003913EB" w:rsidRDefault="00F0437A" w:rsidP="00F0437A">
      <w:pPr>
        <w:pStyle w:val="TAMainText"/>
        <w:ind w:firstLine="0"/>
        <w:jc w:val="center"/>
        <w:rPr>
          <w:rFonts w:asciiTheme="minorEastAsia" w:eastAsiaTheme="minorEastAsia" w:hAnsiTheme="minorEastAsia"/>
          <w:color w:val="000000" w:themeColor="text1"/>
          <w:lang w:val="de-DE" w:eastAsia="zh-CN"/>
        </w:rPr>
      </w:pPr>
      <w:r w:rsidRPr="003913EB">
        <w:rPr>
          <w:rFonts w:asciiTheme="minorEastAsia" w:eastAsiaTheme="minorEastAsia" w:hAnsiTheme="minorEastAsia"/>
          <w:noProof/>
          <w:color w:val="000000" w:themeColor="text1"/>
          <w:lang w:eastAsia="zh-CN"/>
        </w:rPr>
        <w:lastRenderedPageBreak/>
        <w:drawing>
          <wp:inline distT="0" distB="0" distL="0" distR="0" wp14:anchorId="26A2A2C8" wp14:editId="3B8FE9E0">
            <wp:extent cx="4371975" cy="3333750"/>
            <wp:effectExtent l="0" t="0" r="9525" b="0"/>
            <wp:docPr id="3" name="图片 3" descr="E:\审稿意见回复\Figure\Figur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审稿意见回复\Figure\FigureS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CF674" w14:textId="42A7355B" w:rsidR="003833A3" w:rsidRPr="003913EB" w:rsidRDefault="00E82CE1" w:rsidP="003833A3">
      <w:pPr>
        <w:pStyle w:val="VAFigureCaption"/>
        <w:rPr>
          <w:color w:val="000000" w:themeColor="text1"/>
          <w:lang w:val="de-DE"/>
        </w:rPr>
      </w:pPr>
      <w:r w:rsidRPr="003913EB">
        <w:rPr>
          <w:b/>
          <w:color w:val="000000" w:themeColor="text1"/>
          <w:lang w:val="de-DE"/>
        </w:rPr>
        <w:t>Figure S</w:t>
      </w:r>
      <w:r w:rsidR="001D2B68" w:rsidRPr="003913EB">
        <w:rPr>
          <w:b/>
          <w:color w:val="000000" w:themeColor="text1"/>
          <w:lang w:val="de-DE"/>
        </w:rPr>
        <w:t>5</w:t>
      </w:r>
      <w:r w:rsidRPr="003913EB">
        <w:rPr>
          <w:b/>
          <w:color w:val="000000" w:themeColor="text1"/>
          <w:lang w:val="de-DE"/>
        </w:rPr>
        <w:t>:</w:t>
      </w:r>
      <w:r w:rsidRPr="003913EB">
        <w:rPr>
          <w:color w:val="000000" w:themeColor="text1"/>
          <w:lang w:val="de-DE"/>
        </w:rPr>
        <w:t xml:space="preserve"> Vectorial field interference of multipoles in the reflection of UBB structure under LCP incidence.</w:t>
      </w:r>
      <w:r w:rsidR="003833A3" w:rsidRPr="003913EB">
        <w:rPr>
          <w:color w:val="000000" w:themeColor="text1"/>
          <w:lang w:val="de-DE"/>
        </w:rPr>
        <w:t xml:space="preserve"> (A, C) Amplitudes of the four components of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x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="003833A3" w:rsidRPr="003913EB">
        <w:rPr>
          <w:rFonts w:hint="eastAsia"/>
          <w:color w:val="000000" w:themeColor="text1"/>
          <w:lang w:val="de-DE"/>
        </w:rPr>
        <w:t xml:space="preserve"> </w:t>
      </w:r>
      <w:r w:rsidR="003833A3" w:rsidRPr="003913EB">
        <w:rPr>
          <w:color w:val="000000" w:themeColor="text1"/>
          <w:lang w:val="de-DE"/>
        </w:rPr>
        <w:t xml:space="preserve">and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y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="003833A3" w:rsidRPr="003913EB">
        <w:rPr>
          <w:color w:val="000000" w:themeColor="text1"/>
          <w:lang w:val="de-DE"/>
        </w:rPr>
        <w:t xml:space="preserve">, respectively, as well as the amplitudes formed by the first-stage and second-stage interference. (B, D) The corresponding phases of different components of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x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="003833A3" w:rsidRPr="003913EB">
        <w:rPr>
          <w:rFonts w:hint="eastAsia"/>
          <w:color w:val="000000" w:themeColor="text1"/>
          <w:lang w:val="de-DE"/>
        </w:rPr>
        <w:t xml:space="preserve"> </w:t>
      </w:r>
      <w:r w:rsidR="003833A3" w:rsidRPr="003913EB">
        <w:rPr>
          <w:color w:val="000000" w:themeColor="text1"/>
          <w:lang w:val="de-DE"/>
        </w:rPr>
        <w:t xml:space="preserve">and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y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="003833A3" w:rsidRPr="003913EB">
        <w:rPr>
          <w:color w:val="000000" w:themeColor="text1"/>
          <w:lang w:val="de-DE"/>
        </w:rPr>
        <w:t>, and those after the first-stage and second-stage interference.</w:t>
      </w:r>
    </w:p>
    <w:p w14:paraId="2657B747" w14:textId="77777777" w:rsidR="00E82CE1" w:rsidRPr="003913EB" w:rsidRDefault="003833A3" w:rsidP="003833A3">
      <w:pPr>
        <w:pStyle w:val="VAFigureCaption"/>
        <w:jc w:val="center"/>
        <w:rPr>
          <w:color w:val="000000" w:themeColor="text1"/>
          <w:lang w:val="de-DE"/>
        </w:rPr>
      </w:pPr>
      <w:r w:rsidRPr="003913EB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50ED9587" wp14:editId="3B4C7D9D">
            <wp:extent cx="3936911" cy="3065618"/>
            <wp:effectExtent l="0" t="0" r="6985" b="1905"/>
            <wp:docPr id="12" name="图片 12" descr="E:\审稿意见回复\Figure_Re\FigureS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审稿意见回复\Figure_Re\FigureS66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63" cy="306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1EAD" w14:textId="356EE8EB" w:rsidR="006B6168" w:rsidRPr="003913EB" w:rsidRDefault="00E82CE1" w:rsidP="001D2B68">
      <w:pPr>
        <w:pStyle w:val="VAFigureCaption"/>
        <w:rPr>
          <w:color w:val="000000" w:themeColor="text1"/>
          <w:lang w:val="de-DE"/>
        </w:rPr>
      </w:pPr>
      <w:r w:rsidRPr="003913EB">
        <w:rPr>
          <w:b/>
          <w:color w:val="000000" w:themeColor="text1"/>
          <w:lang w:val="de-DE"/>
        </w:rPr>
        <w:t>Figure S</w:t>
      </w:r>
      <w:r w:rsidR="001D2B68" w:rsidRPr="003913EB">
        <w:rPr>
          <w:b/>
          <w:color w:val="000000" w:themeColor="text1"/>
          <w:lang w:val="de-DE"/>
        </w:rPr>
        <w:t>6</w:t>
      </w:r>
      <w:r w:rsidRPr="003913EB">
        <w:rPr>
          <w:b/>
          <w:color w:val="000000" w:themeColor="text1"/>
          <w:lang w:val="de-DE"/>
        </w:rPr>
        <w:t>:</w:t>
      </w:r>
      <w:r w:rsidRPr="003913EB">
        <w:rPr>
          <w:color w:val="000000" w:themeColor="text1"/>
          <w:lang w:val="de-DE"/>
        </w:rPr>
        <w:t xml:space="preserve"> Vectorial field interference of multipoles in the reflection of UBB structure under RCP incidence.</w:t>
      </w:r>
      <w:r w:rsidR="003833A3" w:rsidRPr="003913EB">
        <w:rPr>
          <w:color w:val="000000" w:themeColor="text1"/>
          <w:lang w:val="de-DE"/>
        </w:rPr>
        <w:t xml:space="preserve"> (A, C) Amplitudes of the four components of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x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="003833A3" w:rsidRPr="003913EB">
        <w:rPr>
          <w:rFonts w:hint="eastAsia"/>
          <w:color w:val="000000" w:themeColor="text1"/>
          <w:lang w:val="de-DE"/>
        </w:rPr>
        <w:t xml:space="preserve"> </w:t>
      </w:r>
      <w:r w:rsidR="003833A3" w:rsidRPr="003913EB">
        <w:rPr>
          <w:color w:val="000000" w:themeColor="text1"/>
          <w:lang w:val="de-DE"/>
        </w:rPr>
        <w:t xml:space="preserve">and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y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="003833A3" w:rsidRPr="003913EB">
        <w:rPr>
          <w:color w:val="000000" w:themeColor="text1"/>
          <w:lang w:val="de-DE"/>
        </w:rPr>
        <w:t xml:space="preserve">, respectively, as well as the amplitudes formed by the first-stage and second-stage interference. (B, D) The corresponding phases of different components of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x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="003833A3" w:rsidRPr="003913EB">
        <w:rPr>
          <w:rFonts w:hint="eastAsia"/>
          <w:color w:val="000000" w:themeColor="text1"/>
          <w:lang w:val="de-DE"/>
        </w:rPr>
        <w:t xml:space="preserve"> </w:t>
      </w:r>
      <w:r w:rsidR="003833A3" w:rsidRPr="003913EB">
        <w:rPr>
          <w:color w:val="000000" w:themeColor="text1"/>
          <w:lang w:val="de-DE"/>
        </w:rPr>
        <w:t xml:space="preserve">and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bSupPr>
          <m:e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E</m:t>
            </m:r>
          </m:e>
          <m:sub>
            <m:r>
              <m:rPr>
                <m:nor/>
              </m:rPr>
              <w:rPr>
                <w:i/>
                <w:color w:val="000000" w:themeColor="text1"/>
                <w:lang w:val="de-DE"/>
              </w:rPr>
              <m:t>y</m:t>
            </m:r>
          </m:sub>
          <m:sup>
            <m:r>
              <m:rPr>
                <m:nor/>
              </m:rPr>
              <w:rPr>
                <w:color w:val="000000" w:themeColor="text1"/>
                <w:lang w:val="de-DE"/>
              </w:rPr>
              <m:t>sc</m:t>
            </m:r>
          </m:sup>
        </m:sSubSup>
      </m:oMath>
      <w:r w:rsidR="003833A3" w:rsidRPr="003913EB">
        <w:rPr>
          <w:color w:val="000000" w:themeColor="text1"/>
          <w:lang w:val="de-DE"/>
        </w:rPr>
        <w:t>, and those after the first-stage and second-stage interference.</w:t>
      </w:r>
    </w:p>
    <w:p w14:paraId="6C622100" w14:textId="77777777" w:rsidR="00926CEF" w:rsidRPr="003913EB" w:rsidRDefault="00926CEF" w:rsidP="00926CEF">
      <w:pPr>
        <w:rPr>
          <w:color w:val="000000" w:themeColor="text1"/>
          <w:lang w:val="de-DE"/>
        </w:rPr>
      </w:pPr>
    </w:p>
    <w:p w14:paraId="541B7D32" w14:textId="22A445E5" w:rsidR="00E82CE1" w:rsidRPr="003913EB" w:rsidRDefault="00F83235" w:rsidP="008448B1">
      <w:pPr>
        <w:pStyle w:val="TAMainText"/>
        <w:rPr>
          <w:color w:val="000000" w:themeColor="text1"/>
          <w:lang w:val="de-DE"/>
        </w:rPr>
      </w:pPr>
      <w:r w:rsidRPr="003913EB">
        <w:rPr>
          <w:rFonts w:hint="eastAsia"/>
          <w:color w:val="000000" w:themeColor="text1"/>
          <w:lang w:val="de-DE"/>
        </w:rPr>
        <w:t>Figure</w:t>
      </w:r>
      <w:r w:rsidRPr="003913EB">
        <w:rPr>
          <w:color w:val="000000" w:themeColor="text1"/>
          <w:lang w:val="de-DE"/>
        </w:rPr>
        <w:t xml:space="preserve"> S7 </w:t>
      </w:r>
      <w:r w:rsidRPr="003913EB">
        <w:rPr>
          <w:rFonts w:hint="eastAsia"/>
          <w:color w:val="000000" w:themeColor="text1"/>
          <w:lang w:val="de-DE"/>
        </w:rPr>
        <w:t>shows</w:t>
      </w:r>
      <w:r w:rsidRPr="003913EB">
        <w:rPr>
          <w:color w:val="000000" w:themeColor="text1"/>
          <w:lang w:val="de-DE"/>
        </w:rPr>
        <w:t xml:space="preserve"> </w:t>
      </w:r>
      <w:r w:rsidRPr="003913EB">
        <w:rPr>
          <w:rFonts w:hint="eastAsia"/>
          <w:color w:val="000000" w:themeColor="text1"/>
          <w:lang w:val="de-DE"/>
        </w:rPr>
        <w:t>the</w:t>
      </w:r>
      <w:r w:rsidRPr="003913EB">
        <w:rPr>
          <w:color w:val="000000" w:themeColor="text1"/>
          <w:lang w:val="de-DE"/>
        </w:rPr>
        <w:t xml:space="preserve"> intensity of the far field of reflection (</w:t>
      </w:r>
      <m:oMath>
        <m:sSup>
          <m:s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pPr>
          <m:e>
            <m:r>
              <m:rPr>
                <m:nor/>
              </m:rPr>
              <w:rPr>
                <w:color w:val="000000" w:themeColor="text1"/>
                <w:lang w:val="de-DE"/>
              </w:rPr>
              <m:t>|</m:t>
            </m:r>
            <m:sSup>
              <m:sSupPr>
                <m:ctrlPr>
                  <w:rPr>
                    <w:rFonts w:ascii="Cambria Math" w:hAnsi="Cambria Math"/>
                    <w:color w:val="000000" w:themeColor="text1"/>
                    <w:lang w:val="de-DE"/>
                  </w:rPr>
                </m:ctrlPr>
              </m:sSup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de-DE"/>
                  </w:rPr>
                  <m:t>E</m:t>
                </m:r>
              </m:e>
              <m:sup>
                <m:r>
                  <m:rPr>
                    <m:nor/>
                  </m:rPr>
                  <w:rPr>
                    <w:color w:val="000000" w:themeColor="text1"/>
                    <w:lang w:val="de-DE"/>
                  </w:rPr>
                  <m:t>sc</m:t>
                </m:r>
              </m:sup>
            </m:sSup>
            <m:r>
              <m:rPr>
                <m:nor/>
              </m:rPr>
              <w:rPr>
                <w:color w:val="000000" w:themeColor="text1"/>
                <w:lang w:val="de-DE"/>
              </w:rPr>
              <m:t>|</m:t>
            </m:r>
          </m:e>
          <m:sup>
            <m:r>
              <m:rPr>
                <m:nor/>
              </m:rPr>
              <w:rPr>
                <w:color w:val="000000" w:themeColor="text1"/>
                <w:lang w:val="de-DE"/>
              </w:rPr>
              <m:t>2</m:t>
            </m:r>
          </m:sup>
        </m:sSup>
        <m:r>
          <m:rPr>
            <m:nor/>
          </m:rPr>
          <w:rPr>
            <w:color w:val="000000" w:themeColor="text1"/>
            <w:lang w:val="de-DE"/>
          </w:rPr>
          <m:t xml:space="preserve"> =</m:t>
        </m:r>
        <m:sSup>
          <m:s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pPr>
          <m:e>
            <m:r>
              <m:rPr>
                <m:nor/>
              </m:rPr>
              <w:rPr>
                <w:color w:val="000000" w:themeColor="text1"/>
                <w:lang w:val="de-DE"/>
              </w:rPr>
              <m:t xml:space="preserve"> |</m:t>
            </m:r>
            <m:sSubSup>
              <m:sSubSupPr>
                <m:ctrlPr>
                  <w:rPr>
                    <w:rFonts w:ascii="Cambria Math" w:hAnsi="Cambria Math"/>
                    <w:color w:val="000000" w:themeColor="text1"/>
                    <w:lang w:val="de-DE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de-D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  <w:lang w:val="de-DE"/>
                  </w:rPr>
                  <m:t>x</m:t>
                </m:r>
              </m:sub>
              <m:sup>
                <m:r>
                  <m:rPr>
                    <m:nor/>
                  </m:rPr>
                  <w:rPr>
                    <w:color w:val="000000" w:themeColor="text1"/>
                    <w:lang w:val="de-DE"/>
                  </w:rPr>
                  <m:t>sc</m:t>
                </m:r>
              </m:sup>
            </m:sSubSup>
            <m:r>
              <m:rPr>
                <m:nor/>
              </m:rPr>
              <w:rPr>
                <w:color w:val="000000" w:themeColor="text1"/>
                <w:lang w:val="de-DE"/>
              </w:rPr>
              <m:t>|</m:t>
            </m:r>
          </m:e>
          <m:sup>
            <m:r>
              <m:rPr>
                <m:nor/>
              </m:rPr>
              <w:rPr>
                <w:color w:val="000000" w:themeColor="text1"/>
                <w:lang w:val="de-DE"/>
              </w:rPr>
              <m:t>2</m:t>
            </m:r>
          </m:sup>
        </m:sSup>
        <m:r>
          <m:rPr>
            <m:nor/>
          </m:rPr>
          <w:rPr>
            <w:color w:val="000000" w:themeColor="text1"/>
            <w:lang w:val="de-DE"/>
          </w:rPr>
          <m:t xml:space="preserve"> + </m:t>
        </m:r>
        <m:sSup>
          <m:sSupPr>
            <m:ctrlPr>
              <w:rPr>
                <w:rFonts w:ascii="Cambria Math" w:hAnsi="Cambria Math"/>
                <w:color w:val="000000" w:themeColor="text1"/>
                <w:lang w:val="de-DE"/>
              </w:rPr>
            </m:ctrlPr>
          </m:sSupPr>
          <m:e>
            <m:r>
              <m:rPr>
                <m:nor/>
              </m:rPr>
              <w:rPr>
                <w:color w:val="000000" w:themeColor="text1"/>
                <w:lang w:val="de-DE"/>
              </w:rPr>
              <m:t>|</m:t>
            </m:r>
            <m:sSubSup>
              <m:sSubSupPr>
                <m:ctrlPr>
                  <w:rPr>
                    <w:rFonts w:ascii="Cambria Math" w:hAnsi="Cambria Math"/>
                    <w:color w:val="000000" w:themeColor="text1"/>
                    <w:lang w:val="de-DE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color w:val="000000" w:themeColor="text1"/>
                    <w:lang w:val="de-DE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i/>
                    <w:color w:val="000000" w:themeColor="text1"/>
                    <w:lang w:val="de-DE"/>
                  </w:rPr>
                  <m:t>y</m:t>
                </m:r>
              </m:sub>
              <m:sup>
                <m:r>
                  <m:rPr>
                    <m:nor/>
                  </m:rPr>
                  <w:rPr>
                    <w:color w:val="000000" w:themeColor="text1"/>
                    <w:lang w:val="de-DE"/>
                  </w:rPr>
                  <m:t>sc</m:t>
                </m:r>
              </m:sup>
            </m:sSubSup>
            <m:r>
              <m:rPr>
                <m:nor/>
              </m:rPr>
              <w:rPr>
                <w:color w:val="000000" w:themeColor="text1"/>
                <w:lang w:val="de-DE"/>
              </w:rPr>
              <m:t>|</m:t>
            </m:r>
          </m:e>
          <m:sup>
            <m:r>
              <m:rPr>
                <m:nor/>
              </m:rPr>
              <w:rPr>
                <w:color w:val="000000" w:themeColor="text1"/>
                <w:lang w:val="de-DE"/>
              </w:rPr>
              <m:t>2</m:t>
            </m:r>
          </m:sup>
        </m:sSup>
      </m:oMath>
      <w:r w:rsidRPr="003913EB">
        <w:rPr>
          <w:color w:val="000000" w:themeColor="text1"/>
          <w:lang w:val="de-DE"/>
        </w:rPr>
        <w:t xml:space="preserve">) </w:t>
      </w:r>
      <w:r w:rsidRPr="003913EB">
        <w:rPr>
          <w:rFonts w:hint="eastAsia"/>
          <w:color w:val="000000" w:themeColor="text1"/>
          <w:lang w:val="de-DE"/>
        </w:rPr>
        <w:t>when</w:t>
      </w:r>
      <w:r w:rsidRPr="003913EB">
        <w:rPr>
          <w:color w:val="000000" w:themeColor="text1"/>
          <w:lang w:val="de-DE"/>
        </w:rPr>
        <w:t xml:space="preserve"> LCP and RCP inciden</w:t>
      </w:r>
      <w:r w:rsidRPr="003913EB">
        <w:rPr>
          <w:rFonts w:hint="eastAsia"/>
          <w:color w:val="000000" w:themeColor="text1"/>
          <w:lang w:val="de-DE"/>
        </w:rPr>
        <w:t>t</w:t>
      </w:r>
      <w:r w:rsidRPr="003913EB">
        <w:rPr>
          <w:color w:val="000000" w:themeColor="text1"/>
          <w:lang w:val="de-DE"/>
        </w:rPr>
        <w:t xml:space="preserve"> </w:t>
      </w:r>
      <w:r w:rsidRPr="003913EB">
        <w:rPr>
          <w:rFonts w:hint="eastAsia"/>
          <w:color w:val="000000" w:themeColor="text1"/>
          <w:lang w:val="de-DE"/>
        </w:rPr>
        <w:t>the</w:t>
      </w:r>
      <w:r w:rsidRPr="003913EB">
        <w:rPr>
          <w:color w:val="000000" w:themeColor="text1"/>
          <w:lang w:val="de-DE"/>
        </w:rPr>
        <w:t xml:space="preserve"> UBB </w:t>
      </w:r>
      <w:r w:rsidRPr="003913EB">
        <w:rPr>
          <w:rFonts w:hint="eastAsia"/>
          <w:color w:val="000000" w:themeColor="text1"/>
          <w:lang w:val="de-DE"/>
        </w:rPr>
        <w:t>structure</w:t>
      </w:r>
      <w:r w:rsidRPr="003913EB">
        <w:rPr>
          <w:color w:val="000000" w:themeColor="text1"/>
          <w:lang w:val="de-DE"/>
        </w:rPr>
        <w:t xml:space="preserve">, respectively. It can </w:t>
      </w:r>
      <w:r w:rsidR="00144C90" w:rsidRPr="003913EB">
        <w:rPr>
          <w:color w:val="000000" w:themeColor="text1"/>
          <w:lang w:val="de-DE"/>
        </w:rPr>
        <w:t xml:space="preserve">also </w:t>
      </w:r>
      <w:r w:rsidRPr="003913EB">
        <w:rPr>
          <w:color w:val="000000" w:themeColor="text1"/>
          <w:lang w:val="de-DE"/>
        </w:rPr>
        <w:t xml:space="preserve">be seen within the working band of UBB, denoted by the grey region in the figure, the reflected field intensities of the RCP </w:t>
      </w:r>
      <w:r w:rsidRPr="003913EB">
        <w:rPr>
          <w:rFonts w:hint="eastAsia"/>
          <w:color w:val="000000" w:themeColor="text1"/>
          <w:lang w:val="de-DE"/>
        </w:rPr>
        <w:t>incidence</w:t>
      </w:r>
      <w:r w:rsidRPr="003913EB">
        <w:rPr>
          <w:color w:val="000000" w:themeColor="text1"/>
          <w:lang w:val="de-DE"/>
        </w:rPr>
        <w:t xml:space="preserve"> are noticeably higher compared to those of the LCP </w:t>
      </w:r>
      <w:r w:rsidRPr="003913EB">
        <w:rPr>
          <w:rFonts w:hint="eastAsia"/>
          <w:color w:val="000000" w:themeColor="text1"/>
          <w:lang w:val="de-DE"/>
        </w:rPr>
        <w:t>incidence</w:t>
      </w:r>
      <w:r w:rsidRPr="003913EB">
        <w:rPr>
          <w:color w:val="000000" w:themeColor="text1"/>
          <w:lang w:val="de-DE"/>
        </w:rPr>
        <w:t>, which is consistent with the result in Figure 2H.</w:t>
      </w:r>
    </w:p>
    <w:p w14:paraId="3D9ED4C9" w14:textId="6855BD1E" w:rsidR="00BC15B9" w:rsidRPr="003913EB" w:rsidRDefault="009219D2" w:rsidP="00093A26">
      <w:pPr>
        <w:pStyle w:val="SNSynopsisTOC"/>
        <w:jc w:val="center"/>
        <w:rPr>
          <w:color w:val="000000" w:themeColor="text1"/>
          <w:lang w:val="de-DE"/>
        </w:rPr>
      </w:pPr>
      <w:r>
        <w:rPr>
          <w:noProof/>
        </w:rPr>
        <w:lastRenderedPageBreak/>
        <w:drawing>
          <wp:inline distT="0" distB="0" distL="0" distR="0" wp14:anchorId="6BDA104A" wp14:editId="3C450B54">
            <wp:extent cx="3223260" cy="2343751"/>
            <wp:effectExtent l="0" t="0" r="0" b="0"/>
            <wp:docPr id="20433375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3757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1494" cy="235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839D" w14:textId="3FD070C7" w:rsidR="008924D5" w:rsidRPr="009219D2" w:rsidRDefault="00BC15B9" w:rsidP="005F2FDF">
      <w:pPr>
        <w:pStyle w:val="SNSynopsisTOC"/>
        <w:rPr>
          <w:iCs/>
          <w:color w:val="000000" w:themeColor="text1"/>
        </w:rPr>
      </w:pPr>
      <w:r w:rsidRPr="003913EB">
        <w:rPr>
          <w:rFonts w:hint="eastAsia"/>
          <w:b/>
          <w:bCs/>
          <w:color w:val="000000" w:themeColor="text1"/>
          <w:lang w:val="de-DE"/>
        </w:rPr>
        <w:t>F</w:t>
      </w:r>
      <w:r w:rsidRPr="003913EB">
        <w:rPr>
          <w:b/>
          <w:bCs/>
          <w:color w:val="000000" w:themeColor="text1"/>
          <w:lang w:val="de-DE"/>
        </w:rPr>
        <w:t>igure S</w:t>
      </w:r>
      <w:r w:rsidR="006B6168" w:rsidRPr="003913EB">
        <w:rPr>
          <w:b/>
          <w:bCs/>
          <w:color w:val="000000" w:themeColor="text1"/>
          <w:lang w:val="de-DE"/>
        </w:rPr>
        <w:t>7</w:t>
      </w:r>
      <w:r w:rsidR="00093A26" w:rsidRPr="003913EB">
        <w:rPr>
          <w:b/>
          <w:bCs/>
          <w:color w:val="000000" w:themeColor="text1"/>
          <w:lang w:val="de-DE"/>
        </w:rPr>
        <w:t>:</w:t>
      </w:r>
      <w:r w:rsidRPr="003913EB">
        <w:rPr>
          <w:b/>
          <w:bCs/>
          <w:color w:val="000000" w:themeColor="text1"/>
          <w:lang w:val="de-DE"/>
        </w:rPr>
        <w:t xml:space="preserve"> </w:t>
      </w:r>
      <w:r w:rsidR="00E82CE1" w:rsidRPr="003913EB">
        <w:rPr>
          <w:rFonts w:hint="eastAsia"/>
          <w:iCs/>
          <w:color w:val="000000" w:themeColor="text1"/>
        </w:rPr>
        <w:t>Scattering CD spectrum for the structure UBB based on semi-quantitative multipoles model</w:t>
      </w:r>
      <w:r w:rsidR="000557E7" w:rsidRPr="003913EB">
        <w:rPr>
          <w:iCs/>
          <w:color w:val="000000" w:themeColor="text1"/>
        </w:rPr>
        <w:t>.</w:t>
      </w:r>
    </w:p>
    <w:p w14:paraId="2C0FDA1F" w14:textId="58CDDFA1" w:rsidR="00C07266" w:rsidRPr="003913EB" w:rsidRDefault="00A93C2C" w:rsidP="00BC15B9">
      <w:pPr>
        <w:pStyle w:val="SNSynopsisTOC"/>
        <w:jc w:val="left"/>
        <w:rPr>
          <w:b/>
          <w:color w:val="000000" w:themeColor="text1"/>
          <w:lang w:val="de-DE"/>
        </w:rPr>
      </w:pPr>
      <w:r w:rsidRPr="003913EB">
        <w:rPr>
          <w:b/>
          <w:color w:val="000000" w:themeColor="text1"/>
          <w:lang w:val="de-DE"/>
        </w:rPr>
        <w:t>5</w:t>
      </w:r>
      <w:r w:rsidR="00BC15B9" w:rsidRPr="003913EB">
        <w:rPr>
          <w:b/>
          <w:color w:val="000000" w:themeColor="text1"/>
          <w:lang w:val="de-DE"/>
        </w:rPr>
        <w:t>. Experimental measurement setup</w:t>
      </w:r>
    </w:p>
    <w:p w14:paraId="772FA52F" w14:textId="60C76AA6" w:rsidR="00BC15B9" w:rsidRPr="003913EB" w:rsidRDefault="00BC15B9" w:rsidP="00A0517C">
      <w:pPr>
        <w:pStyle w:val="TAMainText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The optical setup for the measurement of chiral characteristics is depicted in</w:t>
      </w:r>
      <w:r w:rsidRPr="003913EB">
        <w:rPr>
          <w:rFonts w:hint="eastAsia"/>
          <w:b/>
          <w:color w:val="000000" w:themeColor="text1"/>
          <w:lang w:val="de-DE"/>
        </w:rPr>
        <w:t xml:space="preserve"> </w:t>
      </w:r>
      <w:r w:rsidRPr="003913EB">
        <w:rPr>
          <w:rFonts w:hint="eastAsia"/>
          <w:color w:val="000000" w:themeColor="text1"/>
          <w:lang w:val="de-DE"/>
        </w:rPr>
        <w:t>F</w:t>
      </w:r>
      <w:r w:rsidRPr="003913EB">
        <w:rPr>
          <w:color w:val="000000" w:themeColor="text1"/>
          <w:lang w:val="de-DE"/>
        </w:rPr>
        <w:t>igure S</w:t>
      </w:r>
      <w:r w:rsidR="00B3516C" w:rsidRPr="003913EB">
        <w:rPr>
          <w:color w:val="000000" w:themeColor="text1"/>
          <w:lang w:val="de-DE"/>
        </w:rPr>
        <w:t>8</w:t>
      </w:r>
      <w:r w:rsidRPr="003913EB">
        <w:rPr>
          <w:color w:val="000000" w:themeColor="text1"/>
          <w:lang w:val="de-DE"/>
        </w:rPr>
        <w:t>. A supercontinuum laser (Fianium LLTF Contrast) emits wavelength-tunable monochromatic light, which is then converted to circularly polarized light by an attenuator (A, NDC-50S-1M), an achromatic linear polarizer (P, Thorlabs, WP25H) and an achromatic quarter-wave, (QWP, AQWP10M-1600). The circularly polarized light is then focused onto the sample surface by a near-infrared double-glued achromatic lens (L, Thorlabs, AC-254-075-C, f = 75 mm), with a focal area smaller than that of the metasurface. The transmitted light from the chiral structure array passes through a microscopic objective (O, Mitutoyo, MY50X-825, 50×) and is imaged onto a NIR CCD camera (XENICS, XEVA-1.7-320, 320×256). The energy of the transmitted light is then determined by taking a photograph and normalized to the transmission energy of the incident light passing through a bare glass substrate.</w:t>
      </w:r>
    </w:p>
    <w:p w14:paraId="79E0F8AD" w14:textId="77777777" w:rsidR="00BC15B9" w:rsidRPr="003913EB" w:rsidRDefault="00093A26" w:rsidP="00135F91">
      <w:pPr>
        <w:pStyle w:val="SNSynopsisTOC"/>
        <w:jc w:val="center"/>
        <w:rPr>
          <w:color w:val="000000" w:themeColor="text1"/>
          <w:lang w:val="de-DE"/>
        </w:rPr>
      </w:pPr>
      <w:r w:rsidRPr="003913EB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3188DC5A" wp14:editId="6A7A28FB">
            <wp:extent cx="5761355" cy="1337310"/>
            <wp:effectExtent l="0" t="0" r="0" b="0"/>
            <wp:docPr id="6" name="图片 6" descr="E:\小论文数据\nanophotonic\600dpi\Figures\Figure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小论文数据\nanophotonic\600dpi\Figures\FigureS4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107BF" w14:textId="15C7DFEE" w:rsidR="00BC15B9" w:rsidRPr="003913EB" w:rsidRDefault="00BC15B9" w:rsidP="00386F49">
      <w:pPr>
        <w:pStyle w:val="VAFigureCaption"/>
        <w:rPr>
          <w:color w:val="000000" w:themeColor="text1"/>
          <w:lang w:val="de-DE"/>
        </w:rPr>
      </w:pPr>
      <w:r w:rsidRPr="003913EB">
        <w:rPr>
          <w:rFonts w:hint="eastAsia"/>
          <w:b/>
          <w:color w:val="000000" w:themeColor="text1"/>
          <w:lang w:val="de-DE"/>
        </w:rPr>
        <w:t>F</w:t>
      </w:r>
      <w:r w:rsidRPr="003913EB">
        <w:rPr>
          <w:b/>
          <w:color w:val="000000" w:themeColor="text1"/>
          <w:lang w:val="de-DE"/>
        </w:rPr>
        <w:t>igure S</w:t>
      </w:r>
      <w:r w:rsidR="00B3516C" w:rsidRPr="003913EB">
        <w:rPr>
          <w:b/>
          <w:color w:val="000000" w:themeColor="text1"/>
          <w:lang w:val="de-DE"/>
        </w:rPr>
        <w:t>8</w:t>
      </w:r>
      <w:r w:rsidR="00093A26" w:rsidRPr="003913EB">
        <w:rPr>
          <w:b/>
          <w:color w:val="000000" w:themeColor="text1"/>
          <w:lang w:val="de-DE"/>
        </w:rPr>
        <w:t>:</w:t>
      </w:r>
      <w:r w:rsidRPr="003913EB">
        <w:rPr>
          <w:color w:val="000000" w:themeColor="text1"/>
          <w:lang w:val="de-DE"/>
        </w:rPr>
        <w:t xml:space="preserve"> Schematic of chiral spectrum</w:t>
      </w:r>
      <w:r w:rsidRPr="003913EB">
        <w:rPr>
          <w:b/>
          <w:color w:val="000000" w:themeColor="text1"/>
          <w:lang w:val="de-DE"/>
        </w:rPr>
        <w:t xml:space="preserve"> </w:t>
      </w:r>
      <w:r w:rsidRPr="003913EB">
        <w:rPr>
          <w:color w:val="000000" w:themeColor="text1"/>
          <w:lang w:val="de-DE"/>
        </w:rPr>
        <w:t>measurement</w:t>
      </w:r>
      <w:r w:rsidR="00637C55" w:rsidRPr="003913EB">
        <w:rPr>
          <w:color w:val="000000" w:themeColor="text1"/>
          <w:lang w:val="de-DE"/>
        </w:rPr>
        <w:t>.</w:t>
      </w:r>
    </w:p>
    <w:p w14:paraId="108310D1" w14:textId="77777777" w:rsidR="00500006" w:rsidRPr="003913EB" w:rsidRDefault="00500006" w:rsidP="00500006">
      <w:pPr>
        <w:pStyle w:val="TableHe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left"/>
        <w:rPr>
          <w:b/>
          <w:color w:val="000000" w:themeColor="text1"/>
          <w:lang w:val="de-DE"/>
        </w:rPr>
      </w:pPr>
    </w:p>
    <w:p w14:paraId="0F28E105" w14:textId="0CF3F0CE" w:rsidR="00500006" w:rsidRPr="003913EB" w:rsidRDefault="00A93C2C" w:rsidP="00B751D7">
      <w:pPr>
        <w:pStyle w:val="SNSynopsisTOC"/>
        <w:rPr>
          <w:b/>
          <w:color w:val="000000" w:themeColor="text1"/>
          <w:lang w:val="en-GB"/>
        </w:rPr>
      </w:pPr>
      <w:r w:rsidRPr="003913EB">
        <w:rPr>
          <w:b/>
          <w:color w:val="000000" w:themeColor="text1"/>
          <w:lang w:val="de-DE"/>
        </w:rPr>
        <w:t>6</w:t>
      </w:r>
      <w:r w:rsidR="00500006" w:rsidRPr="003913EB">
        <w:rPr>
          <w:b/>
          <w:color w:val="000000" w:themeColor="text1"/>
          <w:lang w:val="de-DE"/>
        </w:rPr>
        <w:t xml:space="preserve">. </w:t>
      </w:r>
      <w:r w:rsidR="00500006" w:rsidRPr="003913EB">
        <w:rPr>
          <w:b/>
          <w:color w:val="000000" w:themeColor="text1"/>
          <w:lang w:val="en-GB"/>
        </w:rPr>
        <w:t>Comparison of CD</w:t>
      </w:r>
      <w:r w:rsidR="00500006" w:rsidRPr="003913EB">
        <w:rPr>
          <w:rFonts w:hint="eastAsia"/>
          <w:b/>
          <w:color w:val="000000" w:themeColor="text1"/>
          <w:lang w:val="en-GB"/>
        </w:rPr>
        <w:t>/</w:t>
      </w:r>
      <w:r w:rsidR="00500006" w:rsidRPr="003913EB">
        <w:rPr>
          <w:b/>
          <w:color w:val="000000" w:themeColor="text1"/>
          <w:lang w:val="en-GB"/>
        </w:rPr>
        <w:t xml:space="preserve">PER and Bandwidth </w:t>
      </w:r>
      <w:r w:rsidR="00500006" w:rsidRPr="003913EB">
        <w:rPr>
          <w:rFonts w:hint="eastAsia"/>
          <w:b/>
          <w:color w:val="000000" w:themeColor="text1"/>
          <w:lang w:val="en-GB"/>
        </w:rPr>
        <w:t>of</w:t>
      </w:r>
      <w:r w:rsidR="00500006" w:rsidRPr="003913EB">
        <w:rPr>
          <w:b/>
          <w:color w:val="000000" w:themeColor="text1"/>
          <w:lang w:val="en-GB"/>
        </w:rPr>
        <w:t xml:space="preserve"> Chiral Structures</w:t>
      </w:r>
    </w:p>
    <w:p w14:paraId="72E26C5F" w14:textId="77777777" w:rsidR="00460E64" w:rsidRPr="003913EB" w:rsidRDefault="00460E64" w:rsidP="00DE6281">
      <w:pPr>
        <w:pStyle w:val="TableHea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color w:val="000000" w:themeColor="text1"/>
          <w:lang w:val="en-US"/>
        </w:rPr>
      </w:pPr>
      <w:r w:rsidRPr="003913EB">
        <w:rPr>
          <w:b/>
          <w:color w:val="000000" w:themeColor="text1"/>
          <w:lang w:val="en-US"/>
        </w:rPr>
        <w:t xml:space="preserve">Table </w:t>
      </w:r>
      <w:r w:rsidRPr="003913EB">
        <w:rPr>
          <w:rFonts w:eastAsiaTheme="minorEastAsia" w:cs="Arial"/>
          <w:b/>
          <w:color w:val="000000" w:themeColor="text1"/>
          <w:lang w:val="en-US" w:eastAsia="zh-CN"/>
        </w:rPr>
        <w:t>S</w:t>
      </w:r>
      <w:r w:rsidRPr="003913EB">
        <w:rPr>
          <w:b/>
          <w:color w:val="000000" w:themeColor="text1"/>
          <w:lang w:val="en-US"/>
        </w:rPr>
        <w:t>1.</w:t>
      </w:r>
      <w:r w:rsidRPr="003913EB">
        <w:rPr>
          <w:color w:val="000000" w:themeColor="text1"/>
          <w:lang w:val="en-US"/>
        </w:rPr>
        <w:t xml:space="preserve"> Comparison of CD</w:t>
      </w:r>
      <w:r w:rsidRPr="003913EB">
        <w:rPr>
          <w:rFonts w:hint="eastAsia"/>
          <w:color w:val="000000" w:themeColor="text1"/>
          <w:lang w:val="en-US"/>
        </w:rPr>
        <w:t>/</w:t>
      </w:r>
      <w:r w:rsidRPr="003913EB">
        <w:rPr>
          <w:color w:val="000000" w:themeColor="text1"/>
          <w:lang w:val="en-US"/>
        </w:rPr>
        <w:t xml:space="preserve">PER and Bandwidth </w:t>
      </w:r>
      <w:r w:rsidRPr="003913EB">
        <w:rPr>
          <w:rFonts w:hint="eastAsia"/>
          <w:color w:val="000000" w:themeColor="text1"/>
          <w:lang w:val="en-US"/>
        </w:rPr>
        <w:t>of</w:t>
      </w:r>
      <w:r w:rsidRPr="003913EB">
        <w:rPr>
          <w:color w:val="000000" w:themeColor="text1"/>
          <w:lang w:val="en-US"/>
        </w:rPr>
        <w:t xml:space="preserve"> Chiral Structures</w:t>
      </w:r>
    </w:p>
    <w:tbl>
      <w:tblPr>
        <w:tblStyle w:val="af0"/>
        <w:tblW w:w="7885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"/>
        <w:gridCol w:w="1302"/>
        <w:gridCol w:w="1843"/>
        <w:gridCol w:w="2268"/>
        <w:gridCol w:w="1789"/>
      </w:tblGrid>
      <w:tr w:rsidR="003913EB" w:rsidRPr="003913EB" w14:paraId="0004D1B1" w14:textId="77777777" w:rsidTr="00734F7D">
        <w:trPr>
          <w:trHeight w:val="546"/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646B39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Refs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26D81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Working band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DFDB2F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Materials and 2D/3D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E87483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hint="eastAsia"/>
                <w:color w:val="000000" w:themeColor="text1"/>
                <w:lang w:val="en-US"/>
              </w:rPr>
              <w:t>Average</w:t>
            </w:r>
            <w:r w:rsidRPr="003913EB">
              <w:rPr>
                <w:color w:val="000000" w:themeColor="text1"/>
                <w:lang w:val="en-US"/>
              </w:rPr>
              <w:t xml:space="preserve"> CD</w:t>
            </w:r>
          </w:p>
          <w:p w14:paraId="24CAA8A6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Theo./Exp.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4A0BB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Maximum PER</w:t>
            </w:r>
          </w:p>
          <w:p w14:paraId="6586D0CA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The</w:t>
            </w:r>
            <w:r w:rsidRPr="003913EB">
              <w:rPr>
                <w:rFonts w:hint="eastAsia"/>
                <w:color w:val="000000" w:themeColor="text1"/>
                <w:lang w:val="en-US"/>
              </w:rPr>
              <w:t>o</w:t>
            </w:r>
            <w:r w:rsidRPr="003913EB">
              <w:rPr>
                <w:color w:val="000000" w:themeColor="text1"/>
                <w:lang w:val="en-US"/>
              </w:rPr>
              <w:t>./Exp.</w:t>
            </w:r>
          </w:p>
        </w:tc>
      </w:tr>
      <w:tr w:rsidR="003913EB" w:rsidRPr="003913EB" w14:paraId="7AB2B15F" w14:textId="77777777" w:rsidTr="00734F7D">
        <w:trPr>
          <w:trHeight w:val="567"/>
          <w:jc w:val="center"/>
        </w:trPr>
        <w:tc>
          <w:tcPr>
            <w:tcW w:w="683" w:type="dxa"/>
            <w:tcBorders>
              <w:top w:val="single" w:sz="4" w:space="0" w:color="auto"/>
              <w:bottom w:val="nil"/>
            </w:tcBorders>
            <w:vAlign w:val="center"/>
          </w:tcPr>
          <w:p w14:paraId="53ED33E3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[3]</w:t>
            </w:r>
          </w:p>
        </w:tc>
        <w:tc>
          <w:tcPr>
            <w:tcW w:w="1302" w:type="dxa"/>
            <w:tcBorders>
              <w:top w:val="single" w:sz="4" w:space="0" w:color="auto"/>
              <w:bottom w:val="nil"/>
            </w:tcBorders>
            <w:vAlign w:val="center"/>
          </w:tcPr>
          <w:p w14:paraId="4DEC7B55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hint="eastAsia"/>
                <w:color w:val="000000" w:themeColor="text1"/>
                <w:lang w:val="en-US"/>
              </w:rPr>
              <w:t>3</w:t>
            </w:r>
            <w:r w:rsidRPr="003913EB">
              <w:rPr>
                <w:color w:val="000000" w:themeColor="text1"/>
                <w:lang w:val="en-US"/>
              </w:rPr>
              <w:t>.5–7.5 μm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04445ADA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Gold, 3D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vAlign w:val="center"/>
          </w:tcPr>
          <w:p w14:paraId="4D5E110C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cs="Arial"/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rFonts w:cs="Arial"/>
                <w:color w:val="000000" w:themeColor="text1"/>
                <w:lang w:val="en-US"/>
              </w:rPr>
              <w:t>0.7 (Exp.)</w:t>
            </w:r>
          </w:p>
        </w:tc>
        <w:tc>
          <w:tcPr>
            <w:tcW w:w="1789" w:type="dxa"/>
            <w:tcBorders>
              <w:top w:val="single" w:sz="4" w:space="0" w:color="auto"/>
              <w:bottom w:val="nil"/>
            </w:tcBorders>
            <w:vAlign w:val="center"/>
          </w:tcPr>
          <w:p w14:paraId="2CC0C783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cs="Arial"/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rFonts w:cs="Arial"/>
                <w:color w:val="000000" w:themeColor="text1"/>
                <w:lang w:val="en-US"/>
              </w:rPr>
              <w:t>9 dB (Exp.)</w:t>
            </w:r>
          </w:p>
        </w:tc>
      </w:tr>
      <w:tr w:rsidR="003913EB" w:rsidRPr="003913EB" w14:paraId="148494D4" w14:textId="77777777" w:rsidTr="00734F7D">
        <w:trPr>
          <w:trHeight w:val="546"/>
          <w:jc w:val="center"/>
        </w:trPr>
        <w:tc>
          <w:tcPr>
            <w:tcW w:w="683" w:type="dxa"/>
            <w:tcBorders>
              <w:top w:val="nil"/>
              <w:bottom w:val="nil"/>
            </w:tcBorders>
            <w:vAlign w:val="center"/>
          </w:tcPr>
          <w:p w14:paraId="344B7FF9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[4]</w:t>
            </w:r>
          </w:p>
        </w:tc>
        <w:tc>
          <w:tcPr>
            <w:tcW w:w="1302" w:type="dxa"/>
            <w:tcBorders>
              <w:top w:val="nil"/>
              <w:bottom w:val="nil"/>
            </w:tcBorders>
            <w:vAlign w:val="center"/>
          </w:tcPr>
          <w:p w14:paraId="4F79540A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hint="eastAsia"/>
                <w:color w:val="000000" w:themeColor="text1"/>
                <w:lang w:val="en-US"/>
              </w:rPr>
              <w:t>3</w:t>
            </w:r>
            <w:r w:rsidRPr="003913EB">
              <w:rPr>
                <w:color w:val="000000" w:themeColor="text1"/>
                <w:lang w:val="en-US"/>
              </w:rPr>
              <w:t>0–90 THz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C99E2A3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Gold, 3D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69893B5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color w:val="000000" w:themeColor="text1"/>
                <w:lang w:val="en-US"/>
              </w:rPr>
              <w:t xml:space="preserve">0.5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>E</w:t>
            </w:r>
            <w:r w:rsidRPr="003913EB">
              <w:rPr>
                <w:rFonts w:hint="eastAsia"/>
                <w:color w:val="000000" w:themeColor="text1"/>
                <w:lang w:val="en-US"/>
              </w:rPr>
              <w:t>xp</w:t>
            </w:r>
            <w:r w:rsidRPr="003913EB">
              <w:rPr>
                <w:color w:val="000000" w:themeColor="text1"/>
                <w:lang w:val="en-US"/>
              </w:rPr>
              <w:t>.</w:t>
            </w:r>
            <w:r w:rsidRPr="003913EB">
              <w:rPr>
                <w:rFonts w:hint="eastAsia"/>
                <w:color w:val="000000" w:themeColor="text1"/>
                <w:lang w:val="en-US"/>
              </w:rPr>
              <w:t>)</w:t>
            </w:r>
          </w:p>
        </w:tc>
        <w:tc>
          <w:tcPr>
            <w:tcW w:w="1789" w:type="dxa"/>
            <w:tcBorders>
              <w:top w:val="nil"/>
              <w:bottom w:val="nil"/>
            </w:tcBorders>
            <w:vAlign w:val="center"/>
          </w:tcPr>
          <w:p w14:paraId="16675069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 xml:space="preserve">&lt;10 dB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>E</w:t>
            </w:r>
            <w:r w:rsidRPr="003913EB">
              <w:rPr>
                <w:rFonts w:hint="eastAsia"/>
                <w:color w:val="000000" w:themeColor="text1"/>
                <w:lang w:val="en-US"/>
              </w:rPr>
              <w:t>xp</w:t>
            </w:r>
            <w:r w:rsidRPr="003913EB">
              <w:rPr>
                <w:color w:val="000000" w:themeColor="text1"/>
                <w:lang w:val="en-US"/>
              </w:rPr>
              <w:t>.</w:t>
            </w:r>
            <w:r w:rsidRPr="003913EB">
              <w:rPr>
                <w:rFonts w:hint="eastAsia"/>
                <w:color w:val="000000" w:themeColor="text1"/>
                <w:lang w:val="en-US"/>
              </w:rPr>
              <w:t>)</w:t>
            </w:r>
          </w:p>
        </w:tc>
      </w:tr>
      <w:tr w:rsidR="003913EB" w:rsidRPr="003913EB" w14:paraId="54468460" w14:textId="77777777" w:rsidTr="00734F7D">
        <w:trPr>
          <w:trHeight w:val="546"/>
          <w:jc w:val="center"/>
        </w:trPr>
        <w:tc>
          <w:tcPr>
            <w:tcW w:w="683" w:type="dxa"/>
            <w:tcBorders>
              <w:top w:val="nil"/>
              <w:bottom w:val="nil"/>
            </w:tcBorders>
            <w:vAlign w:val="center"/>
          </w:tcPr>
          <w:p w14:paraId="3D4E43D6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[5]</w:t>
            </w:r>
          </w:p>
        </w:tc>
        <w:tc>
          <w:tcPr>
            <w:tcW w:w="1302" w:type="dxa"/>
            <w:tcBorders>
              <w:top w:val="nil"/>
              <w:bottom w:val="nil"/>
            </w:tcBorders>
            <w:vAlign w:val="center"/>
          </w:tcPr>
          <w:p w14:paraId="7E8D32C5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hint="eastAsia"/>
                <w:color w:val="000000" w:themeColor="text1"/>
                <w:lang w:val="en-US"/>
              </w:rPr>
              <w:t>5</w:t>
            </w:r>
            <w:r w:rsidRPr="003913EB">
              <w:rPr>
                <w:color w:val="000000" w:themeColor="text1"/>
                <w:lang w:val="en-US"/>
              </w:rPr>
              <w:t>00–800 nm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9E19B18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Gold, 3D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2F078E02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color w:val="000000" w:themeColor="text1"/>
                <w:lang w:val="en-US"/>
              </w:rPr>
              <w:t xml:space="preserve">0.7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>Theo.)</w:t>
            </w:r>
          </w:p>
        </w:tc>
        <w:tc>
          <w:tcPr>
            <w:tcW w:w="1789" w:type="dxa"/>
            <w:tcBorders>
              <w:top w:val="nil"/>
              <w:bottom w:val="nil"/>
            </w:tcBorders>
            <w:vAlign w:val="center"/>
          </w:tcPr>
          <w:p w14:paraId="4FDFB599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color w:val="000000" w:themeColor="text1"/>
                <w:lang w:val="en-US"/>
              </w:rPr>
              <w:t xml:space="preserve">10 dB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>Theo.)</w:t>
            </w:r>
          </w:p>
        </w:tc>
      </w:tr>
      <w:tr w:rsidR="003913EB" w:rsidRPr="003913EB" w14:paraId="2F499274" w14:textId="77777777" w:rsidTr="00734F7D">
        <w:trPr>
          <w:trHeight w:val="546"/>
          <w:jc w:val="center"/>
        </w:trPr>
        <w:tc>
          <w:tcPr>
            <w:tcW w:w="683" w:type="dxa"/>
            <w:tcBorders>
              <w:top w:val="nil"/>
              <w:bottom w:val="nil"/>
            </w:tcBorders>
            <w:vAlign w:val="center"/>
          </w:tcPr>
          <w:p w14:paraId="30512FE4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[6]</w:t>
            </w:r>
          </w:p>
        </w:tc>
        <w:tc>
          <w:tcPr>
            <w:tcW w:w="1302" w:type="dxa"/>
            <w:tcBorders>
              <w:top w:val="nil"/>
              <w:bottom w:val="nil"/>
            </w:tcBorders>
            <w:vAlign w:val="center"/>
          </w:tcPr>
          <w:p w14:paraId="35A70F93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1.55 μm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50D5AC2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Silicon, 3D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4C5FB4F2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color w:val="000000" w:themeColor="text1"/>
                <w:lang w:val="en-US"/>
              </w:rPr>
              <w:t xml:space="preserve">0.7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>E</w:t>
            </w:r>
            <w:r w:rsidRPr="003913EB">
              <w:rPr>
                <w:rFonts w:hint="eastAsia"/>
                <w:color w:val="000000" w:themeColor="text1"/>
                <w:lang w:val="en-US"/>
              </w:rPr>
              <w:t>xp</w:t>
            </w:r>
            <w:r w:rsidRPr="003913EB">
              <w:rPr>
                <w:color w:val="000000" w:themeColor="text1"/>
                <w:lang w:val="en-US"/>
              </w:rPr>
              <w:t>.</w:t>
            </w:r>
            <w:r w:rsidRPr="003913EB">
              <w:rPr>
                <w:rFonts w:hint="eastAsia"/>
                <w:color w:val="000000" w:themeColor="text1"/>
                <w:lang w:val="en-US"/>
              </w:rPr>
              <w:t>)</w:t>
            </w:r>
          </w:p>
        </w:tc>
        <w:tc>
          <w:tcPr>
            <w:tcW w:w="1789" w:type="dxa"/>
            <w:tcBorders>
              <w:top w:val="nil"/>
              <w:bottom w:val="nil"/>
            </w:tcBorders>
            <w:vAlign w:val="center"/>
          </w:tcPr>
          <w:p w14:paraId="0EAD740B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 xml:space="preserve">&lt;10 dB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>E</w:t>
            </w:r>
            <w:r w:rsidRPr="003913EB">
              <w:rPr>
                <w:rFonts w:hint="eastAsia"/>
                <w:color w:val="000000" w:themeColor="text1"/>
                <w:lang w:val="en-US"/>
              </w:rPr>
              <w:t>xp</w:t>
            </w:r>
            <w:r w:rsidRPr="003913EB">
              <w:rPr>
                <w:color w:val="000000" w:themeColor="text1"/>
                <w:lang w:val="en-US"/>
              </w:rPr>
              <w:t>.</w:t>
            </w:r>
            <w:r w:rsidRPr="003913EB">
              <w:rPr>
                <w:rFonts w:hint="eastAsia"/>
                <w:color w:val="000000" w:themeColor="text1"/>
                <w:lang w:val="en-US"/>
              </w:rPr>
              <w:t>)</w:t>
            </w:r>
          </w:p>
        </w:tc>
      </w:tr>
      <w:tr w:rsidR="003913EB" w:rsidRPr="003913EB" w14:paraId="3A81C450" w14:textId="77777777" w:rsidTr="00734F7D">
        <w:trPr>
          <w:trHeight w:val="546"/>
          <w:jc w:val="center"/>
        </w:trPr>
        <w:tc>
          <w:tcPr>
            <w:tcW w:w="683" w:type="dxa"/>
            <w:tcBorders>
              <w:top w:val="nil"/>
              <w:bottom w:val="nil"/>
            </w:tcBorders>
            <w:vAlign w:val="center"/>
          </w:tcPr>
          <w:p w14:paraId="3484386B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[7]</w:t>
            </w:r>
          </w:p>
        </w:tc>
        <w:tc>
          <w:tcPr>
            <w:tcW w:w="1302" w:type="dxa"/>
            <w:tcBorders>
              <w:top w:val="nil"/>
              <w:bottom w:val="nil"/>
            </w:tcBorders>
            <w:vAlign w:val="center"/>
          </w:tcPr>
          <w:p w14:paraId="4F753743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hint="eastAsia"/>
                <w:color w:val="000000" w:themeColor="text1"/>
                <w:lang w:val="en-US"/>
              </w:rPr>
              <w:t>1</w:t>
            </w:r>
            <w:r w:rsidRPr="003913EB">
              <w:rPr>
                <w:color w:val="000000" w:themeColor="text1"/>
                <w:lang w:val="en-US"/>
              </w:rPr>
              <w:t>.20–1.50 μm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ED5EFBD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Silver, 2D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505AFCCD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color w:val="000000" w:themeColor="text1"/>
                <w:lang w:val="en-US"/>
              </w:rPr>
              <w:t xml:space="preserve">0.7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>E</w:t>
            </w:r>
            <w:r w:rsidRPr="003913EB">
              <w:rPr>
                <w:rFonts w:hint="eastAsia"/>
                <w:color w:val="000000" w:themeColor="text1"/>
                <w:lang w:val="en-US"/>
              </w:rPr>
              <w:t>xp</w:t>
            </w:r>
            <w:r w:rsidRPr="003913EB">
              <w:rPr>
                <w:color w:val="000000" w:themeColor="text1"/>
                <w:lang w:val="en-US"/>
              </w:rPr>
              <w:t>.</w:t>
            </w:r>
            <w:r w:rsidRPr="003913EB">
              <w:rPr>
                <w:rFonts w:hint="eastAsia"/>
                <w:color w:val="000000" w:themeColor="text1"/>
                <w:lang w:val="en-US"/>
              </w:rPr>
              <w:t>)</w:t>
            </w:r>
          </w:p>
        </w:tc>
        <w:tc>
          <w:tcPr>
            <w:tcW w:w="1789" w:type="dxa"/>
            <w:tcBorders>
              <w:top w:val="nil"/>
              <w:bottom w:val="nil"/>
            </w:tcBorders>
            <w:vAlign w:val="center"/>
          </w:tcPr>
          <w:p w14:paraId="4DA127D4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 xml:space="preserve">&lt;10 dB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>E</w:t>
            </w:r>
            <w:r w:rsidRPr="003913EB">
              <w:rPr>
                <w:rFonts w:hint="eastAsia"/>
                <w:color w:val="000000" w:themeColor="text1"/>
                <w:lang w:val="en-US"/>
              </w:rPr>
              <w:t>xp</w:t>
            </w:r>
            <w:r w:rsidRPr="003913EB">
              <w:rPr>
                <w:color w:val="000000" w:themeColor="text1"/>
                <w:lang w:val="en-US"/>
              </w:rPr>
              <w:t>.</w:t>
            </w:r>
            <w:r w:rsidRPr="003913EB">
              <w:rPr>
                <w:rFonts w:hint="eastAsia"/>
                <w:color w:val="000000" w:themeColor="text1"/>
                <w:lang w:val="en-US"/>
              </w:rPr>
              <w:t>)</w:t>
            </w:r>
          </w:p>
        </w:tc>
      </w:tr>
      <w:tr w:rsidR="003913EB" w:rsidRPr="003913EB" w14:paraId="25492334" w14:textId="77777777" w:rsidTr="00734F7D">
        <w:trPr>
          <w:trHeight w:val="546"/>
          <w:jc w:val="center"/>
        </w:trPr>
        <w:tc>
          <w:tcPr>
            <w:tcW w:w="683" w:type="dxa"/>
            <w:vAlign w:val="center"/>
          </w:tcPr>
          <w:p w14:paraId="1F54F1CE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[8]</w:t>
            </w:r>
          </w:p>
        </w:tc>
        <w:tc>
          <w:tcPr>
            <w:tcW w:w="1302" w:type="dxa"/>
            <w:vAlign w:val="center"/>
          </w:tcPr>
          <w:p w14:paraId="18CD1CEB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1.49–1.61 μm</w:t>
            </w:r>
          </w:p>
        </w:tc>
        <w:tc>
          <w:tcPr>
            <w:tcW w:w="1843" w:type="dxa"/>
            <w:vAlign w:val="center"/>
          </w:tcPr>
          <w:p w14:paraId="0FDB15E0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a-Si, 2D</w:t>
            </w:r>
          </w:p>
        </w:tc>
        <w:tc>
          <w:tcPr>
            <w:tcW w:w="2268" w:type="dxa"/>
            <w:vAlign w:val="center"/>
          </w:tcPr>
          <w:p w14:paraId="62E2F62F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color w:val="000000" w:themeColor="text1"/>
                <w:lang w:val="en-US"/>
              </w:rPr>
              <w:t xml:space="preserve">0.5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>E</w:t>
            </w:r>
            <w:r w:rsidRPr="003913EB">
              <w:rPr>
                <w:rFonts w:hint="eastAsia"/>
                <w:color w:val="000000" w:themeColor="text1"/>
                <w:lang w:val="en-US"/>
              </w:rPr>
              <w:t>xp</w:t>
            </w:r>
            <w:r w:rsidRPr="003913EB">
              <w:rPr>
                <w:color w:val="000000" w:themeColor="text1"/>
                <w:lang w:val="en-US"/>
              </w:rPr>
              <w:t>.</w:t>
            </w:r>
            <w:r w:rsidRPr="003913EB">
              <w:rPr>
                <w:rFonts w:hint="eastAsia"/>
                <w:color w:val="000000" w:themeColor="text1"/>
                <w:lang w:val="en-US"/>
              </w:rPr>
              <w:t>)</w:t>
            </w:r>
          </w:p>
        </w:tc>
        <w:tc>
          <w:tcPr>
            <w:tcW w:w="1789" w:type="dxa"/>
            <w:vAlign w:val="center"/>
          </w:tcPr>
          <w:p w14:paraId="380B51AD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Cambria Math" w:hAnsi="Cambria Math" w:cs="Cambria Math"/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&lt;10 dB (Exp.)</w:t>
            </w:r>
          </w:p>
        </w:tc>
      </w:tr>
      <w:tr w:rsidR="003913EB" w:rsidRPr="003913EB" w14:paraId="5D03EEE2" w14:textId="77777777" w:rsidTr="00734F7D">
        <w:trPr>
          <w:trHeight w:val="546"/>
          <w:jc w:val="center"/>
        </w:trPr>
        <w:tc>
          <w:tcPr>
            <w:tcW w:w="683" w:type="dxa"/>
            <w:vAlign w:val="center"/>
          </w:tcPr>
          <w:p w14:paraId="01D85511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[9]</w:t>
            </w:r>
          </w:p>
        </w:tc>
        <w:tc>
          <w:tcPr>
            <w:tcW w:w="1302" w:type="dxa"/>
            <w:vAlign w:val="center"/>
          </w:tcPr>
          <w:p w14:paraId="6344121D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540 nm</w:t>
            </w:r>
          </w:p>
        </w:tc>
        <w:tc>
          <w:tcPr>
            <w:tcW w:w="1843" w:type="dxa"/>
            <w:vAlign w:val="center"/>
          </w:tcPr>
          <w:p w14:paraId="4577D16E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TiO</w:t>
            </w:r>
            <w:r w:rsidRPr="003913EB">
              <w:rPr>
                <w:color w:val="000000" w:themeColor="text1"/>
                <w:vertAlign w:val="subscript"/>
                <w:lang w:val="en-US"/>
              </w:rPr>
              <w:t>2</w:t>
            </w:r>
            <w:r w:rsidRPr="003913EB">
              <w:rPr>
                <w:color w:val="000000" w:themeColor="text1"/>
                <w:lang w:val="en-US"/>
              </w:rPr>
              <w:t>, 2D</w:t>
            </w:r>
          </w:p>
        </w:tc>
        <w:tc>
          <w:tcPr>
            <w:tcW w:w="2268" w:type="dxa"/>
            <w:vAlign w:val="center"/>
          </w:tcPr>
          <w:p w14:paraId="20AA5336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0.8 (Exp.)</w:t>
            </w:r>
          </w:p>
        </w:tc>
        <w:tc>
          <w:tcPr>
            <w:tcW w:w="1789" w:type="dxa"/>
            <w:vAlign w:val="center"/>
          </w:tcPr>
          <w:p w14:paraId="414707D3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color w:val="000000" w:themeColor="text1"/>
                <w:lang w:val="en-US"/>
              </w:rPr>
              <w:t>10 dB (Exp.)</w:t>
            </w:r>
          </w:p>
        </w:tc>
      </w:tr>
      <w:tr w:rsidR="003913EB" w:rsidRPr="003913EB" w14:paraId="7A185F5E" w14:textId="77777777" w:rsidTr="00734F7D">
        <w:trPr>
          <w:trHeight w:val="546"/>
          <w:jc w:val="center"/>
        </w:trPr>
        <w:tc>
          <w:tcPr>
            <w:tcW w:w="683" w:type="dxa"/>
            <w:vAlign w:val="center"/>
          </w:tcPr>
          <w:p w14:paraId="7AF04E02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[10]</w:t>
            </w:r>
          </w:p>
        </w:tc>
        <w:tc>
          <w:tcPr>
            <w:tcW w:w="1302" w:type="dxa"/>
            <w:vAlign w:val="center"/>
          </w:tcPr>
          <w:p w14:paraId="6FED90DE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870 nm</w:t>
            </w:r>
          </w:p>
        </w:tc>
        <w:tc>
          <w:tcPr>
            <w:tcW w:w="1843" w:type="dxa"/>
            <w:vAlign w:val="center"/>
          </w:tcPr>
          <w:p w14:paraId="07DB9574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Si</w:t>
            </w:r>
            <w:r w:rsidRPr="003913EB">
              <w:rPr>
                <w:color w:val="000000" w:themeColor="text1"/>
                <w:vertAlign w:val="subscript"/>
                <w:lang w:val="en-US"/>
              </w:rPr>
              <w:t>3</w:t>
            </w:r>
            <w:r w:rsidRPr="003913EB">
              <w:rPr>
                <w:color w:val="000000" w:themeColor="text1"/>
                <w:lang w:val="en-US"/>
              </w:rPr>
              <w:t>N</w:t>
            </w:r>
            <w:r w:rsidRPr="003913EB">
              <w:rPr>
                <w:color w:val="000000" w:themeColor="text1"/>
                <w:vertAlign w:val="subscript"/>
                <w:lang w:val="en-US"/>
              </w:rPr>
              <w:t>4</w:t>
            </w:r>
            <w:r w:rsidRPr="003913EB">
              <w:rPr>
                <w:color w:val="000000" w:themeColor="text1"/>
                <w:lang w:val="en-US"/>
              </w:rPr>
              <w:t>, 2D</w:t>
            </w:r>
          </w:p>
        </w:tc>
        <w:tc>
          <w:tcPr>
            <w:tcW w:w="2268" w:type="dxa"/>
            <w:vAlign w:val="center"/>
          </w:tcPr>
          <w:p w14:paraId="0E013FE9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Cambria Math" w:hAnsi="Cambria Math" w:cs="Cambria Math"/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color w:val="000000" w:themeColor="text1"/>
                <w:lang w:val="en-US"/>
              </w:rPr>
              <w:t>0.4 (Exp.)</w:t>
            </w:r>
          </w:p>
        </w:tc>
        <w:tc>
          <w:tcPr>
            <w:tcW w:w="1789" w:type="dxa"/>
            <w:vAlign w:val="center"/>
          </w:tcPr>
          <w:p w14:paraId="60FD8D08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&lt; 10 dB (Exp.)</w:t>
            </w:r>
          </w:p>
        </w:tc>
      </w:tr>
      <w:tr w:rsidR="003913EB" w:rsidRPr="003913EB" w14:paraId="2ED0BCB9" w14:textId="77777777" w:rsidTr="00734F7D">
        <w:trPr>
          <w:trHeight w:val="546"/>
          <w:jc w:val="center"/>
        </w:trPr>
        <w:tc>
          <w:tcPr>
            <w:tcW w:w="683" w:type="dxa"/>
            <w:vAlign w:val="center"/>
          </w:tcPr>
          <w:p w14:paraId="140F95D5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[11]</w:t>
            </w:r>
          </w:p>
        </w:tc>
        <w:tc>
          <w:tcPr>
            <w:tcW w:w="1302" w:type="dxa"/>
            <w:vAlign w:val="center"/>
          </w:tcPr>
          <w:p w14:paraId="34F3C972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550–700 nm</w:t>
            </w:r>
          </w:p>
        </w:tc>
        <w:tc>
          <w:tcPr>
            <w:tcW w:w="1843" w:type="dxa"/>
            <w:vAlign w:val="center"/>
          </w:tcPr>
          <w:p w14:paraId="0783F5AE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a-Si, 2D</w:t>
            </w:r>
          </w:p>
        </w:tc>
        <w:tc>
          <w:tcPr>
            <w:tcW w:w="2268" w:type="dxa"/>
            <w:vAlign w:val="center"/>
          </w:tcPr>
          <w:p w14:paraId="6C74D0D3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Cambria Math" w:hAnsi="Cambria Math" w:cs="Cambria Math"/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color w:val="000000" w:themeColor="text1"/>
                <w:lang w:val="en-US"/>
              </w:rPr>
              <w:t xml:space="preserve">0.5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>Exp.)</w:t>
            </w:r>
          </w:p>
        </w:tc>
        <w:tc>
          <w:tcPr>
            <w:tcW w:w="1789" w:type="dxa"/>
            <w:vAlign w:val="center"/>
          </w:tcPr>
          <w:p w14:paraId="587C2CD5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&lt;10 dB (Exp.)</w:t>
            </w:r>
          </w:p>
        </w:tc>
      </w:tr>
      <w:tr w:rsidR="003913EB" w:rsidRPr="003913EB" w14:paraId="04713D52" w14:textId="77777777" w:rsidTr="00734F7D">
        <w:trPr>
          <w:trHeight w:val="546"/>
          <w:jc w:val="center"/>
        </w:trPr>
        <w:tc>
          <w:tcPr>
            <w:tcW w:w="683" w:type="dxa"/>
            <w:vAlign w:val="center"/>
          </w:tcPr>
          <w:p w14:paraId="18E4DAC7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[12]</w:t>
            </w:r>
          </w:p>
        </w:tc>
        <w:tc>
          <w:tcPr>
            <w:tcW w:w="1302" w:type="dxa"/>
            <w:vAlign w:val="center"/>
          </w:tcPr>
          <w:p w14:paraId="1EA9C868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1 THz</w:t>
            </w:r>
          </w:p>
        </w:tc>
        <w:tc>
          <w:tcPr>
            <w:tcW w:w="1843" w:type="dxa"/>
            <w:vAlign w:val="center"/>
          </w:tcPr>
          <w:p w14:paraId="7279F586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Silicon, 2D</w:t>
            </w:r>
          </w:p>
        </w:tc>
        <w:tc>
          <w:tcPr>
            <w:tcW w:w="2268" w:type="dxa"/>
            <w:vAlign w:val="center"/>
          </w:tcPr>
          <w:p w14:paraId="4BCD1B47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ascii="Cambria Math" w:hAnsi="Cambria Math" w:cs="Cambria Math"/>
                <w:color w:val="000000" w:themeColor="text1"/>
                <w:lang w:val="en-US"/>
              </w:rPr>
              <w:t>∼</w:t>
            </w:r>
            <w:r w:rsidRPr="003913EB">
              <w:rPr>
                <w:color w:val="000000" w:themeColor="text1"/>
                <w:lang w:val="en-US"/>
              </w:rPr>
              <w:t xml:space="preserve">0.4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>Exp.)</w:t>
            </w:r>
          </w:p>
        </w:tc>
        <w:tc>
          <w:tcPr>
            <w:tcW w:w="1789" w:type="dxa"/>
            <w:vAlign w:val="center"/>
          </w:tcPr>
          <w:p w14:paraId="169C478A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&lt;10 dB (Exp.)</w:t>
            </w:r>
          </w:p>
        </w:tc>
      </w:tr>
      <w:tr w:rsidR="003913EB" w:rsidRPr="003913EB" w14:paraId="433E85ED" w14:textId="77777777" w:rsidTr="00734F7D">
        <w:trPr>
          <w:trHeight w:val="546"/>
          <w:jc w:val="center"/>
        </w:trPr>
        <w:tc>
          <w:tcPr>
            <w:tcW w:w="683" w:type="dxa"/>
            <w:vAlign w:val="center"/>
          </w:tcPr>
          <w:p w14:paraId="074A3182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[13]</w:t>
            </w:r>
          </w:p>
        </w:tc>
        <w:tc>
          <w:tcPr>
            <w:tcW w:w="1302" w:type="dxa"/>
            <w:vAlign w:val="center"/>
          </w:tcPr>
          <w:p w14:paraId="4459FCFA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hint="eastAsia"/>
                <w:color w:val="000000" w:themeColor="text1"/>
                <w:lang w:val="en-US"/>
              </w:rPr>
              <w:t>7</w:t>
            </w:r>
            <w:r w:rsidRPr="003913EB">
              <w:rPr>
                <w:color w:val="000000" w:themeColor="text1"/>
                <w:lang w:val="en-US"/>
              </w:rPr>
              <w:t>47 nm</w:t>
            </w:r>
          </w:p>
        </w:tc>
        <w:tc>
          <w:tcPr>
            <w:tcW w:w="1843" w:type="dxa"/>
            <w:vAlign w:val="center"/>
          </w:tcPr>
          <w:p w14:paraId="4B4AD7DD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Perovskite, 2D</w:t>
            </w:r>
          </w:p>
        </w:tc>
        <w:tc>
          <w:tcPr>
            <w:tcW w:w="2268" w:type="dxa"/>
            <w:vAlign w:val="center"/>
          </w:tcPr>
          <w:p w14:paraId="11481959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0.16 (Exp.)</w:t>
            </w:r>
          </w:p>
        </w:tc>
        <w:tc>
          <w:tcPr>
            <w:tcW w:w="1789" w:type="dxa"/>
            <w:vAlign w:val="center"/>
          </w:tcPr>
          <w:p w14:paraId="16011991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&lt;10 dB (Exp.)</w:t>
            </w:r>
          </w:p>
        </w:tc>
      </w:tr>
      <w:tr w:rsidR="00460E64" w:rsidRPr="003913EB" w14:paraId="4E005E79" w14:textId="77777777" w:rsidTr="00734F7D">
        <w:trPr>
          <w:trHeight w:val="546"/>
          <w:jc w:val="center"/>
        </w:trPr>
        <w:tc>
          <w:tcPr>
            <w:tcW w:w="683" w:type="dxa"/>
            <w:tcBorders>
              <w:bottom w:val="single" w:sz="6" w:space="0" w:color="auto"/>
            </w:tcBorders>
            <w:vAlign w:val="center"/>
          </w:tcPr>
          <w:p w14:paraId="50A49C0E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This work</w:t>
            </w:r>
          </w:p>
        </w:tc>
        <w:tc>
          <w:tcPr>
            <w:tcW w:w="1302" w:type="dxa"/>
            <w:tcBorders>
              <w:bottom w:val="single" w:sz="6" w:space="0" w:color="auto"/>
            </w:tcBorders>
            <w:vAlign w:val="center"/>
          </w:tcPr>
          <w:p w14:paraId="56039F73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1.35–1.72 μm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14:paraId="6408DADD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a-Si, 2D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vAlign w:val="center"/>
          </w:tcPr>
          <w:p w14:paraId="42C13331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cs="Arial"/>
                <w:color w:val="000000" w:themeColor="text1"/>
                <w:lang w:val="en-US"/>
              </w:rPr>
            </w:pPr>
            <w:r w:rsidRPr="003913EB">
              <w:rPr>
                <w:rFonts w:cs="Arial"/>
                <w:color w:val="000000" w:themeColor="text1"/>
                <w:lang w:val="en-US"/>
              </w:rPr>
              <w:t>&gt;0.9 (Exp.)@1.39</w:t>
            </w:r>
            <w:r w:rsidRPr="003913EB">
              <w:rPr>
                <w:color w:val="000000" w:themeColor="text1"/>
                <w:lang w:val="en-US"/>
              </w:rPr>
              <w:t>–</w:t>
            </w:r>
            <w:r w:rsidRPr="003913EB">
              <w:rPr>
                <w:rFonts w:cs="Arial"/>
                <w:color w:val="000000" w:themeColor="text1"/>
                <w:lang w:val="en-US"/>
              </w:rPr>
              <w:t>1.61 μm</w:t>
            </w:r>
          </w:p>
          <w:p w14:paraId="08D5AFA7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rFonts w:cs="Arial"/>
                <w:color w:val="000000" w:themeColor="text1"/>
                <w:lang w:val="en-US"/>
              </w:rPr>
              <w:t>&gt;0.8(Exp.)@1.35</w:t>
            </w:r>
            <w:r w:rsidRPr="003913EB">
              <w:rPr>
                <w:color w:val="000000" w:themeColor="text1"/>
                <w:lang w:val="en-US"/>
              </w:rPr>
              <w:t>–</w:t>
            </w:r>
            <w:r w:rsidRPr="003913EB">
              <w:rPr>
                <w:rFonts w:cs="Arial"/>
                <w:color w:val="000000" w:themeColor="text1"/>
                <w:lang w:val="en-US"/>
              </w:rPr>
              <w:t>1.65 μm</w:t>
            </w:r>
          </w:p>
        </w:tc>
        <w:tc>
          <w:tcPr>
            <w:tcW w:w="1789" w:type="dxa"/>
            <w:tcBorders>
              <w:bottom w:val="single" w:sz="6" w:space="0" w:color="auto"/>
            </w:tcBorders>
            <w:vAlign w:val="center"/>
          </w:tcPr>
          <w:p w14:paraId="08C04CC6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 xml:space="preserve">19.7 dB </w:t>
            </w:r>
            <w:r w:rsidRPr="003913EB">
              <w:rPr>
                <w:rFonts w:hint="eastAsia"/>
                <w:color w:val="000000" w:themeColor="text1"/>
                <w:lang w:val="en-US"/>
              </w:rPr>
              <w:t>(</w:t>
            </w:r>
            <w:r w:rsidRPr="003913EB">
              <w:rPr>
                <w:color w:val="000000" w:themeColor="text1"/>
                <w:lang w:val="en-US"/>
              </w:rPr>
              <w:t xml:space="preserve">Exp.) </w:t>
            </w:r>
          </w:p>
          <w:p w14:paraId="544DF6C2" w14:textId="77777777" w:rsidR="00460E64" w:rsidRPr="003913EB" w:rsidRDefault="00460E64" w:rsidP="00734F7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color w:val="000000" w:themeColor="text1"/>
                <w:lang w:val="en-US"/>
              </w:rPr>
            </w:pPr>
            <w:r w:rsidRPr="003913EB">
              <w:rPr>
                <w:color w:val="000000" w:themeColor="text1"/>
                <w:lang w:val="en-US"/>
              </w:rPr>
              <w:t>17.5 dB (Exp.)</w:t>
            </w:r>
          </w:p>
        </w:tc>
      </w:tr>
    </w:tbl>
    <w:p w14:paraId="63DB65EF" w14:textId="77777777" w:rsidR="00460E64" w:rsidRPr="003913EB" w:rsidRDefault="00460E64" w:rsidP="00B751D7">
      <w:pPr>
        <w:pStyle w:val="SNSynopsisTOC"/>
        <w:rPr>
          <w:b/>
          <w:color w:val="000000" w:themeColor="text1"/>
          <w:lang w:val="en-GB"/>
        </w:rPr>
      </w:pPr>
    </w:p>
    <w:p w14:paraId="463D009B" w14:textId="188231A2" w:rsidR="001D2B68" w:rsidRPr="003913EB" w:rsidRDefault="008C1ED7" w:rsidP="00B3516C">
      <w:pPr>
        <w:pStyle w:val="SNSynopsisTOC"/>
        <w:ind w:firstLine="204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lastRenderedPageBreak/>
        <w:t xml:space="preserve">Table </w:t>
      </w:r>
      <w:r w:rsidR="001D2B68" w:rsidRPr="003913EB">
        <w:rPr>
          <w:color w:val="000000" w:themeColor="text1"/>
          <w:lang w:val="de-DE"/>
        </w:rPr>
        <w:t>S</w:t>
      </w:r>
      <w:r w:rsidRPr="003913EB">
        <w:rPr>
          <w:color w:val="000000" w:themeColor="text1"/>
          <w:lang w:val="de-DE"/>
        </w:rPr>
        <w:t>1 lists the recent advances and comparison of the performances of chiral</w:t>
      </w:r>
      <w:r w:rsidR="0082299A" w:rsidRPr="003913EB">
        <w:rPr>
          <w:color w:val="000000" w:themeColor="text1"/>
          <w:lang w:val="de-DE"/>
        </w:rPr>
        <w:t xml:space="preserve"> </w:t>
      </w:r>
      <w:r w:rsidRPr="003913EB">
        <w:rPr>
          <w:color w:val="000000" w:themeColor="text1"/>
          <w:lang w:val="de-DE"/>
        </w:rPr>
        <w:t xml:space="preserve">structures in terms of working wavelength band, bandwidth, CD, and PER. It is seen that most of structures worked at a single wavelength or in a narrow wavelength range. For the reported broadband devices, the CD and PER are compromised over the operating band. Our proposed structure can simultaneously have a high CD and PER over </w:t>
      </w:r>
      <w:r w:rsidR="00B3516C" w:rsidRPr="003913EB">
        <w:rPr>
          <w:color w:val="000000" w:themeColor="text1"/>
          <w:lang w:val="de-DE"/>
        </w:rPr>
        <w:t xml:space="preserve">a </w:t>
      </w:r>
      <w:r w:rsidRPr="003913EB">
        <w:rPr>
          <w:color w:val="000000" w:themeColor="text1"/>
          <w:lang w:val="de-DE"/>
        </w:rPr>
        <w:t>broadband wavelength range, which has great potential applications in various polarimetric imaging and detections.</w:t>
      </w:r>
    </w:p>
    <w:p w14:paraId="71476210" w14:textId="77777777" w:rsidR="00500006" w:rsidRPr="003913EB" w:rsidRDefault="00500006" w:rsidP="00386F49">
      <w:pPr>
        <w:rPr>
          <w:color w:val="000000" w:themeColor="text1"/>
          <w:lang w:val="de-DE"/>
        </w:rPr>
      </w:pPr>
    </w:p>
    <w:p w14:paraId="5A8A0050" w14:textId="77777777" w:rsidR="00BC15B9" w:rsidRPr="003913EB" w:rsidRDefault="00BC15B9" w:rsidP="00BC15B9">
      <w:pPr>
        <w:pStyle w:val="SNSynopsisTOC"/>
        <w:rPr>
          <w:b/>
          <w:color w:val="000000" w:themeColor="text1"/>
        </w:rPr>
      </w:pPr>
      <w:r w:rsidRPr="003913EB">
        <w:rPr>
          <w:rFonts w:hint="eastAsia"/>
          <w:b/>
          <w:color w:val="000000" w:themeColor="text1"/>
        </w:rPr>
        <w:t>R</w:t>
      </w:r>
      <w:r w:rsidRPr="003913EB">
        <w:rPr>
          <w:b/>
          <w:color w:val="000000" w:themeColor="text1"/>
        </w:rPr>
        <w:t>eferences</w:t>
      </w:r>
    </w:p>
    <w:p w14:paraId="7B3AEAAE" w14:textId="77777777" w:rsidR="006D45A9" w:rsidRPr="003913EB" w:rsidRDefault="009431DF" w:rsidP="009431DF">
      <w:pPr>
        <w:pStyle w:val="TFReferencesSection"/>
        <w:ind w:left="480" w:hangingChars="200" w:hanging="480"/>
        <w:rPr>
          <w:color w:val="000000" w:themeColor="text1"/>
        </w:rPr>
      </w:pPr>
      <w:r w:rsidRPr="003913EB">
        <w:rPr>
          <w:color w:val="000000" w:themeColor="text1"/>
        </w:rPr>
        <w:t>[1]</w:t>
      </w:r>
      <w:r w:rsidR="00AB0025" w:rsidRPr="003913EB">
        <w:rPr>
          <w:color w:val="000000" w:themeColor="text1"/>
        </w:rPr>
        <w:tab/>
      </w:r>
      <w:r w:rsidR="006D45A9" w:rsidRPr="003913EB">
        <w:rPr>
          <w:color w:val="000000" w:themeColor="text1"/>
        </w:rPr>
        <w:t xml:space="preserve">R. Alaee, C. Rockstuhl, and I. Fernandez-Corbaton, “An electromagnetic multipole expansion beyond the long-wavelength approximation,” </w:t>
      </w:r>
      <w:r w:rsidR="006D45A9" w:rsidRPr="003913EB">
        <w:rPr>
          <w:i/>
          <w:color w:val="000000" w:themeColor="text1"/>
        </w:rPr>
        <w:t>Opt. Commun.</w:t>
      </w:r>
      <w:r w:rsidR="006D45A9" w:rsidRPr="003913EB">
        <w:rPr>
          <w:color w:val="000000" w:themeColor="text1"/>
        </w:rPr>
        <w:t>, vol. 407, pp 17-21, 2018, https://doi.org/10.1016/j.optcom.2017.08.064.</w:t>
      </w:r>
    </w:p>
    <w:p w14:paraId="1E4A0B73" w14:textId="006655A5" w:rsidR="000724DE" w:rsidRPr="003913EB" w:rsidRDefault="009431DF" w:rsidP="006D45A9">
      <w:pPr>
        <w:pStyle w:val="TFReferencesSection"/>
        <w:ind w:left="480" w:hangingChars="200" w:hanging="480"/>
        <w:rPr>
          <w:color w:val="000000" w:themeColor="text1"/>
        </w:rPr>
      </w:pPr>
      <w:r w:rsidRPr="003913EB">
        <w:rPr>
          <w:color w:val="000000" w:themeColor="text1"/>
        </w:rPr>
        <w:t>[2]</w:t>
      </w:r>
      <w:r w:rsidR="00AB0025" w:rsidRPr="003913EB">
        <w:rPr>
          <w:color w:val="000000" w:themeColor="text1"/>
        </w:rPr>
        <w:tab/>
      </w:r>
      <w:r w:rsidR="006D45A9" w:rsidRPr="003913EB">
        <w:rPr>
          <w:color w:val="000000" w:themeColor="text1"/>
        </w:rPr>
        <w:t xml:space="preserve">T. Hinamoto, and M. Fujii, “Menp: An open-source matlab implementation of multipole expansion for nanophotonics,” </w:t>
      </w:r>
      <w:r w:rsidR="006D45A9" w:rsidRPr="003913EB">
        <w:rPr>
          <w:i/>
          <w:color w:val="000000" w:themeColor="text1"/>
        </w:rPr>
        <w:t>OSA Continuum</w:t>
      </w:r>
      <w:r w:rsidR="006D45A9" w:rsidRPr="003913EB">
        <w:rPr>
          <w:color w:val="000000" w:themeColor="text1"/>
        </w:rPr>
        <w:t xml:space="preserve">, vol. 4, no. 5, pp 1640-1648, 2021, </w:t>
      </w:r>
      <w:r w:rsidR="0053189D" w:rsidRPr="003913EB">
        <w:rPr>
          <w:color w:val="000000" w:themeColor="text1"/>
        </w:rPr>
        <w:t>https://doi.org/10.1364/OSAC.425189</w:t>
      </w:r>
      <w:r w:rsidR="006D45A9" w:rsidRPr="003913EB">
        <w:rPr>
          <w:color w:val="000000" w:themeColor="text1"/>
        </w:rPr>
        <w:t>.</w:t>
      </w:r>
    </w:p>
    <w:p w14:paraId="10000E57" w14:textId="6AB91145" w:rsidR="0053189D" w:rsidRPr="003913EB" w:rsidRDefault="0053189D" w:rsidP="006D45A9">
      <w:pPr>
        <w:pStyle w:val="TFReferencesSection"/>
        <w:ind w:left="480" w:hangingChars="200" w:hanging="480"/>
        <w:rPr>
          <w:color w:val="000000" w:themeColor="text1"/>
        </w:rPr>
      </w:pPr>
      <w:r w:rsidRPr="003913EB">
        <w:rPr>
          <w:color w:val="000000" w:themeColor="text1"/>
        </w:rPr>
        <w:t>[3]</w:t>
      </w:r>
      <w:r w:rsidRPr="003913EB">
        <w:rPr>
          <w:color w:val="000000" w:themeColor="text1"/>
        </w:rPr>
        <w:tab/>
      </w:r>
      <w:r w:rsidR="00460E64" w:rsidRPr="003913EB">
        <w:rPr>
          <w:color w:val="000000" w:themeColor="text1"/>
        </w:rPr>
        <w:t xml:space="preserve">J. K. Gansel, M. Thiel, M. S. Rill, et al., “Gold helix photonic metamaterial as broadband circular polarizer,” </w:t>
      </w:r>
      <w:r w:rsidR="00460E64" w:rsidRPr="003913EB">
        <w:rPr>
          <w:i/>
          <w:color w:val="000000" w:themeColor="text1"/>
        </w:rPr>
        <w:t>Science</w:t>
      </w:r>
      <w:r w:rsidR="00460E64" w:rsidRPr="003913EB">
        <w:rPr>
          <w:color w:val="000000" w:themeColor="text1"/>
        </w:rPr>
        <w:t>, vol. 325, no. 5947, pp. 1513-1515, 2009, https://doi.org/10.1126/science.1177031.</w:t>
      </w:r>
    </w:p>
    <w:p w14:paraId="5944A3F1" w14:textId="1F981F95" w:rsidR="00460E64" w:rsidRPr="003913EB" w:rsidRDefault="00460E64" w:rsidP="006D45A9">
      <w:pPr>
        <w:pStyle w:val="TFReferencesSection"/>
        <w:ind w:left="480" w:hangingChars="200" w:hanging="480"/>
        <w:rPr>
          <w:color w:val="000000" w:themeColor="text1"/>
        </w:rPr>
      </w:pPr>
      <w:r w:rsidRPr="003913EB">
        <w:rPr>
          <w:color w:val="000000" w:themeColor="text1"/>
        </w:rPr>
        <w:t>[4]</w:t>
      </w:r>
      <w:r w:rsidRPr="003913EB">
        <w:rPr>
          <w:color w:val="000000" w:themeColor="text1"/>
        </w:rPr>
        <w:tab/>
        <w:t xml:space="preserve">J. K. Gansel, M. Latzel, A. Frolich, J. Kaschke, M. Thiel, and M. Wegener, “Tapered gold-helix metamaterials as improved circular polarizers,” </w:t>
      </w:r>
      <w:r w:rsidRPr="003913EB">
        <w:rPr>
          <w:i/>
          <w:color w:val="000000" w:themeColor="text1"/>
        </w:rPr>
        <w:t>Appl. Phys. Lett.</w:t>
      </w:r>
      <w:r w:rsidRPr="003913EB">
        <w:rPr>
          <w:color w:val="000000" w:themeColor="text1"/>
        </w:rPr>
        <w:t>, vol. 100, no. 10, p. 101109, 2012, https://doi.org/10.1063/1.3693181.</w:t>
      </w:r>
    </w:p>
    <w:p w14:paraId="392A2DAB" w14:textId="4D2E0CBD" w:rsidR="00460E64" w:rsidRPr="003913EB" w:rsidRDefault="00460E64" w:rsidP="00460E64">
      <w:pPr>
        <w:pStyle w:val="TFReferencesSection"/>
        <w:ind w:left="480" w:hangingChars="200" w:hanging="480"/>
        <w:rPr>
          <w:color w:val="000000" w:themeColor="text1"/>
          <w:lang w:val="de-DE"/>
        </w:rPr>
      </w:pPr>
      <w:r w:rsidRPr="003913EB">
        <w:rPr>
          <w:color w:val="000000" w:themeColor="text1"/>
        </w:rPr>
        <w:lastRenderedPageBreak/>
        <w:t>[5]</w:t>
      </w:r>
      <w:r w:rsidRPr="003913EB">
        <w:rPr>
          <w:color w:val="000000" w:themeColor="text1"/>
        </w:rPr>
        <w:tab/>
      </w:r>
      <w:r w:rsidRPr="003913EB">
        <w:rPr>
          <w:color w:val="000000" w:themeColor="text1"/>
          <w:lang w:val="de-DE"/>
        </w:rPr>
        <w:t xml:space="preserve">Y. Zhao, M. A. Belkin, and A. Alu, “Twisted optical metamaterials for planarized ultrathin broadband circular polarizers,” </w:t>
      </w:r>
      <w:r w:rsidRPr="003913EB">
        <w:rPr>
          <w:i/>
          <w:color w:val="000000" w:themeColor="text1"/>
          <w:lang w:val="de-DE"/>
        </w:rPr>
        <w:t>Nat. Commun.</w:t>
      </w:r>
      <w:r w:rsidRPr="003913EB">
        <w:rPr>
          <w:color w:val="000000" w:themeColor="text1"/>
          <w:lang w:val="de-DE"/>
        </w:rPr>
        <w:t xml:space="preserve">, vol. 3, p. 870, 2012, https://doi.org/10.1038/ncomms1877. </w:t>
      </w:r>
    </w:p>
    <w:p w14:paraId="47A73B6F" w14:textId="722EEB94" w:rsidR="00460E64" w:rsidRPr="003913EB" w:rsidRDefault="00460E64" w:rsidP="00460E64">
      <w:pPr>
        <w:pStyle w:val="TFReferencesSection"/>
        <w:ind w:left="480" w:hangingChars="200" w:hanging="480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[6]</w:t>
      </w:r>
      <w:r w:rsidRPr="003913EB">
        <w:rPr>
          <w:color w:val="000000" w:themeColor="text1"/>
          <w:lang w:val="de-DE"/>
        </w:rPr>
        <w:tab/>
        <w:t xml:space="preserve">K. Tanaka, D. Arslan, S. Fasold, et al., “Chiral bilayer all-dielectric metasurfaces,” </w:t>
      </w:r>
      <w:r w:rsidRPr="003913EB">
        <w:rPr>
          <w:i/>
          <w:color w:val="000000" w:themeColor="text1"/>
          <w:lang w:val="de-DE"/>
        </w:rPr>
        <w:t>ACS Nano</w:t>
      </w:r>
      <w:r w:rsidRPr="003913EB">
        <w:rPr>
          <w:color w:val="000000" w:themeColor="text1"/>
          <w:lang w:val="de-DE"/>
        </w:rPr>
        <w:t>, vol. 14, no. 11, pp. 15926-15935, 2020, https://doi.org/10.1021/acsnano.0c07295.</w:t>
      </w:r>
    </w:p>
    <w:p w14:paraId="775B2CB3" w14:textId="75124EC7" w:rsidR="00460E64" w:rsidRPr="003913EB" w:rsidRDefault="00460E64" w:rsidP="00460E64">
      <w:pPr>
        <w:pStyle w:val="TFReferencesSection"/>
        <w:ind w:left="480" w:hangingChars="200" w:hanging="480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[7]</w:t>
      </w:r>
      <w:r w:rsidRPr="003913EB">
        <w:rPr>
          <w:color w:val="000000" w:themeColor="text1"/>
          <w:lang w:val="de-DE"/>
        </w:rPr>
        <w:tab/>
        <w:t xml:space="preserve">W. Li, Z. J. Coppens, L. V. Besteiro, W. Wang, A. O. Govorov, and J. Valentine, “Circularly polarized light detection with hot electrons in chiral plasmonic metamaterials,” </w:t>
      </w:r>
      <w:r w:rsidRPr="003913EB">
        <w:rPr>
          <w:i/>
          <w:color w:val="000000" w:themeColor="text1"/>
          <w:lang w:val="de-DE"/>
        </w:rPr>
        <w:t>Nat. Commun.</w:t>
      </w:r>
      <w:r w:rsidRPr="003913EB">
        <w:rPr>
          <w:color w:val="000000" w:themeColor="text1"/>
          <w:lang w:val="de-DE"/>
        </w:rPr>
        <w:t>, vol. 6, p. 8379, 2015, https://doi.org/10.1038/ncomms9379.</w:t>
      </w:r>
    </w:p>
    <w:p w14:paraId="46988733" w14:textId="3B2DB110" w:rsidR="00460E64" w:rsidRPr="003913EB" w:rsidRDefault="00460E64" w:rsidP="00460E64">
      <w:pPr>
        <w:pStyle w:val="TFReferencesSection"/>
        <w:ind w:left="480" w:hangingChars="200" w:hanging="480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[8]</w:t>
      </w:r>
      <w:r w:rsidRPr="003913EB">
        <w:rPr>
          <w:color w:val="000000" w:themeColor="text1"/>
          <w:lang w:val="de-DE"/>
        </w:rPr>
        <w:tab/>
        <w:t xml:space="preserve">J. Hu, X. Zhao, Y. Lin, et al., “All-dielectric metasurface circular dichroism waveplate,” </w:t>
      </w:r>
      <w:r w:rsidRPr="003913EB">
        <w:rPr>
          <w:i/>
          <w:color w:val="000000" w:themeColor="text1"/>
          <w:lang w:val="de-DE"/>
        </w:rPr>
        <w:t>Sci. Rep.</w:t>
      </w:r>
      <w:r w:rsidRPr="003913EB">
        <w:rPr>
          <w:color w:val="000000" w:themeColor="text1"/>
          <w:lang w:val="de-DE"/>
        </w:rPr>
        <w:t>, vol. 7, p. 41893, 2017, https://doi.org/10.1038/srep41893.</w:t>
      </w:r>
    </w:p>
    <w:p w14:paraId="1FE1F159" w14:textId="6E5DC422" w:rsidR="00460E64" w:rsidRPr="003913EB" w:rsidRDefault="00460E64" w:rsidP="00460E64">
      <w:pPr>
        <w:pStyle w:val="TFReferencesSection"/>
        <w:ind w:left="480" w:hangingChars="200" w:hanging="480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[9]</w:t>
      </w:r>
      <w:r w:rsidRPr="003913EB">
        <w:rPr>
          <w:color w:val="000000" w:themeColor="text1"/>
          <w:lang w:val="de-DE"/>
        </w:rPr>
        <w:tab/>
        <w:t xml:space="preserve">A. Y. Zhu, W. T. Chen, A. Zaidi, et al., “Giant intrinsic chiro-optical activity in planar dielectric nanostructures,” </w:t>
      </w:r>
      <w:r w:rsidRPr="003913EB">
        <w:rPr>
          <w:i/>
          <w:color w:val="000000" w:themeColor="text1"/>
          <w:lang w:val="de-DE"/>
        </w:rPr>
        <w:t>Light: Sci. Appl.</w:t>
      </w:r>
      <w:r w:rsidRPr="003913EB">
        <w:rPr>
          <w:color w:val="000000" w:themeColor="text1"/>
          <w:lang w:val="de-DE"/>
        </w:rPr>
        <w:t>, vol. 7, p. 17158, 2018, https://doi.org/10.1038/lsa.2017.158.</w:t>
      </w:r>
    </w:p>
    <w:p w14:paraId="7A23295F" w14:textId="6F1BCA05" w:rsidR="00460E64" w:rsidRPr="003913EB" w:rsidRDefault="00460E64" w:rsidP="00460E64">
      <w:pPr>
        <w:pStyle w:val="TFReferencesSection"/>
        <w:ind w:left="480" w:hangingChars="200" w:hanging="480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[10]</w:t>
      </w:r>
      <w:r w:rsidRPr="003913EB">
        <w:rPr>
          <w:color w:val="000000" w:themeColor="text1"/>
          <w:lang w:val="de-DE"/>
        </w:rPr>
        <w:tab/>
        <w:t xml:space="preserve">B. Semnani, J. Flannery, R. Al Maruf, and M. Bajcsy, “Spin-preserving chiral photonic crystal mirror,” </w:t>
      </w:r>
      <w:r w:rsidRPr="003913EB">
        <w:rPr>
          <w:i/>
          <w:color w:val="000000" w:themeColor="text1"/>
          <w:lang w:val="de-DE"/>
        </w:rPr>
        <w:t>Light: Sci. Appl.</w:t>
      </w:r>
      <w:r w:rsidRPr="003913EB">
        <w:rPr>
          <w:color w:val="000000" w:themeColor="text1"/>
          <w:lang w:val="de-DE"/>
        </w:rPr>
        <w:t>, vol. 9, no. 1, p. 23, 2020, https://doi.org/10.1038/s41377-020-0256-5.</w:t>
      </w:r>
    </w:p>
    <w:p w14:paraId="72FF5F93" w14:textId="094A97CC" w:rsidR="00460E64" w:rsidRPr="003913EB" w:rsidRDefault="00460E64" w:rsidP="00460E64">
      <w:pPr>
        <w:pStyle w:val="TFReferencesSection"/>
        <w:ind w:left="480" w:hangingChars="200" w:hanging="480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[11]</w:t>
      </w:r>
      <w:r w:rsidRPr="003913EB">
        <w:rPr>
          <w:color w:val="000000" w:themeColor="text1"/>
          <w:lang w:val="de-DE"/>
        </w:rPr>
        <w:tab/>
        <w:t xml:space="preserve">H. S. Khaliq, I. Kim, A. Zahid, et al., “Giant chiro-optical responses in multipolar-resonances-based single-layer dielectric metasurfaces,” </w:t>
      </w:r>
      <w:r w:rsidRPr="003913EB">
        <w:rPr>
          <w:i/>
          <w:color w:val="000000" w:themeColor="text1"/>
          <w:lang w:val="de-DE"/>
        </w:rPr>
        <w:t>Photonics Res.</w:t>
      </w:r>
      <w:r w:rsidRPr="003913EB">
        <w:rPr>
          <w:color w:val="000000" w:themeColor="text1"/>
          <w:lang w:val="de-DE"/>
        </w:rPr>
        <w:t>, vol. 9, no. 9, pp. 1667-1674, 2021, https://doi.org/10.1364/PRJ.424477.</w:t>
      </w:r>
    </w:p>
    <w:p w14:paraId="077B60F8" w14:textId="58AA5598" w:rsidR="00460E64" w:rsidRPr="003913EB" w:rsidRDefault="00460E64" w:rsidP="00460E64">
      <w:pPr>
        <w:pStyle w:val="TFReferencesSection"/>
        <w:ind w:left="480" w:hangingChars="200" w:hanging="480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lastRenderedPageBreak/>
        <w:t>[12]</w:t>
      </w:r>
      <w:r w:rsidRPr="003913EB">
        <w:rPr>
          <w:color w:val="000000" w:themeColor="text1"/>
          <w:lang w:val="de-DE"/>
        </w:rPr>
        <w:tab/>
        <w:t xml:space="preserve">J. Li, J. Li, C. Zheng, et al., “Lossless dielectric metasurface with giant intrinsic chirality for terahertz wave,” </w:t>
      </w:r>
      <w:r w:rsidRPr="003913EB">
        <w:rPr>
          <w:i/>
          <w:color w:val="000000" w:themeColor="text1"/>
          <w:lang w:val="de-DE"/>
        </w:rPr>
        <w:t>Opt. Express</w:t>
      </w:r>
      <w:r w:rsidRPr="003913EB">
        <w:rPr>
          <w:color w:val="000000" w:themeColor="text1"/>
          <w:lang w:val="de-DE"/>
        </w:rPr>
        <w:t>, vol. 29, no. 18, pp. 28329-28337, 2021, https://doi.org/10.1364/OE.430033.</w:t>
      </w:r>
    </w:p>
    <w:p w14:paraId="7E8B5C95" w14:textId="6D49D7FD" w:rsidR="00460E64" w:rsidRPr="003913EB" w:rsidRDefault="00460E64" w:rsidP="00460E64">
      <w:pPr>
        <w:pStyle w:val="TFReferencesSection"/>
        <w:ind w:left="480" w:hangingChars="200" w:hanging="480"/>
        <w:rPr>
          <w:color w:val="000000" w:themeColor="text1"/>
          <w:lang w:val="de-DE"/>
        </w:rPr>
      </w:pPr>
      <w:r w:rsidRPr="003913EB">
        <w:rPr>
          <w:color w:val="000000" w:themeColor="text1"/>
          <w:lang w:val="de-DE"/>
        </w:rPr>
        <w:t>[13]</w:t>
      </w:r>
      <w:r w:rsidRPr="003913EB">
        <w:rPr>
          <w:color w:val="000000" w:themeColor="text1"/>
          <w:lang w:val="de-DE"/>
        </w:rPr>
        <w:tab/>
        <w:t xml:space="preserve">G. Long, G. Adamo, J. Tian, et al., “Perovskite metasurfaces with large superstructural chirality,” </w:t>
      </w:r>
      <w:r w:rsidRPr="003913EB">
        <w:rPr>
          <w:i/>
          <w:color w:val="000000" w:themeColor="text1"/>
          <w:lang w:val="de-DE"/>
        </w:rPr>
        <w:t>Nat. Commun.</w:t>
      </w:r>
      <w:r w:rsidRPr="003913EB">
        <w:rPr>
          <w:color w:val="000000" w:themeColor="text1"/>
          <w:lang w:val="de-DE"/>
        </w:rPr>
        <w:t>, vol. 13, no. 1, p. 1551, 2022, https://doi.org/10.1038/s41467-022-29253-0.</w:t>
      </w:r>
    </w:p>
    <w:p w14:paraId="49C8F678" w14:textId="3ACA6D7E" w:rsidR="00460E64" w:rsidRPr="003913EB" w:rsidRDefault="00460E64" w:rsidP="006D45A9">
      <w:pPr>
        <w:pStyle w:val="TFReferencesSection"/>
        <w:ind w:left="480" w:hangingChars="200" w:hanging="480"/>
        <w:rPr>
          <w:color w:val="000000" w:themeColor="text1"/>
        </w:rPr>
      </w:pPr>
    </w:p>
    <w:sectPr w:rsidR="00460E64" w:rsidRPr="003913EB">
      <w:footerReference w:type="even" r:id="rId35"/>
      <w:footerReference w:type="default" r:id="rId36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FB564" w14:textId="77777777" w:rsidR="00725F02" w:rsidRDefault="00725F02">
      <w:pPr>
        <w:spacing w:after="0"/>
      </w:pPr>
      <w:r>
        <w:separator/>
      </w:r>
    </w:p>
  </w:endnote>
  <w:endnote w:type="continuationSeparator" w:id="0">
    <w:p w14:paraId="3A073E6C" w14:textId="77777777" w:rsidR="00725F02" w:rsidRDefault="00725F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charset w:val="00"/>
    <w:family w:val="roman"/>
    <w:pitch w:val="default"/>
    <w:sig w:usb0="00000000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310EF" w14:textId="77777777" w:rsidR="005410D9" w:rsidRDefault="005410D9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</w:rPr>
      <w:t>1</w:t>
    </w:r>
    <w:r>
      <w:rPr>
        <w:rStyle w:val="ab"/>
      </w:rPr>
      <w:fldChar w:fldCharType="end"/>
    </w:r>
  </w:p>
  <w:p w14:paraId="780D7AF6" w14:textId="77777777" w:rsidR="005410D9" w:rsidRDefault="005410D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0611" w14:textId="77777777" w:rsidR="005410D9" w:rsidRDefault="005410D9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A0540">
      <w:rPr>
        <w:rStyle w:val="ab"/>
        <w:noProof/>
      </w:rPr>
      <w:t>9</w:t>
    </w:r>
    <w:r>
      <w:rPr>
        <w:rStyle w:val="ab"/>
      </w:rPr>
      <w:fldChar w:fldCharType="end"/>
    </w:r>
  </w:p>
  <w:p w14:paraId="559A7179" w14:textId="77777777" w:rsidR="005410D9" w:rsidRDefault="005410D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0984A" w14:textId="77777777" w:rsidR="00725F02" w:rsidRDefault="00725F02">
      <w:pPr>
        <w:spacing w:after="0"/>
      </w:pPr>
      <w:r>
        <w:separator/>
      </w:r>
    </w:p>
  </w:footnote>
  <w:footnote w:type="continuationSeparator" w:id="0">
    <w:p w14:paraId="78670DA5" w14:textId="77777777" w:rsidR="00725F02" w:rsidRDefault="00725F0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18C8"/>
    <w:multiLevelType w:val="hybridMultilevel"/>
    <w:tmpl w:val="71727D18"/>
    <w:lvl w:ilvl="0" w:tplc="A956F2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701E20"/>
    <w:multiLevelType w:val="hybridMultilevel"/>
    <w:tmpl w:val="34062578"/>
    <w:lvl w:ilvl="0" w:tplc="B6B035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D321691"/>
    <w:multiLevelType w:val="hybridMultilevel"/>
    <w:tmpl w:val="8D6A810C"/>
    <w:lvl w:ilvl="0" w:tplc="63D2D14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26D3F9A"/>
    <w:multiLevelType w:val="singleLevel"/>
    <w:tmpl w:val="326D3F9A"/>
    <w:lvl w:ilvl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34FD0C72"/>
    <w:multiLevelType w:val="singleLevel"/>
    <w:tmpl w:val="34FD0C7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5E390108"/>
    <w:multiLevelType w:val="hybridMultilevel"/>
    <w:tmpl w:val="9A7C192E"/>
    <w:lvl w:ilvl="0" w:tplc="75DE3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64403145">
    <w:abstractNumId w:val="4"/>
  </w:num>
  <w:num w:numId="2" w16cid:durableId="502823037">
    <w:abstractNumId w:val="3"/>
  </w:num>
  <w:num w:numId="3" w16cid:durableId="146820008">
    <w:abstractNumId w:val="2"/>
  </w:num>
  <w:num w:numId="4" w16cid:durableId="536746776">
    <w:abstractNumId w:val="5"/>
  </w:num>
  <w:num w:numId="5" w16cid:durableId="840042910">
    <w:abstractNumId w:val="1"/>
  </w:num>
  <w:num w:numId="6" w16cid:durableId="102891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98A2A8B"/>
    <w:rsid w:val="000002F2"/>
    <w:rsid w:val="000406C3"/>
    <w:rsid w:val="00045216"/>
    <w:rsid w:val="000557E7"/>
    <w:rsid w:val="0005660F"/>
    <w:rsid w:val="000702AD"/>
    <w:rsid w:val="000724DE"/>
    <w:rsid w:val="00074C99"/>
    <w:rsid w:val="0007782E"/>
    <w:rsid w:val="00086CCA"/>
    <w:rsid w:val="00093A26"/>
    <w:rsid w:val="000A5974"/>
    <w:rsid w:val="000B2EEB"/>
    <w:rsid w:val="000B5610"/>
    <w:rsid w:val="000C05CC"/>
    <w:rsid w:val="000C5DED"/>
    <w:rsid w:val="000E45ED"/>
    <w:rsid w:val="00135F91"/>
    <w:rsid w:val="00144C90"/>
    <w:rsid w:val="00151254"/>
    <w:rsid w:val="0018680A"/>
    <w:rsid w:val="00194073"/>
    <w:rsid w:val="00195ACA"/>
    <w:rsid w:val="00196AD0"/>
    <w:rsid w:val="001A0540"/>
    <w:rsid w:val="001A7A90"/>
    <w:rsid w:val="001B20CB"/>
    <w:rsid w:val="001B3BE5"/>
    <w:rsid w:val="001C7C97"/>
    <w:rsid w:val="001D159F"/>
    <w:rsid w:val="001D2B68"/>
    <w:rsid w:val="00205055"/>
    <w:rsid w:val="00212B1D"/>
    <w:rsid w:val="0021412D"/>
    <w:rsid w:val="0022391C"/>
    <w:rsid w:val="0022744D"/>
    <w:rsid w:val="00271A02"/>
    <w:rsid w:val="002A7493"/>
    <w:rsid w:val="002C3431"/>
    <w:rsid w:val="002F5CD9"/>
    <w:rsid w:val="00300D4B"/>
    <w:rsid w:val="0031373B"/>
    <w:rsid w:val="003217E9"/>
    <w:rsid w:val="00324128"/>
    <w:rsid w:val="00335BAE"/>
    <w:rsid w:val="00361E35"/>
    <w:rsid w:val="003664E9"/>
    <w:rsid w:val="003679A1"/>
    <w:rsid w:val="003833A3"/>
    <w:rsid w:val="00386F49"/>
    <w:rsid w:val="003913EB"/>
    <w:rsid w:val="003A42F0"/>
    <w:rsid w:val="003A47E9"/>
    <w:rsid w:val="003A70AE"/>
    <w:rsid w:val="003B1F56"/>
    <w:rsid w:val="003B4AF3"/>
    <w:rsid w:val="003B66AE"/>
    <w:rsid w:val="003C0F4D"/>
    <w:rsid w:val="003E1F76"/>
    <w:rsid w:val="004278A4"/>
    <w:rsid w:val="00431E38"/>
    <w:rsid w:val="0043649C"/>
    <w:rsid w:val="00446324"/>
    <w:rsid w:val="00460E64"/>
    <w:rsid w:val="00475FD2"/>
    <w:rsid w:val="004768CE"/>
    <w:rsid w:val="004A55D7"/>
    <w:rsid w:val="004E283C"/>
    <w:rsid w:val="004E5807"/>
    <w:rsid w:val="004E7185"/>
    <w:rsid w:val="004F35C4"/>
    <w:rsid w:val="00500006"/>
    <w:rsid w:val="00500B0C"/>
    <w:rsid w:val="00501D2A"/>
    <w:rsid w:val="00512399"/>
    <w:rsid w:val="005128F4"/>
    <w:rsid w:val="00517785"/>
    <w:rsid w:val="005204FE"/>
    <w:rsid w:val="0053189D"/>
    <w:rsid w:val="005410D9"/>
    <w:rsid w:val="005553EF"/>
    <w:rsid w:val="00567E81"/>
    <w:rsid w:val="00591A57"/>
    <w:rsid w:val="005A0317"/>
    <w:rsid w:val="005A3002"/>
    <w:rsid w:val="005A6128"/>
    <w:rsid w:val="005D0C10"/>
    <w:rsid w:val="005D360F"/>
    <w:rsid w:val="005D7AEE"/>
    <w:rsid w:val="005E06C3"/>
    <w:rsid w:val="005E23E9"/>
    <w:rsid w:val="005F17A5"/>
    <w:rsid w:val="005F2FDF"/>
    <w:rsid w:val="006062F5"/>
    <w:rsid w:val="00637C55"/>
    <w:rsid w:val="00643D9B"/>
    <w:rsid w:val="006455A5"/>
    <w:rsid w:val="006661AF"/>
    <w:rsid w:val="00671429"/>
    <w:rsid w:val="00671B59"/>
    <w:rsid w:val="00683131"/>
    <w:rsid w:val="006A3E34"/>
    <w:rsid w:val="006B2581"/>
    <w:rsid w:val="006B4024"/>
    <w:rsid w:val="006B5CE0"/>
    <w:rsid w:val="006B6168"/>
    <w:rsid w:val="006D45A9"/>
    <w:rsid w:val="006E65D8"/>
    <w:rsid w:val="007000D9"/>
    <w:rsid w:val="00725F02"/>
    <w:rsid w:val="00745BCE"/>
    <w:rsid w:val="00747701"/>
    <w:rsid w:val="00750E87"/>
    <w:rsid w:val="00752404"/>
    <w:rsid w:val="00755639"/>
    <w:rsid w:val="00761037"/>
    <w:rsid w:val="007629D3"/>
    <w:rsid w:val="007816AC"/>
    <w:rsid w:val="00792FA6"/>
    <w:rsid w:val="00794616"/>
    <w:rsid w:val="007A11AD"/>
    <w:rsid w:val="007E78FA"/>
    <w:rsid w:val="007F3B76"/>
    <w:rsid w:val="008047DE"/>
    <w:rsid w:val="00811329"/>
    <w:rsid w:val="0082299A"/>
    <w:rsid w:val="008448B1"/>
    <w:rsid w:val="008633FA"/>
    <w:rsid w:val="008655C0"/>
    <w:rsid w:val="00870E7D"/>
    <w:rsid w:val="00872DCB"/>
    <w:rsid w:val="008921B6"/>
    <w:rsid w:val="008924D5"/>
    <w:rsid w:val="00895347"/>
    <w:rsid w:val="008A5B6C"/>
    <w:rsid w:val="008A66BB"/>
    <w:rsid w:val="008C1ED7"/>
    <w:rsid w:val="008C363B"/>
    <w:rsid w:val="008D30F9"/>
    <w:rsid w:val="008D53B2"/>
    <w:rsid w:val="008E4377"/>
    <w:rsid w:val="008E4D6C"/>
    <w:rsid w:val="008F568B"/>
    <w:rsid w:val="008F74BE"/>
    <w:rsid w:val="00912169"/>
    <w:rsid w:val="0092037A"/>
    <w:rsid w:val="009219D2"/>
    <w:rsid w:val="009246AD"/>
    <w:rsid w:val="00926CEF"/>
    <w:rsid w:val="009431DF"/>
    <w:rsid w:val="00996BCD"/>
    <w:rsid w:val="009D3AA0"/>
    <w:rsid w:val="009D4CD0"/>
    <w:rsid w:val="009F2E7E"/>
    <w:rsid w:val="00A02D62"/>
    <w:rsid w:val="00A0517C"/>
    <w:rsid w:val="00A13C3A"/>
    <w:rsid w:val="00A20EB5"/>
    <w:rsid w:val="00A30B37"/>
    <w:rsid w:val="00A45035"/>
    <w:rsid w:val="00A53FA2"/>
    <w:rsid w:val="00A63F6A"/>
    <w:rsid w:val="00A764EF"/>
    <w:rsid w:val="00A77F85"/>
    <w:rsid w:val="00A93C2C"/>
    <w:rsid w:val="00AA2398"/>
    <w:rsid w:val="00AB0025"/>
    <w:rsid w:val="00AB0F8C"/>
    <w:rsid w:val="00AB34C5"/>
    <w:rsid w:val="00AD2D2B"/>
    <w:rsid w:val="00AF4F6D"/>
    <w:rsid w:val="00AF7F6A"/>
    <w:rsid w:val="00B02FA4"/>
    <w:rsid w:val="00B05A88"/>
    <w:rsid w:val="00B3516C"/>
    <w:rsid w:val="00B40CFF"/>
    <w:rsid w:val="00B44641"/>
    <w:rsid w:val="00B669FC"/>
    <w:rsid w:val="00B751D7"/>
    <w:rsid w:val="00B7618D"/>
    <w:rsid w:val="00B84B7E"/>
    <w:rsid w:val="00B86D00"/>
    <w:rsid w:val="00BC15B9"/>
    <w:rsid w:val="00BD2C44"/>
    <w:rsid w:val="00BD7999"/>
    <w:rsid w:val="00BF4192"/>
    <w:rsid w:val="00BF46E8"/>
    <w:rsid w:val="00C03DE4"/>
    <w:rsid w:val="00C07266"/>
    <w:rsid w:val="00C10EE0"/>
    <w:rsid w:val="00C11244"/>
    <w:rsid w:val="00C11F4D"/>
    <w:rsid w:val="00C12556"/>
    <w:rsid w:val="00C45983"/>
    <w:rsid w:val="00C4725E"/>
    <w:rsid w:val="00C578F9"/>
    <w:rsid w:val="00C6170A"/>
    <w:rsid w:val="00CA11EA"/>
    <w:rsid w:val="00CC2AFC"/>
    <w:rsid w:val="00CD5F6E"/>
    <w:rsid w:val="00D058F0"/>
    <w:rsid w:val="00D074A6"/>
    <w:rsid w:val="00D318E5"/>
    <w:rsid w:val="00D32E24"/>
    <w:rsid w:val="00D35BAF"/>
    <w:rsid w:val="00D43E5C"/>
    <w:rsid w:val="00D517A1"/>
    <w:rsid w:val="00D51D2F"/>
    <w:rsid w:val="00D615F5"/>
    <w:rsid w:val="00D834D0"/>
    <w:rsid w:val="00D83D5B"/>
    <w:rsid w:val="00D87BD9"/>
    <w:rsid w:val="00DA3456"/>
    <w:rsid w:val="00DD6DBB"/>
    <w:rsid w:val="00DE6281"/>
    <w:rsid w:val="00E012DF"/>
    <w:rsid w:val="00E03568"/>
    <w:rsid w:val="00E074F2"/>
    <w:rsid w:val="00E2114F"/>
    <w:rsid w:val="00E46103"/>
    <w:rsid w:val="00E65340"/>
    <w:rsid w:val="00E77577"/>
    <w:rsid w:val="00E82CE1"/>
    <w:rsid w:val="00E91482"/>
    <w:rsid w:val="00E96302"/>
    <w:rsid w:val="00EA18B9"/>
    <w:rsid w:val="00ED255C"/>
    <w:rsid w:val="00ED5B11"/>
    <w:rsid w:val="00EF0689"/>
    <w:rsid w:val="00F0031C"/>
    <w:rsid w:val="00F0437A"/>
    <w:rsid w:val="00F134F5"/>
    <w:rsid w:val="00F21705"/>
    <w:rsid w:val="00F47B85"/>
    <w:rsid w:val="00F54BDD"/>
    <w:rsid w:val="00F5645C"/>
    <w:rsid w:val="00F663CC"/>
    <w:rsid w:val="00F66864"/>
    <w:rsid w:val="00F66B3A"/>
    <w:rsid w:val="00F67CBB"/>
    <w:rsid w:val="00F83235"/>
    <w:rsid w:val="00FC0D7C"/>
    <w:rsid w:val="00FC0E8B"/>
    <w:rsid w:val="00FC78E1"/>
    <w:rsid w:val="00FE6219"/>
    <w:rsid w:val="00FE6E45"/>
    <w:rsid w:val="00FF2D4B"/>
    <w:rsid w:val="398A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F0ECDC"/>
  <w15:docId w15:val="{174E7ED6-F8AD-4E25-B1B1-46D17B2C7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Theme="minorEastAsia" w:hAnsi="New York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qFormat="1"/>
    <w:lsdException w:name="annotation text" w:uiPriority="99"/>
    <w:lsdException w:name="footer" w:uiPriority="99" w:qFormat="1"/>
    <w:lsdException w:name="caption" w:semiHidden="1" w:unhideWhenUsed="1" w:qFormat="1"/>
    <w:lsdException w:name="annotation reference" w:uiPriority="99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eastAsia="Times New Roman" w:hAnsi="Times"/>
      <w:sz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C15B9"/>
    <w:pPr>
      <w:keepNext/>
      <w:keepLines/>
      <w:spacing w:before="340" w:after="330" w:line="578" w:lineRule="auto"/>
      <w:jc w:val="left"/>
      <w:outlineLvl w:val="0"/>
    </w:pPr>
    <w:rPr>
      <w:rFonts w:ascii="Times New Roman" w:eastAsia="MS Mincho" w:hAnsi="Times New Roman"/>
      <w:b/>
      <w:bCs/>
      <w:kern w:val="44"/>
      <w:sz w:val="44"/>
      <w:szCs w:val="44"/>
      <w:lang w:val="de-DE" w:eastAsia="ja-JP"/>
    </w:rPr>
  </w:style>
  <w:style w:type="paragraph" w:styleId="2">
    <w:name w:val="heading 2"/>
    <w:basedOn w:val="a"/>
    <w:next w:val="a"/>
    <w:link w:val="20"/>
    <w:uiPriority w:val="9"/>
    <w:unhideWhenUsed/>
    <w:qFormat/>
    <w:rsid w:val="00BC15B9"/>
    <w:pPr>
      <w:keepNext/>
      <w:keepLines/>
      <w:widowControl w:val="0"/>
      <w:snapToGrid w:val="0"/>
      <w:spacing w:before="200" w:line="360" w:lineRule="auto"/>
      <w:outlineLvl w:val="1"/>
    </w:pPr>
    <w:rPr>
      <w:rFonts w:ascii="Times New Roman" w:eastAsiaTheme="majorEastAsia" w:hAnsi="Times New Roman" w:cstheme="majorBidi"/>
      <w:b/>
      <w:bCs/>
      <w:kern w:val="2"/>
      <w:sz w:val="28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center"/>
    </w:pPr>
    <w:rPr>
      <w:b/>
      <w:sz w:val="40"/>
    </w:rPr>
  </w:style>
  <w:style w:type="paragraph" w:styleId="a5">
    <w:name w:val="Balloon Text"/>
    <w:basedOn w:val="a"/>
    <w:link w:val="a6"/>
    <w:semiHidden/>
    <w:qFormat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qFormat/>
    <w:pPr>
      <w:tabs>
        <w:tab w:val="center" w:pos="4320"/>
        <w:tab w:val="right" w:pos="8640"/>
      </w:tabs>
    </w:pPr>
  </w:style>
  <w:style w:type="paragraph" w:styleId="a9">
    <w:name w:val="footnote text"/>
    <w:basedOn w:val="a"/>
    <w:next w:val="TFReferencesSection"/>
    <w:link w:val="aa"/>
    <w:semiHidden/>
    <w:qFormat/>
  </w:style>
  <w:style w:type="paragraph" w:customStyle="1" w:styleId="TFReferencesSection">
    <w:name w:val="TF_References_Section"/>
    <w:basedOn w:val="a"/>
    <w:qFormat/>
    <w:pPr>
      <w:spacing w:line="480" w:lineRule="auto"/>
      <w:ind w:firstLine="187"/>
    </w:pPr>
  </w:style>
  <w:style w:type="character" w:styleId="ab">
    <w:name w:val="page number"/>
    <w:basedOn w:val="a0"/>
    <w:qFormat/>
  </w:style>
  <w:style w:type="character" w:styleId="ac">
    <w:name w:val="FollowedHyperlink"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paragraph" w:customStyle="1" w:styleId="TAMainText">
    <w:name w:val="TA_Main_Text"/>
    <w:basedOn w:val="a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qFormat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qFormat/>
    <w:pPr>
      <w:spacing w:line="480" w:lineRule="auto"/>
    </w:pPr>
  </w:style>
  <w:style w:type="paragraph" w:customStyle="1" w:styleId="AIReceivedDate">
    <w:name w:val="AI_Received_Date"/>
    <w:basedOn w:val="a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qFormat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qFormat/>
    <w:pPr>
      <w:spacing w:line="480" w:lineRule="auto"/>
    </w:pPr>
  </w:style>
  <w:style w:type="paragraph" w:customStyle="1" w:styleId="VDTableTitle">
    <w:name w:val="VD_Table_Title"/>
    <w:basedOn w:val="a"/>
    <w:next w:val="a"/>
    <w:pPr>
      <w:spacing w:line="480" w:lineRule="auto"/>
    </w:pPr>
  </w:style>
  <w:style w:type="paragraph" w:customStyle="1" w:styleId="VAFigureCaption">
    <w:name w:val="VA_Figure_Caption"/>
    <w:basedOn w:val="a"/>
    <w:next w:val="a"/>
    <w:qFormat/>
    <w:pPr>
      <w:spacing w:line="480" w:lineRule="auto"/>
    </w:pPr>
  </w:style>
  <w:style w:type="paragraph" w:customStyle="1" w:styleId="VBChartTitle">
    <w:name w:val="VB_Chart_Title"/>
    <w:basedOn w:val="a"/>
    <w:next w:val="a"/>
    <w:qFormat/>
    <w:pPr>
      <w:spacing w:line="480" w:lineRule="auto"/>
    </w:pPr>
  </w:style>
  <w:style w:type="paragraph" w:customStyle="1" w:styleId="FETableFootnote">
    <w:name w:val="FE_Table_Footnote"/>
    <w:basedOn w:val="a"/>
    <w:next w:val="a"/>
    <w:pPr>
      <w:ind w:firstLine="187"/>
    </w:pPr>
  </w:style>
  <w:style w:type="paragraph" w:customStyle="1" w:styleId="FCChartFootnote">
    <w:name w:val="FC_Chart_Footnote"/>
    <w:basedOn w:val="a"/>
    <w:next w:val="a"/>
    <w:qFormat/>
    <w:pPr>
      <w:ind w:firstLine="187"/>
    </w:pPr>
  </w:style>
  <w:style w:type="paragraph" w:customStyle="1" w:styleId="FDSchemeFootnote">
    <w:name w:val="FD_Scheme_Footnote"/>
    <w:basedOn w:val="a"/>
    <w:next w:val="a"/>
    <w:pPr>
      <w:ind w:firstLine="187"/>
    </w:pPr>
  </w:style>
  <w:style w:type="paragraph" w:customStyle="1" w:styleId="TCTableBody">
    <w:name w:val="TC_Table_Body"/>
    <w:basedOn w:val="a"/>
  </w:style>
  <w:style w:type="paragraph" w:customStyle="1" w:styleId="AFTitleRunningHead">
    <w:name w:val="AF_Title_Running_Head"/>
    <w:basedOn w:val="a"/>
    <w:next w:val="TAMainText"/>
    <w:pPr>
      <w:spacing w:line="480" w:lineRule="auto"/>
    </w:pPr>
  </w:style>
  <w:style w:type="paragraph" w:customStyle="1" w:styleId="BEAuthorBiography">
    <w:name w:val="BE_Author_Biography"/>
    <w:basedOn w:val="a"/>
    <w:qFormat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qFormat/>
    <w:pPr>
      <w:spacing w:line="480" w:lineRule="auto"/>
    </w:pPr>
  </w:style>
  <w:style w:type="paragraph" w:customStyle="1" w:styleId="SNSynopsisTOC">
    <w:name w:val="SN_Synopsis_TOC"/>
    <w:basedOn w:val="a"/>
    <w:link w:val="SNSynopsisTOCChar"/>
    <w:pPr>
      <w:spacing w:line="480" w:lineRule="auto"/>
    </w:pPr>
  </w:style>
  <w:style w:type="paragraph" w:customStyle="1" w:styleId="BGKeywords">
    <w:name w:val="BG_Keywords"/>
    <w:basedOn w:val="a"/>
    <w:pPr>
      <w:spacing w:line="480" w:lineRule="auto"/>
    </w:pPr>
  </w:style>
  <w:style w:type="paragraph" w:customStyle="1" w:styleId="BHBriefs">
    <w:name w:val="BH_Briefs"/>
    <w:basedOn w:val="a"/>
    <w:pPr>
      <w:spacing w:line="480" w:lineRule="auto"/>
    </w:p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qFormat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a"/>
    <w:link w:val="FAAuthorInfoSubtitleChar"/>
    <w:qFormat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qFormat/>
    <w:rPr>
      <w:rFonts w:ascii="Times" w:hAnsi="Times"/>
      <w:b/>
      <w:sz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Symbol" w:eastAsia="Times New Roman" w:hAnsi="Symbol" w:cs="Symbol"/>
      <w:color w:val="000000"/>
      <w:sz w:val="24"/>
      <w:szCs w:val="24"/>
      <w:lang w:eastAsia="en-US"/>
    </w:rPr>
  </w:style>
  <w:style w:type="paragraph" w:styleId="ae">
    <w:name w:val="header"/>
    <w:basedOn w:val="a"/>
    <w:link w:val="af"/>
    <w:rsid w:val="00BC15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rsid w:val="00BC15B9"/>
    <w:rPr>
      <w:rFonts w:ascii="Times" w:eastAsia="Times New Roman" w:hAnsi="Times"/>
      <w:sz w:val="18"/>
      <w:szCs w:val="18"/>
      <w:lang w:eastAsia="en-US"/>
    </w:rPr>
  </w:style>
  <w:style w:type="table" w:styleId="af0">
    <w:name w:val="Table Grid"/>
    <w:basedOn w:val="a1"/>
    <w:unhideWhenUsed/>
    <w:qFormat/>
    <w:rsid w:val="00BC1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BC15B9"/>
    <w:rPr>
      <w:rFonts w:ascii="Times New Roman" w:eastAsia="MS Mincho" w:hAnsi="Times New Roman"/>
      <w:b/>
      <w:bCs/>
      <w:kern w:val="44"/>
      <w:sz w:val="44"/>
      <w:szCs w:val="44"/>
      <w:lang w:val="de-DE" w:eastAsia="ja-JP"/>
    </w:rPr>
  </w:style>
  <w:style w:type="character" w:customStyle="1" w:styleId="20">
    <w:name w:val="标题 2 字符"/>
    <w:basedOn w:val="a0"/>
    <w:link w:val="2"/>
    <w:uiPriority w:val="9"/>
    <w:rsid w:val="00BC15B9"/>
    <w:rPr>
      <w:rFonts w:ascii="Times New Roman" w:eastAsiaTheme="majorEastAsia" w:hAnsi="Times New Roman" w:cstheme="majorBidi"/>
      <w:b/>
      <w:bCs/>
      <w:kern w:val="2"/>
      <w:sz w:val="28"/>
      <w:szCs w:val="32"/>
    </w:rPr>
  </w:style>
  <w:style w:type="character" w:customStyle="1" w:styleId="a4">
    <w:name w:val="正文文本 字符"/>
    <w:basedOn w:val="a0"/>
    <w:link w:val="a3"/>
    <w:rsid w:val="00BC15B9"/>
    <w:rPr>
      <w:rFonts w:ascii="Times" w:eastAsia="Times New Roman" w:hAnsi="Times"/>
      <w:b/>
      <w:sz w:val="40"/>
      <w:lang w:eastAsia="en-US"/>
    </w:rPr>
  </w:style>
  <w:style w:type="character" w:customStyle="1" w:styleId="a6">
    <w:name w:val="批注框文本 字符"/>
    <w:basedOn w:val="a0"/>
    <w:link w:val="a5"/>
    <w:semiHidden/>
    <w:rsid w:val="00BC15B9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8">
    <w:name w:val="页脚 字符"/>
    <w:basedOn w:val="a0"/>
    <w:link w:val="a7"/>
    <w:uiPriority w:val="99"/>
    <w:rsid w:val="00BC15B9"/>
    <w:rPr>
      <w:rFonts w:ascii="Times" w:eastAsia="Times New Roman" w:hAnsi="Times"/>
      <w:sz w:val="24"/>
      <w:lang w:eastAsia="en-US"/>
    </w:rPr>
  </w:style>
  <w:style w:type="character" w:customStyle="1" w:styleId="aa">
    <w:name w:val="脚注文本 字符"/>
    <w:basedOn w:val="a0"/>
    <w:link w:val="a9"/>
    <w:semiHidden/>
    <w:rsid w:val="00BC15B9"/>
    <w:rPr>
      <w:rFonts w:ascii="Times" w:eastAsia="Times New Roman" w:hAnsi="Times"/>
      <w:sz w:val="24"/>
      <w:lang w:eastAsia="en-US"/>
    </w:rPr>
  </w:style>
  <w:style w:type="paragraph" w:customStyle="1" w:styleId="History">
    <w:name w:val="History"/>
    <w:basedOn w:val="a"/>
    <w:rsid w:val="00BC15B9"/>
    <w:pPr>
      <w:spacing w:before="230" w:after="460" w:line="180" w:lineRule="exact"/>
      <w:jc w:val="right"/>
    </w:pPr>
    <w:rPr>
      <w:rFonts w:ascii="Arial" w:eastAsia="MS Mincho" w:hAnsi="Arial"/>
      <w:sz w:val="14"/>
      <w:szCs w:val="16"/>
      <w:lang w:val="de-DE" w:eastAsia="ja-JP"/>
    </w:rPr>
  </w:style>
  <w:style w:type="paragraph" w:customStyle="1" w:styleId="References">
    <w:name w:val="References"/>
    <w:basedOn w:val="a"/>
    <w:rsid w:val="00BC15B9"/>
    <w:pPr>
      <w:spacing w:after="0" w:line="200" w:lineRule="exact"/>
      <w:ind w:left="425" w:hanging="425"/>
    </w:pPr>
    <w:rPr>
      <w:rFonts w:ascii="Times New Roman" w:eastAsia="MS Mincho" w:hAnsi="Times New Roman"/>
      <w:sz w:val="15"/>
      <w:szCs w:val="14"/>
      <w:lang w:val="en-GB" w:eastAsia="ja-JP"/>
    </w:rPr>
  </w:style>
  <w:style w:type="paragraph" w:customStyle="1" w:styleId="HExperimentalSection">
    <w:name w:val="HExperimental_Section"/>
    <w:basedOn w:val="a"/>
    <w:rsid w:val="00BC15B9"/>
    <w:pPr>
      <w:spacing w:before="460" w:after="230" w:line="230" w:lineRule="atLeast"/>
      <w:jc w:val="left"/>
    </w:pPr>
    <w:rPr>
      <w:rFonts w:ascii="Times New Roman" w:eastAsia="MS Mincho" w:hAnsi="Times New Roman"/>
      <w:i/>
      <w:lang w:val="de-DE" w:eastAsia="ja-JP"/>
    </w:rPr>
  </w:style>
  <w:style w:type="paragraph" w:customStyle="1" w:styleId="ExperimentalSection">
    <w:name w:val="ExperimentalSection"/>
    <w:basedOn w:val="a"/>
    <w:rsid w:val="00BC15B9"/>
    <w:pPr>
      <w:spacing w:after="240" w:line="200" w:lineRule="exact"/>
      <w:ind w:firstLine="170"/>
    </w:pPr>
    <w:rPr>
      <w:rFonts w:ascii="Times New Roman" w:eastAsia="MS Mincho" w:hAnsi="Times New Roman"/>
      <w:sz w:val="16"/>
      <w:szCs w:val="14"/>
      <w:lang w:val="en-GB" w:eastAsia="ja-JP"/>
    </w:rPr>
  </w:style>
  <w:style w:type="paragraph" w:customStyle="1" w:styleId="FNB">
    <w:name w:val="FNB"/>
    <w:basedOn w:val="a"/>
    <w:link w:val="FNBChar"/>
    <w:rsid w:val="00BC15B9"/>
    <w:pPr>
      <w:widowControl w:val="0"/>
      <w:spacing w:after="40" w:line="160" w:lineRule="exact"/>
      <w:ind w:left="567" w:right="4434" w:hanging="567"/>
    </w:pPr>
    <w:rPr>
      <w:rFonts w:eastAsia="MS Mincho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BC15B9"/>
    <w:rPr>
      <w:rFonts w:ascii="Times" w:eastAsia="MS Mincho" w:hAnsi="Times"/>
      <w:sz w:val="14"/>
      <w:szCs w:val="3276"/>
      <w:lang w:val="en-GB" w:eastAsia="de-DE"/>
    </w:rPr>
  </w:style>
  <w:style w:type="paragraph" w:customStyle="1" w:styleId="Ack">
    <w:name w:val="Ack"/>
    <w:basedOn w:val="a"/>
    <w:rsid w:val="00BC15B9"/>
    <w:pPr>
      <w:spacing w:after="0" w:line="360" w:lineRule="auto"/>
      <w:jc w:val="left"/>
    </w:pPr>
    <w:rPr>
      <w:rFonts w:ascii="Times New Roman" w:eastAsia="MS Mincho" w:hAnsi="Times New Roman"/>
      <w:szCs w:val="24"/>
      <w:lang w:val="de-DE" w:eastAsia="ja-JP"/>
    </w:rPr>
  </w:style>
  <w:style w:type="paragraph" w:customStyle="1" w:styleId="TableCaption">
    <w:name w:val="TableCaption"/>
    <w:basedOn w:val="a"/>
    <w:rsid w:val="00BC15B9"/>
    <w:pPr>
      <w:spacing w:after="120" w:line="190" w:lineRule="exact"/>
    </w:pPr>
    <w:rPr>
      <w:rFonts w:ascii="Arial" w:eastAsia="MS Mincho" w:hAnsi="Arial"/>
      <w:sz w:val="16"/>
      <w:szCs w:val="14"/>
      <w:lang w:val="en-GB" w:eastAsia="ja-JP"/>
    </w:rPr>
  </w:style>
  <w:style w:type="paragraph" w:customStyle="1" w:styleId="TableHead">
    <w:name w:val="TableHead"/>
    <w:basedOn w:val="TableCaption"/>
    <w:rsid w:val="00BC15B9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BC15B9"/>
  </w:style>
  <w:style w:type="paragraph" w:customStyle="1" w:styleId="TableFoot">
    <w:name w:val="TableFoot"/>
    <w:basedOn w:val="TableBody"/>
    <w:rsid w:val="00BC15B9"/>
    <w:pPr>
      <w:spacing w:before="60" w:after="60"/>
    </w:pPr>
  </w:style>
  <w:style w:type="paragraph" w:customStyle="1" w:styleId="SchemeCaption">
    <w:name w:val="SchemeCaption"/>
    <w:basedOn w:val="a"/>
    <w:rsid w:val="00BC15B9"/>
    <w:pPr>
      <w:spacing w:before="230" w:after="460" w:line="190" w:lineRule="exact"/>
    </w:pPr>
    <w:rPr>
      <w:rFonts w:ascii="Arial" w:eastAsia="MS Mincho" w:hAnsi="Arial"/>
      <w:sz w:val="16"/>
      <w:szCs w:val="14"/>
      <w:lang w:val="en-GB" w:eastAsia="ja-JP"/>
    </w:rPr>
  </w:style>
  <w:style w:type="paragraph" w:customStyle="1" w:styleId="STOE">
    <w:name w:val="STOE"/>
    <w:basedOn w:val="a"/>
    <w:link w:val="STOEChar1"/>
    <w:rsid w:val="00BC15B9"/>
    <w:pPr>
      <w:widowControl w:val="0"/>
      <w:spacing w:after="0" w:line="236" w:lineRule="exact"/>
      <w:ind w:right="4434"/>
    </w:pPr>
    <w:rPr>
      <w:rFonts w:eastAsia="MS Mincho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BC15B9"/>
    <w:rPr>
      <w:rFonts w:ascii="Times" w:eastAsia="MS Mincho" w:hAnsi="Times"/>
      <w:sz w:val="18"/>
      <w:szCs w:val="3276"/>
      <w:lang w:val="en-GB" w:eastAsia="de-DE"/>
    </w:rPr>
  </w:style>
  <w:style w:type="paragraph" w:customStyle="1" w:styleId="Title1">
    <w:name w:val="Title1"/>
    <w:basedOn w:val="a"/>
    <w:rsid w:val="00BC15B9"/>
    <w:pPr>
      <w:spacing w:after="0" w:line="360" w:lineRule="auto"/>
      <w:jc w:val="left"/>
    </w:pPr>
    <w:rPr>
      <w:rFonts w:ascii="Times New Roman" w:eastAsia="MS Mincho" w:hAnsi="Times New Roman"/>
      <w:b/>
      <w:szCs w:val="24"/>
      <w:lang w:eastAsia="ja-JP"/>
    </w:rPr>
  </w:style>
  <w:style w:type="paragraph" w:customStyle="1" w:styleId="AuthorsFull">
    <w:name w:val="Authors Full"/>
    <w:basedOn w:val="a"/>
    <w:rsid w:val="00BC15B9"/>
    <w:pPr>
      <w:spacing w:after="0" w:line="360" w:lineRule="auto"/>
      <w:jc w:val="left"/>
    </w:pPr>
    <w:rPr>
      <w:rFonts w:ascii="Times New Roman" w:eastAsia="MS Mincho" w:hAnsi="Times New Roman"/>
      <w:i/>
      <w:szCs w:val="24"/>
      <w:lang w:eastAsia="ja-JP"/>
    </w:rPr>
  </w:style>
  <w:style w:type="paragraph" w:customStyle="1" w:styleId="dedication">
    <w:name w:val="dedication"/>
    <w:basedOn w:val="a"/>
    <w:rsid w:val="00BC15B9"/>
    <w:pPr>
      <w:spacing w:after="0" w:line="360" w:lineRule="auto"/>
      <w:jc w:val="left"/>
    </w:pPr>
    <w:rPr>
      <w:rFonts w:ascii="Times New Roman" w:eastAsia="MS Mincho" w:hAnsi="Times New Roman"/>
      <w:i/>
      <w:szCs w:val="24"/>
      <w:lang w:eastAsia="ja-JP"/>
    </w:rPr>
  </w:style>
  <w:style w:type="paragraph" w:customStyle="1" w:styleId="Addresses">
    <w:name w:val="Addresses"/>
    <w:basedOn w:val="a"/>
    <w:rsid w:val="00BC15B9"/>
    <w:pPr>
      <w:spacing w:after="0" w:line="360" w:lineRule="auto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Acknowledgements">
    <w:name w:val="Acknowledgements"/>
    <w:basedOn w:val="a"/>
    <w:rsid w:val="00BC15B9"/>
    <w:pPr>
      <w:spacing w:after="0" w:line="360" w:lineRule="auto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Abstract">
    <w:name w:val="Abstract"/>
    <w:basedOn w:val="a"/>
    <w:autoRedefine/>
    <w:rsid w:val="00BC15B9"/>
    <w:pPr>
      <w:spacing w:after="0" w:line="360" w:lineRule="auto"/>
      <w:jc w:val="left"/>
    </w:pPr>
    <w:rPr>
      <w:rFonts w:ascii="Times New Roman" w:eastAsia="MS Mincho" w:hAnsi="Times New Roman"/>
      <w:b/>
      <w:szCs w:val="24"/>
      <w:lang w:eastAsia="ja-JP"/>
    </w:rPr>
  </w:style>
  <w:style w:type="paragraph" w:customStyle="1" w:styleId="Head1">
    <w:name w:val="Head 1"/>
    <w:basedOn w:val="a"/>
    <w:autoRedefine/>
    <w:rsid w:val="00BC15B9"/>
    <w:pPr>
      <w:spacing w:after="0" w:line="360" w:lineRule="auto"/>
      <w:ind w:left="361" w:hangingChars="150" w:hanging="361"/>
      <w:jc w:val="left"/>
    </w:pPr>
    <w:rPr>
      <w:rFonts w:ascii="Times New Roman" w:eastAsia="MS Mincho" w:hAnsi="Times New Roman"/>
      <w:b/>
      <w:szCs w:val="24"/>
      <w:lang w:eastAsia="ja-JP"/>
    </w:rPr>
  </w:style>
  <w:style w:type="paragraph" w:customStyle="1" w:styleId="Head2">
    <w:name w:val="Head 2"/>
    <w:basedOn w:val="a"/>
    <w:autoRedefine/>
    <w:rsid w:val="00BC15B9"/>
    <w:pPr>
      <w:spacing w:after="0" w:line="360" w:lineRule="auto"/>
      <w:jc w:val="left"/>
    </w:pPr>
    <w:rPr>
      <w:rFonts w:ascii="Times New Roman" w:eastAsia="MS Mincho" w:hAnsi="Times New Roman"/>
      <w:i/>
      <w:szCs w:val="24"/>
      <w:lang w:eastAsia="ja-JP"/>
    </w:rPr>
  </w:style>
  <w:style w:type="paragraph" w:customStyle="1" w:styleId="dates">
    <w:name w:val="dates"/>
    <w:basedOn w:val="a"/>
    <w:rsid w:val="00BC15B9"/>
    <w:pPr>
      <w:spacing w:after="0" w:line="360" w:lineRule="auto"/>
      <w:jc w:val="right"/>
    </w:pPr>
    <w:rPr>
      <w:rFonts w:ascii="Times New Roman" w:eastAsia="MS Mincho" w:hAnsi="Times New Roman"/>
      <w:szCs w:val="24"/>
      <w:lang w:eastAsia="ja-JP"/>
    </w:rPr>
  </w:style>
  <w:style w:type="paragraph" w:customStyle="1" w:styleId="Literature">
    <w:name w:val="Literature"/>
    <w:basedOn w:val="a"/>
    <w:rsid w:val="00BC15B9"/>
    <w:pPr>
      <w:spacing w:after="0" w:line="480" w:lineRule="auto"/>
      <w:jc w:val="left"/>
    </w:pPr>
    <w:rPr>
      <w:rFonts w:ascii="Times New Roman" w:eastAsia="MS Mincho" w:hAnsi="Times New Roman"/>
      <w:szCs w:val="24"/>
      <w:lang w:val="de-DE" w:eastAsia="ja-JP"/>
    </w:rPr>
  </w:style>
  <w:style w:type="paragraph" w:customStyle="1" w:styleId="Legend">
    <w:name w:val="Legend"/>
    <w:basedOn w:val="a"/>
    <w:rsid w:val="00BC15B9"/>
    <w:pPr>
      <w:spacing w:after="0" w:line="360" w:lineRule="auto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MainText">
    <w:name w:val="Main Text"/>
    <w:basedOn w:val="a"/>
    <w:link w:val="MainTextChar"/>
    <w:rsid w:val="00BC15B9"/>
    <w:pPr>
      <w:spacing w:after="0" w:line="480" w:lineRule="auto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Tableofcontents">
    <w:name w:val="Table of contents"/>
    <w:basedOn w:val="a"/>
    <w:autoRedefine/>
    <w:rsid w:val="00BC15B9"/>
    <w:pPr>
      <w:spacing w:after="0" w:line="360" w:lineRule="auto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ExperimentalText">
    <w:name w:val="Experimental Text"/>
    <w:basedOn w:val="a"/>
    <w:link w:val="ExperimentalTextChar"/>
    <w:rsid w:val="00BC15B9"/>
    <w:pPr>
      <w:spacing w:after="0" w:line="480" w:lineRule="auto"/>
      <w:jc w:val="left"/>
    </w:pPr>
    <w:rPr>
      <w:rFonts w:ascii="Times New Roman" w:eastAsia="MS Mincho" w:hAnsi="Times New Roman"/>
      <w:szCs w:val="24"/>
      <w:lang w:eastAsia="ja-JP"/>
    </w:rPr>
  </w:style>
  <w:style w:type="character" w:customStyle="1" w:styleId="ExperimentalTextChar">
    <w:name w:val="Experimental Text Char"/>
    <w:link w:val="ExperimentalText"/>
    <w:rsid w:val="00BC15B9"/>
    <w:rPr>
      <w:rFonts w:ascii="Times New Roman" w:eastAsia="MS Mincho" w:hAnsi="Times New Roman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BC15B9"/>
    <w:rPr>
      <w:rFonts w:ascii="Times New Roman" w:eastAsia="MS Mincho" w:hAnsi="Times New Roman"/>
      <w:sz w:val="24"/>
      <w:szCs w:val="24"/>
      <w:lang w:eastAsia="ja-JP"/>
    </w:rPr>
  </w:style>
  <w:style w:type="paragraph" w:customStyle="1" w:styleId="Title2">
    <w:name w:val="Title2"/>
    <w:basedOn w:val="a"/>
    <w:rsid w:val="00BC15B9"/>
    <w:pPr>
      <w:spacing w:after="0" w:line="360" w:lineRule="auto"/>
      <w:jc w:val="left"/>
    </w:pPr>
    <w:rPr>
      <w:rFonts w:ascii="Times New Roman" w:eastAsia="MS Mincho" w:hAnsi="Times New Roman"/>
      <w:b/>
      <w:szCs w:val="24"/>
      <w:lang w:eastAsia="ja-JP"/>
    </w:rPr>
  </w:style>
  <w:style w:type="paragraph" w:customStyle="1" w:styleId="Dedication0">
    <w:name w:val="Dedication"/>
    <w:basedOn w:val="a"/>
    <w:autoRedefine/>
    <w:rsid w:val="00BC15B9"/>
    <w:pPr>
      <w:spacing w:after="0" w:line="360" w:lineRule="auto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Maintext0">
    <w:name w:val="Main text"/>
    <w:basedOn w:val="a"/>
    <w:link w:val="MaintextChar0"/>
    <w:autoRedefine/>
    <w:rsid w:val="00BC15B9"/>
    <w:pPr>
      <w:spacing w:after="0" w:line="480" w:lineRule="auto"/>
      <w:jc w:val="left"/>
    </w:pPr>
    <w:rPr>
      <w:rFonts w:ascii="Times New Roman" w:eastAsia="MS Mincho" w:hAnsi="Times New Roman"/>
      <w:szCs w:val="24"/>
      <w:lang w:eastAsia="ja-JP"/>
    </w:rPr>
  </w:style>
  <w:style w:type="character" w:customStyle="1" w:styleId="MaintextChar0">
    <w:name w:val="Main text Char"/>
    <w:link w:val="Maintext0"/>
    <w:rsid w:val="00BC15B9"/>
    <w:rPr>
      <w:rFonts w:ascii="Times New Roman" w:eastAsia="MS Mincho" w:hAnsi="Times New Roman"/>
      <w:sz w:val="24"/>
      <w:szCs w:val="24"/>
      <w:lang w:eastAsia="ja-JP"/>
    </w:rPr>
  </w:style>
  <w:style w:type="paragraph" w:customStyle="1" w:styleId="Biography">
    <w:name w:val="Biography"/>
    <w:basedOn w:val="a"/>
    <w:autoRedefine/>
    <w:rsid w:val="00BC15B9"/>
    <w:pPr>
      <w:spacing w:after="0" w:line="360" w:lineRule="auto"/>
      <w:jc w:val="left"/>
    </w:pPr>
    <w:rPr>
      <w:rFonts w:ascii="Times New Roman" w:eastAsia="MS Mincho" w:hAnsi="Times New Roman"/>
      <w:i/>
      <w:szCs w:val="24"/>
      <w:lang w:eastAsia="ja-JP"/>
    </w:rPr>
  </w:style>
  <w:style w:type="character" w:styleId="af1">
    <w:name w:val="annotation reference"/>
    <w:uiPriority w:val="99"/>
    <w:unhideWhenUsed/>
    <w:rsid w:val="00BC15B9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BC15B9"/>
    <w:pPr>
      <w:spacing w:after="0" w:line="360" w:lineRule="auto"/>
      <w:jc w:val="left"/>
    </w:pPr>
    <w:rPr>
      <w:rFonts w:ascii="Times New Roman" w:eastAsia="MS Mincho" w:hAnsi="Times New Roman"/>
      <w:sz w:val="20"/>
      <w:lang w:val="x-none" w:eastAsia="ja-JP"/>
    </w:rPr>
  </w:style>
  <w:style w:type="character" w:customStyle="1" w:styleId="af3">
    <w:name w:val="批注文字 字符"/>
    <w:basedOn w:val="a0"/>
    <w:link w:val="af2"/>
    <w:uiPriority w:val="99"/>
    <w:rsid w:val="00BC15B9"/>
    <w:rPr>
      <w:rFonts w:ascii="Times New Roman" w:eastAsia="MS Mincho" w:hAnsi="Times New Roman"/>
      <w:lang w:val="x-none" w:eastAsia="ja-JP"/>
    </w:rPr>
  </w:style>
  <w:style w:type="paragraph" w:styleId="af4">
    <w:name w:val="annotation subject"/>
    <w:basedOn w:val="af2"/>
    <w:next w:val="af2"/>
    <w:link w:val="af5"/>
    <w:uiPriority w:val="99"/>
    <w:unhideWhenUsed/>
    <w:rsid w:val="00BC15B9"/>
    <w:rPr>
      <w:b/>
      <w:bCs/>
    </w:rPr>
  </w:style>
  <w:style w:type="character" w:customStyle="1" w:styleId="af5">
    <w:name w:val="批注主题 字符"/>
    <w:basedOn w:val="af3"/>
    <w:link w:val="af4"/>
    <w:uiPriority w:val="99"/>
    <w:rsid w:val="00BC15B9"/>
    <w:rPr>
      <w:rFonts w:ascii="Times New Roman" w:eastAsia="MS Mincho" w:hAnsi="Times New Roman"/>
      <w:b/>
      <w:bCs/>
      <w:lang w:val="x-none" w:eastAsia="ja-JP"/>
    </w:rPr>
  </w:style>
  <w:style w:type="paragraph" w:customStyle="1" w:styleId="app">
    <w:name w:val="公式app"/>
    <w:basedOn w:val="a"/>
    <w:link w:val="appChar"/>
    <w:qFormat/>
    <w:rsid w:val="00BC15B9"/>
    <w:pPr>
      <w:tabs>
        <w:tab w:val="right" w:pos="9079"/>
      </w:tabs>
      <w:spacing w:after="0" w:line="360" w:lineRule="auto"/>
      <w:textAlignment w:val="center"/>
    </w:pPr>
    <w:rPr>
      <w:rFonts w:ascii="Times New Roman" w:hAnsi="Times New Roman" w:cstheme="minorBidi"/>
      <w:bCs/>
      <w:kern w:val="2"/>
      <w:szCs w:val="36"/>
      <w:lang w:eastAsia="zh-CN"/>
    </w:rPr>
  </w:style>
  <w:style w:type="character" w:customStyle="1" w:styleId="appChar">
    <w:name w:val="公式app Char"/>
    <w:basedOn w:val="a0"/>
    <w:link w:val="app"/>
    <w:rsid w:val="00BC15B9"/>
    <w:rPr>
      <w:rFonts w:ascii="Times New Roman" w:eastAsia="Times New Roman" w:hAnsi="Times New Roman" w:cstheme="minorBidi"/>
      <w:bCs/>
      <w:kern w:val="2"/>
      <w:sz w:val="24"/>
      <w:szCs w:val="36"/>
    </w:rPr>
  </w:style>
  <w:style w:type="paragraph" w:customStyle="1" w:styleId="EndNoteBibliography">
    <w:name w:val="EndNote Bibliography"/>
    <w:basedOn w:val="a"/>
    <w:link w:val="EndNoteBibliographyChar"/>
    <w:rsid w:val="00BC15B9"/>
    <w:pPr>
      <w:widowControl w:val="0"/>
      <w:snapToGrid w:val="0"/>
      <w:spacing w:after="0" w:line="360" w:lineRule="auto"/>
    </w:pPr>
    <w:rPr>
      <w:rFonts w:ascii="Times New Roman" w:eastAsia="宋体" w:hAnsi="Times New Roman"/>
      <w:noProof/>
      <w:kern w:val="2"/>
      <w:sz w:val="20"/>
      <w:szCs w:val="24"/>
      <w:lang w:eastAsia="zh-CN"/>
    </w:rPr>
  </w:style>
  <w:style w:type="character" w:customStyle="1" w:styleId="EndNoteBibliographyChar">
    <w:name w:val="EndNote Bibliography Char"/>
    <w:basedOn w:val="a0"/>
    <w:link w:val="EndNoteBibliography"/>
    <w:rsid w:val="00BC15B9"/>
    <w:rPr>
      <w:rFonts w:ascii="Times New Roman" w:eastAsia="宋体" w:hAnsi="Times New Roman"/>
      <w:noProof/>
      <w:kern w:val="2"/>
      <w:szCs w:val="24"/>
    </w:rPr>
  </w:style>
  <w:style w:type="paragraph" w:styleId="af6">
    <w:name w:val="List Paragraph"/>
    <w:basedOn w:val="a"/>
    <w:uiPriority w:val="34"/>
    <w:qFormat/>
    <w:rsid w:val="00BC15B9"/>
    <w:pPr>
      <w:widowControl w:val="0"/>
      <w:snapToGrid w:val="0"/>
      <w:spacing w:after="0" w:line="360" w:lineRule="auto"/>
      <w:ind w:firstLineChars="200" w:firstLine="420"/>
    </w:pPr>
    <w:rPr>
      <w:rFonts w:ascii="Times New Roman" w:eastAsia="宋体" w:hAnsi="Times New Roman"/>
      <w:kern w:val="2"/>
      <w:sz w:val="21"/>
      <w:szCs w:val="24"/>
      <w:lang w:eastAsia="zh-CN"/>
    </w:rPr>
  </w:style>
  <w:style w:type="character" w:styleId="af7">
    <w:name w:val="Placeholder Text"/>
    <w:basedOn w:val="a0"/>
    <w:uiPriority w:val="99"/>
    <w:semiHidden/>
    <w:rsid w:val="00BC15B9"/>
    <w:rPr>
      <w:color w:val="808080"/>
    </w:rPr>
  </w:style>
  <w:style w:type="character" w:styleId="af8">
    <w:name w:val="Strong"/>
    <w:basedOn w:val="a0"/>
    <w:uiPriority w:val="22"/>
    <w:qFormat/>
    <w:rsid w:val="00BC15B9"/>
    <w:rPr>
      <w:b/>
      <w:bCs/>
    </w:rPr>
  </w:style>
  <w:style w:type="paragraph" w:customStyle="1" w:styleId="MTDisplayEquation">
    <w:name w:val="MTDisplayEquation"/>
    <w:basedOn w:val="app"/>
    <w:next w:val="a"/>
    <w:link w:val="MTDisplayEquationChar"/>
    <w:rsid w:val="00BC15B9"/>
    <w:pPr>
      <w:tabs>
        <w:tab w:val="clear" w:pos="9079"/>
        <w:tab w:val="center" w:pos="4540"/>
        <w:tab w:val="right" w:pos="9080"/>
      </w:tabs>
    </w:pPr>
    <w:rPr>
      <w:szCs w:val="24"/>
    </w:rPr>
  </w:style>
  <w:style w:type="character" w:customStyle="1" w:styleId="MTDisplayEquationChar">
    <w:name w:val="MTDisplayEquation Char"/>
    <w:basedOn w:val="appChar"/>
    <w:link w:val="MTDisplayEquation"/>
    <w:rsid w:val="00BC15B9"/>
    <w:rPr>
      <w:rFonts w:ascii="Times New Roman" w:eastAsia="Times New Roman" w:hAnsi="Times New Roman" w:cstheme="minorBidi"/>
      <w:bCs/>
      <w:kern w:val="2"/>
      <w:sz w:val="24"/>
      <w:szCs w:val="24"/>
    </w:rPr>
  </w:style>
  <w:style w:type="character" w:customStyle="1" w:styleId="SNSynopsisTOCChar">
    <w:name w:val="SN_Synopsis_TOC Char"/>
    <w:basedOn w:val="a0"/>
    <w:link w:val="SNSynopsisTOC"/>
    <w:rsid w:val="0022744D"/>
    <w:rPr>
      <w:rFonts w:ascii="Times" w:eastAsia="Times New Roman" w:hAnsi="Times"/>
      <w:sz w:val="24"/>
      <w:lang w:eastAsia="en-US"/>
    </w:rPr>
  </w:style>
  <w:style w:type="paragraph" w:customStyle="1" w:styleId="equation1">
    <w:name w:val="equation1"/>
    <w:basedOn w:val="SNSynopsisTOC"/>
    <w:link w:val="equation1Char"/>
    <w:qFormat/>
    <w:rsid w:val="00C03DE4"/>
    <w:pPr>
      <w:tabs>
        <w:tab w:val="center" w:pos="4680"/>
        <w:tab w:val="right" w:pos="9360"/>
      </w:tabs>
    </w:pPr>
    <w:rPr>
      <w:bCs/>
    </w:rPr>
  </w:style>
  <w:style w:type="character" w:customStyle="1" w:styleId="equation1Char">
    <w:name w:val="equation1 Char"/>
    <w:basedOn w:val="SNSynopsisTOCChar"/>
    <w:link w:val="equation1"/>
    <w:rsid w:val="00C03DE4"/>
    <w:rPr>
      <w:rFonts w:ascii="Times" w:eastAsia="Times New Roman" w:hAnsi="Times"/>
      <w:bCs/>
      <w:sz w:val="24"/>
      <w:lang w:eastAsia="en-US"/>
    </w:rPr>
  </w:style>
  <w:style w:type="character" w:customStyle="1" w:styleId="fontstyle01">
    <w:name w:val="fontstyle01"/>
    <w:basedOn w:val="a0"/>
    <w:rsid w:val="008C1ED7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8.tiff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6.tif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tiff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ACS&#25552;&#20132;\acstemplate_msw2010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 (1).dotx</Template>
  <TotalTime>4</TotalTime>
  <Pages>14</Pages>
  <Words>2168</Words>
  <Characters>12360</Characters>
  <Application>Microsoft Office Word</Application>
  <DocSecurity>0</DocSecurity>
  <Lines>103</Lines>
  <Paragraphs>28</Paragraphs>
  <ScaleCrop>false</ScaleCrop>
  <Company/>
  <LinksUpToDate>false</LinksUpToDate>
  <CharactersWithSpaces>14500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蒋介石死了</dc:creator>
  <cp:lastModifiedBy>Chinhua Wang</cp:lastModifiedBy>
  <cp:revision>4</cp:revision>
  <cp:lastPrinted>2023-05-24T03:58:00Z</cp:lastPrinted>
  <dcterms:created xsi:type="dcterms:W3CDTF">2023-10-11T04:34:00Z</dcterms:created>
  <dcterms:modified xsi:type="dcterms:W3CDTF">2023-10-11T04:37:00Z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2A6DF946F616476C8AC7166D0CE81A6D_11</vt:lpwstr>
  </property>
  <property fmtid="{D5CDD505-2E9C-101B-9397-08002B2CF9AE}" pid="3" name="KSOProductBuildVer">
    <vt:lpwstr>2052-11.1.0.14036</vt:lpwstr>
  </property>
  <property fmtid="{D5CDD505-2E9C-101B-9397-08002B2CF9AE}" pid="4" name="GrammarlyDocumentId">
    <vt:lpwstr>e78fb05dc02ed63d57ba45bc6eb1d4032c313f3282dd87c4d201b501f16ea7a8</vt:lpwstr>
  </property>
</Properties>
</file>