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4F8A" w14:textId="2C0BFD47" w:rsidR="00400D13" w:rsidRPr="00B55C64" w:rsidRDefault="00581FE8" w:rsidP="00400D13">
      <w:pPr>
        <w:adjustRightInd w:val="0"/>
        <w:snapToGrid w:val="0"/>
        <w:spacing w:after="0" w:line="480" w:lineRule="auto"/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</w:pPr>
      <w:r w:rsidRPr="00B87EF6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>Supp</w:t>
      </w:r>
      <w:r w:rsidR="00D44DC1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>lementary</w:t>
      </w:r>
      <w:r w:rsidR="00B56E78" w:rsidRPr="00B87EF6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 xml:space="preserve"> </w:t>
      </w:r>
      <w:r w:rsidR="00371B99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>Material</w:t>
      </w:r>
      <w:r w:rsidR="00400D13" w:rsidRPr="00B87EF6">
        <w:rPr>
          <w:rFonts w:ascii="Times New Roman" w:eastAsia="맑은 고딕" w:hAnsi="Times New Roman" w:cs="Times New Roman" w:hint="eastAsia"/>
          <w:bCs/>
          <w:snapToGrid w:val="0"/>
          <w:sz w:val="28"/>
          <w:szCs w:val="28"/>
          <w:lang w:val="en-US" w:eastAsia="ko-KR"/>
        </w:rPr>
        <w:t xml:space="preserve"> </w:t>
      </w:r>
      <w:r w:rsidR="00400D13" w:rsidRPr="00B87EF6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>f</w:t>
      </w:r>
      <w:r w:rsidRPr="00B87EF6">
        <w:rPr>
          <w:rFonts w:ascii="Times New Roman" w:eastAsia="맑은 고딕" w:hAnsi="Times New Roman" w:cs="Times New Roman"/>
          <w:bCs/>
          <w:snapToGrid w:val="0"/>
          <w:sz w:val="28"/>
          <w:szCs w:val="28"/>
          <w:lang w:val="en-US" w:eastAsia="ko-KR"/>
        </w:rPr>
        <w:t>or</w:t>
      </w:r>
      <w:bookmarkStart w:id="0" w:name="_Hlk367459683"/>
    </w:p>
    <w:bookmarkEnd w:id="0"/>
    <w:p w14:paraId="0494CB5C" w14:textId="77777777" w:rsidR="00FC00E6" w:rsidRDefault="00FC00E6" w:rsidP="00FC00E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Metasurface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spatial filters for multiple harmonic signals</w:t>
      </w:r>
    </w:p>
    <w:p w14:paraId="5B4A48DC" w14:textId="77777777" w:rsidR="00FC00E6" w:rsidRDefault="00FC00E6" w:rsidP="00FC00E6">
      <w:pPr>
        <w:pStyle w:val="MCAuthor"/>
        <w:adjustRightInd w:val="0"/>
        <w:snapToGrid w:val="0"/>
        <w:spacing w:line="480" w:lineRule="auto"/>
        <w:jc w:val="both"/>
        <w:rPr>
          <w:rFonts w:eastAsiaTheme="minorEastAsia"/>
          <w:b w:val="0"/>
          <w:snapToGrid w:val="0"/>
          <w:sz w:val="24"/>
          <w:szCs w:val="24"/>
          <w:lang w:eastAsia="ko-KR"/>
        </w:rPr>
      </w:pPr>
    </w:p>
    <w:p w14:paraId="4BDA01DA" w14:textId="77777777" w:rsidR="00FC00E6" w:rsidRDefault="00FC00E6" w:rsidP="00FC00E6">
      <w:pPr>
        <w:pStyle w:val="MCAuthor"/>
        <w:adjustRightInd w:val="0"/>
        <w:snapToGrid w:val="0"/>
        <w:spacing w:line="480" w:lineRule="auto"/>
        <w:jc w:val="both"/>
        <w:rPr>
          <w:rFonts w:eastAsiaTheme="minorEastAsia"/>
          <w:b w:val="0"/>
          <w:snapToGrid w:val="0"/>
          <w:sz w:val="24"/>
          <w:szCs w:val="24"/>
          <w:vertAlign w:val="superscript"/>
          <w:lang w:eastAsia="ko-KR"/>
        </w:rPr>
      </w:pPr>
      <w:proofErr w:type="spellStart"/>
      <w:r>
        <w:rPr>
          <w:rFonts w:eastAsiaTheme="minorEastAsia"/>
          <w:b w:val="0"/>
          <w:snapToGrid w:val="0"/>
          <w:sz w:val="24"/>
          <w:szCs w:val="24"/>
          <w:lang w:eastAsia="ko-KR"/>
        </w:rPr>
        <w:t>Daeik</w:t>
      </w:r>
      <w:proofErr w:type="spellEnd"/>
      <w:r>
        <w:rPr>
          <w:rFonts w:eastAsiaTheme="minorEastAsia"/>
          <w:b w:val="0"/>
          <w:snapToGrid w:val="0"/>
          <w:sz w:val="24"/>
          <w:szCs w:val="24"/>
          <w:lang w:eastAsia="ko-KR"/>
        </w:rPr>
        <w:t xml:space="preserve"> Kim, Mau Anh Nguyen, </w:t>
      </w:r>
      <w:proofErr w:type="spellStart"/>
      <w:r>
        <w:rPr>
          <w:rFonts w:eastAsiaTheme="minorEastAsia"/>
          <w:b w:val="0"/>
          <w:snapToGrid w:val="0"/>
          <w:sz w:val="24"/>
          <w:szCs w:val="24"/>
          <w:lang w:eastAsia="ko-KR"/>
        </w:rPr>
        <w:t>Gangil</w:t>
      </w:r>
      <w:proofErr w:type="spellEnd"/>
      <w:r>
        <w:rPr>
          <w:rFonts w:eastAsiaTheme="minorEastAsia"/>
          <w:b w:val="0"/>
          <w:snapToGrid w:val="0"/>
          <w:sz w:val="24"/>
          <w:szCs w:val="24"/>
          <w:lang w:eastAsia="ko-KR"/>
        </w:rPr>
        <w:t xml:space="preserve"> Byun and Jongwon Lee</w:t>
      </w:r>
      <w:r>
        <w:rPr>
          <w:rFonts w:eastAsiaTheme="minorEastAsia"/>
          <w:b w:val="0"/>
          <w:snapToGrid w:val="0"/>
          <w:sz w:val="24"/>
          <w:szCs w:val="24"/>
          <w:vertAlign w:val="superscript"/>
          <w:lang w:eastAsia="ko-KR"/>
        </w:rPr>
        <w:t>*</w:t>
      </w:r>
    </w:p>
    <w:p w14:paraId="0585F18C" w14:textId="77777777" w:rsidR="00FC00E6" w:rsidRDefault="00FC00E6" w:rsidP="00FC00E6">
      <w:pPr>
        <w:pStyle w:val="MCAuthorAffiliation"/>
        <w:spacing w:line="480" w:lineRule="auto"/>
        <w:jc w:val="both"/>
        <w:rPr>
          <w:rFonts w:ascii="Times New Roman" w:eastAsiaTheme="minorEastAsia" w:hAnsi="Times New Roman"/>
          <w:i w:val="0"/>
          <w:lang w:eastAsia="ko-KR"/>
        </w:rPr>
      </w:pPr>
    </w:p>
    <w:p w14:paraId="7E904A2B" w14:textId="77777777" w:rsidR="00FC00E6" w:rsidRDefault="00FC00E6" w:rsidP="00FC00E6">
      <w:pPr>
        <w:pStyle w:val="MCAuthorAffiliation"/>
        <w:adjustRightInd w:val="0"/>
        <w:snapToGrid w:val="0"/>
        <w:spacing w:line="480" w:lineRule="auto"/>
        <w:jc w:val="both"/>
        <w:rPr>
          <w:rFonts w:ascii="Times New Roman" w:eastAsiaTheme="minorEastAsia" w:hAnsi="Times New Roman"/>
          <w:snapToGrid w:val="0"/>
          <w:sz w:val="24"/>
          <w:szCs w:val="24"/>
          <w:lang w:eastAsia="ko-KR"/>
        </w:rPr>
      </w:pPr>
      <w:r>
        <w:rPr>
          <w:rFonts w:ascii="Times New Roman" w:hAnsi="Times New Roman"/>
          <w:snapToGrid w:val="0"/>
          <w:sz w:val="24"/>
          <w:szCs w:val="24"/>
        </w:rPr>
        <w:t>Department of Electrical Engineering, Ulsan National Institute of Science and Technology (UNIST), Ulsan 44919</w:t>
      </w:r>
      <w:r>
        <w:rPr>
          <w:rFonts w:ascii="Times New Roman" w:eastAsiaTheme="minorEastAsia" w:hAnsi="Times New Roman"/>
          <w:snapToGrid w:val="0"/>
          <w:sz w:val="24"/>
          <w:szCs w:val="24"/>
          <w:lang w:eastAsia="ko-KR"/>
        </w:rPr>
        <w:t>, Republic of Korea</w:t>
      </w:r>
    </w:p>
    <w:p w14:paraId="007A4A50" w14:textId="77777777" w:rsidR="00FC00E6" w:rsidRDefault="00FC00E6" w:rsidP="00FC00E6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* Corresponding Author: Jongwon Lee (E-mail: </w:t>
      </w:r>
      <w:hyperlink r:id="rId7" w:history="1">
        <w:r>
          <w:rPr>
            <w:rStyle w:val="a9"/>
            <w:rFonts w:ascii="Times New Roman" w:hAnsi="Times New Roman" w:cs="Times New Roman"/>
            <w:lang w:eastAsia="ko-KR"/>
          </w:rPr>
          <w:t>jongwonlee@unist.ac.kr</w:t>
        </w:r>
      </w:hyperlink>
      <w:r>
        <w:rPr>
          <w:rFonts w:ascii="Times New Roman" w:hAnsi="Times New Roman" w:cs="Times New Roman"/>
          <w:lang w:eastAsia="ko-KR"/>
        </w:rPr>
        <w:t>)</w:t>
      </w:r>
    </w:p>
    <w:p w14:paraId="015D2539" w14:textId="77777777" w:rsidR="001D6864" w:rsidRDefault="001D6864">
      <w:pPr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it-IT" w:eastAsia="ko-KR"/>
        </w:rPr>
      </w:pP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it-IT" w:eastAsia="ko-KR"/>
        </w:rPr>
        <w:br w:type="page"/>
      </w:r>
    </w:p>
    <w:p w14:paraId="1AB9F7CD" w14:textId="1958D898" w:rsidR="001947B7" w:rsidRDefault="001947B7" w:rsidP="001947B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lastRenderedPageBreak/>
        <w:t>Properties of the co- and cross-polarized reflection coefficients.</w:t>
      </w:r>
    </w:p>
    <w:p w14:paraId="0D229468" w14:textId="627F1F36" w:rsidR="001947B7" w:rsidRDefault="001947B7" w:rsidP="001947B7">
      <w:pPr>
        <w:spacing w:after="0" w:line="480" w:lineRule="auto"/>
        <w:ind w:firstLineChars="100" w:firstLine="240"/>
        <w:jc w:val="both"/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</w:pPr>
      <w:r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 xml:space="preserve">As shown in Table 1, </w:t>
      </w:r>
      <w:r w:rsidRPr="001947B7"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>four of two pairs of meta-atoms (1&amp;5, 2&amp;6, 3&amp;7, and 4&amp;8) have the same shape with a different in-plane orientation angle of 2</w:t>
      </w:r>
      <w:r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>α = 90</w:t>
      </w:r>
      <w:r w:rsidRPr="001947B7"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>°</w:t>
      </w:r>
      <w:r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>.</w:t>
      </w:r>
      <w:r w:rsidRPr="001947B7"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 xml:space="preserve"> More specifically, Jones matrix for the rotation of each pair can be described as:</w:t>
      </w:r>
    </w:p>
    <w:p w14:paraId="57924674" w14:textId="3798F370" w:rsidR="001947B7" w:rsidRPr="001947B7" w:rsidRDefault="001947B7" w:rsidP="001947B7">
      <w:pPr>
        <w:widowControl w:val="0"/>
        <w:autoSpaceDE w:val="0"/>
        <w:autoSpaceDN w:val="0"/>
        <w:spacing w:line="480" w:lineRule="auto"/>
        <w:ind w:left="720"/>
        <w:jc w:val="both"/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sz w:val="24"/>
          <w:szCs w:val="24"/>
          <w:lang w:val="en-US" w:eastAsia="ko-KR"/>
        </w:rPr>
      </w:pP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4"/>
          <w:sz w:val="24"/>
          <w:szCs w:val="24"/>
          <w:lang w:val="el-GR" w:eastAsia="ko-KR"/>
        </w:rPr>
        <w:object w:dxaOrig="180" w:dyaOrig="260" w14:anchorId="235BD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5pt;height:13pt" o:ole="">
            <v:imagedata r:id="rId8" o:title=""/>
          </v:shape>
          <o:OLEObject Type="Embed" ProgID="Equation.DSMT4" ShapeID="_x0000_i1025" DrawAspect="Content" ObjectID="_1740307875" r:id="rId9"/>
        </w:objec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30"/>
          <w:sz w:val="24"/>
          <w:szCs w:val="24"/>
          <w:lang w:val="el-GR" w:eastAsia="ko-KR"/>
        </w:rPr>
        <w:object w:dxaOrig="6619" w:dyaOrig="720" w14:anchorId="159B24E6">
          <v:shape id="_x0000_i1026" type="#_x0000_t75" style="width:331.5pt;height:36.5pt" o:ole="">
            <v:imagedata r:id="rId10" o:title=""/>
          </v:shape>
          <o:OLEObject Type="Embed" ProgID="Equation.DSMT4" ShapeID="_x0000_i1026" DrawAspect="Content" ObjectID="_1740307876" r:id="rId11"/>
        </w:objec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sz w:val="24"/>
          <w:szCs w:val="24"/>
          <w:lang w:val="en-US" w:eastAsia="ko-KR"/>
        </w:rPr>
        <w:t xml:space="preserve">     </w:t>
      </w:r>
      <w:r w:rsidRPr="001947B7">
        <w:rPr>
          <w:rFonts w:ascii="Times New Roman" w:eastAsia="맑은 고딕" w:hAnsi="Times New Roman" w:cs="Times New Roman" w:hint="eastAsia"/>
          <w:color w:val="000000" w:themeColor="text1"/>
          <w:kern w:val="2"/>
          <w:sz w:val="24"/>
          <w:szCs w:val="24"/>
          <w:lang w:val="en-US" w:eastAsia="ko-KR"/>
        </w:rPr>
        <w:t>(</w:t>
      </w:r>
      <w:r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>S</w:t>
      </w:r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>1)</w:t>
      </w:r>
    </w:p>
    <w:p w14:paraId="41DD57E6" w14:textId="101C7BF1" w:rsidR="001947B7" w:rsidRPr="001947B7" w:rsidRDefault="001947B7" w:rsidP="001947B7">
      <w:pPr>
        <w:widowControl w:val="0"/>
        <w:autoSpaceDE w:val="0"/>
        <w:autoSpaceDN w:val="0"/>
        <w:spacing w:line="480" w:lineRule="auto"/>
        <w:jc w:val="both"/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sz w:val="24"/>
          <w:szCs w:val="24"/>
          <w:lang w:val="en-US" w:eastAsia="ko-KR"/>
        </w:rPr>
      </w:pPr>
      <w:r w:rsidRPr="001947B7">
        <w:rPr>
          <w:rFonts w:ascii="Times New Roman" w:eastAsia="맑은 고딕" w:hAnsi="Times New Roman" w:cs="Times New Roman" w:hint="eastAsia"/>
          <w:color w:val="000000" w:themeColor="text1"/>
          <w:kern w:val="2"/>
          <w:sz w:val="24"/>
          <w:szCs w:val="24"/>
          <w:lang w:val="en-US" w:eastAsia="ko-KR"/>
        </w:rPr>
        <w:t>w</w:t>
      </w:r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 xml:space="preserve">here </w:t>
      </w:r>
      <m:oMath>
        <m:r>
          <w:rPr>
            <w:rFonts w:ascii="Cambria Math" w:eastAsia="맑은 고딕" w:hAnsi="Cambria Math" w:cs="Times New Roman"/>
            <w:color w:val="000000" w:themeColor="text1"/>
            <w:kern w:val="2"/>
            <w:sz w:val="24"/>
            <w:szCs w:val="24"/>
            <w:lang w:val="en-US" w:eastAsia="ko-KR"/>
          </w:rPr>
          <m:t>θ</m:t>
        </m:r>
      </m:oMath>
      <w:r w:rsidRPr="001947B7">
        <w:rPr>
          <w:rFonts w:ascii="Times New Roman" w:eastAsia="맑은 고딕" w:hAnsi="Times New Roman" w:cs="Times New Roman" w:hint="eastAsia"/>
          <w:color w:val="000000" w:themeColor="text1"/>
          <w:kern w:val="2"/>
          <w:sz w:val="24"/>
          <w:szCs w:val="24"/>
          <w:lang w:val="en-US" w:eastAsia="ko-KR"/>
        </w:rPr>
        <w:t xml:space="preserve"> </w:t>
      </w:r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 xml:space="preserve">is the rotated angle. From symmetry of our meta-atom structure, co- and cross-polarized reflection coefficients of each meta-atom have the characteristics of </w: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12"/>
          <w:sz w:val="24"/>
          <w:szCs w:val="24"/>
          <w:lang w:val="el-GR" w:eastAsia="ko-KR"/>
        </w:rPr>
        <w:object w:dxaOrig="660" w:dyaOrig="340" w14:anchorId="7BE34F23">
          <v:shape id="_x0000_i1027" type="#_x0000_t75" style="width:33pt;height:17pt" o:ole="">
            <v:imagedata r:id="rId12" o:title=""/>
          </v:shape>
          <o:OLEObject Type="Embed" ProgID="Equation.DSMT4" ShapeID="_x0000_i1027" DrawAspect="Content" ObjectID="_1740307877" r:id="rId13"/>
        </w:object>
      </w:r>
      <w:proofErr w:type="spellStart"/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>and</w:t>
      </w:r>
      <w:proofErr w:type="spellEnd"/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 xml:space="preserve"> </w: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12"/>
          <w:sz w:val="24"/>
          <w:szCs w:val="24"/>
          <w:lang w:val="el-GR" w:eastAsia="ko-KR"/>
        </w:rPr>
        <w:object w:dxaOrig="660" w:dyaOrig="340" w14:anchorId="5A5FEBC6">
          <v:shape id="_x0000_i1028" type="#_x0000_t75" style="width:33pt;height:17pt" o:ole="">
            <v:imagedata r:id="rId14" o:title=""/>
          </v:shape>
          <o:OLEObject Type="Embed" ProgID="Equation.DSMT4" ShapeID="_x0000_i1028" DrawAspect="Content" ObjectID="_1740307878" r:id="rId15"/>
        </w:object>
      </w:r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 xml:space="preserve">. Therefore, for each pair of two meta-atoms, the co-polarized reflection coefficient is </w: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10"/>
          <w:sz w:val="24"/>
          <w:szCs w:val="24"/>
          <w:lang w:val="el-GR" w:eastAsia="ko-KR"/>
        </w:rPr>
        <w:object w:dxaOrig="240" w:dyaOrig="320" w14:anchorId="2CE4E0B9">
          <v:shape id="_x0000_i1029" type="#_x0000_t75" style="width:12pt;height:16.5pt" o:ole="">
            <v:imagedata r:id="rId16" o:title=""/>
          </v:shape>
          <o:OLEObject Type="Embed" ProgID="Equation.DSMT4" ShapeID="_x0000_i1029" DrawAspect="Content" ObjectID="_1740307879" r:id="rId17"/>
        </w:objec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sz w:val="24"/>
          <w:szCs w:val="24"/>
          <w:lang w:val="en-US" w:eastAsia="ko-KR"/>
        </w:rPr>
        <w:t>, which has the same magnitude and phase value,</w:t>
      </w:r>
      <w:r w:rsidRPr="001947B7">
        <w:rPr>
          <w:rFonts w:ascii="Times New Roman" w:eastAsia="맑은 고딕" w:hAnsi="Times New Roman" w:cs="Times New Roman"/>
          <w:color w:val="000000" w:themeColor="text1"/>
          <w:kern w:val="2"/>
          <w:sz w:val="24"/>
          <w:szCs w:val="24"/>
          <w:lang w:val="en-US" w:eastAsia="ko-KR"/>
        </w:rPr>
        <w:t xml:space="preserve"> and the cross-polarized reflection coefficient has the same magnitude as </w: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position w:val="-12"/>
          <w:sz w:val="24"/>
          <w:szCs w:val="24"/>
          <w:lang w:val="el-GR" w:eastAsia="ko-KR"/>
        </w:rPr>
        <w:object w:dxaOrig="240" w:dyaOrig="340" w14:anchorId="638DF238">
          <v:shape id="_x0000_i1030" type="#_x0000_t75" style="width:12pt;height:17pt" o:ole="">
            <v:imagedata r:id="rId18" o:title=""/>
          </v:shape>
          <o:OLEObject Type="Embed" ProgID="Equation.DSMT4" ShapeID="_x0000_i1030" DrawAspect="Content" ObjectID="_1740307880" r:id="rId19"/>
        </w:object>
      </w:r>
      <w:r w:rsidRPr="001947B7">
        <w:rPr>
          <w:rFonts w:ascii="Times New Roman" w:eastAsia="맑은 고딕" w:hAnsi="Times New Roman" w:cs="Times New Roman"/>
          <w:bCs/>
          <w:snapToGrid w:val="0"/>
          <w:color w:val="000000" w:themeColor="text1"/>
          <w:kern w:val="2"/>
          <w:sz w:val="24"/>
          <w:szCs w:val="24"/>
          <w:lang w:val="en-US" w:eastAsia="ko-KR"/>
        </w:rPr>
        <w:t xml:space="preserve">, but there is a phase difference by π. </w:t>
      </w:r>
    </w:p>
    <w:p w14:paraId="6CA8971C" w14:textId="77777777" w:rsidR="001947B7" w:rsidRDefault="001947B7" w:rsidP="003870C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14:paraId="566076A2" w14:textId="02A41AE6" w:rsidR="003870C9" w:rsidRDefault="00FC00E6" w:rsidP="003870C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Design and simulation for the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ko-KR"/>
        </w:rPr>
        <w:t>metasurface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spatial filters for multiple harmonic </w:t>
      </w:r>
      <w:r w:rsidR="00132F3A">
        <w:rPr>
          <w:rFonts w:ascii="Times New Roman" w:hAnsi="Times New Roman" w:cs="Times New Roman"/>
          <w:b/>
          <w:sz w:val="24"/>
          <w:szCs w:val="24"/>
          <w:lang w:eastAsia="ko-KR"/>
        </w:rPr>
        <w:t>signals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at THz region</w:t>
      </w:r>
      <w:r w:rsidR="003870C9">
        <w:rPr>
          <w:rFonts w:ascii="Times New Roman" w:hAnsi="Times New Roman" w:cs="Times New Roman"/>
          <w:b/>
          <w:sz w:val="24"/>
          <w:szCs w:val="24"/>
          <w:lang w:eastAsia="ko-KR"/>
        </w:rPr>
        <w:t>.</w:t>
      </w:r>
    </w:p>
    <w:p w14:paraId="280C92EC" w14:textId="5DACCCD0" w:rsidR="009C7C25" w:rsidRPr="00593CDA" w:rsidRDefault="00593CDA" w:rsidP="00593CDA">
      <w:pPr>
        <w:adjustRightInd w:val="0"/>
        <w:snapToGrid w:val="0"/>
        <w:spacing w:after="0" w:line="480" w:lineRule="auto"/>
        <w:ind w:firstLineChars="100" w:firstLine="240"/>
        <w:jc w:val="both"/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</w:pPr>
      <w:r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val="en-US" w:eastAsia="ko-KR"/>
        </w:rPr>
        <w:t xml:space="preserve">To confirm that the proposed approach can be applied as a 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spatial filter for multiple harmonic generation signals in the sub-terahertz or terahertz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(THz)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domain, eight meta-atoms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were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F3338A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designed,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and numerical simulation was conducted at THz region.</w:t>
      </w:r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The split ring resonator arrays were patterned on a dielectric substate layer on a metal back plane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in the same way of</w:t>
      </w:r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the </w:t>
      </w:r>
      <w:proofErr w:type="spellStart"/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metasurface</w:t>
      </w:r>
      <w:proofErr w:type="spellEnd"/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in manuscript. The length of unit cell is 150 </w:t>
      </w:r>
      <w:r w:rsidR="004B3230" w:rsidRPr="00F3338A">
        <w:rPr>
          <w:rFonts w:ascii="Symbol" w:hAnsi="Symbol" w:cs="Times New Roman"/>
          <w:snapToGrid w:val="0"/>
          <w:sz w:val="24"/>
          <w:szCs w:val="24"/>
          <w:lang w:eastAsia="ko-KR"/>
        </w:rPr>
        <w:t>m</w:t>
      </w:r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m and thickness of metal is 18 </w:t>
      </w:r>
      <w:r w:rsidR="004B3230" w:rsidRPr="00F3338A">
        <w:rPr>
          <w:rFonts w:ascii="Symbol" w:hAnsi="Symbol" w:cs="Times New Roman"/>
          <w:snapToGrid w:val="0"/>
          <w:sz w:val="24"/>
          <w:szCs w:val="24"/>
          <w:lang w:eastAsia="ko-KR"/>
        </w:rPr>
        <w:t>m</w:t>
      </w:r>
      <w:r w:rsidR="004B323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m </w:t>
      </w:r>
      <w:r w:rsidR="00F3338A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The dielectric substrate material was Taconic TLT-9 with a dielectric constant of 2.5, a loss tangent of 0.0009, and thickness of 50 </w:t>
      </w:r>
      <w:r w:rsidR="00F3338A" w:rsidRPr="00F3338A">
        <w:rPr>
          <w:rFonts w:ascii="Symbol" w:hAnsi="Symbol" w:cs="Times New Roman"/>
          <w:snapToGrid w:val="0"/>
          <w:sz w:val="24"/>
          <w:szCs w:val="24"/>
          <w:lang w:eastAsia="ko-KR"/>
        </w:rPr>
        <w:t>m</w:t>
      </w:r>
      <w:r w:rsidR="00F3338A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m. </w:t>
      </w:r>
      <w:r w:rsidR="00EA4D2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The Table S1 provide the detail design parameter of the eight meta-atoms.</w:t>
      </w:r>
    </w:p>
    <w:p w14:paraId="182E8146" w14:textId="4B2223C9" w:rsidR="00593CDA" w:rsidRDefault="00593CDA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noProof/>
          <w:snapToGrid w:val="0"/>
          <w:sz w:val="24"/>
          <w:szCs w:val="24"/>
          <w:lang w:val="en-US" w:eastAsia="ko-KR"/>
        </w:rPr>
      </w:pPr>
    </w:p>
    <w:p w14:paraId="283E881B" w14:textId="77777777" w:rsidR="00593CDA" w:rsidRPr="009C7C25" w:rsidRDefault="00593CDA" w:rsidP="00593CDA">
      <w:pPr>
        <w:adjustRightInd w:val="0"/>
        <w:snapToGrid w:val="0"/>
        <w:spacing w:after="0" w:line="480" w:lineRule="auto"/>
        <w:jc w:val="center"/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ko-KR"/>
        </w:rPr>
        <w:lastRenderedPageBreak/>
        <w:drawing>
          <wp:inline distT="0" distB="0" distL="0" distR="0" wp14:anchorId="2B3288B9" wp14:editId="4CB3EF5C">
            <wp:extent cx="6329045" cy="159004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83C6B" w14:textId="01C13220" w:rsidR="00593CDA" w:rsidRDefault="00593CDA" w:rsidP="00593CDA">
      <w:pPr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 w:hint="eastAsia"/>
          <w:b/>
          <w:snapToGrid w:val="0"/>
          <w:sz w:val="24"/>
          <w:szCs w:val="24"/>
          <w:lang w:eastAsia="ko-KR"/>
        </w:rPr>
        <w:t>T</w:t>
      </w: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  <w:t xml:space="preserve">able S1. </w:t>
      </w:r>
      <w:r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Design parameters of the eight meta-atom unit structures for THz region.</w:t>
      </w:r>
    </w:p>
    <w:p w14:paraId="6BACB277" w14:textId="308273A1" w:rsidR="00780E6C" w:rsidRDefault="00780E6C" w:rsidP="00780E6C">
      <w:pPr>
        <w:adjustRightInd w:val="0"/>
        <w:snapToGrid w:val="0"/>
        <w:spacing w:after="0" w:line="480" w:lineRule="auto"/>
        <w:ind w:firstLineChars="100" w:firstLine="240"/>
        <w:jc w:val="both"/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</w:pPr>
    </w:p>
    <w:p w14:paraId="179AC560" w14:textId="6C4985F7" w:rsidR="00780E6C" w:rsidRDefault="00780E6C" w:rsidP="00780E6C">
      <w:pPr>
        <w:adjustRightInd w:val="0"/>
        <w:snapToGrid w:val="0"/>
        <w:spacing w:after="0" w:line="480" w:lineRule="auto"/>
        <w:ind w:firstLineChars="100" w:firstLine="240"/>
        <w:jc w:val="both"/>
        <w:rPr>
          <w:rFonts w:ascii="Times New Roman" w:hAnsi="Times New Roman" w:cs="Times New Roman"/>
          <w:snapToGrid w:val="0"/>
          <w:sz w:val="24"/>
          <w:szCs w:val="24"/>
          <w:lang w:eastAsia="ko-KR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Figure S1 shows the simulated local phase and reflection coefficient of the designed meta-atoms using by Commercial Software package (CST Microwave Studio)</w:t>
      </w:r>
      <w:r w:rsidR="00BF03A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at THz region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.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Figure S1a and S1b show simulated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magnitude and 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phase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of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reflection coefficients of the eight meta-atoms under the x-polarized input and the same polarized reflection output, indicated as </w:t>
      </w:r>
      <w:proofErr w:type="spellStart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r</w:t>
      </w:r>
      <w:r w:rsidR="005D6BB0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xx</w:t>
      </w:r>
      <w:proofErr w:type="spellEnd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. In case of the </w:t>
      </w:r>
      <w:proofErr w:type="spellStart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r</w:t>
      </w:r>
      <w:r w:rsidR="005D6BB0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xx</w:t>
      </w:r>
      <w:proofErr w:type="spellEnd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at 0.16 THz, the reflection coefficients are nearly unity and reflection phase values are the same for the eight meta-atoms. Therefore, the super cell acts as a simple metallic mirror, leading to specular reflection at 0.16 THz for the </w:t>
      </w:r>
      <w:proofErr w:type="spellStart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r</w:t>
      </w:r>
      <w:r w:rsidR="005D6BB0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xx</w:t>
      </w:r>
      <w:proofErr w:type="spellEnd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component. Figure S1c and S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1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d show simulated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magnitude and 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phase 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of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reflection coefficients of the eight meta-atoms under the x-polarized input and y-polarized reflection output, indicated as </w:t>
      </w:r>
      <w:proofErr w:type="spellStart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r</w:t>
      </w:r>
      <w:r w:rsidR="005D6BB0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y</w:t>
      </w:r>
      <w:r w:rsidR="00371B99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x</w:t>
      </w:r>
      <w:proofErr w:type="spellEnd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. In case of the </w:t>
      </w:r>
      <w:proofErr w:type="spellStart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r</w:t>
      </w:r>
      <w:r w:rsidR="005D6BB0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y</w:t>
      </w:r>
      <w:r w:rsidR="00371B99">
        <w:rPr>
          <w:rFonts w:ascii="Times New Roman" w:hAnsi="Times New Roman" w:cs="Times New Roman"/>
          <w:snapToGrid w:val="0"/>
          <w:sz w:val="24"/>
          <w:szCs w:val="24"/>
          <w:vertAlign w:val="subscript"/>
          <w:lang w:eastAsia="ko-KR"/>
        </w:rPr>
        <w:t>x</w:t>
      </w:r>
      <w:proofErr w:type="spellEnd"/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, reflection coefficients are over 0.86 and 0.8 at 0.48 THz and 0.8 THz, respectively, for the eight meta-atoms and local phase values form eight different values with nearly 45 degrees of spacing at the two harmonic frequencies. Therefore, any arbitrary wavefront engineering is possible by using the 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eight-phase</w:t>
      </w:r>
      <w:r w:rsidR="005D6BB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element meta-atoms at the two harmonic frequencies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. According to the Equation (1), t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he 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calculated 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beam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steering angles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for the two harmonic frequencies using the equation (1)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were </w:t>
      </w:r>
      <m:oMath>
        <m:r>
          <m:rPr>
            <m:sty m:val="p"/>
          </m:rPr>
          <w:rPr>
            <w:rFonts w:ascii="Cambria Math" w:hAnsi="Cambria Math" w:cs="Times New Roman"/>
            <w:snapToGrid w:val="0"/>
            <w:sz w:val="24"/>
            <w:szCs w:val="24"/>
          </w:rPr>
          <m:t>31°</m:t>
        </m:r>
      </m:oMath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for 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0.48 THz 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and </w:t>
      </w:r>
      <m:oMath>
        <m:r>
          <m:rPr>
            <m:sty m:val="p"/>
          </m:rPr>
          <w:rPr>
            <w:rFonts w:ascii="Cambria Math" w:hAnsi="Cambria Math" w:cs="Times New Roman"/>
            <w:snapToGrid w:val="0"/>
            <w:sz w:val="24"/>
            <w:szCs w:val="24"/>
          </w:rPr>
          <m:t>18°</m:t>
        </m:r>
      </m:oMath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for </w:t>
      </w:r>
      <w:r w:rsidR="0092795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0.8 THz</w:t>
      </w:r>
      <w:r w:rsidR="00927954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.</w:t>
      </w:r>
    </w:p>
    <w:p w14:paraId="1718F685" w14:textId="6DE3C729" w:rsidR="001700CE" w:rsidRPr="001700CE" w:rsidRDefault="001700CE" w:rsidP="00780E6C">
      <w:pPr>
        <w:adjustRightInd w:val="0"/>
        <w:snapToGrid w:val="0"/>
        <w:spacing w:after="0" w:line="480" w:lineRule="auto"/>
        <w:ind w:firstLineChars="100" w:firstLine="240"/>
        <w:jc w:val="both"/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T</w:t>
      </w:r>
      <w:r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o confirm the theoretical calculation results, 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f</w:t>
      </w:r>
      <w:r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ar-field radiation pattern simulations </w:t>
      </w:r>
      <w:r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were</w:t>
      </w:r>
      <w:r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conducted</w:t>
      </w:r>
      <w:r w:rsidR="009722EE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under a </w:t>
      </w:r>
      <w:r w:rsidR="009722EE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normal incidence of a plain wave.</w:t>
      </w:r>
      <w:r w:rsidR="009722EE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Figure S</w:t>
      </w:r>
      <w:r w:rsidR="00371B99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2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shows two-dimensional cross-section</w:t>
      </w:r>
      <w:r w:rsidR="006630D0" w:rsidRP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of</w:t>
      </w:r>
      <w:r w:rsidR="006630D0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simulated </w:t>
      </w:r>
      <w:r w:rsidR="006630D0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far-field radiation patterns at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0.16 THz</w:t>
      </w:r>
      <w:r w:rsidR="006630D0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,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0.48 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THz,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6630D0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and </w:t>
      </w:r>
      <w:r w:rsidR="006630D0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0.8 THz</w:t>
      </w:r>
      <w:r w:rsidR="006630D0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.</w:t>
      </w:r>
      <w:r w:rsidR="00F43314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E47C08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For clear identification, the intensity radiation patterns at each frequency were linearly normalized to the respective maximum intensity value.</w:t>
      </w:r>
      <w:r w:rsidR="00261DDD" w:rsidRP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lastRenderedPageBreak/>
        <w:t>For normal incident waves at 0.16 THz</w:t>
      </w:r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, 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0.48 THz, </w:t>
      </w:r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and 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0.8 THz </w:t>
      </w:r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the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beam angles</w:t>
      </w:r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reflected from 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the </w:t>
      </w:r>
      <w:proofErr w:type="spellStart"/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metasurface</w:t>
      </w:r>
      <w:proofErr w:type="spellEnd"/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are steered to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0</w:t>
      </w:r>
      <m:oMath>
        <m:r>
          <m:rPr>
            <m:sty m:val="p"/>
          </m:rPr>
          <w:rPr>
            <w:rFonts w:ascii="Cambria Math" w:hAnsi="Cambria Math" w:cs="Times New Roman"/>
            <w:snapToGrid w:val="0"/>
            <w:sz w:val="24"/>
            <w:szCs w:val="24"/>
          </w:rPr>
          <m:t>°,</m:t>
        </m:r>
      </m:oMath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 30</w:t>
      </w:r>
      <m:oMath>
        <m:r>
          <w:rPr>
            <w:rFonts w:ascii="Cambria Math" w:hAnsi="Cambria Math" w:cs="Times New Roman"/>
            <w:snapToGrid w:val="0"/>
            <w:sz w:val="24"/>
            <w:szCs w:val="24"/>
            <w:lang w:eastAsia="ko-KR"/>
          </w:rPr>
          <m:t>.4</m:t>
        </m:r>
        <m:r>
          <m:rPr>
            <m:sty m:val="p"/>
          </m:rPr>
          <w:rPr>
            <w:rFonts w:ascii="Cambria Math" w:hAnsi="Cambria Math" w:cs="Times New Roman"/>
            <w:snapToGrid w:val="0"/>
            <w:sz w:val="24"/>
            <w:szCs w:val="24"/>
          </w:rPr>
          <m:t>°</m:t>
        </m:r>
      </m:oMath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and 1</w:t>
      </w:r>
      <w:r w:rsidR="00261DDD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7.9</w:t>
      </w:r>
      <m:oMath>
        <m:r>
          <m:rPr>
            <m:sty m:val="p"/>
          </m:rPr>
          <w:rPr>
            <w:rFonts w:ascii="Cambria Math" w:hAnsi="Cambria Math" w:cs="Times New Roman"/>
            <w:snapToGrid w:val="0"/>
            <w:sz w:val="24"/>
            <w:szCs w:val="24"/>
          </w:rPr>
          <m:t>°</m:t>
        </m:r>
      </m:oMath>
      <w:r w:rsidR="00261DDD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>, respectively.</w:t>
      </w:r>
      <w:r w:rsidR="00CB7B1F" w:rsidRPr="006C6595">
        <w:rPr>
          <w:rFonts w:ascii="Times New Roman" w:hAnsi="Times New Roman" w:cs="Times New Roman"/>
          <w:snapToGrid w:val="0"/>
          <w:sz w:val="24"/>
          <w:szCs w:val="24"/>
          <w:lang w:eastAsia="ko-KR"/>
        </w:rPr>
        <w:t xml:space="preserve"> The numerical simulated and calculated results are matched very well.</w:t>
      </w:r>
    </w:p>
    <w:p w14:paraId="77C3A930" w14:textId="77777777" w:rsidR="00593CDA" w:rsidRPr="00593CDA" w:rsidRDefault="00593CDA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noProof/>
          <w:snapToGrid w:val="0"/>
          <w:sz w:val="24"/>
          <w:szCs w:val="24"/>
          <w:lang w:eastAsia="ko-KR"/>
        </w:rPr>
      </w:pPr>
    </w:p>
    <w:p w14:paraId="2A08A0A3" w14:textId="7E18CA0E" w:rsidR="004F4AAE" w:rsidRDefault="00371B99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</w:pPr>
      <w:r w:rsidRPr="00371B99">
        <w:rPr>
          <w:rFonts w:ascii="Times New Roman" w:eastAsia="맑은 고딕" w:hAnsi="Times New Roman" w:cs="Times New Roman"/>
          <w:b/>
          <w:noProof/>
          <w:snapToGrid w:val="0"/>
          <w:sz w:val="24"/>
          <w:szCs w:val="24"/>
          <w:lang w:eastAsia="ko-KR"/>
        </w:rPr>
        <w:drawing>
          <wp:inline distT="0" distB="0" distL="0" distR="0" wp14:anchorId="180C6FAD" wp14:editId="2918DA88">
            <wp:extent cx="6332220" cy="4465955"/>
            <wp:effectExtent l="0" t="0" r="0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7E810C8E-6A9A-FC05-ABAA-A0AA1FC0CC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7E810C8E-6A9A-FC05-ABAA-A0AA1FC0CC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80A0" w14:textId="2695F9AE" w:rsidR="00FC00E6" w:rsidRDefault="00FC00E6" w:rsidP="00FC00E6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  <w:t xml:space="preserve">Figure S1. </w:t>
      </w:r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 xml:space="preserve">Simulated reflection coefficients of the eight meta-atoms </w:t>
      </w:r>
      <w:r w:rsidR="00132F3A">
        <w:rPr>
          <w:rFonts w:ascii="Times New Roman" w:eastAsia="맑은 고딕" w:hAnsi="Times New Roman" w:cs="Times New Roman" w:hint="cs"/>
          <w:bCs/>
          <w:snapToGrid w:val="0"/>
          <w:sz w:val="24"/>
          <w:szCs w:val="24"/>
          <w:lang w:eastAsia="ko-KR"/>
        </w:rPr>
        <w:t>a</w:t>
      </w:r>
      <w:r w:rsidR="00132F3A"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  <w:t>t THz region</w:t>
      </w:r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.</w:t>
      </w:r>
      <w:r w:rsidR="00132F3A">
        <w:rPr>
          <w:rFonts w:ascii="Times New Roman" w:hAnsi="Times New Roman" w:cs="Times New Roman"/>
          <w:b/>
          <w:snapToGrid w:val="0"/>
          <w:sz w:val="24"/>
          <w:szCs w:val="24"/>
          <w:lang w:eastAsia="ko-KR"/>
        </w:rPr>
        <w:t xml:space="preserve"> </w:t>
      </w:r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 xml:space="preserve">(a, b) Simulated (a) magnitude and (b) phase spectra of reflection coefficient for x-polarized reflection beam under the x-polarized incident beam, indicated as </w:t>
      </w:r>
      <w:proofErr w:type="spellStart"/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r</w:t>
      </w:r>
      <w:r w:rsidR="00132F3A">
        <w:rPr>
          <w:rFonts w:ascii="Times New Roman" w:hAnsi="Times New Roman" w:cs="Times New Roman"/>
          <w:bCs/>
          <w:snapToGrid w:val="0"/>
          <w:sz w:val="24"/>
          <w:szCs w:val="24"/>
          <w:vertAlign w:val="subscript"/>
          <w:lang w:eastAsia="ko-KR"/>
        </w:rPr>
        <w:t>xx</w:t>
      </w:r>
      <w:proofErr w:type="spellEnd"/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 xml:space="preserve">. (c, d) Simulated (c) magnitude and (d) phase spectra of reflection coefficient for y-polarized reflection beam under the x-polarized incident beam, indicated as </w:t>
      </w:r>
      <w:proofErr w:type="spellStart"/>
      <w:r w:rsidR="00132F3A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r</w:t>
      </w:r>
      <w:r w:rsidR="00132F3A">
        <w:rPr>
          <w:rFonts w:ascii="Times New Roman" w:hAnsi="Times New Roman" w:cs="Times New Roman"/>
          <w:bCs/>
          <w:snapToGrid w:val="0"/>
          <w:sz w:val="24"/>
          <w:szCs w:val="24"/>
          <w:vertAlign w:val="subscript"/>
          <w:lang w:eastAsia="ko-KR"/>
        </w:rPr>
        <w:t>y</w:t>
      </w:r>
      <w:r w:rsidR="00371B99">
        <w:rPr>
          <w:rFonts w:ascii="Times New Roman" w:hAnsi="Times New Roman" w:cs="Times New Roman"/>
          <w:bCs/>
          <w:snapToGrid w:val="0"/>
          <w:sz w:val="24"/>
          <w:szCs w:val="24"/>
          <w:vertAlign w:val="subscript"/>
          <w:lang w:eastAsia="ko-KR"/>
        </w:rPr>
        <w:t>x</w:t>
      </w:r>
      <w:proofErr w:type="spellEnd"/>
      <w:r w:rsidR="00371B99">
        <w:rPr>
          <w:rFonts w:ascii="Times New Roman" w:eastAsia="맑은 고딕" w:hAnsi="Times New Roman" w:cs="Times New Roman" w:hint="eastAsia"/>
          <w:bCs/>
          <w:snapToGrid w:val="0"/>
          <w:sz w:val="24"/>
          <w:szCs w:val="24"/>
          <w:lang w:eastAsia="ko-KR"/>
        </w:rPr>
        <w:t>.</w:t>
      </w:r>
    </w:p>
    <w:p w14:paraId="62984A5F" w14:textId="77777777" w:rsidR="00371B99" w:rsidRPr="00371B99" w:rsidRDefault="00371B99" w:rsidP="00FC00E6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</w:pPr>
    </w:p>
    <w:p w14:paraId="185B913D" w14:textId="6EEE4B12" w:rsidR="004F4AAE" w:rsidRPr="009C7C25" w:rsidRDefault="004F4AAE" w:rsidP="00FC00E6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/>
          <w:bCs/>
          <w:noProof/>
          <w:snapToGrid w:val="0"/>
          <w:sz w:val="24"/>
          <w:szCs w:val="24"/>
          <w:lang w:eastAsia="ko-KR"/>
        </w:rPr>
        <w:lastRenderedPageBreak/>
        <w:drawing>
          <wp:inline distT="0" distB="0" distL="0" distR="0" wp14:anchorId="333B045C" wp14:editId="59D22BFC">
            <wp:extent cx="6329045" cy="1781175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5FF4" w14:textId="1E1ADE33" w:rsidR="00FC00E6" w:rsidRPr="009C7C25" w:rsidRDefault="00FC00E6" w:rsidP="00FC00E6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Cs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  <w:t xml:space="preserve">Figure S2. </w:t>
      </w:r>
      <w:r w:rsidR="00D83B5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Simulation results of far-field scattering patterns from the </w:t>
      </w:r>
      <w:proofErr w:type="spellStart"/>
      <w:r w:rsidR="00D83B52">
        <w:rPr>
          <w:rFonts w:ascii="Times New Roman" w:hAnsi="Times New Roman" w:cs="Times New Roman"/>
          <w:bCs/>
          <w:snapToGrid w:val="0"/>
          <w:sz w:val="24"/>
          <w:szCs w:val="24"/>
        </w:rPr>
        <w:t>metasurface</w:t>
      </w:r>
      <w:proofErr w:type="spellEnd"/>
      <w:r w:rsidR="00D83B52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.</w:t>
      </w:r>
      <w:r w:rsidR="00D83B52">
        <w:rPr>
          <w:rFonts w:ascii="Times New Roman" w:hAnsi="Times New Roman" w:cs="Times New Roman"/>
          <w:b/>
          <w:snapToGrid w:val="0"/>
          <w:sz w:val="24"/>
          <w:szCs w:val="24"/>
          <w:lang w:eastAsia="ko-KR"/>
        </w:rPr>
        <w:t xml:space="preserve"> </w:t>
      </w:r>
      <w:r w:rsidR="00D83B52">
        <w:rPr>
          <w:rFonts w:ascii="Times New Roman" w:hAnsi="Times New Roman" w:cs="Times New Roman"/>
          <w:bCs/>
          <w:snapToGrid w:val="0"/>
          <w:sz w:val="24"/>
          <w:szCs w:val="24"/>
          <w:lang w:eastAsia="ko-KR"/>
        </w:rPr>
        <w:t>(a-c) two-dimensional cross-section of the scattered intensity patterns at (a) 0.16 THz, (b) 0.48 THz and (c) 0.8 THz under normal incidence wave.</w:t>
      </w:r>
    </w:p>
    <w:p w14:paraId="72629B5E" w14:textId="77777777" w:rsidR="009C7C25" w:rsidRDefault="009C7C25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</w:pPr>
    </w:p>
    <w:p w14:paraId="268472E2" w14:textId="71E67FD9" w:rsidR="00AB2804" w:rsidRDefault="002D123B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/>
          <w:b/>
          <w:noProof/>
          <w:snapToGrid w:val="0"/>
          <w:sz w:val="24"/>
          <w:szCs w:val="24"/>
          <w:lang w:eastAsia="ko-KR"/>
        </w:rPr>
        <w:drawing>
          <wp:inline distT="0" distB="0" distL="0" distR="0" wp14:anchorId="739293AB" wp14:editId="12CD87FC">
            <wp:extent cx="6329045" cy="379285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5A0F" w14:textId="0A67B00D" w:rsidR="00AB2804" w:rsidRDefault="00AB2804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</w:pPr>
      <w:r>
        <w:rPr>
          <w:rFonts w:ascii="Times New Roman" w:eastAsia="맑은 고딕" w:hAnsi="Times New Roman" w:cs="Times New Roman" w:hint="eastAsia"/>
          <w:b/>
          <w:snapToGrid w:val="0"/>
          <w:sz w:val="24"/>
          <w:szCs w:val="24"/>
          <w:lang w:eastAsia="ko-KR"/>
        </w:rPr>
        <w:t>T</w:t>
      </w: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  <w:t xml:space="preserve">able S2. </w:t>
      </w:r>
      <w:r w:rsidR="00F85F37" w:rsidRPr="003E7511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Comparative table of </w:t>
      </w:r>
      <w:r w:rsidR="006349D0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m</w:t>
      </w:r>
      <w:r w:rsidR="006349D0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ulti frequency beam steering </w:t>
      </w:r>
      <w:proofErr w:type="spellStart"/>
      <w:r w:rsidR="006349D0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metasurface</w:t>
      </w:r>
      <w:proofErr w:type="spellEnd"/>
      <w:r w:rsidR="006349D0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F85F37" w:rsidRPr="003E7511">
        <w:rPr>
          <w:rFonts w:ascii="Times New Roman" w:eastAsia="맑은 고딕" w:hAnsi="Times New Roman" w:cs="Times New Roman"/>
          <w:snapToGrid w:val="0"/>
          <w:sz w:val="24"/>
          <w:szCs w:val="24"/>
        </w:rPr>
        <w:t>performance for different approaches</w:t>
      </w:r>
      <w:r w:rsidR="00F85F37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. The </w:t>
      </w:r>
      <w:r w:rsidR="002D123B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operating frequency</w:t>
      </w:r>
      <w:r w:rsidR="00F85F37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is defined as </w:t>
      </w:r>
      <m:oMath>
        <m:f>
          <m:fPr>
            <m:type m:val="skw"/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Δ</m:t>
            </m:r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f</m:t>
            </m:r>
          </m:num>
          <m:den>
            <m:sSub>
              <m:sSubPr>
                <m:ctrlPr>
                  <w:rPr>
                    <w:rFonts w:ascii="Cambria Math" w:eastAsia="맑은 고딕" w:hAnsi="Cambria Math" w:cs="Times New Roman"/>
                    <w:i/>
                    <w:snapToGrid w:val="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맑은 고딕" w:hAnsi="Cambria Math" w:cs="Times New Roman"/>
                    <w:snapToGrid w:val="0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맑은 고딕" w:hAnsi="Cambria Math" w:cs="Times New Roman"/>
                    <w:snapToGrid w:val="0"/>
                    <w:sz w:val="24"/>
                    <w:szCs w:val="24"/>
                  </w:rPr>
                  <m:t>center</m:t>
                </m:r>
              </m:sub>
            </m:sSub>
          </m:den>
        </m:f>
      </m:oMath>
      <w:r w:rsidR="00F85F37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, where </w:t>
      </w:r>
      <m:oMath>
        <m:r>
          <m:rPr>
            <m:sty m:val="p"/>
          </m:rPr>
          <w:rPr>
            <w:rFonts w:ascii="Cambria Math" w:eastAsia="맑은 고딕" w:hAnsi="Cambria Math" w:cs="Times New Roman"/>
            <w:snapToGrid w:val="0"/>
            <w:sz w:val="24"/>
            <w:szCs w:val="24"/>
          </w:rPr>
          <m:t>Δ</m:t>
        </m:r>
        <m:r>
          <w:rPr>
            <w:rFonts w:ascii="Cambria Math" w:eastAsia="맑은 고딕" w:hAnsi="Cambria Math" w:cs="Times New Roman"/>
            <w:snapToGrid w:val="0"/>
            <w:sz w:val="24"/>
            <w:szCs w:val="24"/>
          </w:rPr>
          <m:t>f</m:t>
        </m:r>
      </m:oMath>
      <w:r w:rsidR="00F85F37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 xml:space="preserve"> </w:t>
      </w:r>
      <w:r w:rsidR="00F85F37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is </w:t>
      </w:r>
      <w:r w:rsidR="003E188A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a bandwidth (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max</m:t>
            </m:r>
          </m:sub>
        </m:sSub>
        <m:r>
          <w:rPr>
            <w:rFonts w:ascii="Cambria Math" w:eastAsia="맑은 고딕" w:hAnsi="Cambria Math" w:cs="Times New Roman"/>
            <w:snapToGrid w:val="0"/>
            <w:sz w:val="24"/>
            <w:szCs w:val="24"/>
          </w:rPr>
          <m:t>-</m:t>
        </m:r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min</m:t>
            </m:r>
          </m:sub>
        </m:sSub>
      </m:oMath>
      <w:r w:rsidR="003E188A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) </w:t>
      </w:r>
      <w:r w:rsidR="00506FA3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lastRenderedPageBreak/>
        <w:t xml:space="preserve">and 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</w:rPr>
              <m:t>center</m:t>
            </m:r>
          </m:sub>
        </m:sSub>
      </m:oMath>
      <w:r w:rsidR="00F85F37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 xml:space="preserve"> </w:t>
      </w:r>
      <w:r w:rsidR="00F85F37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is </w:t>
      </w:r>
      <w:r w:rsidR="002F0B18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a </w:t>
      </w:r>
      <w:proofErr w:type="spellStart"/>
      <w:r w:rsidR="00F85F37" w:rsidRPr="00D41268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cent</w:t>
      </w:r>
      <w:r w:rsidR="00F85F37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er</w:t>
      </w:r>
      <w:proofErr w:type="spellEnd"/>
      <w:r w:rsidR="002F0B18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frequency of the </w:t>
      </w:r>
      <w:proofErr w:type="spellStart"/>
      <w:r w:rsidR="002F0B18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metasurface</w:t>
      </w:r>
      <w:proofErr w:type="spellEnd"/>
      <w:r w:rsidR="00F85F37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.</w:t>
      </w:r>
      <w:r w:rsidR="00423969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The secondary dB difference is defined as</w:t>
      </w:r>
      <w:r w:rsidR="008F4C60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minimum value of</w:t>
      </w:r>
      <w:r w:rsidR="00423969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G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first</m:t>
            </m:r>
          </m:sub>
        </m:sSub>
        <m:r>
          <w:rPr>
            <w:rFonts w:ascii="Cambria Math" w:eastAsia="맑은 고딕" w:hAnsi="Cambria Math" w:cs="Times New Roman"/>
            <w:snapToGrid w:val="0"/>
            <w:sz w:val="24"/>
            <w:szCs w:val="24"/>
            <w:lang w:eastAsia="ko-KR"/>
          </w:rPr>
          <m:t>-</m:t>
        </m:r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G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secondary</m:t>
            </m:r>
          </m:sub>
        </m:sSub>
      </m:oMath>
      <w:r w:rsidR="00F96FF4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, where 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G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first</m:t>
            </m:r>
          </m:sub>
        </m:sSub>
      </m:oMath>
      <w:r w:rsidR="00F96FF4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 xml:space="preserve"> </w:t>
      </w:r>
      <w:r w:rsidR="00F96FF4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is gain of first lobe and 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snapToGrid w:val="0"/>
                <w:sz w:val="24"/>
                <w:szCs w:val="24"/>
                <w:lang w:eastAsia="ko-KR"/>
              </w:rPr>
            </m:ctrlPr>
          </m:sSubPr>
          <m:e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G</m:t>
            </m:r>
          </m:e>
          <m:sub>
            <m:r>
              <w:rPr>
                <w:rFonts w:ascii="Cambria Math" w:eastAsia="맑은 고딕" w:hAnsi="Cambria Math" w:cs="Times New Roman"/>
                <w:snapToGrid w:val="0"/>
                <w:sz w:val="24"/>
                <w:szCs w:val="24"/>
                <w:lang w:eastAsia="ko-KR"/>
              </w:rPr>
              <m:t>secondary</m:t>
            </m:r>
          </m:sub>
        </m:sSub>
      </m:oMath>
      <w:r w:rsidR="00F96FF4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 xml:space="preserve"> </w:t>
      </w:r>
      <w:r w:rsidR="00F96FF4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is gain of secondary lobe.</w:t>
      </w:r>
    </w:p>
    <w:p w14:paraId="062E276C" w14:textId="77777777" w:rsidR="00CB2902" w:rsidRPr="00B703B0" w:rsidRDefault="00CB2902" w:rsidP="0019597B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</w:pPr>
    </w:p>
    <w:p w14:paraId="41B9CE2B" w14:textId="58A5B752" w:rsidR="00CB2902" w:rsidRPr="00B56E78" w:rsidRDefault="00CB2902" w:rsidP="00CB2902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</w:pPr>
      <w:r w:rsidRPr="00B56E78"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  <w:t>Supplementa</w:t>
      </w:r>
      <w:r w:rsidR="00DF0C1F"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  <w:t>ry</w:t>
      </w:r>
      <w:r w:rsidRPr="00B56E78"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  <w:t xml:space="preserve"> </w:t>
      </w:r>
      <w:r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  <w:t>r</w:t>
      </w:r>
      <w:r w:rsidRPr="00B56E78">
        <w:rPr>
          <w:rFonts w:ascii="Times New Roman" w:eastAsia="맑은 고딕" w:hAnsi="Times New Roman" w:cs="Times New Roman"/>
          <w:b/>
          <w:snapToGrid w:val="0"/>
          <w:sz w:val="24"/>
          <w:szCs w:val="24"/>
          <w:lang w:val="en-US" w:eastAsia="ko-KR"/>
        </w:rPr>
        <w:t>eferences</w:t>
      </w:r>
    </w:p>
    <w:p w14:paraId="66CD8D39" w14:textId="7344DF98" w:rsidR="00C4218A" w:rsidRPr="008401FC" w:rsidRDefault="00CB2902" w:rsidP="008401FC">
      <w:pPr>
        <w:adjustRightInd w:val="0"/>
        <w:snapToGrid w:val="0"/>
        <w:spacing w:line="36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</w:rPr>
      </w:pP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 w:eastAsia="ko-KR"/>
        </w:rPr>
        <w:t>[S1]</w:t>
      </w:r>
      <w:r w:rsidR="00C4218A" w:rsidRPr="008401FC">
        <w:rPr>
          <w:rFonts w:hAnsi="Calibri"/>
          <w:color w:val="000000" w:themeColor="text1"/>
          <w:kern w:val="24"/>
          <w:sz w:val="24"/>
          <w:szCs w:val="24"/>
          <w:lang w:val="en-US" w:eastAsia="ko-KR"/>
        </w:rPr>
        <w:t xml:space="preserve"> </w:t>
      </w:r>
      <w:r w:rsidR="00C4218A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>Jesus A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C4218A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C4218A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</w:t>
      </w:r>
      <w:r w:rsidR="00876969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.</w:t>
      </w:r>
      <w:r w:rsidR="00C4218A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 xml:space="preserve"> al</w:t>
      </w:r>
      <w:r w:rsidR="00C4218A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“Dual-Frequency Reflect array Based on Split-Ring Slots”-IEEE Antennas and Wireless propagation, </w:t>
      </w:r>
      <w:r w:rsidR="00C4218A"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</w:rPr>
        <w:t>16</w:t>
      </w:r>
      <w:r w:rsidR="00C4218A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(2016)</w:t>
      </w:r>
    </w:p>
    <w:p w14:paraId="15A26B2A" w14:textId="6C71ABE3" w:rsidR="00C4218A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</w:pPr>
      <w:r w:rsidRPr="008401FC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[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S2] 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Rucha A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“Dual-Band </w:t>
      </w:r>
      <w:proofErr w:type="spellStart"/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Metasurfaces</w:t>
      </w:r>
      <w:proofErr w:type="spellEnd"/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Using Multiple Gap-Surface Plasmon Resonances”, Appl Mat &amp; Int, </w:t>
      </w:r>
      <w:r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  <w:lang w:val="en-US"/>
        </w:rPr>
        <w:t>12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(2020)</w:t>
      </w:r>
    </w:p>
    <w:p w14:paraId="22DCEF22" w14:textId="21A2543F" w:rsidR="00C4218A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8401FC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[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S3]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Shahid I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>,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“Dual-band 2-bit coding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metasurface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for multifunctional control of both spatial waves and surface waves”, Journal of OSA B, </w:t>
      </w:r>
      <w:r w:rsidR="008401FC"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  <w:lang w:val="en-US"/>
        </w:rPr>
        <w:t>36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(2019)</w:t>
      </w:r>
    </w:p>
    <w:p w14:paraId="74DC72BE" w14:textId="7D24971B" w:rsidR="00C4218A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</w:pPr>
      <w:r w:rsidRPr="008401FC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[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S4]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Adam C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“Multifunctional Nonlocal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Metasurfaces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”, PRL, </w:t>
      </w:r>
      <w:r w:rsidR="008401FC"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  <w:lang w:eastAsia="ko-KR"/>
        </w:rPr>
        <w:t>125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(2020)</w:t>
      </w:r>
    </w:p>
    <w:p w14:paraId="512B2A7A" w14:textId="0E4263DA" w:rsidR="00C4218A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</w:pP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[S5]</w:t>
      </w:r>
      <w:r w:rsidR="008401FC" w:rsidRPr="008401FC">
        <w:rPr>
          <w:rFonts w:hAnsi="Calibri"/>
          <w:color w:val="000000" w:themeColor="text1"/>
          <w:kern w:val="24"/>
          <w:sz w:val="24"/>
          <w:szCs w:val="24"/>
        </w:rPr>
        <w:t xml:space="preserve">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David S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“Periodic Dielectric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Metasurfaces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 xml:space="preserve"> with High-Efficiency, Multiwavelength Functionalities”, AOM, 16 (2017)</w:t>
      </w:r>
    </w:p>
    <w:p w14:paraId="5263D586" w14:textId="245759B8" w:rsidR="00C4218A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[S6]</w:t>
      </w:r>
      <w:r w:rsidR="008401FC" w:rsidRPr="008401FC">
        <w:rPr>
          <w:rFonts w:hAnsi="Calibri"/>
          <w:color w:val="000000" w:themeColor="text1"/>
          <w:kern w:val="24"/>
          <w:sz w:val="24"/>
          <w:szCs w:val="24"/>
          <w:lang w:val="en-US" w:eastAsia="ko-KR"/>
        </w:rPr>
        <w:t xml:space="preserve">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Zhenkun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L</w:t>
      </w:r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“Anomalous wavefront control via nonlinear acoustic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metasurface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through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secondharmonic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tailoring and demultiplexing”, Appl Phys Lett, </w:t>
      </w:r>
      <w:r w:rsidR="008401FC"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  <w:lang w:val="en-US"/>
        </w:rPr>
        <w:t>121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(2022)</w:t>
      </w:r>
    </w:p>
    <w:p w14:paraId="3E7ED37A" w14:textId="3D1B7536" w:rsidR="008401FC" w:rsidRPr="008401FC" w:rsidRDefault="00C4218A" w:rsidP="008401FC">
      <w:pPr>
        <w:adjustRightInd w:val="0"/>
        <w:snapToGrid w:val="0"/>
        <w:spacing w:line="36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</w:pPr>
      <w:r w:rsidRPr="008401FC">
        <w:rPr>
          <w:rFonts w:ascii="Times New Roman" w:eastAsia="맑은 고딕" w:hAnsi="Times New Roman" w:cs="Times New Roman" w:hint="eastAsia"/>
          <w:snapToGrid w:val="0"/>
          <w:sz w:val="24"/>
          <w:szCs w:val="24"/>
          <w:lang w:eastAsia="ko-KR"/>
        </w:rPr>
        <w:t>[</w:t>
      </w:r>
      <w:r w:rsidRPr="008401FC"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  <w:t>S7]</w:t>
      </w:r>
      <w:r w:rsidR="008401FC" w:rsidRPr="008401FC">
        <w:rPr>
          <w:rFonts w:eastAsia="맑은 고딕" w:hAnsi="Calibri"/>
          <w:color w:val="000000"/>
          <w:sz w:val="24"/>
          <w:szCs w:val="24"/>
          <w:lang w:val="en-US" w:eastAsia="ko-KR"/>
        </w:rPr>
        <w:t xml:space="preserve">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H.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Hasani</w:t>
      </w:r>
      <w:proofErr w:type="spellEnd"/>
      <w:r w:rsidR="00EA5B15">
        <w:rPr>
          <w:rFonts w:ascii="Times New Roman" w:eastAsia="맑은 고딕" w:hAnsi="Times New Roman" w:cs="Times New Roman"/>
          <w:snapToGrid w:val="0"/>
          <w:sz w:val="24"/>
          <w:szCs w:val="24"/>
        </w:rPr>
        <w:t>.,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 </w:t>
      </w:r>
      <w:r w:rsidR="00EA5B15" w:rsidRPr="00EA5B15">
        <w:rPr>
          <w:rFonts w:ascii="Times New Roman" w:eastAsia="맑은 고딕" w:hAnsi="Times New Roman" w:cs="Times New Roman"/>
          <w:i/>
          <w:iCs/>
          <w:snapToGrid w:val="0"/>
          <w:sz w:val="24"/>
          <w:szCs w:val="24"/>
        </w:rPr>
        <w:t>et. al</w:t>
      </w:r>
      <w:r w:rsidR="00EA5B15" w:rsidRPr="008401FC">
        <w:rPr>
          <w:rFonts w:ascii="Times New Roman" w:eastAsia="맑은 고딕" w:hAnsi="Times New Roman" w:cs="Times New Roman"/>
          <w:snapToGrid w:val="0"/>
          <w:sz w:val="24"/>
          <w:szCs w:val="24"/>
        </w:rPr>
        <w:t xml:space="preserve">, 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“Dual-Band Circularly Polarized </w:t>
      </w:r>
      <w:proofErr w:type="spellStart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>Transmitarray</w:t>
      </w:r>
      <w:proofErr w:type="spellEnd"/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Antenna for Satellite Communications at (20 to 30) GHz”, IEEE TRANSACTIONS ON ANTENNAS AND PROPAGATION, </w:t>
      </w:r>
      <w:r w:rsidR="008401FC" w:rsidRPr="008401FC">
        <w:rPr>
          <w:rFonts w:ascii="Times New Roman" w:eastAsia="맑은 고딕" w:hAnsi="Times New Roman" w:cs="Times New Roman"/>
          <w:b/>
          <w:bCs/>
          <w:snapToGrid w:val="0"/>
          <w:sz w:val="24"/>
          <w:szCs w:val="24"/>
          <w:lang w:val="en-US"/>
        </w:rPr>
        <w:t>67</w:t>
      </w:r>
      <w:r w:rsidR="008401FC" w:rsidRPr="008401FC">
        <w:rPr>
          <w:rFonts w:ascii="Times New Roman" w:eastAsia="맑은 고딕" w:hAnsi="Times New Roman" w:cs="Times New Roman"/>
          <w:snapToGrid w:val="0"/>
          <w:sz w:val="24"/>
          <w:szCs w:val="24"/>
          <w:lang w:val="en-US"/>
        </w:rPr>
        <w:t xml:space="preserve"> (2019)</w:t>
      </w:r>
    </w:p>
    <w:p w14:paraId="52E9A928" w14:textId="2283B9A7" w:rsidR="00C4218A" w:rsidRPr="00C4218A" w:rsidRDefault="00C4218A" w:rsidP="00C4218A">
      <w:pPr>
        <w:adjustRightInd w:val="0"/>
        <w:snapToGrid w:val="0"/>
        <w:spacing w:line="480" w:lineRule="auto"/>
        <w:jc w:val="both"/>
        <w:rPr>
          <w:rFonts w:ascii="Times New Roman" w:eastAsia="맑은 고딕" w:hAnsi="Times New Roman" w:cs="Times New Roman"/>
          <w:snapToGrid w:val="0"/>
          <w:sz w:val="24"/>
          <w:szCs w:val="24"/>
          <w:lang w:eastAsia="ko-KR"/>
        </w:rPr>
      </w:pPr>
    </w:p>
    <w:p w14:paraId="4550A43F" w14:textId="76AFB991" w:rsidR="00CB2902" w:rsidRPr="009C7C25" w:rsidRDefault="00CB2902" w:rsidP="00CB2902">
      <w:pPr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 w:cs="Times New Roman"/>
          <w:b/>
          <w:snapToGrid w:val="0"/>
          <w:sz w:val="24"/>
          <w:szCs w:val="24"/>
          <w:lang w:eastAsia="ko-KR"/>
        </w:rPr>
      </w:pPr>
    </w:p>
    <w:sectPr w:rsidR="00CB2902" w:rsidRPr="009C7C25" w:rsidSect="00A56BC5">
      <w:footerReference w:type="default" r:id="rId24"/>
      <w:endnotePr>
        <w:numFmt w:val="decimal"/>
      </w:end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05C5" w14:textId="77777777" w:rsidR="00B639EA" w:rsidRDefault="00B639EA">
      <w:pPr>
        <w:spacing w:after="0" w:line="240" w:lineRule="auto"/>
      </w:pPr>
      <w:r>
        <w:separator/>
      </w:r>
    </w:p>
  </w:endnote>
  <w:endnote w:type="continuationSeparator" w:id="0">
    <w:p w14:paraId="12D002E9" w14:textId="77777777" w:rsidR="00B639EA" w:rsidRDefault="00B6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82635276"/>
      <w:docPartObj>
        <w:docPartGallery w:val="Page Numbers (Bottom of Page)"/>
        <w:docPartUnique/>
      </w:docPartObj>
    </w:sdtPr>
    <w:sdtContent>
      <w:p w14:paraId="0CA27FB0" w14:textId="77777777" w:rsidR="0046545B" w:rsidRPr="00853220" w:rsidRDefault="0046545B" w:rsidP="0046545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32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322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32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322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9BDD" w14:textId="77777777" w:rsidR="00B639EA" w:rsidRDefault="00B639EA">
      <w:pPr>
        <w:spacing w:after="0" w:line="240" w:lineRule="auto"/>
      </w:pPr>
      <w:r>
        <w:separator/>
      </w:r>
    </w:p>
  </w:footnote>
  <w:footnote w:type="continuationSeparator" w:id="0">
    <w:p w14:paraId="15443BA5" w14:textId="77777777" w:rsidR="00B639EA" w:rsidRDefault="00B63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mmunication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B56E78"/>
    <w:rsid w:val="00005867"/>
    <w:rsid w:val="0002113C"/>
    <w:rsid w:val="00023576"/>
    <w:rsid w:val="00024E76"/>
    <w:rsid w:val="00030A95"/>
    <w:rsid w:val="00036107"/>
    <w:rsid w:val="0003664C"/>
    <w:rsid w:val="00044667"/>
    <w:rsid w:val="00051110"/>
    <w:rsid w:val="000515AB"/>
    <w:rsid w:val="00054EFC"/>
    <w:rsid w:val="00061D27"/>
    <w:rsid w:val="00067511"/>
    <w:rsid w:val="00067C4F"/>
    <w:rsid w:val="00070F0E"/>
    <w:rsid w:val="00073F36"/>
    <w:rsid w:val="00076EC7"/>
    <w:rsid w:val="00080DB1"/>
    <w:rsid w:val="00082442"/>
    <w:rsid w:val="000914CC"/>
    <w:rsid w:val="000918BA"/>
    <w:rsid w:val="000A2069"/>
    <w:rsid w:val="000B090F"/>
    <w:rsid w:val="000B196E"/>
    <w:rsid w:val="000B3744"/>
    <w:rsid w:val="000B3FBC"/>
    <w:rsid w:val="000C1A3F"/>
    <w:rsid w:val="000C37CC"/>
    <w:rsid w:val="000C7E96"/>
    <w:rsid w:val="000E1B47"/>
    <w:rsid w:val="000E3907"/>
    <w:rsid w:val="000E5CF2"/>
    <w:rsid w:val="00106640"/>
    <w:rsid w:val="00111681"/>
    <w:rsid w:val="001156F9"/>
    <w:rsid w:val="00132F3A"/>
    <w:rsid w:val="001331D6"/>
    <w:rsid w:val="00134C5D"/>
    <w:rsid w:val="001700CE"/>
    <w:rsid w:val="00192060"/>
    <w:rsid w:val="001937B2"/>
    <w:rsid w:val="00193E51"/>
    <w:rsid w:val="001947B7"/>
    <w:rsid w:val="00194D73"/>
    <w:rsid w:val="0019597B"/>
    <w:rsid w:val="001A19F6"/>
    <w:rsid w:val="001A38AD"/>
    <w:rsid w:val="001A41ED"/>
    <w:rsid w:val="001A464F"/>
    <w:rsid w:val="001C1796"/>
    <w:rsid w:val="001C1D61"/>
    <w:rsid w:val="001C6BE6"/>
    <w:rsid w:val="001D6864"/>
    <w:rsid w:val="001E0DCD"/>
    <w:rsid w:val="001F1577"/>
    <w:rsid w:val="00202491"/>
    <w:rsid w:val="002033F4"/>
    <w:rsid w:val="002210A2"/>
    <w:rsid w:val="002217E8"/>
    <w:rsid w:val="0022206D"/>
    <w:rsid w:val="0022286E"/>
    <w:rsid w:val="0022356F"/>
    <w:rsid w:val="002337B3"/>
    <w:rsid w:val="00244E7C"/>
    <w:rsid w:val="00261DDD"/>
    <w:rsid w:val="00263B59"/>
    <w:rsid w:val="00267BF8"/>
    <w:rsid w:val="00273430"/>
    <w:rsid w:val="002813D1"/>
    <w:rsid w:val="00286F74"/>
    <w:rsid w:val="00292F73"/>
    <w:rsid w:val="002A16C3"/>
    <w:rsid w:val="002A5F77"/>
    <w:rsid w:val="002A6215"/>
    <w:rsid w:val="002B2C79"/>
    <w:rsid w:val="002B7A43"/>
    <w:rsid w:val="002C1E05"/>
    <w:rsid w:val="002C55B9"/>
    <w:rsid w:val="002C6D61"/>
    <w:rsid w:val="002D123B"/>
    <w:rsid w:val="002D298C"/>
    <w:rsid w:val="002D71B3"/>
    <w:rsid w:val="002E6593"/>
    <w:rsid w:val="002F0B18"/>
    <w:rsid w:val="002F5DE5"/>
    <w:rsid w:val="0031717A"/>
    <w:rsid w:val="00325114"/>
    <w:rsid w:val="00340CAD"/>
    <w:rsid w:val="00341028"/>
    <w:rsid w:val="0034383C"/>
    <w:rsid w:val="00343B91"/>
    <w:rsid w:val="00344635"/>
    <w:rsid w:val="00345538"/>
    <w:rsid w:val="00361230"/>
    <w:rsid w:val="00371B99"/>
    <w:rsid w:val="003870C9"/>
    <w:rsid w:val="003B3F54"/>
    <w:rsid w:val="003C3BCE"/>
    <w:rsid w:val="003C4D1D"/>
    <w:rsid w:val="003E188A"/>
    <w:rsid w:val="00400D13"/>
    <w:rsid w:val="00413439"/>
    <w:rsid w:val="00413B48"/>
    <w:rsid w:val="00415B43"/>
    <w:rsid w:val="00423969"/>
    <w:rsid w:val="00445B4F"/>
    <w:rsid w:val="00450534"/>
    <w:rsid w:val="00457AB4"/>
    <w:rsid w:val="00461BB4"/>
    <w:rsid w:val="004622CE"/>
    <w:rsid w:val="0046545B"/>
    <w:rsid w:val="00466BE8"/>
    <w:rsid w:val="00467F36"/>
    <w:rsid w:val="004858D7"/>
    <w:rsid w:val="00487435"/>
    <w:rsid w:val="00491829"/>
    <w:rsid w:val="004975E2"/>
    <w:rsid w:val="004A57C5"/>
    <w:rsid w:val="004A687E"/>
    <w:rsid w:val="004B3230"/>
    <w:rsid w:val="004C34B7"/>
    <w:rsid w:val="004D1A34"/>
    <w:rsid w:val="004D7F00"/>
    <w:rsid w:val="004F3FE4"/>
    <w:rsid w:val="004F491F"/>
    <w:rsid w:val="004F4AAE"/>
    <w:rsid w:val="004F522C"/>
    <w:rsid w:val="00506039"/>
    <w:rsid w:val="00506FA3"/>
    <w:rsid w:val="00511EB5"/>
    <w:rsid w:val="00516C93"/>
    <w:rsid w:val="00525040"/>
    <w:rsid w:val="00532FCC"/>
    <w:rsid w:val="00533365"/>
    <w:rsid w:val="00541E77"/>
    <w:rsid w:val="0055255C"/>
    <w:rsid w:val="005548DE"/>
    <w:rsid w:val="005553BC"/>
    <w:rsid w:val="00555991"/>
    <w:rsid w:val="00564ED6"/>
    <w:rsid w:val="00571CEB"/>
    <w:rsid w:val="00577013"/>
    <w:rsid w:val="00581FE8"/>
    <w:rsid w:val="00586AAD"/>
    <w:rsid w:val="00590A0A"/>
    <w:rsid w:val="00593CDA"/>
    <w:rsid w:val="005B04D2"/>
    <w:rsid w:val="005B4A3F"/>
    <w:rsid w:val="005C2BE9"/>
    <w:rsid w:val="005D265D"/>
    <w:rsid w:val="005D6BB0"/>
    <w:rsid w:val="005E0A26"/>
    <w:rsid w:val="005F4033"/>
    <w:rsid w:val="0060200A"/>
    <w:rsid w:val="00603D7B"/>
    <w:rsid w:val="00610169"/>
    <w:rsid w:val="006122D7"/>
    <w:rsid w:val="00615672"/>
    <w:rsid w:val="00625036"/>
    <w:rsid w:val="006349D0"/>
    <w:rsid w:val="00640AD3"/>
    <w:rsid w:val="006418C6"/>
    <w:rsid w:val="0064498E"/>
    <w:rsid w:val="00655486"/>
    <w:rsid w:val="006630D0"/>
    <w:rsid w:val="00667F91"/>
    <w:rsid w:val="006744F0"/>
    <w:rsid w:val="00677497"/>
    <w:rsid w:val="00682DF6"/>
    <w:rsid w:val="00687C68"/>
    <w:rsid w:val="00694256"/>
    <w:rsid w:val="006A06DC"/>
    <w:rsid w:val="006A6E6C"/>
    <w:rsid w:val="006B289E"/>
    <w:rsid w:val="006B6597"/>
    <w:rsid w:val="006C5A0F"/>
    <w:rsid w:val="006D5CED"/>
    <w:rsid w:val="006E70E9"/>
    <w:rsid w:val="006F4F97"/>
    <w:rsid w:val="00700F36"/>
    <w:rsid w:val="00701950"/>
    <w:rsid w:val="00723F56"/>
    <w:rsid w:val="00725FCB"/>
    <w:rsid w:val="00766056"/>
    <w:rsid w:val="00766E9F"/>
    <w:rsid w:val="00766F85"/>
    <w:rsid w:val="00771D14"/>
    <w:rsid w:val="007748F8"/>
    <w:rsid w:val="00780E6C"/>
    <w:rsid w:val="00782A4D"/>
    <w:rsid w:val="00783CBB"/>
    <w:rsid w:val="007A64AA"/>
    <w:rsid w:val="007C2D8F"/>
    <w:rsid w:val="007D4DE4"/>
    <w:rsid w:val="007F6C38"/>
    <w:rsid w:val="00805628"/>
    <w:rsid w:val="00816BDC"/>
    <w:rsid w:val="0081784E"/>
    <w:rsid w:val="00820269"/>
    <w:rsid w:val="0083387F"/>
    <w:rsid w:val="00835E30"/>
    <w:rsid w:val="008401FC"/>
    <w:rsid w:val="00841C24"/>
    <w:rsid w:val="008423E9"/>
    <w:rsid w:val="0084433F"/>
    <w:rsid w:val="00851767"/>
    <w:rsid w:val="00857F37"/>
    <w:rsid w:val="008679D0"/>
    <w:rsid w:val="0087659F"/>
    <w:rsid w:val="00876969"/>
    <w:rsid w:val="00880A11"/>
    <w:rsid w:val="00886ACA"/>
    <w:rsid w:val="008906D9"/>
    <w:rsid w:val="008923F2"/>
    <w:rsid w:val="00897BF7"/>
    <w:rsid w:val="008A7796"/>
    <w:rsid w:val="008B56E5"/>
    <w:rsid w:val="008C383B"/>
    <w:rsid w:val="008C5FC7"/>
    <w:rsid w:val="008D5197"/>
    <w:rsid w:val="008F4C60"/>
    <w:rsid w:val="008F643B"/>
    <w:rsid w:val="009058C3"/>
    <w:rsid w:val="00922662"/>
    <w:rsid w:val="00927954"/>
    <w:rsid w:val="00955280"/>
    <w:rsid w:val="009559C2"/>
    <w:rsid w:val="009722EE"/>
    <w:rsid w:val="00976196"/>
    <w:rsid w:val="00981C36"/>
    <w:rsid w:val="00995061"/>
    <w:rsid w:val="00995D4D"/>
    <w:rsid w:val="009C16DA"/>
    <w:rsid w:val="009C7C25"/>
    <w:rsid w:val="009E4DF1"/>
    <w:rsid w:val="009F2A3F"/>
    <w:rsid w:val="009F3666"/>
    <w:rsid w:val="00A20885"/>
    <w:rsid w:val="00A32936"/>
    <w:rsid w:val="00A34C32"/>
    <w:rsid w:val="00A56BC5"/>
    <w:rsid w:val="00A60287"/>
    <w:rsid w:val="00A60873"/>
    <w:rsid w:val="00A856B0"/>
    <w:rsid w:val="00A919C8"/>
    <w:rsid w:val="00AB2804"/>
    <w:rsid w:val="00AD41E1"/>
    <w:rsid w:val="00AD6E52"/>
    <w:rsid w:val="00AE131B"/>
    <w:rsid w:val="00AF4955"/>
    <w:rsid w:val="00B031DB"/>
    <w:rsid w:val="00B062A6"/>
    <w:rsid w:val="00B45C54"/>
    <w:rsid w:val="00B46620"/>
    <w:rsid w:val="00B55C64"/>
    <w:rsid w:val="00B56E78"/>
    <w:rsid w:val="00B639EA"/>
    <w:rsid w:val="00B65D5C"/>
    <w:rsid w:val="00B67922"/>
    <w:rsid w:val="00B703B0"/>
    <w:rsid w:val="00B706A7"/>
    <w:rsid w:val="00B76547"/>
    <w:rsid w:val="00B87EF6"/>
    <w:rsid w:val="00BA1473"/>
    <w:rsid w:val="00BA1C2B"/>
    <w:rsid w:val="00BD0EAA"/>
    <w:rsid w:val="00BD5BE3"/>
    <w:rsid w:val="00BE4FE7"/>
    <w:rsid w:val="00BF03AD"/>
    <w:rsid w:val="00BF1BCA"/>
    <w:rsid w:val="00BF6335"/>
    <w:rsid w:val="00C011F9"/>
    <w:rsid w:val="00C0177D"/>
    <w:rsid w:val="00C024A2"/>
    <w:rsid w:val="00C02BE5"/>
    <w:rsid w:val="00C24F1C"/>
    <w:rsid w:val="00C4218A"/>
    <w:rsid w:val="00C461AC"/>
    <w:rsid w:val="00C47A08"/>
    <w:rsid w:val="00C519D2"/>
    <w:rsid w:val="00C55CCD"/>
    <w:rsid w:val="00C55F48"/>
    <w:rsid w:val="00C75E69"/>
    <w:rsid w:val="00C822C8"/>
    <w:rsid w:val="00C86091"/>
    <w:rsid w:val="00CB2902"/>
    <w:rsid w:val="00CB7B1F"/>
    <w:rsid w:val="00CC790A"/>
    <w:rsid w:val="00CD3FAC"/>
    <w:rsid w:val="00D002E4"/>
    <w:rsid w:val="00D062B4"/>
    <w:rsid w:val="00D12F51"/>
    <w:rsid w:val="00D32EC3"/>
    <w:rsid w:val="00D4224D"/>
    <w:rsid w:val="00D44DC1"/>
    <w:rsid w:val="00D50B18"/>
    <w:rsid w:val="00D6498A"/>
    <w:rsid w:val="00D83B52"/>
    <w:rsid w:val="00D93D08"/>
    <w:rsid w:val="00D95E90"/>
    <w:rsid w:val="00DC1A7E"/>
    <w:rsid w:val="00DC3F48"/>
    <w:rsid w:val="00DC4F8D"/>
    <w:rsid w:val="00DD2061"/>
    <w:rsid w:val="00DD7ABB"/>
    <w:rsid w:val="00DF0C1F"/>
    <w:rsid w:val="00DF0D7B"/>
    <w:rsid w:val="00E14FE8"/>
    <w:rsid w:val="00E21353"/>
    <w:rsid w:val="00E420A6"/>
    <w:rsid w:val="00E47C08"/>
    <w:rsid w:val="00E50C3C"/>
    <w:rsid w:val="00E52166"/>
    <w:rsid w:val="00E522B5"/>
    <w:rsid w:val="00E52F4C"/>
    <w:rsid w:val="00E76944"/>
    <w:rsid w:val="00E84F36"/>
    <w:rsid w:val="00E93092"/>
    <w:rsid w:val="00E94366"/>
    <w:rsid w:val="00EA2015"/>
    <w:rsid w:val="00EA23D6"/>
    <w:rsid w:val="00EA2B0B"/>
    <w:rsid w:val="00EA4D24"/>
    <w:rsid w:val="00EA5B15"/>
    <w:rsid w:val="00EA7544"/>
    <w:rsid w:val="00EC6445"/>
    <w:rsid w:val="00EE65DF"/>
    <w:rsid w:val="00EE7B62"/>
    <w:rsid w:val="00EF5AC7"/>
    <w:rsid w:val="00EF60A2"/>
    <w:rsid w:val="00F12EDE"/>
    <w:rsid w:val="00F302CD"/>
    <w:rsid w:val="00F3338A"/>
    <w:rsid w:val="00F43314"/>
    <w:rsid w:val="00F451EF"/>
    <w:rsid w:val="00F51282"/>
    <w:rsid w:val="00F70C45"/>
    <w:rsid w:val="00F73CA8"/>
    <w:rsid w:val="00F77EB4"/>
    <w:rsid w:val="00F83A81"/>
    <w:rsid w:val="00F84762"/>
    <w:rsid w:val="00F85F37"/>
    <w:rsid w:val="00F90E21"/>
    <w:rsid w:val="00F931F8"/>
    <w:rsid w:val="00F96FF4"/>
    <w:rsid w:val="00FA7D69"/>
    <w:rsid w:val="00FC00E6"/>
    <w:rsid w:val="00F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30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6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바닥글 Char"/>
    <w:basedOn w:val="a0"/>
    <w:link w:val="a3"/>
    <w:uiPriority w:val="99"/>
    <w:rsid w:val="00B56E78"/>
  </w:style>
  <w:style w:type="character" w:styleId="a4">
    <w:name w:val="annotation reference"/>
    <w:basedOn w:val="a0"/>
    <w:uiPriority w:val="99"/>
    <w:semiHidden/>
    <w:unhideWhenUsed/>
    <w:rsid w:val="004F491F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4F491F"/>
    <w:pPr>
      <w:spacing w:line="240" w:lineRule="auto"/>
    </w:pPr>
    <w:rPr>
      <w:sz w:val="20"/>
      <w:szCs w:val="20"/>
    </w:rPr>
  </w:style>
  <w:style w:type="character" w:customStyle="1" w:styleId="Char0">
    <w:name w:val="메모 텍스트 Char"/>
    <w:basedOn w:val="a0"/>
    <w:link w:val="a5"/>
    <w:uiPriority w:val="99"/>
    <w:semiHidden/>
    <w:rsid w:val="004F491F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4F491F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4F491F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4F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4F491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6B2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3">
    <w:name w:val="머리글 Char"/>
    <w:basedOn w:val="a0"/>
    <w:link w:val="a8"/>
    <w:uiPriority w:val="99"/>
    <w:rsid w:val="006B289E"/>
  </w:style>
  <w:style w:type="paragraph" w:customStyle="1" w:styleId="MCAuthor">
    <w:name w:val="MC Author"/>
    <w:basedOn w:val="a"/>
    <w:next w:val="MCAuthorAffiliation"/>
    <w:rsid w:val="006122D7"/>
    <w:pPr>
      <w:spacing w:after="0" w:line="240" w:lineRule="auto"/>
      <w:jc w:val="center"/>
    </w:pPr>
    <w:rPr>
      <w:rFonts w:ascii="Times New Roman" w:eastAsia="SimSun" w:hAnsi="Times New Roman" w:cs="Times New Roman"/>
      <w:b/>
      <w:sz w:val="20"/>
      <w:szCs w:val="20"/>
      <w:lang w:val="en-US" w:eastAsia="en-US"/>
    </w:rPr>
  </w:style>
  <w:style w:type="paragraph" w:customStyle="1" w:styleId="MCAuthorAffiliation">
    <w:name w:val="MC Author Affiliation"/>
    <w:basedOn w:val="a"/>
    <w:next w:val="a"/>
    <w:rsid w:val="006122D7"/>
    <w:pPr>
      <w:spacing w:after="0" w:line="240" w:lineRule="auto"/>
      <w:jc w:val="center"/>
    </w:pPr>
    <w:rPr>
      <w:rFonts w:ascii="Times" w:eastAsia="SimSun" w:hAnsi="Times" w:cs="Times New Roman"/>
      <w:i/>
      <w:sz w:val="16"/>
      <w:szCs w:val="20"/>
      <w:lang w:val="en-US" w:eastAsia="en-US"/>
    </w:rPr>
  </w:style>
  <w:style w:type="character" w:styleId="a9">
    <w:name w:val="Hyperlink"/>
    <w:basedOn w:val="a0"/>
    <w:uiPriority w:val="99"/>
    <w:rsid w:val="006122D7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B706A7"/>
    <w:rPr>
      <w:color w:val="808080"/>
    </w:rPr>
  </w:style>
  <w:style w:type="paragraph" w:styleId="ab">
    <w:name w:val="Normal (Web)"/>
    <w:basedOn w:val="a"/>
    <w:uiPriority w:val="99"/>
    <w:semiHidden/>
    <w:unhideWhenUsed/>
    <w:rsid w:val="00C4218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jongwonlee@unist.ac.kr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D0D4-3002-4CC2-911F-E6CC2FD4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2023-03-10T02:37:00Z</dcterms:created>
  <dcterms:modified xsi:type="dcterms:W3CDTF">2023-03-14T05:05:00Z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