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08C26" w14:textId="1F1570EE" w:rsidR="005F45B6" w:rsidRPr="00B17658" w:rsidRDefault="005F45B6" w:rsidP="00B17658">
      <w:pPr>
        <w:rPr>
          <w:rFonts w:ascii="Arial" w:hAnsi="Arial" w:cs="Arial"/>
          <w:bCs/>
          <w:sz w:val="34"/>
          <w:szCs w:val="34"/>
        </w:rPr>
      </w:pPr>
      <w:r w:rsidRPr="00B17658">
        <w:rPr>
          <w:rFonts w:ascii="Arial" w:hAnsi="Arial" w:cs="Arial"/>
          <w:bCs/>
          <w:sz w:val="34"/>
          <w:szCs w:val="34"/>
        </w:rPr>
        <w:t>Supp</w:t>
      </w:r>
      <w:r w:rsidR="00613F8A" w:rsidRPr="00B17658">
        <w:rPr>
          <w:rFonts w:ascii="Arial" w:hAnsi="Arial" w:cs="Arial"/>
          <w:bCs/>
          <w:sz w:val="34"/>
          <w:szCs w:val="34"/>
        </w:rPr>
        <w:t>lementary</w:t>
      </w:r>
      <w:r w:rsidRPr="00B17658">
        <w:rPr>
          <w:rFonts w:ascii="Arial" w:hAnsi="Arial" w:cs="Arial"/>
          <w:bCs/>
          <w:sz w:val="34"/>
          <w:szCs w:val="34"/>
        </w:rPr>
        <w:t xml:space="preserve"> </w:t>
      </w:r>
      <w:r w:rsidR="00613F8A" w:rsidRPr="00B17658">
        <w:rPr>
          <w:rFonts w:ascii="Arial" w:hAnsi="Arial" w:cs="Arial"/>
          <w:bCs/>
          <w:sz w:val="34"/>
          <w:szCs w:val="34"/>
        </w:rPr>
        <w:t>Materials</w:t>
      </w:r>
    </w:p>
    <w:p w14:paraId="0651DB8C" w14:textId="77777777" w:rsidR="005F45B6" w:rsidRPr="00B17658" w:rsidRDefault="005F45B6" w:rsidP="00B17658">
      <w:pPr>
        <w:spacing w:before="720" w:after="360" w:line="480" w:lineRule="auto"/>
        <w:rPr>
          <w:rFonts w:ascii="Arial" w:eastAsia="Times New Roman" w:hAnsi="Arial" w:cs="Arial"/>
          <w:bCs/>
          <w:sz w:val="34"/>
          <w:szCs w:val="34"/>
        </w:rPr>
      </w:pPr>
      <w:r w:rsidRPr="00B17658">
        <w:rPr>
          <w:rFonts w:ascii="Arial" w:eastAsia="Times New Roman" w:hAnsi="Arial" w:cs="Arial"/>
          <w:bCs/>
          <w:sz w:val="34"/>
          <w:szCs w:val="34"/>
        </w:rPr>
        <w:t>Electrically Tunable Conducting Oxide Metasurfaces for High Power Applications</w:t>
      </w:r>
    </w:p>
    <w:p w14:paraId="0D6046B4" w14:textId="7A80EE4B" w:rsidR="005F45B6" w:rsidRPr="00613F8A" w:rsidRDefault="005F45B6" w:rsidP="00B17658">
      <w:pPr>
        <w:rPr>
          <w:rFonts w:ascii="Arial" w:hAnsi="Arial" w:cs="Arial"/>
          <w:bCs/>
          <w:vertAlign w:val="superscript"/>
        </w:rPr>
      </w:pPr>
      <w:r w:rsidRPr="00613F8A">
        <w:rPr>
          <w:rFonts w:ascii="Arial" w:eastAsia="Times New Roman" w:hAnsi="Arial" w:cs="Arial"/>
          <w:i/>
        </w:rPr>
        <w:t>Ruzan Sokhoyan</w:t>
      </w:r>
      <w:r w:rsidRPr="00613F8A">
        <w:rPr>
          <w:rFonts w:ascii="Arial" w:eastAsia="Times New Roman" w:hAnsi="Arial" w:cs="Arial"/>
          <w:i/>
          <w:vertAlign w:val="superscript"/>
        </w:rPr>
        <w:t>1</w:t>
      </w:r>
      <w:r w:rsidRPr="00613F8A">
        <w:rPr>
          <w:rFonts w:ascii="Arial" w:eastAsia="Times New Roman" w:hAnsi="Arial" w:cs="Arial"/>
          <w:i/>
        </w:rPr>
        <w:t xml:space="preserve">, </w:t>
      </w:r>
      <w:r w:rsidR="005B71F5" w:rsidRPr="00613F8A">
        <w:rPr>
          <w:rFonts w:ascii="Arial" w:hAnsi="Arial" w:cs="Arial"/>
          <w:i/>
          <w:iCs/>
        </w:rPr>
        <w:t>Prachi Thureja</w:t>
      </w:r>
      <w:r w:rsidR="005B71F5" w:rsidRPr="00613F8A">
        <w:rPr>
          <w:rFonts w:ascii="Arial" w:eastAsia="Times New Roman" w:hAnsi="Arial" w:cs="Arial"/>
          <w:i/>
          <w:vertAlign w:val="superscript"/>
        </w:rPr>
        <w:t>1</w:t>
      </w:r>
      <w:r w:rsidR="005B71F5" w:rsidRPr="00613F8A">
        <w:rPr>
          <w:rFonts w:ascii="Arial" w:hAnsi="Arial" w:cs="Arial"/>
          <w:i/>
          <w:iCs/>
        </w:rPr>
        <w:t>,</w:t>
      </w:r>
      <w:r w:rsidR="005B71F5">
        <w:rPr>
          <w:rFonts w:ascii="Arial" w:hAnsi="Arial" w:cs="Arial"/>
          <w:i/>
          <w:iCs/>
        </w:rPr>
        <w:t xml:space="preserve"> </w:t>
      </w:r>
      <w:r w:rsidR="005B71F5" w:rsidRPr="00613F8A">
        <w:rPr>
          <w:rFonts w:ascii="Arial" w:hAnsi="Arial" w:cs="Arial"/>
          <w:i/>
          <w:iCs/>
        </w:rPr>
        <w:t>Jared Sisler</w:t>
      </w:r>
      <w:r w:rsidR="005B71F5" w:rsidRPr="00613F8A">
        <w:rPr>
          <w:rFonts w:ascii="Arial" w:eastAsia="Times New Roman" w:hAnsi="Arial" w:cs="Arial"/>
          <w:i/>
          <w:vertAlign w:val="superscript"/>
        </w:rPr>
        <w:t>1</w:t>
      </w:r>
      <w:r w:rsidR="005B71F5" w:rsidRPr="00613F8A">
        <w:rPr>
          <w:rFonts w:ascii="Arial" w:hAnsi="Arial" w:cs="Arial"/>
          <w:i/>
          <w:iCs/>
        </w:rPr>
        <w:t>,</w:t>
      </w:r>
      <w:r w:rsidR="005B71F5">
        <w:rPr>
          <w:rFonts w:ascii="Arial" w:hAnsi="Arial" w:cs="Arial"/>
          <w:i/>
          <w:iCs/>
        </w:rPr>
        <w:t xml:space="preserve"> </w:t>
      </w:r>
      <w:r w:rsidRPr="00613F8A">
        <w:rPr>
          <w:rFonts w:ascii="Arial" w:eastAsia="Times New Roman" w:hAnsi="Arial" w:cs="Arial"/>
          <w:i/>
        </w:rPr>
        <w:t>Meir Grajower</w:t>
      </w:r>
      <w:r w:rsidRPr="00613F8A">
        <w:rPr>
          <w:rFonts w:ascii="Arial" w:eastAsia="Times New Roman" w:hAnsi="Arial" w:cs="Arial"/>
          <w:i/>
          <w:vertAlign w:val="superscript"/>
        </w:rPr>
        <w:t>1</w:t>
      </w:r>
      <w:r w:rsidRPr="00613F8A">
        <w:rPr>
          <w:rFonts w:ascii="Arial" w:eastAsia="Times New Roman" w:hAnsi="Arial" w:cs="Arial"/>
          <w:i/>
        </w:rPr>
        <w:t>,</w:t>
      </w:r>
      <w:r w:rsidRPr="00613F8A">
        <w:rPr>
          <w:rFonts w:ascii="Arial" w:hAnsi="Arial" w:cs="Arial"/>
          <w:i/>
          <w:iCs/>
        </w:rPr>
        <w:t xml:space="preserve"> Komron Shayegan</w:t>
      </w:r>
      <w:r w:rsidRPr="00613F8A">
        <w:rPr>
          <w:rFonts w:ascii="Arial" w:eastAsia="Times New Roman" w:hAnsi="Arial" w:cs="Arial"/>
          <w:i/>
          <w:vertAlign w:val="superscript"/>
        </w:rPr>
        <w:t>1</w:t>
      </w:r>
      <w:r w:rsidRPr="00613F8A">
        <w:rPr>
          <w:rFonts w:ascii="Arial" w:hAnsi="Arial" w:cs="Arial"/>
          <w:i/>
          <w:iCs/>
        </w:rPr>
        <w:t>,</w:t>
      </w:r>
      <w:r w:rsidRPr="00613F8A">
        <w:rPr>
          <w:rFonts w:ascii="Arial" w:hAnsi="Arial" w:cs="Arial"/>
        </w:rPr>
        <w:t xml:space="preserve"> </w:t>
      </w:r>
      <w:r w:rsidRPr="00613F8A">
        <w:rPr>
          <w:rFonts w:ascii="Arial" w:eastAsia="Times New Roman" w:hAnsi="Arial" w:cs="Arial"/>
          <w:i/>
        </w:rPr>
        <w:t>Eyal Feigenbaum</w:t>
      </w:r>
      <w:r w:rsidRPr="00613F8A">
        <w:rPr>
          <w:rFonts w:ascii="Arial" w:eastAsia="Times New Roman" w:hAnsi="Arial" w:cs="Arial"/>
          <w:i/>
          <w:vertAlign w:val="superscript"/>
        </w:rPr>
        <w:t>2</w:t>
      </w:r>
      <w:r w:rsidRPr="00613F8A">
        <w:rPr>
          <w:rFonts w:ascii="Arial" w:eastAsia="Times New Roman" w:hAnsi="Arial" w:cs="Arial"/>
          <w:i/>
        </w:rPr>
        <w:t>, Selim Elhadj</w:t>
      </w:r>
      <w:r w:rsidRPr="00613F8A">
        <w:rPr>
          <w:rFonts w:ascii="Arial" w:eastAsia="Times New Roman" w:hAnsi="Arial" w:cs="Arial"/>
          <w:i/>
          <w:vertAlign w:val="superscript"/>
        </w:rPr>
        <w:t>2,3,†</w:t>
      </w:r>
      <w:r w:rsidRPr="00613F8A">
        <w:rPr>
          <w:rFonts w:ascii="Arial" w:eastAsia="Times New Roman" w:hAnsi="Arial" w:cs="Arial"/>
          <w:i/>
        </w:rPr>
        <w:t>, and Harry A. Atwater</w:t>
      </w:r>
      <w:r w:rsidRPr="00613F8A">
        <w:rPr>
          <w:rFonts w:ascii="Arial" w:eastAsia="Times New Roman" w:hAnsi="Arial" w:cs="Arial"/>
          <w:i/>
          <w:vertAlign w:val="superscript"/>
        </w:rPr>
        <w:t>1,</w:t>
      </w:r>
      <w:r w:rsidRPr="00613F8A">
        <w:rPr>
          <w:rFonts w:ascii="Arial" w:hAnsi="Arial" w:cs="Arial"/>
          <w:bCs/>
          <w:vertAlign w:val="superscript"/>
        </w:rPr>
        <w:t>*</w:t>
      </w:r>
    </w:p>
    <w:p w14:paraId="41852DC0" w14:textId="77777777" w:rsidR="005F45B6" w:rsidRPr="00613F8A" w:rsidRDefault="005F45B6" w:rsidP="002A2054">
      <w:pPr>
        <w:pBdr>
          <w:top w:val="nil"/>
          <w:left w:val="nil"/>
          <w:bottom w:val="nil"/>
          <w:right w:val="nil"/>
          <w:between w:val="nil"/>
        </w:pBdr>
        <w:spacing w:after="0" w:line="240" w:lineRule="auto"/>
        <w:rPr>
          <w:rFonts w:ascii="Arial" w:eastAsia="Times New Roman" w:hAnsi="Arial" w:cs="Arial"/>
          <w:iCs/>
          <w:sz w:val="18"/>
          <w:szCs w:val="18"/>
          <w:vertAlign w:val="superscript"/>
        </w:rPr>
      </w:pPr>
    </w:p>
    <w:p w14:paraId="2D38E7BB" w14:textId="77777777" w:rsidR="005F45B6" w:rsidRPr="00613F8A" w:rsidRDefault="005F45B6" w:rsidP="0008315B">
      <w:pPr>
        <w:pBdr>
          <w:top w:val="nil"/>
          <w:left w:val="nil"/>
          <w:bottom w:val="nil"/>
          <w:right w:val="nil"/>
          <w:between w:val="nil"/>
        </w:pBdr>
        <w:tabs>
          <w:tab w:val="left" w:pos="720"/>
          <w:tab w:val="center" w:pos="3600"/>
          <w:tab w:val="right" w:pos="5760"/>
        </w:tabs>
        <w:spacing w:afterLines="120" w:after="288" w:line="240" w:lineRule="auto"/>
        <w:rPr>
          <w:rFonts w:ascii="Arial" w:eastAsia="Times New Roman" w:hAnsi="Arial" w:cs="Arial"/>
          <w:iCs/>
        </w:rPr>
      </w:pPr>
      <w:r w:rsidRPr="00613F8A">
        <w:rPr>
          <w:rFonts w:ascii="Arial" w:eastAsia="Times New Roman" w:hAnsi="Arial" w:cs="Arial"/>
          <w:iCs/>
          <w:vertAlign w:val="superscript"/>
        </w:rPr>
        <w:t>1</w:t>
      </w:r>
      <w:r w:rsidRPr="00613F8A">
        <w:rPr>
          <w:rFonts w:ascii="Arial" w:eastAsia="Times New Roman" w:hAnsi="Arial" w:cs="Arial"/>
          <w:iCs/>
        </w:rPr>
        <w:t>Thomas J. Watson Laboratories of Applied Physics, California Institute of Technology, Pasadena, California 91125, USA</w:t>
      </w:r>
    </w:p>
    <w:p w14:paraId="7B1EC79F" w14:textId="77777777" w:rsidR="005F45B6" w:rsidRPr="00613F8A" w:rsidRDefault="005F45B6" w:rsidP="002A2054">
      <w:pPr>
        <w:pBdr>
          <w:top w:val="nil"/>
          <w:left w:val="nil"/>
          <w:bottom w:val="nil"/>
          <w:right w:val="nil"/>
          <w:between w:val="nil"/>
        </w:pBdr>
        <w:spacing w:afterLines="120" w:after="288" w:line="240" w:lineRule="auto"/>
        <w:rPr>
          <w:rFonts w:ascii="Arial" w:eastAsia="Times New Roman" w:hAnsi="Arial" w:cs="Arial"/>
          <w:iCs/>
        </w:rPr>
      </w:pPr>
      <w:r w:rsidRPr="00613F8A">
        <w:rPr>
          <w:rFonts w:ascii="Arial" w:eastAsia="Times New Roman" w:hAnsi="Arial" w:cs="Arial"/>
          <w:iCs/>
          <w:vertAlign w:val="superscript"/>
        </w:rPr>
        <w:t>2</w:t>
      </w:r>
      <w:r w:rsidRPr="00613F8A">
        <w:rPr>
          <w:rFonts w:ascii="Arial" w:eastAsia="Times New Roman" w:hAnsi="Arial" w:cs="Arial"/>
          <w:iCs/>
        </w:rPr>
        <w:t>National Ignition Facility and Photon Science, Lawrence Livermore National Laboratory, Livermore, California 94550, USA</w:t>
      </w:r>
    </w:p>
    <w:p w14:paraId="66DD2508" w14:textId="77777777" w:rsidR="005F45B6" w:rsidRPr="00613F8A" w:rsidRDefault="005F45B6" w:rsidP="002A2054">
      <w:pPr>
        <w:pBdr>
          <w:top w:val="nil"/>
          <w:left w:val="nil"/>
          <w:bottom w:val="nil"/>
          <w:right w:val="nil"/>
          <w:between w:val="nil"/>
        </w:pBdr>
        <w:spacing w:afterLines="120" w:after="288" w:line="240" w:lineRule="auto"/>
        <w:rPr>
          <w:rFonts w:ascii="Arial" w:eastAsia="Times New Roman" w:hAnsi="Arial" w:cs="Arial"/>
        </w:rPr>
      </w:pPr>
      <w:r w:rsidRPr="00613F8A">
        <w:rPr>
          <w:rFonts w:ascii="Arial" w:eastAsia="Times New Roman" w:hAnsi="Arial" w:cs="Arial"/>
          <w:vertAlign w:val="superscript"/>
        </w:rPr>
        <w:t>3</w:t>
      </w:r>
      <w:r w:rsidRPr="00613F8A">
        <w:rPr>
          <w:rFonts w:ascii="Arial" w:eastAsia="Times New Roman" w:hAnsi="Arial" w:cs="Arial"/>
        </w:rPr>
        <w:t>Materials Engineering Division, Lawrence Livermore National Laboratory, Livermore, California 94550, USA (now at Seurat Technologies, Inc., Wilmington, MA 01887)</w:t>
      </w:r>
    </w:p>
    <w:p w14:paraId="4CE290ED" w14:textId="77777777" w:rsidR="005F45B6" w:rsidRPr="00613F8A" w:rsidRDefault="005F45B6" w:rsidP="002A2054">
      <w:pPr>
        <w:rPr>
          <w:rFonts w:ascii="Arial" w:hAnsi="Arial" w:cs="Arial"/>
          <w:u w:val="single"/>
        </w:rPr>
      </w:pPr>
    </w:p>
    <w:p w14:paraId="2ADEB8F4" w14:textId="77777777" w:rsidR="005F45B6" w:rsidRPr="00613F8A" w:rsidRDefault="005F45B6" w:rsidP="003E659C">
      <w:pPr>
        <w:spacing w:after="0"/>
        <w:jc w:val="both"/>
        <w:rPr>
          <w:rFonts w:ascii="Arial" w:eastAsiaTheme="minorEastAsia" w:hAnsi="Arial" w:cs="Arial"/>
          <w:b/>
          <w:bCs/>
          <w:sz w:val="19"/>
          <w:szCs w:val="19"/>
        </w:rPr>
      </w:pPr>
      <w:r w:rsidRPr="00613F8A">
        <w:rPr>
          <w:rFonts w:ascii="Arial" w:hAnsi="Arial" w:cs="Arial"/>
          <w:b/>
          <w:bCs/>
          <w:sz w:val="19"/>
          <w:szCs w:val="19"/>
          <w:u w:val="single"/>
        </w:rPr>
        <w:t xml:space="preserve">1. </w:t>
      </w:r>
      <w:bookmarkStart w:id="0" w:name="_Hlk65508040"/>
      <w:r w:rsidRPr="00613F8A">
        <w:rPr>
          <w:rFonts w:ascii="Arial" w:hAnsi="Arial" w:cs="Arial"/>
          <w:b/>
          <w:bCs/>
          <w:sz w:val="19"/>
          <w:szCs w:val="19"/>
          <w:u w:val="single"/>
        </w:rPr>
        <w:t>Link budget analysis and requirements for additive manufacturing</w:t>
      </w:r>
    </w:p>
    <w:bookmarkEnd w:id="0"/>
    <w:p w14:paraId="3D6A2ED9" w14:textId="77777777" w:rsidR="005F45B6" w:rsidRPr="00613F8A" w:rsidRDefault="005F45B6" w:rsidP="008B4193">
      <w:pPr>
        <w:spacing w:after="0"/>
        <w:jc w:val="both"/>
        <w:rPr>
          <w:rFonts w:ascii="Arial" w:hAnsi="Arial" w:cs="Arial"/>
          <w:b/>
          <w:bCs/>
          <w:sz w:val="19"/>
          <w:szCs w:val="19"/>
          <w:u w:val="single"/>
        </w:rPr>
      </w:pPr>
      <w:r w:rsidRPr="00613F8A">
        <w:rPr>
          <w:rFonts w:ascii="Arial" w:hAnsi="Arial" w:cs="Arial"/>
          <w:sz w:val="19"/>
          <w:szCs w:val="19"/>
        </w:rPr>
        <w:t>We determine irradiances a metasurface should be able to withstand to be used in metasurface-based LiDAR and free-space optical communication systems. Figure S1a shows the schematic of the proposed LiDAR system. In the proposed LiDAR system, we shine a light beam onto a metasurface, which then electronically steers the reflected beam. The steered beam scatters off an object, and the scattered light is then detected by the receiver. Unlike the case of LiDAR, in the case of free-space optical communications, the modulated steered beam is directly detected by a remotely placed and tracked receiver (Figure 1b). Hence, the modulated beam steered by the first metasurface is detected by a remotely placed receiver, which is placed in the vicinity of the second beam steering metasurface. And vice versa, a modulated beam steered by the second metasurface is detected by the detector placed in the vicinity of the first metasurface.</w:t>
      </w:r>
    </w:p>
    <w:p w14:paraId="2D941C3E" w14:textId="77777777" w:rsidR="005F45B6" w:rsidRPr="00613F8A" w:rsidRDefault="005F45B6" w:rsidP="003E659C">
      <w:pPr>
        <w:spacing w:after="0"/>
        <w:ind w:firstLine="720"/>
        <w:jc w:val="both"/>
        <w:rPr>
          <w:rFonts w:ascii="Arial" w:eastAsiaTheme="minorEastAsia" w:hAnsi="Arial" w:cs="Arial"/>
          <w:sz w:val="19"/>
          <w:szCs w:val="19"/>
        </w:rPr>
      </w:pPr>
      <w:r w:rsidRPr="00613F8A">
        <w:rPr>
          <w:rFonts w:ascii="Arial" w:hAnsi="Arial" w:cs="Arial"/>
          <w:sz w:val="19"/>
          <w:szCs w:val="19"/>
        </w:rPr>
        <w:t>We use the LiDAR range equation</w:t>
      </w:r>
      <w:r w:rsidRPr="00613F8A">
        <w:rPr>
          <w:rFonts w:ascii="Arial" w:hAnsi="Arial" w:cs="Arial"/>
          <w:noProof/>
          <w:sz w:val="19"/>
          <w:szCs w:val="19"/>
          <w:vertAlign w:val="superscript"/>
        </w:rPr>
        <w:t>1</w:t>
      </w:r>
      <w:r w:rsidRPr="00613F8A">
        <w:rPr>
          <w:rFonts w:ascii="Arial" w:hAnsi="Arial" w:cs="Arial"/>
          <w:sz w:val="19"/>
          <w:szCs w:val="19"/>
        </w:rPr>
        <w:t xml:space="preserve"> to estimate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d>
          <m:dPr>
            <m:ctrlPr>
              <w:rPr>
                <w:rFonts w:ascii="Cambria Math" w:hAnsi="Cambria Math" w:cs="Arial"/>
                <w:i/>
                <w:sz w:val="19"/>
                <w:szCs w:val="19"/>
              </w:rPr>
            </m:ctrlPr>
          </m:dPr>
          <m:e>
            <m:r>
              <w:rPr>
                <w:rFonts w:ascii="Cambria Math" w:hAnsi="Cambria Math" w:cs="Arial"/>
                <w:sz w:val="19"/>
                <w:szCs w:val="19"/>
              </w:rPr>
              <m:t>r</m:t>
            </m:r>
          </m:e>
        </m:d>
      </m:oMath>
      <w:r w:rsidRPr="00613F8A">
        <w:rPr>
          <w:rFonts w:ascii="Arial" w:eastAsiaTheme="minorEastAsia" w:hAnsi="Arial" w:cs="Arial"/>
          <w:sz w:val="19"/>
          <w:szCs w:val="19"/>
        </w:rPr>
        <w:t xml:space="preserve"> </w:t>
      </w:r>
      <w:r w:rsidRPr="00613F8A">
        <w:rPr>
          <w:rFonts w:ascii="Arial" w:hAnsi="Arial" w:cs="Arial"/>
          <w:sz w:val="19"/>
          <w:szCs w:val="19"/>
        </w:rPr>
        <w:t>according to</w:t>
      </w:r>
    </w:p>
    <w:p w14:paraId="260C2F19" w14:textId="77777777" w:rsidR="005F45B6" w:rsidRPr="00613F8A" w:rsidRDefault="00000000" w:rsidP="003E659C">
      <w:pPr>
        <w:tabs>
          <w:tab w:val="right" w:pos="7200"/>
          <w:tab w:val="right" w:pos="11520"/>
        </w:tabs>
        <w:spacing w:after="0"/>
        <w:ind w:firstLine="3456"/>
        <w:jc w:val="both"/>
        <w:rPr>
          <w:rFonts w:ascii="Arial" w:eastAsiaTheme="minorEastAsia" w:hAnsi="Arial" w:cs="Arial"/>
          <w:sz w:val="19"/>
          <w:szCs w:val="19"/>
        </w:rPr>
      </w:pP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d>
          <m:dPr>
            <m:ctrlPr>
              <w:rPr>
                <w:rFonts w:ascii="Cambria Math" w:hAnsi="Cambria Math" w:cs="Arial"/>
                <w:i/>
                <w:sz w:val="19"/>
                <w:szCs w:val="19"/>
              </w:rPr>
            </m:ctrlPr>
          </m:dPr>
          <m:e>
            <m:r>
              <w:rPr>
                <w:rFonts w:ascii="Cambria Math" w:hAnsi="Cambria Math" w:cs="Arial"/>
                <w:sz w:val="19"/>
                <w:szCs w:val="19"/>
              </w:rPr>
              <m:t>r</m:t>
            </m:r>
          </m:e>
        </m:d>
        <m:r>
          <w:rPr>
            <w:rFonts w:ascii="Cambria Math" w:hAnsi="Cambria Math" w:cs="Arial"/>
            <w:sz w:val="19"/>
            <w:szCs w:val="19"/>
          </w:rPr>
          <m:t>=</m:t>
        </m:r>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out</m:t>
            </m:r>
          </m:sub>
        </m:sSub>
        <m:f>
          <m:fPr>
            <m:ctrlPr>
              <w:rPr>
                <w:rFonts w:ascii="Cambria Math" w:hAnsi="Cambria Math" w:cs="Arial"/>
                <w:i/>
                <w:sz w:val="19"/>
                <w:szCs w:val="19"/>
              </w:rPr>
            </m:ctrlPr>
          </m:fPr>
          <m:num>
            <m:r>
              <w:rPr>
                <w:rFonts w:ascii="Cambria Math" w:hAnsi="Cambria Math" w:cs="Arial"/>
                <w:sz w:val="19"/>
                <w:szCs w:val="19"/>
              </w:rPr>
              <m:t>ρ</m:t>
            </m:r>
          </m:num>
          <m:den>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ill</m:t>
                </m:r>
              </m:sub>
            </m:sSub>
          </m:den>
        </m:f>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rec</m:t>
                </m:r>
              </m:sub>
            </m:sSub>
          </m:num>
          <m:den>
            <m:r>
              <w:rPr>
                <w:rFonts w:ascii="Cambria Math" w:hAnsi="Cambria Math" w:cs="Arial"/>
                <w:sz w:val="19"/>
                <w:szCs w:val="19"/>
              </w:rPr>
              <m:t>π</m:t>
            </m:r>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r>
          <w:rPr>
            <w:rFonts w:ascii="Cambria Math" w:hAnsi="Cambria Math" w:cs="Arial"/>
            <w:sz w:val="19"/>
            <w:szCs w:val="19"/>
          </w:rPr>
          <m:t xml:space="preserve"> </m:t>
        </m:r>
      </m:oMath>
      <w:r w:rsidR="005F45B6" w:rsidRPr="00613F8A">
        <w:rPr>
          <w:rFonts w:ascii="Arial" w:eastAsiaTheme="minorEastAsia" w:hAnsi="Arial" w:cs="Arial"/>
          <w:sz w:val="19"/>
          <w:szCs w:val="19"/>
        </w:rPr>
        <w:t xml:space="preserve">, </w:t>
      </w:r>
      <w:r w:rsidR="005F45B6" w:rsidRPr="00613F8A">
        <w:rPr>
          <w:rFonts w:ascii="Arial" w:eastAsiaTheme="minorEastAsia" w:hAnsi="Arial" w:cs="Arial"/>
          <w:sz w:val="19"/>
          <w:szCs w:val="19"/>
        </w:rPr>
        <w:tab/>
      </w:r>
      <w:r w:rsidR="005F45B6" w:rsidRPr="00613F8A">
        <w:rPr>
          <w:rFonts w:ascii="Arial" w:eastAsiaTheme="minorEastAsia" w:hAnsi="Arial" w:cs="Arial"/>
          <w:sz w:val="19"/>
          <w:szCs w:val="19"/>
        </w:rPr>
        <w:tab/>
        <w:t>(S1)</w:t>
      </w:r>
    </w:p>
    <w:p w14:paraId="3C778AE1" w14:textId="77777777" w:rsidR="005F45B6" w:rsidRPr="00613F8A" w:rsidRDefault="005F45B6" w:rsidP="003E659C">
      <w:pPr>
        <w:jc w:val="both"/>
        <w:rPr>
          <w:rFonts w:ascii="Arial" w:eastAsiaTheme="minorEastAsia" w:hAnsi="Arial" w:cs="Arial"/>
          <w:sz w:val="19"/>
          <w:szCs w:val="19"/>
        </w:rPr>
      </w:pPr>
      <w:r w:rsidRPr="00613F8A">
        <w:rPr>
          <w:rFonts w:ascii="Arial" w:hAnsi="Arial" w:cs="Arial"/>
          <w:sz w:val="19"/>
          <w:szCs w:val="19"/>
        </w:rPr>
        <w:t xml:space="preserve">where </w:t>
      </w:r>
      <m:oMath>
        <m:sSub>
          <m:sSubPr>
            <m:ctrlPr>
              <w:rPr>
                <w:rFonts w:ascii="Cambria Math" w:hAnsi="Cambria Math" w:cs="Arial"/>
                <w:sz w:val="19"/>
                <w:szCs w:val="19"/>
              </w:rPr>
            </m:ctrlPr>
          </m:sSubPr>
          <m:e>
            <m:r>
              <w:rPr>
                <w:rFonts w:ascii="Cambria Math" w:hAnsi="Cambria Math" w:cs="Arial"/>
                <w:sz w:val="19"/>
                <w:szCs w:val="19"/>
              </w:rPr>
              <m:t>P</m:t>
            </m:r>
          </m:e>
          <m:sub>
            <m:r>
              <m:rPr>
                <m:sty m:val="p"/>
              </m:rPr>
              <w:rPr>
                <w:rFonts w:ascii="Cambria Math" w:hAnsi="Cambria Math" w:cs="Arial"/>
                <w:sz w:val="19"/>
                <w:szCs w:val="19"/>
              </w:rPr>
              <m:t>out</m:t>
            </m:r>
          </m:sub>
        </m:sSub>
      </m:oMath>
      <w:r w:rsidRPr="00613F8A">
        <w:rPr>
          <w:rFonts w:ascii="Arial" w:hAnsi="Arial" w:cs="Arial"/>
          <w:sz w:val="19"/>
          <w:szCs w:val="19"/>
        </w:rPr>
        <w:t xml:space="preserve"> is the output power from the metasurface, </w:t>
      </w:r>
      <m:oMath>
        <m:sSub>
          <m:sSubPr>
            <m:ctrlPr>
              <w:rPr>
                <w:rFonts w:ascii="Cambria Math" w:hAnsi="Cambria Math" w:cs="Arial"/>
                <w:sz w:val="19"/>
                <w:szCs w:val="19"/>
              </w:rPr>
            </m:ctrlPr>
          </m:sSubPr>
          <m:e>
            <m:r>
              <w:rPr>
                <w:rFonts w:ascii="Cambria Math" w:hAnsi="Cambria Math" w:cs="Arial"/>
                <w:sz w:val="19"/>
                <w:szCs w:val="19"/>
              </w:rPr>
              <m:t>A</m:t>
            </m:r>
          </m:e>
          <m:sub>
            <m:r>
              <w:rPr>
                <w:rFonts w:ascii="Cambria Math" w:hAnsi="Cambria Math" w:cs="Arial"/>
                <w:sz w:val="19"/>
                <w:szCs w:val="19"/>
              </w:rPr>
              <m:t>ill</m:t>
            </m:r>
          </m:sub>
        </m:sSub>
      </m:oMath>
      <w:r w:rsidRPr="00613F8A">
        <w:rPr>
          <w:rFonts w:ascii="Arial" w:hAnsi="Arial" w:cs="Arial"/>
          <w:sz w:val="19"/>
          <w:szCs w:val="19"/>
        </w:rPr>
        <w:t xml:space="preserve"> is the area of the scatterer illuminated by the steered beam,  </w:t>
      </w:r>
      <m:oMath>
        <m:r>
          <w:rPr>
            <w:rFonts w:ascii="Cambria Math" w:hAnsi="Cambria Math" w:cs="Arial"/>
            <w:sz w:val="19"/>
            <w:szCs w:val="19"/>
          </w:rPr>
          <m:t>ρ</m:t>
        </m:r>
      </m:oMath>
      <w:r w:rsidRPr="00613F8A">
        <w:rPr>
          <w:rFonts w:ascii="Arial" w:hAnsi="Arial" w:cs="Arial"/>
          <w:sz w:val="19"/>
          <w:szCs w:val="19"/>
        </w:rPr>
        <w:t xml:space="preserve"> is the scattering cross section of the scatterer (assuming Lambertian scattering), </w:t>
      </w:r>
      <w:r w:rsidRPr="00613F8A">
        <w:rPr>
          <w:rFonts w:ascii="Arial" w:hAnsi="Arial" w:cs="Arial"/>
          <w:i/>
          <w:iCs/>
          <w:sz w:val="19"/>
          <w:szCs w:val="19"/>
        </w:rPr>
        <w:t>r</w:t>
      </w:r>
      <w:r w:rsidRPr="00613F8A">
        <w:rPr>
          <w:rFonts w:ascii="Arial" w:hAnsi="Arial" w:cs="Arial"/>
          <w:sz w:val="19"/>
          <w:szCs w:val="19"/>
        </w:rPr>
        <w:t xml:space="preserve"> is the distance between the scattering object and the receiver, </w:t>
      </w:r>
      <m:oMath>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rec</m:t>
            </m:r>
          </m:sub>
        </m:sSub>
      </m:oMath>
      <w:r w:rsidRPr="00613F8A">
        <w:rPr>
          <w:rFonts w:ascii="Arial" w:hAnsi="Arial" w:cs="Arial"/>
          <w:sz w:val="19"/>
          <w:szCs w:val="19"/>
        </w:rPr>
        <w:t xml:space="preserve"> is the aperture of the collecting lens of the receiver, and </w:t>
      </w:r>
      <m:oMath>
        <m:r>
          <w:rPr>
            <w:rFonts w:ascii="Cambria Math" w:hAnsi="Cambria Math" w:cs="Arial"/>
            <w:sz w:val="19"/>
            <w:szCs w:val="19"/>
          </w:rPr>
          <m:t>γ</m:t>
        </m:r>
      </m:oMath>
      <w:r w:rsidRPr="00613F8A">
        <w:rPr>
          <w:rFonts w:ascii="Arial" w:hAnsi="Arial" w:cs="Arial"/>
          <w:sz w:val="19"/>
          <w:szCs w:val="19"/>
        </w:rPr>
        <w:t xml:space="preserve"> is the attenuation coefficient in the air. We assume that the transmissivity of the receiving optical system is 1. T</w:t>
      </w:r>
      <w:r w:rsidRPr="00613F8A">
        <w:rPr>
          <w:rFonts w:ascii="Arial" w:eastAsiaTheme="minorEastAsia" w:hAnsi="Arial" w:cs="Arial"/>
          <w:sz w:val="19"/>
          <w:szCs w:val="19"/>
        </w:rPr>
        <w:t xml:space="preserve">he area of the scatterer illuminated by the steered beam is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A</m:t>
            </m:r>
          </m:e>
          <m:sub>
            <m:r>
              <w:rPr>
                <w:rFonts w:ascii="Cambria Math" w:eastAsiaTheme="minorEastAsia" w:hAnsi="Cambria Math" w:cs="Arial"/>
                <w:sz w:val="19"/>
                <w:szCs w:val="19"/>
              </w:rPr>
              <m:t>ill</m:t>
            </m:r>
          </m:sub>
        </m:sSub>
        <m:r>
          <w:rPr>
            <w:rFonts w:ascii="Cambria Math" w:eastAsiaTheme="minorEastAsia" w:hAnsi="Cambria Math" w:cs="Arial"/>
            <w:sz w:val="19"/>
            <w:szCs w:val="19"/>
          </w:rPr>
          <m:t>=π</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ω</m:t>
            </m:r>
          </m:e>
          <m:sup>
            <m:r>
              <w:rPr>
                <w:rFonts w:ascii="Cambria Math" w:eastAsiaTheme="minorEastAsia" w:hAnsi="Cambria Math" w:cs="Arial"/>
                <w:sz w:val="19"/>
                <w:szCs w:val="19"/>
              </w:rPr>
              <m:t>2</m:t>
            </m:r>
          </m:sup>
        </m:sSup>
        <m:d>
          <m:dPr>
            <m:ctrlPr>
              <w:rPr>
                <w:rFonts w:ascii="Cambria Math" w:eastAsiaTheme="minorEastAsia" w:hAnsi="Cambria Math" w:cs="Arial"/>
                <w:i/>
                <w:sz w:val="19"/>
                <w:szCs w:val="19"/>
              </w:rPr>
            </m:ctrlPr>
          </m:dPr>
          <m:e>
            <m:r>
              <w:rPr>
                <w:rFonts w:ascii="Cambria Math" w:eastAsiaTheme="minorEastAsia" w:hAnsi="Cambria Math" w:cs="Arial"/>
                <w:sz w:val="19"/>
                <w:szCs w:val="19"/>
              </w:rPr>
              <m:t>r</m:t>
            </m:r>
          </m:e>
        </m:d>
        <m:r>
          <w:rPr>
            <w:rFonts w:ascii="Cambria Math" w:eastAsiaTheme="minorEastAsia" w:hAnsi="Cambria Math" w:cs="Arial"/>
            <w:sz w:val="19"/>
            <w:szCs w:val="19"/>
          </w:rPr>
          <m:t>=π</m:t>
        </m:r>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ω</m:t>
            </m:r>
          </m:e>
          <m:sub>
            <m:r>
              <w:rPr>
                <w:rFonts w:ascii="Cambria Math" w:eastAsiaTheme="minorEastAsia" w:hAnsi="Cambria Math" w:cs="Arial"/>
                <w:sz w:val="19"/>
                <w:szCs w:val="19"/>
              </w:rPr>
              <m:t>0</m:t>
            </m:r>
          </m:sub>
          <m:sup>
            <m:r>
              <w:rPr>
                <w:rFonts w:ascii="Cambria Math" w:eastAsiaTheme="minorEastAsia" w:hAnsi="Cambria Math" w:cs="Arial"/>
                <w:sz w:val="19"/>
                <w:szCs w:val="19"/>
              </w:rPr>
              <m:t>2</m:t>
            </m:r>
          </m:sup>
        </m:sSubSup>
        <m:d>
          <m:dPr>
            <m:ctrlPr>
              <w:rPr>
                <w:rFonts w:ascii="Cambria Math" w:eastAsiaTheme="minorEastAsia" w:hAnsi="Cambria Math" w:cs="Arial"/>
                <w:i/>
                <w:sz w:val="19"/>
                <w:szCs w:val="19"/>
              </w:rPr>
            </m:ctrlPr>
          </m:dPr>
          <m:e>
            <m:r>
              <w:rPr>
                <w:rFonts w:ascii="Cambria Math" w:eastAsiaTheme="minorEastAsia" w:hAnsi="Cambria Math" w:cs="Arial"/>
                <w:sz w:val="19"/>
                <w:szCs w:val="19"/>
              </w:rPr>
              <m:t>1+</m:t>
            </m:r>
            <m:sSup>
              <m:sSupPr>
                <m:ctrlPr>
                  <w:rPr>
                    <w:rFonts w:ascii="Cambria Math" w:eastAsiaTheme="minorEastAsia" w:hAnsi="Cambria Math" w:cs="Arial"/>
                    <w:i/>
                    <w:sz w:val="19"/>
                    <w:szCs w:val="19"/>
                  </w:rPr>
                </m:ctrlPr>
              </m:sSupPr>
              <m:e>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r</m:t>
                        </m:r>
                      </m:num>
                      <m:den>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den>
                    </m:f>
                  </m:e>
                </m:d>
              </m:e>
              <m:sup>
                <m:r>
                  <w:rPr>
                    <w:rFonts w:ascii="Cambria Math" w:eastAsiaTheme="minorEastAsia" w:hAnsi="Cambria Math" w:cs="Arial"/>
                    <w:sz w:val="19"/>
                    <w:szCs w:val="19"/>
                  </w:rPr>
                  <m:t>2</m:t>
                </m:r>
              </m:sup>
            </m:sSup>
          </m:e>
        </m:d>
      </m:oMath>
      <w:r w:rsidRPr="00613F8A">
        <w:rPr>
          <w:rFonts w:ascii="Arial" w:eastAsiaTheme="minorEastAsia" w:hAnsi="Arial" w:cs="Arial"/>
          <w:sz w:val="19"/>
          <w:szCs w:val="19"/>
        </w:rPr>
        <w:t xml:space="preserve">, where </w:t>
      </w:r>
      <m:oMath>
        <m:sSub>
          <m:sSubPr>
            <m:ctrlPr>
              <w:rPr>
                <w:rFonts w:ascii="Cambria Math" w:eastAsiaTheme="minorEastAsia" w:hAnsi="Cambria Math" w:cs="Arial"/>
                <w:i/>
                <w:sz w:val="19"/>
                <w:szCs w:val="19"/>
                <w:vertAlign w:val="subscript"/>
              </w:rPr>
            </m:ctrlPr>
          </m:sSubPr>
          <m:e>
            <m:r>
              <w:rPr>
                <w:rFonts w:ascii="Cambria Math" w:eastAsiaTheme="minorEastAsia" w:hAnsi="Cambria Math" w:cs="Arial"/>
                <w:sz w:val="19"/>
                <w:szCs w:val="19"/>
                <w:vertAlign w:val="subscript"/>
              </w:rPr>
              <m:t>ω</m:t>
            </m:r>
          </m:e>
          <m:sub>
            <m:r>
              <w:rPr>
                <w:rFonts w:ascii="Cambria Math" w:eastAsiaTheme="minorEastAsia" w:hAnsi="Cambria Math" w:cs="Arial"/>
                <w:sz w:val="19"/>
                <w:szCs w:val="19"/>
                <w:vertAlign w:val="subscript"/>
              </w:rPr>
              <m:t>0</m:t>
            </m:r>
          </m:sub>
        </m:sSub>
      </m:oMath>
      <w:r w:rsidRPr="00613F8A">
        <w:rPr>
          <w:rFonts w:ascii="Arial" w:eastAsiaTheme="minorEastAsia" w:hAnsi="Arial" w:cs="Arial"/>
          <w:sz w:val="19"/>
          <w:szCs w:val="19"/>
        </w:rPr>
        <w:t xml:space="preserve"> is the waist of the beam outcoupled from the LiDAR system,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r>
          <w:rPr>
            <w:rFonts w:ascii="Cambria Math" w:eastAsiaTheme="minorEastAsia" w:hAnsi="Cambria Math" w:cs="Arial"/>
            <w:sz w:val="19"/>
            <w:szCs w:val="19"/>
          </w:rPr>
          <m:t xml:space="preserve"> </m:t>
        </m:r>
      </m:oMath>
      <w:r w:rsidRPr="00613F8A">
        <w:rPr>
          <w:rFonts w:ascii="Arial" w:eastAsiaTheme="minorEastAsia" w:hAnsi="Arial" w:cs="Arial"/>
          <w:sz w:val="19"/>
          <w:szCs w:val="19"/>
        </w:rPr>
        <w:t>is the Rayleigh range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r>
          <w:rPr>
            <w:rFonts w:ascii="Cambria Math" w:eastAsiaTheme="minorEastAsia" w:hAnsi="Cambria Math" w:cs="Arial"/>
            <w:sz w:val="19"/>
            <w:szCs w:val="19"/>
          </w:rPr>
          <m:t>=</m:t>
        </m:r>
        <m:f>
          <m:fPr>
            <m:ctrlPr>
              <w:rPr>
                <w:rFonts w:ascii="Cambria Math" w:eastAsiaTheme="minorEastAsia" w:hAnsi="Cambria Math" w:cs="Arial"/>
                <w:i/>
                <w:sz w:val="19"/>
                <w:szCs w:val="19"/>
              </w:rPr>
            </m:ctrlPr>
          </m:fPr>
          <m:num>
            <m:r>
              <w:rPr>
                <w:rFonts w:ascii="Cambria Math" w:eastAsiaTheme="minorEastAsia" w:hAnsi="Cambria Math" w:cs="Arial"/>
                <w:sz w:val="19"/>
                <w:szCs w:val="19"/>
              </w:rPr>
              <m:t>π</m:t>
            </m:r>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ω</m:t>
                </m:r>
              </m:e>
              <m:sub>
                <m:r>
                  <w:rPr>
                    <w:rFonts w:ascii="Cambria Math" w:eastAsiaTheme="minorEastAsia" w:hAnsi="Cambria Math" w:cs="Arial"/>
                    <w:sz w:val="19"/>
                    <w:szCs w:val="19"/>
                  </w:rPr>
                  <m:t>0</m:t>
                </m:r>
              </m:sub>
              <m:sup>
                <m:r>
                  <w:rPr>
                    <w:rFonts w:ascii="Cambria Math" w:eastAsiaTheme="minorEastAsia" w:hAnsi="Cambria Math" w:cs="Arial"/>
                    <w:sz w:val="19"/>
                    <w:szCs w:val="19"/>
                  </w:rPr>
                  <m:t>2</m:t>
                </m:r>
              </m:sup>
            </m:sSubSup>
          </m:num>
          <m:den>
            <m:r>
              <w:rPr>
                <w:rFonts w:ascii="Cambria Math" w:eastAsiaTheme="minorEastAsia" w:hAnsi="Cambria Math" w:cs="Arial"/>
                <w:sz w:val="19"/>
                <w:szCs w:val="19"/>
              </w:rPr>
              <m:t>λ</m:t>
            </m:r>
          </m:den>
        </m:f>
      </m:oMath>
      <w:r w:rsidRPr="00613F8A">
        <w:rPr>
          <w:rFonts w:ascii="Arial" w:eastAsiaTheme="minorEastAsia" w:hAnsi="Arial" w:cs="Arial"/>
          <w:sz w:val="19"/>
          <w:szCs w:val="19"/>
        </w:rPr>
        <w:t xml:space="preserve">) and </w:t>
      </w:r>
      <m:oMath>
        <m:r>
          <w:rPr>
            <w:rFonts w:ascii="Cambria Math" w:eastAsiaTheme="minorEastAsia" w:hAnsi="Cambria Math" w:cs="Arial"/>
            <w:sz w:val="19"/>
            <w:szCs w:val="19"/>
          </w:rPr>
          <m:t>r</m:t>
        </m:r>
      </m:oMath>
      <w:r w:rsidRPr="00613F8A">
        <w:rPr>
          <w:rFonts w:ascii="Arial" w:eastAsiaTheme="minorEastAsia" w:hAnsi="Arial" w:cs="Arial"/>
          <w:sz w:val="19"/>
          <w:szCs w:val="19"/>
        </w:rPr>
        <w:t xml:space="preserve"> is the distance to the target\object, </w:t>
      </w:r>
      <m:oMath>
        <m:r>
          <w:rPr>
            <w:rFonts w:ascii="Cambria Math" w:eastAsiaTheme="minorEastAsia" w:hAnsi="Cambria Math" w:cs="Arial"/>
            <w:sz w:val="19"/>
            <w:szCs w:val="19"/>
          </w:rPr>
          <m:t>λ</m:t>
        </m:r>
      </m:oMath>
      <w:r w:rsidRPr="00613F8A">
        <w:rPr>
          <w:rFonts w:ascii="Arial" w:eastAsiaTheme="minorEastAsia" w:hAnsi="Arial" w:cs="Arial"/>
          <w:sz w:val="19"/>
          <w:szCs w:val="19"/>
        </w:rPr>
        <w:t xml:space="preserve"> is the operating wavelength.</w:t>
      </w:r>
      <w:r w:rsidRPr="00613F8A">
        <w:rPr>
          <w:rFonts w:ascii="Arial" w:hAnsi="Arial" w:cs="Arial"/>
          <w:sz w:val="19"/>
          <w:szCs w:val="19"/>
        </w:rPr>
        <w:t xml:space="preserve"> In these notations, the reflected efficiency from the target towards the detector is</w:t>
      </w:r>
      <m:oMath>
        <m:r>
          <w:rPr>
            <w:rFonts w:ascii="Cambria Math" w:hAnsi="Cambria Math" w:cs="Arial"/>
            <w:sz w:val="19"/>
            <w:szCs w:val="19"/>
          </w:rPr>
          <m:t xml:space="preserve"> </m:t>
        </m:r>
        <m:f>
          <m:fPr>
            <m:ctrlPr>
              <w:rPr>
                <w:rFonts w:ascii="Cambria Math" w:hAnsi="Cambria Math" w:cs="Arial"/>
                <w:i/>
                <w:sz w:val="19"/>
                <w:szCs w:val="19"/>
              </w:rPr>
            </m:ctrlPr>
          </m:fPr>
          <m:num>
            <m:r>
              <w:rPr>
                <w:rFonts w:ascii="Cambria Math" w:hAnsi="Cambria Math" w:cs="Arial"/>
                <w:sz w:val="19"/>
                <w:szCs w:val="19"/>
              </w:rPr>
              <m:t>ρ</m:t>
            </m:r>
          </m:num>
          <m:den>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ill</m:t>
                </m:r>
              </m:sub>
            </m:sSub>
          </m:den>
        </m:f>
      </m:oMath>
      <w:r w:rsidRPr="00613F8A">
        <w:rPr>
          <w:rFonts w:ascii="Arial" w:eastAsiaTheme="minorEastAsia" w:hAnsi="Arial" w:cs="Arial"/>
          <w:sz w:val="19"/>
          <w:szCs w:val="19"/>
        </w:rPr>
        <w:t xml:space="preserve">.  In the case when </w:t>
      </w:r>
      <m:oMath>
        <m:r>
          <w:rPr>
            <w:rFonts w:ascii="Cambria Math" w:eastAsiaTheme="minorEastAsia" w:hAnsi="Cambria Math" w:cs="Arial"/>
            <w:sz w:val="19"/>
            <w:szCs w:val="19"/>
          </w:rPr>
          <m:t>r≫</m:t>
        </m:r>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oMath>
      <w:r w:rsidRPr="00613F8A">
        <w:rPr>
          <w:rFonts w:ascii="Arial" w:eastAsiaTheme="minorEastAsia" w:hAnsi="Arial" w:cs="Arial"/>
          <w:sz w:val="19"/>
          <w:szCs w:val="19"/>
        </w:rPr>
        <w:t xml:space="preserve"> (</w:t>
      </w:r>
      <w:r w:rsidRPr="00613F8A">
        <w:rPr>
          <w:rFonts w:ascii="Arial" w:eastAsiaTheme="minorEastAsia" w:hAnsi="Arial" w:cs="Arial"/>
          <w:i/>
          <w:iCs/>
          <w:sz w:val="19"/>
          <w:szCs w:val="19"/>
        </w:rPr>
        <w:t>e.g.</w:t>
      </w:r>
      <w:r w:rsidRPr="00613F8A">
        <w:rPr>
          <w:rFonts w:ascii="Arial" w:eastAsiaTheme="minorEastAsia" w:hAnsi="Arial" w:cs="Arial"/>
          <w:sz w:val="19"/>
          <w:szCs w:val="19"/>
        </w:rPr>
        <w:t xml:space="preserve">, free space optical communication systems),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A</m:t>
            </m:r>
          </m:e>
          <m:sub>
            <m:r>
              <w:rPr>
                <w:rFonts w:ascii="Cambria Math" w:eastAsiaTheme="minorEastAsia" w:hAnsi="Cambria Math" w:cs="Arial"/>
                <w:sz w:val="19"/>
                <w:szCs w:val="19"/>
              </w:rPr>
              <m:t>ill</m:t>
            </m:r>
          </m:sub>
        </m:sSub>
        <m:r>
          <w:rPr>
            <w:rFonts w:ascii="Cambria Math" w:eastAsiaTheme="minorEastAsia" w:hAnsi="Cambria Math" w:cs="Arial"/>
            <w:sz w:val="19"/>
            <w:szCs w:val="19"/>
          </w:rPr>
          <m:t xml:space="preserve"> </m:t>
        </m:r>
      </m:oMath>
      <w:r w:rsidRPr="00613F8A">
        <w:rPr>
          <w:rFonts w:ascii="Arial" w:eastAsiaTheme="minorEastAsia" w:hAnsi="Arial" w:cs="Arial"/>
          <w:sz w:val="19"/>
          <w:szCs w:val="19"/>
        </w:rPr>
        <w:t xml:space="preserve">can be approximated as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A</m:t>
            </m:r>
          </m:e>
          <m:sub>
            <m:r>
              <w:rPr>
                <w:rFonts w:ascii="Cambria Math" w:eastAsiaTheme="minorEastAsia" w:hAnsi="Cambria Math" w:cs="Arial"/>
                <w:sz w:val="19"/>
                <w:szCs w:val="19"/>
              </w:rPr>
              <m:t>ill</m:t>
            </m:r>
          </m:sub>
        </m:sSub>
        <m:r>
          <w:rPr>
            <w:rFonts w:ascii="Cambria Math" w:eastAsiaTheme="minorEastAsia" w:hAnsi="Cambria Math" w:cs="Arial"/>
            <w:sz w:val="19"/>
            <w:szCs w:val="19"/>
          </w:rPr>
          <m:t>≈π</m:t>
        </m:r>
        <m:sSup>
          <m:sSupPr>
            <m:ctrlPr>
              <w:rPr>
                <w:rFonts w:ascii="Cambria Math" w:eastAsiaTheme="minorEastAsia" w:hAnsi="Cambria Math" w:cs="Arial"/>
                <w:i/>
                <w:sz w:val="19"/>
                <w:szCs w:val="19"/>
              </w:rPr>
            </m:ctrlPr>
          </m:sSupPr>
          <m:e>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2λr</m:t>
                    </m:r>
                  </m:num>
                  <m:den>
                    <m:r>
                      <w:rPr>
                        <w:rFonts w:ascii="Cambria Math" w:eastAsiaTheme="minorEastAsia" w:hAnsi="Cambria Math" w:cs="Arial"/>
                        <w:sz w:val="19"/>
                        <w:szCs w:val="19"/>
                      </w:rPr>
                      <m:t>πD</m:t>
                    </m:r>
                  </m:den>
                </m:f>
              </m:e>
            </m:d>
          </m:e>
          <m:sup>
            <m:r>
              <w:rPr>
                <w:rFonts w:ascii="Cambria Math" w:eastAsiaTheme="minorEastAsia" w:hAnsi="Cambria Math" w:cs="Arial"/>
                <w:sz w:val="19"/>
                <w:szCs w:val="19"/>
              </w:rPr>
              <m:t>2</m:t>
            </m:r>
          </m:sup>
        </m:sSup>
      </m:oMath>
      <w:r w:rsidRPr="00613F8A">
        <w:rPr>
          <w:rFonts w:ascii="Arial" w:eastAsiaTheme="minorEastAsia" w:hAnsi="Arial" w:cs="Arial"/>
          <w:sz w:val="19"/>
          <w:szCs w:val="19"/>
          <w:rtl/>
          <w:lang w:bidi="he-IL"/>
        </w:rPr>
        <w:t xml:space="preserve"> </w:t>
      </w:r>
      <w:r w:rsidRPr="00613F8A">
        <w:rPr>
          <w:rFonts w:ascii="Arial" w:eastAsiaTheme="minorEastAsia" w:hAnsi="Arial" w:cs="Arial"/>
          <w:sz w:val="19"/>
          <w:szCs w:val="19"/>
        </w:rPr>
        <w:t xml:space="preserve">. Here, </w:t>
      </w:r>
      <m:oMath>
        <m:r>
          <w:rPr>
            <w:rFonts w:ascii="Cambria Math" w:eastAsiaTheme="minorEastAsia" w:hAnsi="Cambria Math" w:cs="Arial"/>
            <w:sz w:val="19"/>
            <w:szCs w:val="19"/>
          </w:rPr>
          <m:t>D</m:t>
        </m:r>
      </m:oMath>
      <w:r w:rsidRPr="00613F8A">
        <w:rPr>
          <w:rFonts w:ascii="Arial" w:eastAsiaTheme="minorEastAsia" w:hAnsi="Arial" w:cs="Arial"/>
          <w:sz w:val="19"/>
          <w:szCs w:val="19"/>
        </w:rPr>
        <w:t xml:space="preserve"> is the diameter of the laser beam outcoupled from the LiDAR system. In the case when the beam expanding optics is placed in front of the metasurface, </w:t>
      </w:r>
      <m:oMath>
        <m:r>
          <w:rPr>
            <w:rFonts w:ascii="Cambria Math" w:eastAsiaTheme="minorEastAsia" w:hAnsi="Cambria Math" w:cs="Arial"/>
            <w:sz w:val="19"/>
            <w:szCs w:val="19"/>
          </w:rPr>
          <m:t>D</m:t>
        </m:r>
      </m:oMath>
      <w:r w:rsidRPr="00613F8A">
        <w:rPr>
          <w:rFonts w:ascii="Arial" w:eastAsiaTheme="minorEastAsia" w:hAnsi="Arial" w:cs="Arial"/>
          <w:sz w:val="19"/>
          <w:szCs w:val="19"/>
        </w:rPr>
        <w:t xml:space="preserve"> will be defined by the lateral </w:t>
      </w:r>
      <w:r w:rsidRPr="00613F8A">
        <w:rPr>
          <w:rFonts w:ascii="Arial" w:eastAsiaTheme="minorEastAsia" w:hAnsi="Arial" w:cs="Arial"/>
          <w:sz w:val="19"/>
          <w:szCs w:val="19"/>
        </w:rPr>
        <w:lastRenderedPageBreak/>
        <w:t xml:space="preserve">dimensions of this optical component. When no beam expanding optics is used, </w:t>
      </w:r>
      <m:oMath>
        <m:r>
          <w:rPr>
            <w:rFonts w:ascii="Cambria Math" w:eastAsiaTheme="minorEastAsia" w:hAnsi="Cambria Math" w:cs="Arial"/>
            <w:sz w:val="19"/>
            <w:szCs w:val="19"/>
          </w:rPr>
          <m:t>D</m:t>
        </m:r>
      </m:oMath>
      <w:r w:rsidRPr="00613F8A">
        <w:rPr>
          <w:rFonts w:ascii="Arial" w:eastAsiaTheme="minorEastAsia" w:hAnsi="Arial" w:cs="Arial"/>
          <w:sz w:val="19"/>
          <w:szCs w:val="19"/>
        </w:rPr>
        <w:t xml:space="preserve"> is defined by the diameter of the metasurface. The power at the receiver is</w:t>
      </w:r>
    </w:p>
    <w:p w14:paraId="5117A770" w14:textId="0CFBEFB5" w:rsidR="005F45B6" w:rsidRPr="00613F8A" w:rsidRDefault="005F45B6" w:rsidP="003E659C">
      <w:pPr>
        <w:jc w:val="center"/>
        <w:rPr>
          <w:rFonts w:ascii="Arial" w:eastAsiaTheme="minorEastAsia" w:hAnsi="Arial" w:cs="Arial"/>
          <w:sz w:val="19"/>
          <w:szCs w:val="19"/>
        </w:rPr>
      </w:pPr>
      <w:r w:rsidRPr="00613F8A">
        <w:rPr>
          <w:rFonts w:ascii="Arial" w:eastAsiaTheme="minorEastAsia" w:hAnsi="Arial" w:cs="Arial"/>
          <w:sz w:val="19"/>
          <w:szCs w:val="19"/>
        </w:rPr>
        <w:t xml:space="preserve">       </w:t>
      </w:r>
      <m:oMath>
        <m:r>
          <w:rPr>
            <w:rFonts w:ascii="Cambria Math" w:hAnsi="Cambria Math" w:cs="Arial"/>
            <w:sz w:val="19"/>
            <w:szCs w:val="19"/>
          </w:rPr>
          <m:t xml:space="preserve"> </m:t>
        </m:r>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d>
          <m:dPr>
            <m:ctrlPr>
              <w:rPr>
                <w:rFonts w:ascii="Cambria Math" w:hAnsi="Cambria Math" w:cs="Arial"/>
                <w:i/>
                <w:sz w:val="19"/>
                <w:szCs w:val="19"/>
              </w:rPr>
            </m:ctrlPr>
          </m:dPr>
          <m:e>
            <m:r>
              <w:rPr>
                <w:rFonts w:ascii="Cambria Math" w:hAnsi="Cambria Math" w:cs="Arial"/>
                <w:sz w:val="19"/>
                <w:szCs w:val="19"/>
              </w:rPr>
              <m:t>r</m:t>
            </m:r>
          </m:e>
        </m:d>
        <m:r>
          <w:rPr>
            <w:rFonts w:ascii="Cambria Math" w:hAnsi="Cambria Math" w:cs="Arial"/>
            <w:sz w:val="19"/>
            <w:szCs w:val="19"/>
          </w:rPr>
          <m:t>=</m:t>
        </m:r>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out</m:t>
            </m:r>
          </m:sub>
        </m:sSub>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ω</m:t>
                </m:r>
              </m:e>
              <m:sup>
                <m:r>
                  <w:rPr>
                    <w:rFonts w:ascii="Cambria Math" w:eastAsiaTheme="minorEastAsia" w:hAnsi="Cambria Math" w:cs="Arial"/>
                    <w:sz w:val="19"/>
                    <w:szCs w:val="19"/>
                  </w:rPr>
                  <m:t>2</m:t>
                </m:r>
              </m:sup>
            </m:sSup>
            <m:d>
              <m:dPr>
                <m:ctrlPr>
                  <w:rPr>
                    <w:rFonts w:ascii="Cambria Math" w:eastAsiaTheme="minorEastAsia" w:hAnsi="Cambria Math" w:cs="Arial"/>
                    <w:i/>
                    <w:sz w:val="19"/>
                    <w:szCs w:val="19"/>
                  </w:rPr>
                </m:ctrlPr>
              </m:dPr>
              <m:e>
                <m:r>
                  <w:rPr>
                    <w:rFonts w:ascii="Cambria Math" w:eastAsiaTheme="minorEastAsia" w:hAnsi="Cambria Math" w:cs="Arial"/>
                    <w:sz w:val="19"/>
                    <w:szCs w:val="19"/>
                  </w:rPr>
                  <m:t>r</m:t>
                </m:r>
              </m:e>
            </m:d>
            <m:sSup>
              <m:sSupPr>
                <m:ctrlPr>
                  <w:rPr>
                    <w:rFonts w:ascii="Cambria Math" w:hAnsi="Cambria Math" w:cs="Arial"/>
                    <w:i/>
                    <w:sz w:val="19"/>
                    <w:szCs w:val="19"/>
                  </w:rPr>
                </m:ctrlPr>
              </m:sSupPr>
              <m:e>
                <m:d>
                  <m:dPr>
                    <m:ctrlPr>
                      <w:rPr>
                        <w:rFonts w:ascii="Cambria Math" w:hAnsi="Cambria Math" w:cs="Arial"/>
                        <w:i/>
                        <w:sz w:val="19"/>
                        <w:szCs w:val="19"/>
                      </w:rPr>
                    </m:ctrlPr>
                  </m:dPr>
                  <m:e>
                    <m:r>
                      <w:rPr>
                        <w:rFonts w:ascii="Cambria Math" w:hAnsi="Cambria Math" w:cs="Arial"/>
                        <w:sz w:val="19"/>
                        <w:szCs w:val="19"/>
                      </w:rPr>
                      <m:t>πr</m:t>
                    </m:r>
                  </m:e>
                </m:d>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r>
          <w:rPr>
            <w:rFonts w:ascii="Cambria Math" w:hAnsi="Cambria Math" w:cs="Arial"/>
            <w:sz w:val="19"/>
            <w:szCs w:val="19"/>
          </w:rPr>
          <m:t>=</m:t>
        </m:r>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out</m:t>
            </m:r>
          </m:sub>
        </m:sSub>
        <m:f>
          <m:fPr>
            <m:ctrlPr>
              <w:rPr>
                <w:rFonts w:ascii="Cambria Math" w:eastAsiaTheme="minorEastAsia" w:hAnsi="Cambria Math" w:cs="Arial"/>
                <w:i/>
                <w:sz w:val="19"/>
                <w:szCs w:val="19"/>
              </w:rPr>
            </m:ctrlPr>
          </m:fPr>
          <m:num>
            <m:r>
              <w:rPr>
                <w:rFonts w:ascii="Cambria Math" w:eastAsiaTheme="minorEastAsia" w:hAnsi="Cambria Math" w:cs="Arial"/>
                <w:sz w:val="19"/>
                <w:szCs w:val="19"/>
              </w:rPr>
              <m:t>1</m:t>
            </m:r>
          </m:num>
          <m:den>
            <m:r>
              <w:rPr>
                <w:rFonts w:ascii="Cambria Math" w:eastAsiaTheme="minorEastAsia" w:hAnsi="Cambria Math" w:cs="Arial"/>
                <w:sz w:val="19"/>
                <w:szCs w:val="19"/>
              </w:rPr>
              <m:t>λ</m:t>
            </m:r>
          </m:den>
        </m:f>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num>
              <m:den>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z</m:t>
                    </m:r>
                  </m:e>
                  <m:sub>
                    <m:r>
                      <w:rPr>
                        <w:rFonts w:ascii="Cambria Math" w:eastAsiaTheme="minorEastAsia" w:hAnsi="Cambria Math" w:cs="Arial"/>
                        <w:sz w:val="19"/>
                        <w:szCs w:val="19"/>
                      </w:rPr>
                      <m:t>R</m:t>
                    </m:r>
                  </m:sub>
                  <m:sup>
                    <m:r>
                      <w:rPr>
                        <w:rFonts w:ascii="Cambria Math" w:eastAsiaTheme="minorEastAsia" w:hAnsi="Cambria Math" w:cs="Arial"/>
                        <w:sz w:val="19"/>
                        <w:szCs w:val="19"/>
                      </w:rPr>
                      <m:t>2</m:t>
                    </m:r>
                  </m:sup>
                </m:sSubSup>
                <m:r>
                  <w:rPr>
                    <w:rFonts w:ascii="Cambria Math" w:eastAsiaTheme="minorEastAsia" w:hAnsi="Cambria Math" w:cs="Arial"/>
                    <w:sz w:val="19"/>
                    <w:szCs w:val="19"/>
                  </w:rPr>
                  <m:t>+</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r</m:t>
                    </m:r>
                  </m:e>
                  <m:sup>
                    <m:r>
                      <w:rPr>
                        <w:rFonts w:ascii="Cambria Math" w:eastAsiaTheme="minorEastAsia" w:hAnsi="Cambria Math" w:cs="Arial"/>
                        <w:sz w:val="19"/>
                        <w:szCs w:val="19"/>
                      </w:rPr>
                      <m:t>2</m:t>
                    </m:r>
                  </m:sup>
                </m:sSup>
              </m:den>
            </m:f>
          </m:e>
        </m:d>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r>
              <w:rPr>
                <w:rFonts w:ascii="Cambria Math" w:hAnsi="Cambria Math" w:cs="Arial"/>
                <w:sz w:val="19"/>
                <w:szCs w:val="19"/>
              </w:rPr>
              <m:t>π</m:t>
            </m:r>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limLow>
          <m:limLowPr>
            <m:ctrlPr>
              <w:rPr>
                <w:rFonts w:ascii="Cambria Math" w:hAnsi="Cambria Math" w:cs="Arial"/>
                <w:i/>
                <w:sz w:val="19"/>
                <w:szCs w:val="19"/>
              </w:rPr>
            </m:ctrlPr>
          </m:limLowPr>
          <m:e>
            <m:groupChr>
              <m:groupChrPr>
                <m:ctrlPr>
                  <w:rPr>
                    <w:rFonts w:ascii="Cambria Math" w:hAnsi="Cambria Math" w:cs="Arial"/>
                    <w:i/>
                    <w:sz w:val="19"/>
                    <w:szCs w:val="19"/>
                  </w:rPr>
                </m:ctrlPr>
              </m:groupChrPr>
              <m:e>
                <m:r>
                  <w:rPr>
                    <w:rFonts w:ascii="Cambria Math" w:hAnsi="Cambria Math" w:cs="Arial"/>
                    <w:sz w:val="19"/>
                    <w:szCs w:val="19"/>
                  </w:rPr>
                  <m:t>≈</m:t>
                </m:r>
              </m:e>
            </m:groupChr>
          </m:e>
          <m:lim>
            <m:r>
              <w:rPr>
                <w:rFonts w:ascii="Cambria Math" w:hAnsi="Cambria Math" w:cs="Arial"/>
                <w:sz w:val="19"/>
                <w:szCs w:val="19"/>
              </w:rPr>
              <m:t>r≫</m:t>
            </m:r>
            <m:sSub>
              <m:sSubPr>
                <m:ctrlPr>
                  <w:rPr>
                    <w:rFonts w:ascii="Cambria Math" w:hAnsi="Cambria Math" w:cs="Arial"/>
                    <w:i/>
                    <w:sz w:val="19"/>
                    <w:szCs w:val="19"/>
                  </w:rPr>
                </m:ctrlPr>
              </m:sSubPr>
              <m:e>
                <m:r>
                  <w:rPr>
                    <w:rFonts w:ascii="Cambria Math" w:hAnsi="Cambria Math" w:cs="Arial"/>
                    <w:sz w:val="19"/>
                    <w:szCs w:val="19"/>
                  </w:rPr>
                  <m:t>z</m:t>
                </m:r>
              </m:e>
              <m:sub>
                <m:r>
                  <w:rPr>
                    <w:rFonts w:ascii="Cambria Math" w:hAnsi="Cambria Math" w:cs="Arial"/>
                    <w:sz w:val="19"/>
                    <w:szCs w:val="19"/>
                  </w:rPr>
                  <m:t>R</m:t>
                </m:r>
              </m:sub>
            </m:sSub>
          </m:lim>
        </m:limLow>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out</m:t>
            </m:r>
          </m:sub>
        </m:sSub>
        <m:sSup>
          <m:sSupPr>
            <m:ctrlPr>
              <w:rPr>
                <w:rFonts w:ascii="Cambria Math" w:eastAsiaTheme="minorEastAsia" w:hAnsi="Cambria Math" w:cs="Arial"/>
                <w:i/>
                <w:sz w:val="19"/>
                <w:szCs w:val="19"/>
              </w:rPr>
            </m:ctrlPr>
          </m:sSupPr>
          <m:e>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D</m:t>
                    </m:r>
                  </m:num>
                  <m:den>
                    <m:r>
                      <w:rPr>
                        <w:rFonts w:ascii="Cambria Math" w:eastAsiaTheme="minorEastAsia" w:hAnsi="Cambria Math" w:cs="Arial"/>
                        <w:sz w:val="19"/>
                        <w:szCs w:val="19"/>
                      </w:rPr>
                      <m:t>2λr</m:t>
                    </m:r>
                  </m:den>
                </m:f>
              </m:e>
            </m:d>
          </m:e>
          <m:sup>
            <m:r>
              <w:rPr>
                <w:rFonts w:ascii="Cambria Math" w:eastAsiaTheme="minorEastAsia" w:hAnsi="Cambria Math" w:cs="Arial"/>
                <w:sz w:val="19"/>
                <w:szCs w:val="19"/>
              </w:rPr>
              <m:t>2</m:t>
            </m:r>
          </m:sup>
        </m:sSup>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oMath>
      <w:r w:rsidRPr="00613F8A" w:rsidDel="009B0D8F">
        <w:rPr>
          <w:rFonts w:ascii="Arial" w:eastAsiaTheme="minorEastAsia" w:hAnsi="Arial" w:cs="Arial"/>
          <w:sz w:val="19"/>
          <w:szCs w:val="19"/>
        </w:rPr>
        <w:t xml:space="preserve"> </w:t>
      </w:r>
      <w:r w:rsidRPr="00613F8A">
        <w:rPr>
          <w:rFonts w:ascii="Arial" w:eastAsiaTheme="minorEastAsia" w:hAnsi="Arial" w:cs="Arial"/>
          <w:sz w:val="19"/>
          <w:szCs w:val="19"/>
        </w:rPr>
        <w:t xml:space="preserve">   </w:t>
      </w:r>
      <w:r w:rsidR="00613F8A">
        <w:rPr>
          <w:rFonts w:ascii="Arial" w:eastAsiaTheme="minorEastAsia" w:hAnsi="Arial" w:cs="Arial"/>
          <w:sz w:val="19"/>
          <w:szCs w:val="19"/>
        </w:rPr>
        <w:t xml:space="preserve">    </w:t>
      </w:r>
      <w:r w:rsidRPr="00613F8A">
        <w:rPr>
          <w:rFonts w:ascii="Arial" w:eastAsiaTheme="minorEastAsia" w:hAnsi="Arial" w:cs="Arial"/>
          <w:sz w:val="19"/>
          <w:szCs w:val="19"/>
        </w:rPr>
        <w:t>(S2)</w:t>
      </w:r>
    </w:p>
    <w:p w14:paraId="137F5B64" w14:textId="77777777" w:rsidR="005F45B6" w:rsidRPr="00613F8A" w:rsidRDefault="005F45B6" w:rsidP="003E659C">
      <w:pPr>
        <w:tabs>
          <w:tab w:val="left" w:pos="720"/>
          <w:tab w:val="center" w:pos="2880"/>
          <w:tab w:val="right" w:pos="7200"/>
        </w:tabs>
        <w:jc w:val="both"/>
        <w:rPr>
          <w:rFonts w:ascii="Arial" w:eastAsiaTheme="minorEastAsia" w:hAnsi="Arial" w:cs="Arial"/>
          <w:sz w:val="19"/>
          <w:szCs w:val="19"/>
        </w:rPr>
      </w:pPr>
      <w:r w:rsidRPr="00613F8A">
        <w:rPr>
          <w:rFonts w:ascii="Arial" w:eastAsiaTheme="minorEastAsia" w:hAnsi="Arial" w:cs="Arial"/>
          <w:sz w:val="19"/>
          <w:szCs w:val="19"/>
        </w:rPr>
        <w:t>or, in photon number:</w:t>
      </w:r>
    </w:p>
    <w:p w14:paraId="17E1CDCB" w14:textId="1EFF6862" w:rsidR="005F45B6" w:rsidRPr="00613F8A" w:rsidRDefault="005F45B6" w:rsidP="003E659C">
      <w:pPr>
        <w:tabs>
          <w:tab w:val="left" w:pos="720"/>
          <w:tab w:val="center" w:pos="2880"/>
          <w:tab w:val="right" w:pos="6480"/>
        </w:tabs>
        <w:jc w:val="both"/>
        <w:rPr>
          <w:rFonts w:ascii="Arial" w:eastAsiaTheme="minorEastAsia" w:hAnsi="Arial" w:cs="Arial"/>
          <w:sz w:val="19"/>
          <w:szCs w:val="19"/>
        </w:rPr>
      </w:pPr>
      <w:r w:rsidRPr="00613F8A">
        <w:rPr>
          <w:rFonts w:ascii="Arial" w:eastAsiaTheme="minorEastAsia" w:hAnsi="Arial" w:cs="Arial"/>
          <w:sz w:val="19"/>
          <w:szCs w:val="19"/>
        </w:rPr>
        <w:tab/>
        <w:t xml:space="preserve">                   </w:t>
      </w:r>
      <w:r w:rsidRPr="00613F8A">
        <w:rPr>
          <w:rFonts w:ascii="Arial" w:eastAsiaTheme="minorEastAsia" w:hAnsi="Arial" w:cs="Arial"/>
          <w:sz w:val="19"/>
          <w:szCs w:val="19"/>
        </w:rPr>
        <w:tab/>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out</m:t>
            </m:r>
          </m:sub>
        </m:sSub>
        <m:d>
          <m:dPr>
            <m:ctrlPr>
              <w:rPr>
                <w:rFonts w:ascii="Cambria Math" w:hAnsi="Cambria Math" w:cs="Arial"/>
                <w:i/>
                <w:sz w:val="19"/>
                <w:szCs w:val="19"/>
              </w:rPr>
            </m:ctrlPr>
          </m:dPr>
          <m:e>
            <m:r>
              <w:rPr>
                <w:rFonts w:ascii="Cambria Math" w:hAnsi="Cambria Math" w:cs="Arial"/>
                <w:sz w:val="19"/>
                <w:szCs w:val="19"/>
              </w:rPr>
              <m:t>r</m:t>
            </m:r>
          </m:e>
        </m:d>
        <m:r>
          <w:rPr>
            <w:rFonts w:ascii="Cambria Math" w:hAnsi="Cambria Math" w:cs="Arial"/>
            <w:sz w:val="19"/>
            <w:szCs w:val="19"/>
          </w:rPr>
          <m:t>=</m:t>
        </m:r>
        <m:sSub>
          <m:sSubPr>
            <m:ctrlPr>
              <w:rPr>
                <w:rFonts w:ascii="Cambria Math" w:hAnsi="Cambria Math" w:cs="Arial"/>
                <w:i/>
                <w:sz w:val="19"/>
                <w:szCs w:val="19"/>
              </w:rPr>
            </m:ctrlPr>
          </m:sSubPr>
          <m:e>
            <m:r>
              <w:rPr>
                <w:rFonts w:ascii="Cambria Math" w:hAnsi="Cambria Math" w:cs="Arial"/>
                <w:sz w:val="19"/>
                <w:szCs w:val="19"/>
              </w:rPr>
              <m:t>N</m:t>
            </m:r>
          </m:e>
          <m:sub>
            <m:r>
              <w:rPr>
                <w:rFonts w:ascii="Cambria Math" w:hAnsi="Cambria Math" w:cs="Arial"/>
                <w:sz w:val="19"/>
                <w:szCs w:val="19"/>
              </w:rPr>
              <m:t>rec</m:t>
            </m:r>
          </m:sub>
        </m:sSub>
        <m:r>
          <w:rPr>
            <w:rFonts w:ascii="Cambria Math" w:hAnsi="Cambria Math" w:cs="Arial"/>
            <w:sz w:val="19"/>
            <w:szCs w:val="19"/>
          </w:rPr>
          <m:t>hc</m:t>
        </m:r>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z</m:t>
                    </m:r>
                  </m:e>
                  <m:sub>
                    <m:r>
                      <w:rPr>
                        <w:rFonts w:ascii="Cambria Math" w:eastAsiaTheme="minorEastAsia" w:hAnsi="Cambria Math" w:cs="Arial"/>
                        <w:sz w:val="19"/>
                        <w:szCs w:val="19"/>
                      </w:rPr>
                      <m:t>R</m:t>
                    </m:r>
                  </m:sub>
                  <m:sup>
                    <m:r>
                      <w:rPr>
                        <w:rFonts w:ascii="Cambria Math" w:eastAsiaTheme="minorEastAsia" w:hAnsi="Cambria Math" w:cs="Arial"/>
                        <w:sz w:val="19"/>
                        <w:szCs w:val="19"/>
                      </w:rPr>
                      <m:t>2</m:t>
                    </m:r>
                  </m:sup>
                </m:sSubSup>
                <m:r>
                  <w:rPr>
                    <w:rFonts w:ascii="Cambria Math" w:eastAsiaTheme="minorEastAsia" w:hAnsi="Cambria Math" w:cs="Arial"/>
                    <w:sz w:val="19"/>
                    <w:szCs w:val="19"/>
                  </w:rPr>
                  <m:t>+</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r</m:t>
                    </m:r>
                  </m:e>
                  <m:sup>
                    <m:r>
                      <w:rPr>
                        <w:rFonts w:ascii="Cambria Math" w:eastAsiaTheme="minorEastAsia" w:hAnsi="Cambria Math" w:cs="Arial"/>
                        <w:sz w:val="19"/>
                        <w:szCs w:val="19"/>
                      </w:rPr>
                      <m:t>2</m:t>
                    </m:r>
                  </m:sup>
                </m:sSup>
              </m:num>
              <m:den>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den>
            </m:f>
          </m:e>
        </m:d>
        <m:f>
          <m:fPr>
            <m:ctrlPr>
              <w:rPr>
                <w:rFonts w:ascii="Cambria Math" w:hAnsi="Cambria Math" w:cs="Arial"/>
                <w:i/>
                <w:sz w:val="19"/>
                <w:szCs w:val="19"/>
              </w:rPr>
            </m:ctrlPr>
          </m:fPr>
          <m:num>
            <m:r>
              <w:rPr>
                <w:rFonts w:ascii="Cambria Math" w:hAnsi="Cambria Math" w:cs="Arial"/>
                <w:sz w:val="19"/>
                <w:szCs w:val="19"/>
              </w:rPr>
              <m:t>π</m:t>
            </m:r>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num>
          <m:den>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limLow>
          <m:limLowPr>
            <m:ctrlPr>
              <w:rPr>
                <w:rFonts w:ascii="Cambria Math" w:hAnsi="Cambria Math" w:cs="Arial"/>
                <w:i/>
                <w:sz w:val="19"/>
                <w:szCs w:val="19"/>
              </w:rPr>
            </m:ctrlPr>
          </m:limLowPr>
          <m:e>
            <m:groupChr>
              <m:groupChrPr>
                <m:ctrlPr>
                  <w:rPr>
                    <w:rFonts w:ascii="Cambria Math" w:hAnsi="Cambria Math" w:cs="Arial"/>
                    <w:i/>
                    <w:sz w:val="19"/>
                    <w:szCs w:val="19"/>
                  </w:rPr>
                </m:ctrlPr>
              </m:groupChrPr>
              <m:e>
                <m:r>
                  <w:rPr>
                    <w:rFonts w:ascii="Cambria Math" w:hAnsi="Cambria Math" w:cs="Arial"/>
                    <w:sz w:val="19"/>
                    <w:szCs w:val="19"/>
                  </w:rPr>
                  <m:t>≈</m:t>
                </m:r>
              </m:e>
            </m:groupChr>
          </m:e>
          <m:lim>
            <m:r>
              <w:rPr>
                <w:rFonts w:ascii="Cambria Math" w:hAnsi="Cambria Math" w:cs="Arial"/>
                <w:sz w:val="19"/>
                <w:szCs w:val="19"/>
              </w:rPr>
              <m:t>r≫</m:t>
            </m:r>
            <m:sSub>
              <m:sSubPr>
                <m:ctrlPr>
                  <w:rPr>
                    <w:rFonts w:ascii="Cambria Math" w:hAnsi="Cambria Math" w:cs="Arial"/>
                    <w:i/>
                    <w:sz w:val="19"/>
                    <w:szCs w:val="19"/>
                  </w:rPr>
                </m:ctrlPr>
              </m:sSubPr>
              <m:e>
                <m:r>
                  <w:rPr>
                    <w:rFonts w:ascii="Cambria Math" w:hAnsi="Cambria Math" w:cs="Arial"/>
                    <w:sz w:val="19"/>
                    <w:szCs w:val="19"/>
                  </w:rPr>
                  <m:t>z</m:t>
                </m:r>
              </m:e>
              <m:sub>
                <m:r>
                  <w:rPr>
                    <w:rFonts w:ascii="Cambria Math" w:hAnsi="Cambria Math" w:cs="Arial"/>
                    <w:sz w:val="19"/>
                    <w:szCs w:val="19"/>
                  </w:rPr>
                  <m:t>R</m:t>
                </m:r>
              </m:sub>
            </m:sSub>
          </m:lim>
        </m:limLow>
        <m:sSub>
          <m:sSubPr>
            <m:ctrlPr>
              <w:rPr>
                <w:rFonts w:ascii="Cambria Math" w:hAnsi="Cambria Math" w:cs="Arial"/>
                <w:i/>
                <w:sz w:val="19"/>
                <w:szCs w:val="19"/>
              </w:rPr>
            </m:ctrlPr>
          </m:sSubPr>
          <m:e>
            <m:r>
              <w:rPr>
                <w:rFonts w:ascii="Cambria Math" w:hAnsi="Cambria Math" w:cs="Arial"/>
                <w:sz w:val="19"/>
                <w:szCs w:val="19"/>
              </w:rPr>
              <m:t>N</m:t>
            </m:r>
          </m:e>
          <m:sub>
            <m:r>
              <w:rPr>
                <w:rFonts w:ascii="Cambria Math" w:hAnsi="Cambria Math" w:cs="Arial"/>
                <w:sz w:val="19"/>
                <w:szCs w:val="19"/>
              </w:rPr>
              <m:t>rec</m:t>
            </m:r>
          </m:sub>
        </m:sSub>
        <m:r>
          <w:rPr>
            <w:rFonts w:ascii="Cambria Math" w:hAnsi="Cambria Math" w:cs="Arial"/>
            <w:sz w:val="19"/>
            <w:szCs w:val="19"/>
          </w:rPr>
          <m:t>hcλ</m:t>
        </m:r>
        <m:sSup>
          <m:sSupPr>
            <m:ctrlPr>
              <w:rPr>
                <w:rFonts w:ascii="Cambria Math" w:hAnsi="Cambria Math" w:cs="Arial"/>
                <w:i/>
                <w:sz w:val="19"/>
                <w:szCs w:val="19"/>
              </w:rPr>
            </m:ctrlPr>
          </m:sSupPr>
          <m:e>
            <m:d>
              <m:dPr>
                <m:ctrlPr>
                  <w:rPr>
                    <w:rFonts w:ascii="Cambria Math"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2r</m:t>
                    </m:r>
                  </m:num>
                  <m:den>
                    <m:r>
                      <w:rPr>
                        <w:rFonts w:ascii="Cambria Math" w:eastAsiaTheme="minorEastAsia" w:hAnsi="Cambria Math" w:cs="Arial"/>
                        <w:sz w:val="19"/>
                        <w:szCs w:val="19"/>
                      </w:rPr>
                      <m:t>D</m:t>
                    </m:r>
                  </m:den>
                </m:f>
              </m:e>
            </m:d>
          </m:e>
          <m:sup>
            <m:r>
              <w:rPr>
                <w:rFonts w:ascii="Cambria Math" w:hAnsi="Cambria Math" w:cs="Arial"/>
                <w:sz w:val="19"/>
                <w:szCs w:val="19"/>
              </w:rPr>
              <m:t>2</m:t>
            </m:r>
          </m:sup>
        </m:sSup>
        <m:f>
          <m:fPr>
            <m:ctrlPr>
              <w:rPr>
                <w:rFonts w:ascii="Cambria Math" w:hAnsi="Cambria Math" w:cs="Arial"/>
                <w:i/>
                <w:sz w:val="19"/>
                <w:szCs w:val="19"/>
              </w:rPr>
            </m:ctrlPr>
          </m:fPr>
          <m:num>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num>
          <m:den>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oMath>
      <w:r w:rsidRPr="00613F8A">
        <w:rPr>
          <w:rFonts w:ascii="Arial" w:eastAsiaTheme="minorEastAsia" w:hAnsi="Arial" w:cs="Arial"/>
          <w:sz w:val="19"/>
          <w:szCs w:val="19"/>
        </w:rPr>
        <w:t xml:space="preserve">,                            </w:t>
      </w:r>
      <w:r w:rsidR="00613F8A">
        <w:rPr>
          <w:rFonts w:ascii="Arial" w:eastAsiaTheme="minorEastAsia" w:hAnsi="Arial" w:cs="Arial"/>
          <w:sz w:val="19"/>
          <w:szCs w:val="19"/>
        </w:rPr>
        <w:t xml:space="preserve">   </w:t>
      </w:r>
      <w:r w:rsidRPr="00613F8A">
        <w:rPr>
          <w:rFonts w:ascii="Arial" w:eastAsiaTheme="minorEastAsia" w:hAnsi="Arial" w:cs="Arial"/>
          <w:sz w:val="19"/>
          <w:szCs w:val="19"/>
        </w:rPr>
        <w:t xml:space="preserve"> (S3)</w:t>
      </w:r>
    </w:p>
    <w:p w14:paraId="4CA09CA4" w14:textId="77777777" w:rsidR="005F45B6" w:rsidRPr="00613F8A" w:rsidRDefault="005F45B6" w:rsidP="003E659C">
      <w:pPr>
        <w:tabs>
          <w:tab w:val="left" w:pos="720"/>
          <w:tab w:val="center" w:pos="2880"/>
          <w:tab w:val="right" w:pos="6480"/>
        </w:tabs>
        <w:jc w:val="both"/>
        <w:rPr>
          <w:rFonts w:ascii="Arial" w:eastAsiaTheme="minorEastAsia" w:hAnsi="Arial" w:cs="Arial"/>
          <w:sz w:val="19"/>
          <w:szCs w:val="19"/>
        </w:rPr>
      </w:pPr>
      <w:r w:rsidRPr="00613F8A">
        <w:rPr>
          <w:rFonts w:ascii="Arial" w:eastAsiaTheme="minorEastAsia" w:hAnsi="Arial" w:cs="Arial"/>
          <w:sz w:val="19"/>
          <w:szCs w:val="19"/>
        </w:rPr>
        <w:t xml:space="preserve">                                    </w:t>
      </w:r>
      <m:oMath>
        <m:sSub>
          <m:sSubPr>
            <m:ctrlPr>
              <w:rPr>
                <w:rFonts w:ascii="Cambria Math" w:hAnsi="Cambria Math" w:cs="Arial"/>
                <w:i/>
                <w:sz w:val="19"/>
                <w:szCs w:val="19"/>
              </w:rPr>
            </m:ctrlPr>
          </m:sSubPr>
          <m:e>
            <m:r>
              <w:rPr>
                <w:rFonts w:ascii="Cambria Math" w:hAnsi="Cambria Math" w:cs="Arial"/>
                <w:sz w:val="19"/>
                <w:szCs w:val="19"/>
              </w:rPr>
              <m:t>N</m:t>
            </m:r>
          </m:e>
          <m:sub>
            <m:r>
              <w:rPr>
                <w:rFonts w:ascii="Cambria Math" w:hAnsi="Cambria Math" w:cs="Arial"/>
                <w:sz w:val="19"/>
                <w:szCs w:val="19"/>
              </w:rPr>
              <m:t>rec</m:t>
            </m:r>
          </m:sub>
        </m:sSub>
        <m:d>
          <m:dPr>
            <m:ctrlPr>
              <w:rPr>
                <w:rFonts w:ascii="Cambria Math" w:hAnsi="Cambria Math" w:cs="Arial"/>
                <w:i/>
                <w:sz w:val="19"/>
                <w:szCs w:val="19"/>
              </w:rPr>
            </m:ctrlPr>
          </m:dPr>
          <m:e>
            <m:r>
              <w:rPr>
                <w:rFonts w:ascii="Cambria Math" w:hAnsi="Cambria Math" w:cs="Arial"/>
                <w:sz w:val="19"/>
                <w:szCs w:val="19"/>
              </w:rPr>
              <m:t>r</m:t>
            </m:r>
          </m:e>
        </m:d>
        <m:r>
          <w:rPr>
            <w:rFonts w:ascii="Cambria Math" w:hAnsi="Cambria Math" w:cs="Arial"/>
            <w:sz w:val="19"/>
            <w:szCs w:val="19"/>
          </w:rPr>
          <m:t>=</m:t>
        </m:r>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out</m:t>
            </m:r>
          </m:sub>
        </m:sSub>
        <m:f>
          <m:fPr>
            <m:ctrlPr>
              <w:rPr>
                <w:rFonts w:ascii="Cambria Math" w:hAnsi="Cambria Math" w:cs="Arial"/>
                <w:i/>
                <w:sz w:val="19"/>
                <w:szCs w:val="19"/>
              </w:rPr>
            </m:ctrlPr>
          </m:fPr>
          <m:num>
            <m:r>
              <w:rPr>
                <w:rFonts w:ascii="Cambria Math" w:hAnsi="Cambria Math" w:cs="Arial"/>
                <w:sz w:val="19"/>
                <w:szCs w:val="19"/>
              </w:rPr>
              <m:t>1</m:t>
            </m:r>
          </m:num>
          <m:den>
            <m:r>
              <w:rPr>
                <w:rFonts w:ascii="Cambria Math" w:hAnsi="Cambria Math" w:cs="Arial"/>
                <w:sz w:val="19"/>
                <w:szCs w:val="19"/>
              </w:rPr>
              <m:t>hc</m:t>
            </m:r>
          </m:den>
        </m:f>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num>
              <m:den>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z</m:t>
                    </m:r>
                  </m:e>
                  <m:sub>
                    <m:r>
                      <w:rPr>
                        <w:rFonts w:ascii="Cambria Math" w:eastAsiaTheme="minorEastAsia" w:hAnsi="Cambria Math" w:cs="Arial"/>
                        <w:sz w:val="19"/>
                        <w:szCs w:val="19"/>
                      </w:rPr>
                      <m:t>R</m:t>
                    </m:r>
                  </m:sub>
                  <m:sup>
                    <m:r>
                      <w:rPr>
                        <w:rFonts w:ascii="Cambria Math" w:eastAsiaTheme="minorEastAsia" w:hAnsi="Cambria Math" w:cs="Arial"/>
                        <w:sz w:val="19"/>
                        <w:szCs w:val="19"/>
                      </w:rPr>
                      <m:t>2</m:t>
                    </m:r>
                  </m:sup>
                </m:sSubSup>
                <m:r>
                  <w:rPr>
                    <w:rFonts w:ascii="Cambria Math" w:eastAsiaTheme="minorEastAsia" w:hAnsi="Cambria Math" w:cs="Arial"/>
                    <w:sz w:val="19"/>
                    <w:szCs w:val="19"/>
                  </w:rPr>
                  <m:t>+</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r</m:t>
                    </m:r>
                  </m:e>
                  <m:sup>
                    <m:r>
                      <w:rPr>
                        <w:rFonts w:ascii="Cambria Math" w:eastAsiaTheme="minorEastAsia" w:hAnsi="Cambria Math" w:cs="Arial"/>
                        <w:sz w:val="19"/>
                        <w:szCs w:val="19"/>
                      </w:rPr>
                      <m:t>2</m:t>
                    </m:r>
                  </m:sup>
                </m:sSup>
              </m:den>
            </m:f>
          </m:e>
        </m:d>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r>
              <w:rPr>
                <w:rFonts w:ascii="Cambria Math" w:hAnsi="Cambria Math" w:cs="Arial"/>
                <w:sz w:val="19"/>
                <w:szCs w:val="19"/>
              </w:rPr>
              <m:t>π</m:t>
            </m:r>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limLow>
          <m:limLowPr>
            <m:ctrlPr>
              <w:rPr>
                <w:rFonts w:ascii="Cambria Math" w:hAnsi="Cambria Math" w:cs="Arial"/>
                <w:i/>
                <w:sz w:val="19"/>
                <w:szCs w:val="19"/>
              </w:rPr>
            </m:ctrlPr>
          </m:limLowPr>
          <m:e>
            <m:groupChr>
              <m:groupChrPr>
                <m:ctrlPr>
                  <w:rPr>
                    <w:rFonts w:ascii="Cambria Math" w:hAnsi="Cambria Math" w:cs="Arial"/>
                    <w:i/>
                    <w:sz w:val="19"/>
                    <w:szCs w:val="19"/>
                  </w:rPr>
                </m:ctrlPr>
              </m:groupChrPr>
              <m:e>
                <m:r>
                  <w:rPr>
                    <w:rFonts w:ascii="Cambria Math" w:hAnsi="Cambria Math" w:cs="Arial"/>
                    <w:sz w:val="19"/>
                    <w:szCs w:val="19"/>
                  </w:rPr>
                  <m:t>≈</m:t>
                </m:r>
              </m:e>
            </m:groupChr>
          </m:e>
          <m:lim>
            <m:r>
              <w:rPr>
                <w:rFonts w:ascii="Cambria Math" w:hAnsi="Cambria Math" w:cs="Arial"/>
                <w:sz w:val="19"/>
                <w:szCs w:val="19"/>
              </w:rPr>
              <m:t>r≫</m:t>
            </m:r>
            <m:sSub>
              <m:sSubPr>
                <m:ctrlPr>
                  <w:rPr>
                    <w:rFonts w:ascii="Cambria Math" w:hAnsi="Cambria Math" w:cs="Arial"/>
                    <w:i/>
                    <w:sz w:val="19"/>
                    <w:szCs w:val="19"/>
                  </w:rPr>
                </m:ctrlPr>
              </m:sSubPr>
              <m:e>
                <m:r>
                  <w:rPr>
                    <w:rFonts w:ascii="Cambria Math" w:hAnsi="Cambria Math" w:cs="Arial"/>
                    <w:sz w:val="19"/>
                    <w:szCs w:val="19"/>
                  </w:rPr>
                  <m:t>z</m:t>
                </m:r>
              </m:e>
              <m:sub>
                <m:r>
                  <w:rPr>
                    <w:rFonts w:ascii="Cambria Math" w:hAnsi="Cambria Math" w:cs="Arial"/>
                    <w:sz w:val="19"/>
                    <w:szCs w:val="19"/>
                  </w:rPr>
                  <m:t>R</m:t>
                </m:r>
              </m:sub>
            </m:sSub>
          </m:lim>
        </m:limLow>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out</m:t>
            </m:r>
          </m:sub>
        </m:sSub>
        <m:f>
          <m:fPr>
            <m:ctrlPr>
              <w:rPr>
                <w:rFonts w:ascii="Cambria Math" w:hAnsi="Cambria Math" w:cs="Arial"/>
                <w:i/>
                <w:sz w:val="19"/>
                <w:szCs w:val="19"/>
              </w:rPr>
            </m:ctrlPr>
          </m:fPr>
          <m:num>
            <m:r>
              <w:rPr>
                <w:rFonts w:ascii="Cambria Math" w:hAnsi="Cambria Math" w:cs="Arial"/>
                <w:sz w:val="19"/>
                <w:szCs w:val="19"/>
              </w:rPr>
              <m:t>1</m:t>
            </m:r>
          </m:num>
          <m:den>
            <m:r>
              <w:rPr>
                <w:rFonts w:ascii="Cambria Math" w:hAnsi="Cambria Math" w:cs="Arial"/>
                <w:sz w:val="19"/>
                <w:szCs w:val="19"/>
              </w:rPr>
              <m:t>hcλ</m:t>
            </m:r>
          </m:den>
        </m:f>
        <m:sSup>
          <m:sSupPr>
            <m:ctrlPr>
              <w:rPr>
                <w:rFonts w:ascii="Cambria Math" w:hAnsi="Cambria Math" w:cs="Arial"/>
                <w:i/>
                <w:sz w:val="19"/>
                <w:szCs w:val="19"/>
              </w:rPr>
            </m:ctrlPr>
          </m:sSupPr>
          <m:e>
            <m:d>
              <m:dPr>
                <m:ctrlPr>
                  <w:rPr>
                    <w:rFonts w:ascii="Cambria Math"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D</m:t>
                    </m:r>
                  </m:num>
                  <m:den>
                    <m:r>
                      <w:rPr>
                        <w:rFonts w:ascii="Cambria Math" w:eastAsiaTheme="minorEastAsia" w:hAnsi="Cambria Math" w:cs="Arial"/>
                        <w:sz w:val="19"/>
                        <w:szCs w:val="19"/>
                      </w:rPr>
                      <m:t>2r</m:t>
                    </m:r>
                  </m:den>
                </m:f>
              </m:e>
            </m:d>
          </m:e>
          <m:sup>
            <m:r>
              <w:rPr>
                <w:rFonts w:ascii="Cambria Math" w:hAnsi="Cambria Math" w:cs="Arial"/>
                <w:sz w:val="19"/>
                <w:szCs w:val="19"/>
              </w:rPr>
              <m:t>2</m:t>
            </m:r>
          </m:sup>
        </m:sSup>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oMath>
    </w:p>
    <w:p w14:paraId="48A62CC0" w14:textId="77777777" w:rsidR="005F45B6" w:rsidRPr="00613F8A" w:rsidRDefault="005F45B6" w:rsidP="003E659C">
      <w:pPr>
        <w:spacing w:after="0"/>
        <w:jc w:val="both"/>
        <w:rPr>
          <w:rFonts w:ascii="Arial" w:eastAsiaTheme="minorEastAsia" w:hAnsi="Arial" w:cs="Arial"/>
          <w:sz w:val="19"/>
          <w:szCs w:val="19"/>
        </w:rPr>
      </w:pPr>
      <w:r w:rsidRPr="00613F8A">
        <w:rPr>
          <w:rFonts w:ascii="Arial" w:eastAsiaTheme="minorEastAsia" w:hAnsi="Arial" w:cs="Arial"/>
          <w:sz w:val="19"/>
          <w:szCs w:val="19"/>
        </w:rPr>
        <w:t xml:space="preserve">where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out</m:t>
            </m:r>
          </m:sub>
        </m:sSub>
      </m:oMath>
      <w:r w:rsidRPr="00613F8A">
        <w:rPr>
          <w:rFonts w:ascii="Arial" w:eastAsiaTheme="minorEastAsia" w:hAnsi="Arial" w:cs="Arial"/>
          <w:sz w:val="19"/>
          <w:szCs w:val="19"/>
        </w:rPr>
        <w:t xml:space="preserve"> is the energy of the outgoing laser pulse, </w:t>
      </w:r>
      <m:oMath>
        <m:sSub>
          <m:sSubPr>
            <m:ctrlPr>
              <w:rPr>
                <w:rFonts w:ascii="Cambria Math" w:hAnsi="Cambria Math" w:cs="Arial"/>
                <w:i/>
                <w:sz w:val="19"/>
                <w:szCs w:val="19"/>
              </w:rPr>
            </m:ctrlPr>
          </m:sSubPr>
          <m:e>
            <m:r>
              <w:rPr>
                <w:rFonts w:ascii="Cambria Math" w:hAnsi="Cambria Math" w:cs="Arial"/>
                <w:sz w:val="19"/>
                <w:szCs w:val="19"/>
              </w:rPr>
              <m:t>N</m:t>
            </m:r>
          </m:e>
          <m:sub>
            <m:r>
              <w:rPr>
                <w:rFonts w:ascii="Cambria Math" w:hAnsi="Cambria Math" w:cs="Arial"/>
                <w:sz w:val="19"/>
                <w:szCs w:val="19"/>
              </w:rPr>
              <m:t>rec</m:t>
            </m:r>
          </m:sub>
        </m:sSub>
      </m:oMath>
      <w:r w:rsidRPr="00613F8A">
        <w:rPr>
          <w:rFonts w:ascii="Arial" w:eastAsiaTheme="minorEastAsia" w:hAnsi="Arial" w:cs="Arial"/>
          <w:sz w:val="19"/>
          <w:szCs w:val="19"/>
        </w:rPr>
        <w:t xml:space="preserve"> is the number of photons at the receiver, </w:t>
      </w:r>
      <w:r w:rsidRPr="00613F8A">
        <w:rPr>
          <w:rFonts w:ascii="Arial" w:eastAsiaTheme="minorEastAsia" w:hAnsi="Arial" w:cs="Arial"/>
          <w:i/>
          <w:iCs/>
          <w:sz w:val="19"/>
          <w:szCs w:val="19"/>
        </w:rPr>
        <w:t>h</w:t>
      </w:r>
      <w:r w:rsidRPr="00613F8A">
        <w:rPr>
          <w:rFonts w:ascii="Arial" w:eastAsiaTheme="minorEastAsia" w:hAnsi="Arial" w:cs="Arial"/>
          <w:sz w:val="19"/>
          <w:szCs w:val="19"/>
        </w:rPr>
        <w:t xml:space="preserve"> is Planck’s constant, and c is the speed of light. Note that when </w:t>
      </w:r>
      <w:r w:rsidRPr="00613F8A">
        <w:rPr>
          <w:rFonts w:ascii="Arial" w:eastAsiaTheme="minorEastAsia" w:hAnsi="Arial" w:cs="Arial"/>
          <w:i/>
          <w:iCs/>
          <w:sz w:val="19"/>
          <w:szCs w:val="19"/>
        </w:rPr>
        <w:t>γ</w:t>
      </w:r>
      <w:r w:rsidRPr="00613F8A">
        <w:rPr>
          <w:rFonts w:ascii="Arial" w:eastAsiaTheme="minorEastAsia" w:hAnsi="Arial" w:cs="Arial"/>
          <w:sz w:val="19"/>
          <w:szCs w:val="19"/>
        </w:rPr>
        <w:t xml:space="preserve">=0, for sufficiently distances,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P</m:t>
            </m:r>
          </m:e>
          <m:sub>
            <m:r>
              <w:rPr>
                <w:rFonts w:ascii="Cambria Math" w:eastAsiaTheme="minorEastAsia" w:hAnsi="Cambria Math" w:cs="Arial"/>
                <w:sz w:val="19"/>
                <w:szCs w:val="19"/>
              </w:rPr>
              <m:t>receiver</m:t>
            </m:r>
          </m:sub>
        </m:sSub>
        <m:r>
          <w:rPr>
            <w:rFonts w:ascii="Cambria Math" w:eastAsiaTheme="minorEastAsia" w:hAnsi="Cambria Math" w:cs="Arial"/>
            <w:sz w:val="19"/>
            <w:szCs w:val="19"/>
          </w:rPr>
          <m:t>∝1/</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r</m:t>
            </m:r>
          </m:e>
          <m:sup>
            <m:r>
              <w:rPr>
                <w:rFonts w:ascii="Cambria Math" w:eastAsiaTheme="minorEastAsia" w:hAnsi="Cambria Math" w:cs="Arial"/>
                <w:sz w:val="19"/>
                <w:szCs w:val="19"/>
              </w:rPr>
              <m:t>4</m:t>
            </m:r>
          </m:sup>
        </m:sSup>
        <m:r>
          <w:rPr>
            <w:rFonts w:ascii="Cambria Math" w:eastAsiaTheme="minorEastAsia" w:hAnsi="Cambria Math" w:cs="Arial"/>
            <w:sz w:val="19"/>
            <w:szCs w:val="19"/>
          </w:rPr>
          <m:t xml:space="preserve"> </m:t>
        </m:r>
      </m:oMath>
      <w:r w:rsidRPr="00613F8A">
        <w:rPr>
          <w:rFonts w:ascii="Arial" w:eastAsiaTheme="minorEastAsia" w:hAnsi="Arial" w:cs="Arial"/>
          <w:sz w:val="19"/>
          <w:szCs w:val="19"/>
        </w:rPr>
        <w:t>.</w:t>
      </w:r>
    </w:p>
    <w:p w14:paraId="2A0F8E2E" w14:textId="77777777" w:rsidR="005F45B6" w:rsidRPr="00613F8A" w:rsidRDefault="005F45B6" w:rsidP="003E659C">
      <w:pPr>
        <w:spacing w:after="0"/>
        <w:ind w:firstLine="720"/>
        <w:jc w:val="both"/>
        <w:rPr>
          <w:rFonts w:ascii="Arial" w:hAnsi="Arial" w:cs="Arial"/>
          <w:sz w:val="19"/>
          <w:szCs w:val="19"/>
        </w:rPr>
      </w:pPr>
      <w:r w:rsidRPr="00613F8A">
        <w:rPr>
          <w:rFonts w:ascii="Arial" w:hAnsi="Arial" w:cs="Arial"/>
          <w:sz w:val="19"/>
          <w:szCs w:val="19"/>
        </w:rPr>
        <w:t>First, we analyze the laser power levels required in the case of a metasurface-based LiDAR system. We use the LiDAR range equation, which we now rewrite as</w:t>
      </w:r>
      <w:r w:rsidRPr="00613F8A">
        <w:rPr>
          <w:rFonts w:ascii="Arial" w:eastAsiaTheme="minorEastAsia" w:hAnsi="Arial" w:cs="Arial"/>
          <w:sz w:val="19"/>
          <w:szCs w:val="19"/>
        </w:rPr>
        <w:t>:</w:t>
      </w:r>
    </w:p>
    <w:p w14:paraId="31CE38AE" w14:textId="77777777" w:rsidR="005F45B6" w:rsidRPr="00613F8A" w:rsidRDefault="005F45B6" w:rsidP="003E659C">
      <w:pPr>
        <w:spacing w:after="0"/>
        <w:jc w:val="center"/>
        <w:rPr>
          <w:rFonts w:ascii="Arial" w:eastAsiaTheme="minorEastAsia" w:hAnsi="Arial" w:cs="Arial"/>
          <w:sz w:val="19"/>
          <w:szCs w:val="19"/>
          <w:lang w:val="hy-AM"/>
        </w:rPr>
      </w:pPr>
      <w:r w:rsidRPr="00613F8A">
        <w:rPr>
          <w:rFonts w:ascii="Arial" w:eastAsiaTheme="minorEastAsia" w:hAnsi="Arial" w:cs="Arial"/>
          <w:sz w:val="19"/>
          <w:szCs w:val="19"/>
        </w:rPr>
        <w:t xml:space="preserv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d>
          <m:dPr>
            <m:ctrlPr>
              <w:rPr>
                <w:rFonts w:ascii="Cambria Math" w:hAnsi="Cambria Math" w:cs="Arial"/>
                <w:i/>
                <w:sz w:val="19"/>
                <w:szCs w:val="19"/>
              </w:rPr>
            </m:ctrlPr>
          </m:dPr>
          <m:e>
            <m:r>
              <w:rPr>
                <w:rFonts w:ascii="Cambria Math" w:hAnsi="Cambria Math" w:cs="Arial"/>
                <w:sz w:val="19"/>
                <w:szCs w:val="19"/>
              </w:rPr>
              <m:t>r</m:t>
            </m:r>
          </m:e>
        </m:d>
        <m:r>
          <w:rPr>
            <w:rFonts w:ascii="Cambria Math" w:hAnsi="Cambria Math" w:cs="Arial"/>
            <w:sz w:val="19"/>
            <w:szCs w:val="19"/>
          </w:rPr>
          <m:t>=R×</m:t>
        </m:r>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f>
          <m:fPr>
            <m:ctrlPr>
              <w:rPr>
                <w:rFonts w:ascii="Cambria Math" w:eastAsiaTheme="minorEastAsia" w:hAnsi="Cambria Math" w:cs="Arial"/>
                <w:i/>
                <w:sz w:val="19"/>
                <w:szCs w:val="19"/>
              </w:rPr>
            </m:ctrlPr>
          </m:fPr>
          <m:num>
            <m:r>
              <w:rPr>
                <w:rFonts w:ascii="Cambria Math" w:eastAsiaTheme="minorEastAsia" w:hAnsi="Cambria Math" w:cs="Arial"/>
                <w:sz w:val="19"/>
                <w:szCs w:val="19"/>
              </w:rPr>
              <m:t>1</m:t>
            </m:r>
          </m:num>
          <m:den>
            <m:r>
              <w:rPr>
                <w:rFonts w:ascii="Cambria Math" w:eastAsiaTheme="minorEastAsia" w:hAnsi="Cambria Math" w:cs="Arial"/>
                <w:sz w:val="19"/>
                <w:szCs w:val="19"/>
              </w:rPr>
              <m:t>λ</m:t>
            </m:r>
          </m:den>
        </m:f>
        <m:d>
          <m:dPr>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num>
              <m:den>
                <m:sSubSup>
                  <m:sSubSupPr>
                    <m:ctrlPr>
                      <w:rPr>
                        <w:rFonts w:ascii="Cambria Math" w:eastAsiaTheme="minorEastAsia" w:hAnsi="Cambria Math" w:cs="Arial"/>
                        <w:i/>
                        <w:sz w:val="19"/>
                        <w:szCs w:val="19"/>
                      </w:rPr>
                    </m:ctrlPr>
                  </m:sSubSupPr>
                  <m:e>
                    <m:r>
                      <w:rPr>
                        <w:rFonts w:ascii="Cambria Math" w:eastAsiaTheme="minorEastAsia" w:hAnsi="Cambria Math" w:cs="Arial"/>
                        <w:sz w:val="19"/>
                        <w:szCs w:val="19"/>
                      </w:rPr>
                      <m:t>z</m:t>
                    </m:r>
                  </m:e>
                  <m:sub>
                    <m:r>
                      <w:rPr>
                        <w:rFonts w:ascii="Cambria Math" w:eastAsiaTheme="minorEastAsia" w:hAnsi="Cambria Math" w:cs="Arial"/>
                        <w:sz w:val="19"/>
                        <w:szCs w:val="19"/>
                      </w:rPr>
                      <m:t>R</m:t>
                    </m:r>
                  </m:sub>
                  <m:sup>
                    <m:r>
                      <w:rPr>
                        <w:rFonts w:ascii="Cambria Math" w:eastAsiaTheme="minorEastAsia" w:hAnsi="Cambria Math" w:cs="Arial"/>
                        <w:sz w:val="19"/>
                        <w:szCs w:val="19"/>
                      </w:rPr>
                      <m:t>2</m:t>
                    </m:r>
                  </m:sup>
                </m:sSubSup>
                <m:r>
                  <w:rPr>
                    <w:rFonts w:ascii="Cambria Math" w:eastAsiaTheme="minorEastAsia" w:hAnsi="Cambria Math" w:cs="Arial"/>
                    <w:sz w:val="19"/>
                    <w:szCs w:val="19"/>
                  </w:rPr>
                  <m:t>+</m:t>
                </m:r>
                <m:sSup>
                  <m:sSupPr>
                    <m:ctrlPr>
                      <w:rPr>
                        <w:rFonts w:ascii="Cambria Math" w:eastAsiaTheme="minorEastAsia" w:hAnsi="Cambria Math" w:cs="Arial"/>
                        <w:i/>
                        <w:sz w:val="19"/>
                        <w:szCs w:val="19"/>
                      </w:rPr>
                    </m:ctrlPr>
                  </m:sSupPr>
                  <m:e>
                    <m:r>
                      <w:rPr>
                        <w:rFonts w:ascii="Cambria Math" w:eastAsiaTheme="minorEastAsia" w:hAnsi="Cambria Math" w:cs="Arial"/>
                        <w:sz w:val="19"/>
                        <w:szCs w:val="19"/>
                      </w:rPr>
                      <m:t>r</m:t>
                    </m:r>
                  </m:e>
                  <m:sup>
                    <m:r>
                      <w:rPr>
                        <w:rFonts w:ascii="Cambria Math" w:eastAsiaTheme="minorEastAsia" w:hAnsi="Cambria Math" w:cs="Arial"/>
                        <w:sz w:val="19"/>
                        <w:szCs w:val="19"/>
                      </w:rPr>
                      <m:t>2</m:t>
                    </m:r>
                  </m:sup>
                </m:sSup>
              </m:den>
            </m:f>
          </m:e>
        </m:d>
        <m:f>
          <m:fPr>
            <m:ctrlPr>
              <w:rPr>
                <w:rFonts w:ascii="Cambria Math" w:hAnsi="Cambria Math" w:cs="Arial"/>
                <w:i/>
                <w:sz w:val="19"/>
                <w:szCs w:val="19"/>
              </w:rPr>
            </m:ctrlPr>
          </m:fPr>
          <m:num>
            <m:sSub>
              <m:sSubPr>
                <m:ctrlPr>
                  <w:rPr>
                    <w:rFonts w:ascii="Cambria Math" w:hAnsi="Cambria Math" w:cs="Arial"/>
                    <w:i/>
                    <w:sz w:val="19"/>
                    <w:szCs w:val="19"/>
                  </w:rPr>
                </m:ctrlPr>
              </m:sSubPr>
              <m:e>
                <m:r>
                  <w:rPr>
                    <w:rFonts w:ascii="Cambria Math" w:hAnsi="Cambria Math" w:cs="Arial"/>
                    <w:sz w:val="19"/>
                    <w:szCs w:val="19"/>
                  </w:rPr>
                  <m:t>ρA</m:t>
                </m:r>
              </m:e>
              <m:sub>
                <m:r>
                  <w:rPr>
                    <w:rFonts w:ascii="Cambria Math" w:hAnsi="Cambria Math" w:cs="Arial"/>
                    <w:sz w:val="19"/>
                    <w:szCs w:val="19"/>
                  </w:rPr>
                  <m:t>rec</m:t>
                </m:r>
              </m:sub>
            </m:sSub>
          </m:num>
          <m:den>
            <m:r>
              <w:rPr>
                <w:rFonts w:ascii="Cambria Math" w:hAnsi="Cambria Math" w:cs="Arial"/>
                <w:sz w:val="19"/>
                <w:szCs w:val="19"/>
              </w:rPr>
              <m:t>π</m:t>
            </m:r>
            <m:sSup>
              <m:sSupPr>
                <m:ctrlPr>
                  <w:rPr>
                    <w:rFonts w:ascii="Cambria Math" w:hAnsi="Cambria Math" w:cs="Arial"/>
                    <w:i/>
                    <w:sz w:val="19"/>
                    <w:szCs w:val="19"/>
                  </w:rPr>
                </m:ctrlPr>
              </m:sSupPr>
              <m:e>
                <m:r>
                  <w:rPr>
                    <w:rFonts w:ascii="Cambria Math" w:hAnsi="Cambria Math" w:cs="Arial"/>
                    <w:sz w:val="19"/>
                    <w:szCs w:val="19"/>
                  </w:rPr>
                  <m:t>r</m:t>
                </m:r>
              </m:e>
              <m:sup>
                <m:r>
                  <w:rPr>
                    <w:rFonts w:ascii="Cambria Math" w:hAnsi="Cambria Math" w:cs="Arial"/>
                    <w:sz w:val="19"/>
                    <w:szCs w:val="19"/>
                  </w:rPr>
                  <m:t>2</m:t>
                </m:r>
              </m:sup>
            </m:sSup>
          </m:den>
        </m:f>
        <m:sSup>
          <m:sSupPr>
            <m:ctrlPr>
              <w:rPr>
                <w:rFonts w:ascii="Cambria Math" w:hAnsi="Cambria Math" w:cs="Arial"/>
                <w:i/>
                <w:sz w:val="19"/>
                <w:szCs w:val="19"/>
              </w:rPr>
            </m:ctrlPr>
          </m:sSupPr>
          <m:e>
            <m:r>
              <w:rPr>
                <w:rFonts w:ascii="Cambria Math" w:hAnsi="Cambria Math" w:cs="Arial"/>
                <w:sz w:val="19"/>
                <w:szCs w:val="19"/>
              </w:rPr>
              <m:t>e</m:t>
            </m:r>
          </m:e>
          <m:sup>
            <m:r>
              <w:rPr>
                <w:rFonts w:ascii="Cambria Math" w:hAnsi="Cambria Math" w:cs="Arial"/>
                <w:sz w:val="19"/>
                <w:szCs w:val="19"/>
              </w:rPr>
              <m:t>-2γr</m:t>
            </m:r>
          </m:sup>
        </m:sSup>
      </m:oMath>
      <w:r w:rsidRPr="00613F8A">
        <w:rPr>
          <w:rFonts w:ascii="Arial" w:eastAsiaTheme="minorEastAsia" w:hAnsi="Arial" w:cs="Arial"/>
          <w:sz w:val="19"/>
          <w:szCs w:val="19"/>
        </w:rPr>
        <w:t>.                                       (S4)</w:t>
      </w:r>
    </w:p>
    <w:p w14:paraId="4F612701" w14:textId="77777777" w:rsidR="005F45B6" w:rsidRPr="00613F8A" w:rsidRDefault="005F45B6" w:rsidP="003E659C">
      <w:pPr>
        <w:spacing w:after="0"/>
        <w:jc w:val="both"/>
        <w:rPr>
          <w:rFonts w:ascii="Arial" w:eastAsiaTheme="minorEastAsia" w:hAnsi="Arial" w:cs="Arial"/>
          <w:sz w:val="19"/>
          <w:szCs w:val="19"/>
        </w:rPr>
      </w:pPr>
      <w:r w:rsidRPr="00613F8A">
        <w:rPr>
          <w:rFonts w:ascii="Arial" w:hAnsi="Arial" w:cs="Arial"/>
          <w:sz w:val="19"/>
          <w:szCs w:val="19"/>
        </w:rPr>
        <w:t xml:space="preserve">Here,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is the power of the laser beam impinging on the metasurface, and </w:t>
      </w:r>
      <m:oMath>
        <m:r>
          <w:rPr>
            <w:rFonts w:ascii="Cambria Math" w:hAnsi="Cambria Math" w:cs="Arial"/>
            <w:sz w:val="19"/>
            <w:szCs w:val="19"/>
          </w:rPr>
          <m:t>R</m:t>
        </m:r>
      </m:oMath>
      <w:r w:rsidRPr="00613F8A">
        <w:rPr>
          <w:rFonts w:ascii="Arial" w:eastAsiaTheme="minorEastAsia" w:hAnsi="Arial" w:cs="Arial"/>
          <w:sz w:val="19"/>
          <w:szCs w:val="19"/>
        </w:rPr>
        <w:t xml:space="preserve"> is the fraction of the incoming beam energy that has been directed into the steered beam. </w:t>
      </w:r>
      <w:r w:rsidRPr="00613F8A">
        <w:rPr>
          <w:rFonts w:ascii="Arial" w:hAnsi="Arial" w:cs="Arial"/>
          <w:sz w:val="19"/>
          <w:szCs w:val="19"/>
        </w:rPr>
        <w:t xml:space="preserve">The distance between the scattering object and the receiver </w:t>
      </w:r>
      <m:oMath>
        <m:r>
          <w:rPr>
            <w:rFonts w:ascii="Cambria Math" w:eastAsiaTheme="minorEastAsia" w:hAnsi="Cambria Math" w:cs="Arial"/>
            <w:sz w:val="19"/>
            <w:szCs w:val="19"/>
          </w:rPr>
          <m:t>r</m:t>
        </m:r>
      </m:oMath>
      <w:r w:rsidRPr="00613F8A">
        <w:rPr>
          <w:rFonts w:ascii="Arial" w:hAnsi="Arial" w:cs="Arial"/>
          <w:sz w:val="19"/>
          <w:szCs w:val="19"/>
        </w:rPr>
        <w:t xml:space="preserve"> is assumed to be identical to the distance between the scattering object and the metasurface.</w:t>
      </w:r>
      <w:r w:rsidRPr="00613F8A">
        <w:rPr>
          <w:rFonts w:ascii="Arial" w:eastAsiaTheme="minorEastAsia" w:hAnsi="Arial" w:cs="Arial"/>
          <w:sz w:val="19"/>
          <w:szCs w:val="19"/>
        </w:rPr>
        <w:t xml:space="preserve"> As an example, we assume the laser beam is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ω</m:t>
            </m:r>
          </m:e>
          <m:sub>
            <m:r>
              <w:rPr>
                <w:rFonts w:ascii="Cambria Math" w:eastAsiaTheme="minorEastAsia" w:hAnsi="Cambria Math" w:cs="Arial"/>
                <w:sz w:val="19"/>
                <w:szCs w:val="19"/>
              </w:rPr>
              <m:t>0</m:t>
            </m:r>
          </m:sub>
        </m:sSub>
        <m:r>
          <w:rPr>
            <w:rFonts w:ascii="Cambria Math" w:eastAsiaTheme="minorEastAsia" w:hAnsi="Cambria Math" w:cs="Arial"/>
            <w:sz w:val="19"/>
            <w:szCs w:val="19"/>
          </w:rPr>
          <m:t xml:space="preserve">=1 </m:t>
        </m:r>
      </m:oMath>
      <w:r w:rsidRPr="00613F8A">
        <w:rPr>
          <w:rFonts w:ascii="Arial" w:eastAsiaTheme="minorEastAsia" w:hAnsi="Arial" w:cs="Arial"/>
          <w:sz w:val="19"/>
          <w:szCs w:val="19"/>
        </w:rPr>
        <w:t>mm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r>
          <w:rPr>
            <w:rFonts w:ascii="Cambria Math" w:eastAsiaTheme="minorEastAsia" w:hAnsi="Cambria Math" w:cs="Arial"/>
            <w:sz w:val="19"/>
            <w:szCs w:val="19"/>
          </w:rPr>
          <m:t xml:space="preserve">≈2 </m:t>
        </m:r>
      </m:oMath>
      <w:r w:rsidRPr="00613F8A">
        <w:rPr>
          <w:rFonts w:ascii="Arial" w:eastAsiaTheme="minorEastAsia" w:hAnsi="Arial" w:cs="Arial"/>
          <w:sz w:val="19"/>
          <w:szCs w:val="19"/>
        </w:rPr>
        <w:t xml:space="preserve">m, roughly the size of the metasurface), the aperture of the collecting lens at the receiver is </w:t>
      </w:r>
      <m:oMath>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rec</m:t>
            </m:r>
          </m:sub>
        </m:sSub>
        <m:r>
          <w:rPr>
            <w:rFonts w:ascii="Cambria Math" w:hAnsi="Cambria Math" w:cs="Arial"/>
            <w:sz w:val="19"/>
            <w:szCs w:val="19"/>
          </w:rPr>
          <m:t xml:space="preserve">=3 </m:t>
        </m:r>
        <m:r>
          <m:rPr>
            <m:sty m:val="p"/>
          </m:rPr>
          <w:rPr>
            <w:rFonts w:ascii="Cambria Math" w:hAnsi="Cambria Math" w:cs="Arial"/>
            <w:sz w:val="19"/>
            <w:szCs w:val="19"/>
          </w:rPr>
          <m:t>cm</m:t>
        </m:r>
      </m:oMath>
      <w:r w:rsidRPr="00613F8A">
        <w:rPr>
          <w:rFonts w:ascii="Arial" w:eastAsiaTheme="minorEastAsia" w:hAnsi="Arial" w:cs="Arial"/>
          <w:sz w:val="19"/>
          <w:szCs w:val="19"/>
        </w:rPr>
        <w:t xml:space="preserve">. Assuming foggy atmospheric conditions, we use the following attenuation coefficient in the air: </w:t>
      </w:r>
      <m:oMath>
        <m:r>
          <w:rPr>
            <w:rFonts w:ascii="Cambria Math" w:eastAsiaTheme="minorEastAsia" w:hAnsi="Cambria Math" w:cs="Arial"/>
            <w:sz w:val="19"/>
            <w:szCs w:val="19"/>
          </w:rPr>
          <m:t>γ=0.877</m:t>
        </m:r>
        <m:d>
          <m:dPr>
            <m:begChr m:val="["/>
            <m:endChr m:val="]"/>
            <m:ctrlPr>
              <w:rPr>
                <w:rFonts w:ascii="Cambria Math" w:eastAsiaTheme="minorEastAsia" w:hAnsi="Cambria Math" w:cs="Arial"/>
                <w:i/>
                <w:sz w:val="19"/>
                <w:szCs w:val="19"/>
              </w:rPr>
            </m:ctrlPr>
          </m:dPr>
          <m:e>
            <m:f>
              <m:fPr>
                <m:ctrlPr>
                  <w:rPr>
                    <w:rFonts w:ascii="Cambria Math" w:eastAsiaTheme="minorEastAsia" w:hAnsi="Cambria Math" w:cs="Arial"/>
                    <w:i/>
                    <w:sz w:val="19"/>
                    <w:szCs w:val="19"/>
                  </w:rPr>
                </m:ctrlPr>
              </m:fPr>
              <m:num>
                <m:r>
                  <w:rPr>
                    <w:rFonts w:ascii="Cambria Math" w:eastAsiaTheme="minorEastAsia" w:hAnsi="Cambria Math" w:cs="Arial"/>
                    <w:sz w:val="19"/>
                    <w:szCs w:val="19"/>
                  </w:rPr>
                  <m:t>1</m:t>
                </m:r>
              </m:num>
              <m:den>
                <m:r>
                  <w:rPr>
                    <w:rFonts w:ascii="Cambria Math" w:eastAsiaTheme="minorEastAsia" w:hAnsi="Cambria Math" w:cs="Arial"/>
                    <w:sz w:val="19"/>
                    <w:szCs w:val="19"/>
                  </w:rPr>
                  <m:t>km</m:t>
                </m:r>
              </m:den>
            </m:f>
          </m:e>
        </m:d>
      </m:oMath>
      <w:r w:rsidRPr="00613F8A">
        <w:rPr>
          <w:rFonts w:ascii="Arial" w:hAnsi="Arial" w:cs="Arial"/>
          <w:sz w:val="19"/>
          <w:szCs w:val="19"/>
        </w:rPr>
        <w:t>.</w:t>
      </w:r>
      <w:r w:rsidRPr="00613F8A">
        <w:rPr>
          <w:rFonts w:ascii="Arial" w:hAnsi="Arial" w:cs="Arial"/>
          <w:noProof/>
          <w:sz w:val="19"/>
          <w:szCs w:val="19"/>
          <w:vertAlign w:val="superscript"/>
        </w:rPr>
        <w:t>1</w:t>
      </w:r>
      <w:r w:rsidRPr="00613F8A">
        <w:rPr>
          <w:rFonts w:ascii="Arial" w:eastAsiaTheme="minorEastAsia" w:hAnsi="Arial" w:cs="Arial"/>
          <w:sz w:val="19"/>
          <w:szCs w:val="19"/>
        </w:rPr>
        <w:t xml:space="preserve"> In our analysis, we disregard the effects of the atmospheric turbulence on the beam propagation. We assume that only 5% of light scattered off the scatterer reaches the detector. </w:t>
      </w:r>
      <w:r w:rsidRPr="00613F8A">
        <w:rPr>
          <w:rFonts w:ascii="Arial" w:hAnsi="Arial" w:cs="Arial"/>
          <w:sz w:val="19"/>
          <w:szCs w:val="19"/>
        </w:rPr>
        <w:t>The transmissivity of the receiving optical system is taken to be 100%. We also assume that 22% of the energy of the incoming beam is directed into the steered beam (R=22%). Using the LiDAR range equation, we can now estimate the detection range both in CW and transient illumination regimes.</w:t>
      </w:r>
    </w:p>
    <w:p w14:paraId="5A2F9A89" w14:textId="77777777" w:rsidR="00B17658" w:rsidRPr="00613F8A" w:rsidRDefault="005F45B6" w:rsidP="00B17658">
      <w:pPr>
        <w:spacing w:after="0"/>
        <w:jc w:val="both"/>
        <w:rPr>
          <w:rFonts w:ascii="Arial" w:eastAsiaTheme="minorEastAsia" w:hAnsi="Arial" w:cs="Arial"/>
          <w:sz w:val="19"/>
          <w:szCs w:val="19"/>
        </w:rPr>
      </w:pPr>
      <w:r w:rsidRPr="00613F8A">
        <w:rPr>
          <w:rFonts w:ascii="Arial" w:hAnsi="Arial" w:cs="Arial"/>
          <w:sz w:val="19"/>
          <w:szCs w:val="19"/>
        </w:rPr>
        <w:t xml:space="preserve">We identify the incoming powers and pulse energies for which the detection range of the metasurface-based LiDAR system can be 100 m, </w:t>
      </w:r>
      <w:r w:rsidRPr="00613F8A">
        <w:rPr>
          <w:rFonts w:ascii="Arial" w:eastAsiaTheme="minorEastAsia" w:hAnsi="Arial" w:cs="Arial"/>
          <w:sz w:val="19"/>
          <w:szCs w:val="19"/>
        </w:rPr>
        <w:t>which is required for autonomous vehicle applications</w:t>
      </w:r>
      <w:r w:rsidRPr="00613F8A">
        <w:rPr>
          <w:rFonts w:ascii="Arial" w:hAnsi="Arial" w:cs="Arial"/>
          <w:sz w:val="19"/>
          <w:szCs w:val="19"/>
        </w:rPr>
        <w:t xml:space="preserve">. </w:t>
      </w:r>
      <w:r w:rsidRPr="00613F8A">
        <w:rPr>
          <w:rFonts w:ascii="Arial" w:eastAsiaTheme="minorEastAsia" w:hAnsi="Arial" w:cs="Arial"/>
          <w:sz w:val="19"/>
          <w:szCs w:val="19"/>
        </w:rPr>
        <w:t xml:space="preserve">First, we explore the case of the CW illumination regime. Figure S1c plots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d>
          <m:dPr>
            <m:ctrlPr>
              <w:rPr>
                <w:rFonts w:ascii="Cambria Math" w:hAnsi="Cambria Math" w:cs="Arial"/>
                <w:i/>
                <w:sz w:val="19"/>
                <w:szCs w:val="19"/>
              </w:rPr>
            </m:ctrlPr>
          </m:dPr>
          <m:e>
            <m:r>
              <w:rPr>
                <w:rFonts w:ascii="Cambria Math" w:hAnsi="Cambria Math" w:cs="Arial"/>
                <w:sz w:val="19"/>
                <w:szCs w:val="19"/>
              </w:rPr>
              <m:t>r</m:t>
            </m:r>
          </m:e>
        </m:d>
      </m:oMath>
      <w:r w:rsidRPr="00613F8A">
        <w:rPr>
          <w:rFonts w:ascii="Arial" w:eastAsiaTheme="minorEastAsia" w:hAnsi="Arial" w:cs="Arial"/>
          <w:sz w:val="19"/>
          <w:szCs w:val="19"/>
        </w:rPr>
        <w:t xml:space="preserve"> as a function of the distance </w:t>
      </w:r>
      <m:oMath>
        <m:r>
          <w:rPr>
            <w:rFonts w:ascii="Cambria Math" w:eastAsiaTheme="minorEastAsia" w:hAnsi="Cambria Math" w:cs="Arial"/>
            <w:sz w:val="19"/>
            <w:szCs w:val="19"/>
          </w:rPr>
          <m:t>r</m:t>
        </m:r>
      </m:oMath>
      <w:r w:rsidRPr="00613F8A">
        <w:rPr>
          <w:rFonts w:ascii="Arial" w:eastAsiaTheme="minorEastAsia" w:hAnsi="Arial" w:cs="Arial"/>
          <w:sz w:val="19"/>
          <w:szCs w:val="19"/>
        </w:rPr>
        <w:t xml:space="preserve"> between the scatterer and the metasurface for different values of the laser beam power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impinging on the metasurface. In the case of CW illumination, we set the </w:t>
      </w:r>
      <w:r w:rsidR="00B17658" w:rsidRPr="00613F8A">
        <w:rPr>
          <w:rFonts w:ascii="Arial" w:eastAsiaTheme="minorEastAsia" w:hAnsi="Arial" w:cs="Arial"/>
          <w:sz w:val="19"/>
          <w:szCs w:val="19"/>
        </w:rPr>
        <w:t xml:space="preserve">detection threshold of the detector to be 0.01 μW, which is marked by a green dashed line in Figure S1c. As seen in Figure S1c, the detection range of 100 m can be achieved at an incoming power of 0.01 kW. </w:t>
      </w:r>
    </w:p>
    <w:p w14:paraId="6F486E6E" w14:textId="77777777" w:rsidR="00B17658" w:rsidRPr="00613F8A" w:rsidRDefault="00B17658" w:rsidP="00B17658">
      <w:pPr>
        <w:spacing w:after="0"/>
        <w:ind w:firstLine="720"/>
        <w:jc w:val="both"/>
        <w:rPr>
          <w:rFonts w:ascii="Arial" w:eastAsiaTheme="minorEastAsia" w:hAnsi="Arial" w:cs="Arial"/>
          <w:sz w:val="19"/>
          <w:szCs w:val="19"/>
        </w:rPr>
      </w:pPr>
      <w:r w:rsidRPr="00613F8A">
        <w:rPr>
          <w:rFonts w:ascii="Arial" w:eastAsiaTheme="minorEastAsia" w:hAnsi="Arial" w:cs="Arial"/>
          <w:sz w:val="19"/>
          <w:szCs w:val="19"/>
        </w:rPr>
        <w:t>Note that the incoming power of 0.01 kW corresponds to the irradiance of 0.32 kW/cm</w:t>
      </w:r>
      <w:r w:rsidRPr="00613F8A">
        <w:rPr>
          <w:rFonts w:ascii="Arial" w:eastAsiaTheme="minorEastAsia" w:hAnsi="Arial" w:cs="Arial"/>
          <w:sz w:val="19"/>
          <w:szCs w:val="19"/>
          <w:vertAlign w:val="superscript"/>
        </w:rPr>
        <w:t>2</w:t>
      </w:r>
      <w:r w:rsidRPr="00613F8A">
        <w:rPr>
          <w:rFonts w:ascii="Arial" w:eastAsiaTheme="minorEastAsia" w:hAnsi="Arial" w:cs="Arial"/>
          <w:sz w:val="19"/>
          <w:szCs w:val="19"/>
        </w:rPr>
        <w:t xml:space="preserve">. The detection range can be further increased by increasing the irradiance of the laser beam impinging on the metasurface (see Figure S1c). Next, we consider the case when the metasurface is illuminated with a laser pulse. Figure S1d plots the number of photons at the receiver as a function of the distance </w:t>
      </w:r>
      <m:oMath>
        <m:r>
          <w:rPr>
            <w:rFonts w:ascii="Cambria Math" w:eastAsiaTheme="minorEastAsia" w:hAnsi="Cambria Math" w:cs="Arial"/>
            <w:sz w:val="19"/>
            <w:szCs w:val="19"/>
          </w:rPr>
          <m:t>r</m:t>
        </m:r>
      </m:oMath>
      <w:r w:rsidRPr="00613F8A">
        <w:rPr>
          <w:rFonts w:ascii="Arial" w:eastAsiaTheme="minorEastAsia" w:hAnsi="Arial" w:cs="Arial"/>
          <w:sz w:val="19"/>
          <w:szCs w:val="19"/>
        </w:rPr>
        <w:t xml:space="preserve"> between the scatterer and the metasurface for different values of the energy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xml:space="preserve"> of the laser pulse impinging on the metasurface. We assume that the minimal photon number our detector can measure is 100 (see the green dashed line in Figure S1d). In this case, to detect a target at 100 m, the minimal energy of the laser pulse impinging on the metasurface should be 100 nJ. As seen in Figure S1d, the detection range can be further increased by increasing the energy of the incoming laser pulse.</w:t>
      </w:r>
    </w:p>
    <w:p w14:paraId="5D222941" w14:textId="48C16B0B" w:rsidR="005F45B6" w:rsidRPr="00613F8A" w:rsidRDefault="00B17658" w:rsidP="00B17658">
      <w:pPr>
        <w:spacing w:after="0"/>
        <w:ind w:firstLine="720"/>
        <w:jc w:val="both"/>
        <w:rPr>
          <w:rFonts w:ascii="Arial" w:eastAsiaTheme="minorEastAsia" w:hAnsi="Arial" w:cs="Arial"/>
          <w:sz w:val="19"/>
          <w:szCs w:val="19"/>
        </w:rPr>
      </w:pPr>
      <w:r w:rsidRPr="00613F8A">
        <w:rPr>
          <w:rFonts w:ascii="Arial" w:eastAsiaTheme="minorEastAsia" w:hAnsi="Arial" w:cs="Arial"/>
          <w:sz w:val="19"/>
          <w:szCs w:val="19"/>
        </w:rPr>
        <w:t>Next, we provide estimates for the scaling of communication distances, which can be attained using the metasurface-based free-space optical communication system for different levels of power handling of the metasurface. We can adapt the LiDAR equation to the case of free-space optical communications by eliminating</w:t>
      </w:r>
    </w:p>
    <w:p w14:paraId="02957EEE" w14:textId="77777777" w:rsidR="005F45B6" w:rsidRPr="00613F8A" w:rsidRDefault="005F45B6" w:rsidP="003E659C">
      <w:pPr>
        <w:spacing w:after="0"/>
        <w:ind w:firstLine="720"/>
        <w:jc w:val="both"/>
        <w:rPr>
          <w:rFonts w:ascii="Arial" w:eastAsiaTheme="minorEastAsia" w:hAnsi="Arial" w:cs="Arial"/>
          <w:sz w:val="19"/>
          <w:szCs w:val="19"/>
        </w:rPr>
      </w:pPr>
      <w:r w:rsidRPr="00613F8A">
        <w:rPr>
          <w:rFonts w:ascii="Arial" w:hAnsi="Arial" w:cs="Arial"/>
          <w:noProof/>
          <w:sz w:val="19"/>
          <w:szCs w:val="19"/>
          <w:lang w:bidi="he-IL"/>
        </w:rPr>
        <w:lastRenderedPageBreak/>
        <w:drawing>
          <wp:inline distT="0" distB="0" distL="0" distR="0" wp14:anchorId="3EB296A8" wp14:editId="644A919B">
            <wp:extent cx="5169169" cy="5557962"/>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9484" cy="5569053"/>
                    </a:xfrm>
                    <a:prstGeom prst="rect">
                      <a:avLst/>
                    </a:prstGeom>
                    <a:noFill/>
                    <a:ln>
                      <a:noFill/>
                    </a:ln>
                  </pic:spPr>
                </pic:pic>
              </a:graphicData>
            </a:graphic>
          </wp:inline>
        </w:drawing>
      </w:r>
    </w:p>
    <w:p w14:paraId="3C331B8C" w14:textId="77777777" w:rsidR="005F45B6" w:rsidRPr="00613F8A" w:rsidRDefault="005F45B6" w:rsidP="003E58F8">
      <w:pPr>
        <w:spacing w:after="0"/>
        <w:jc w:val="both"/>
        <w:rPr>
          <w:rFonts w:ascii="Arial" w:eastAsiaTheme="minorEastAsia" w:hAnsi="Arial" w:cs="Arial"/>
          <w:b/>
          <w:bCs/>
          <w:sz w:val="19"/>
          <w:szCs w:val="19"/>
        </w:rPr>
      </w:pPr>
    </w:p>
    <w:p w14:paraId="0FB48E59" w14:textId="5D98BBB2" w:rsidR="005F45B6" w:rsidRPr="00613F8A" w:rsidRDefault="005F45B6" w:rsidP="003E58F8">
      <w:pPr>
        <w:spacing w:after="0"/>
        <w:jc w:val="both"/>
        <w:rPr>
          <w:rFonts w:ascii="Arial" w:eastAsiaTheme="minorEastAsia" w:hAnsi="Arial" w:cs="Arial"/>
          <w:sz w:val="19"/>
          <w:szCs w:val="19"/>
        </w:rPr>
      </w:pPr>
      <w:r w:rsidRPr="00613F8A">
        <w:rPr>
          <w:rFonts w:ascii="Arial" w:eastAsiaTheme="minorEastAsia" w:hAnsi="Arial" w:cs="Arial"/>
          <w:b/>
          <w:bCs/>
          <w:sz w:val="19"/>
          <w:szCs w:val="19"/>
        </w:rPr>
        <w:t>Figure S1.</w:t>
      </w:r>
      <w:r w:rsidRPr="00613F8A">
        <w:rPr>
          <w:rFonts w:ascii="Arial" w:eastAsiaTheme="minorEastAsia" w:hAnsi="Arial" w:cs="Arial"/>
          <w:sz w:val="19"/>
          <w:szCs w:val="19"/>
        </w:rPr>
        <w:t xml:space="preserve">  a) Schematic of a metasurface-based LiDAR system. b) Schematic of a two-way metasurface-based free-space optical communication system. c) In case of the LiDAR operating in the CW regime,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r>
          <w:rPr>
            <w:rFonts w:ascii="Cambria Math" w:hAnsi="Cambria Math" w:cs="Arial"/>
            <w:sz w:val="19"/>
            <w:szCs w:val="19"/>
          </w:rPr>
          <m:t xml:space="preserve"> </m:t>
        </m:r>
      </m:oMath>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power values of light impinging on the metasurface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d) In case of the LiDAR in the pulsed illumination regime, the number of photons at the receiver </w:t>
      </w:r>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energies of the laser pulse impinging on the metasurface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xml:space="preserve">. e) In case of free-space optical communications in the CW regime,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r>
          <w:rPr>
            <w:rFonts w:ascii="Cambria Math" w:hAnsi="Cambria Math" w:cs="Arial"/>
            <w:sz w:val="19"/>
            <w:szCs w:val="19"/>
          </w:rPr>
          <m:t xml:space="preserve"> </m:t>
        </m:r>
      </m:oMath>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distance between the metasurface and the receiver for different power values of light impinging on the metasurface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f) In case of free-space optical communications in the pulsed illumination regime, the number of photons at the receiver </w:t>
      </w:r>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distance between the metasurface and the receiver for different energies of the laser pulses impinging on the metasurface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xml:space="preserve">. In c)-f), the green dashed line denotes the threshold of the receiver. The assumed input beam diameter is 0.2 cm, the diameter of the detector collection area is 3 cm, and the </w:t>
      </w:r>
      <w:r w:rsidRPr="00613F8A">
        <w:rPr>
          <w:rFonts w:ascii="Arial" w:eastAsiaTheme="minorEastAsia" w:hAnsi="Arial" w:cs="Arial"/>
          <w:i/>
          <w:iCs/>
          <w:sz w:val="19"/>
          <w:szCs w:val="19"/>
        </w:rPr>
        <w:t>beam steering efficiency of the metasurface is taken as 22%</w:t>
      </w:r>
      <w:r w:rsidRPr="00613F8A">
        <w:rPr>
          <w:rFonts w:ascii="Arial" w:eastAsiaTheme="minorEastAsia" w:hAnsi="Arial" w:cs="Arial"/>
          <w:sz w:val="19"/>
          <w:szCs w:val="19"/>
        </w:rPr>
        <w:t>.</w:t>
      </w:r>
    </w:p>
    <w:p w14:paraId="1CC5B790" w14:textId="77777777" w:rsidR="005F45B6" w:rsidRPr="00613F8A" w:rsidRDefault="005F45B6" w:rsidP="00750F3F">
      <w:pPr>
        <w:jc w:val="center"/>
        <w:rPr>
          <w:rFonts w:ascii="Arial" w:eastAsiaTheme="minorEastAsia" w:hAnsi="Arial" w:cs="Arial"/>
          <w:b/>
          <w:bCs/>
          <w:sz w:val="19"/>
          <w:szCs w:val="19"/>
        </w:rPr>
      </w:pPr>
      <w:r w:rsidRPr="00613F8A">
        <w:rPr>
          <w:rFonts w:ascii="Arial" w:hAnsi="Arial" w:cs="Arial"/>
          <w:noProof/>
          <w:sz w:val="19"/>
          <w:szCs w:val="19"/>
          <w:lang w:bidi="he-IL"/>
        </w:rPr>
        <w:lastRenderedPageBreak/>
        <w:drawing>
          <wp:inline distT="0" distB="0" distL="0" distR="0" wp14:anchorId="1BC0DAB3" wp14:editId="5092D460">
            <wp:extent cx="5486400" cy="4047978"/>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650" cy="4051113"/>
                    </a:xfrm>
                    <a:prstGeom prst="rect">
                      <a:avLst/>
                    </a:prstGeom>
                    <a:noFill/>
                    <a:ln>
                      <a:noFill/>
                    </a:ln>
                  </pic:spPr>
                </pic:pic>
              </a:graphicData>
            </a:graphic>
          </wp:inline>
        </w:drawing>
      </w:r>
    </w:p>
    <w:p w14:paraId="681FD0DF" w14:textId="77777777" w:rsidR="005F45B6" w:rsidRPr="00613F8A" w:rsidRDefault="005F45B6" w:rsidP="003E659C">
      <w:pPr>
        <w:jc w:val="both"/>
        <w:rPr>
          <w:rFonts w:ascii="Arial" w:eastAsiaTheme="minorEastAsia" w:hAnsi="Arial" w:cs="Arial"/>
          <w:sz w:val="19"/>
          <w:szCs w:val="19"/>
        </w:rPr>
      </w:pPr>
      <w:r w:rsidRPr="00613F8A">
        <w:rPr>
          <w:rFonts w:ascii="Arial" w:eastAsiaTheme="minorEastAsia" w:hAnsi="Arial" w:cs="Arial"/>
          <w:b/>
          <w:bCs/>
          <w:sz w:val="19"/>
          <w:szCs w:val="19"/>
        </w:rPr>
        <w:t>Figure S2.</w:t>
      </w:r>
      <w:r w:rsidRPr="00613F8A">
        <w:rPr>
          <w:rFonts w:ascii="Arial" w:eastAsiaTheme="minorEastAsia" w:hAnsi="Arial" w:cs="Arial"/>
          <w:sz w:val="19"/>
          <w:szCs w:val="19"/>
        </w:rPr>
        <w:t xml:space="preserve">  a) In case of the LiDAR operating in the CW regime,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r>
          <w:rPr>
            <w:rFonts w:ascii="Cambria Math" w:hAnsi="Cambria Math" w:cs="Arial"/>
            <w:sz w:val="19"/>
            <w:szCs w:val="19"/>
          </w:rPr>
          <m:t xml:space="preserve"> </m:t>
        </m:r>
      </m:oMath>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power values of light impinging on the metasurface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b) In case of the LiDAR in the pulsed illumination regime, the number of photons at the receiver </w:t>
      </w:r>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energies of the laser pulse impinging on the metasurface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xml:space="preserve">. c) In case of free-space optical communications in the CW regime,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r>
          <w:rPr>
            <w:rFonts w:ascii="Cambria Math" w:hAnsi="Cambria Math" w:cs="Arial"/>
            <w:sz w:val="19"/>
            <w:szCs w:val="19"/>
          </w:rPr>
          <m:t xml:space="preserve"> </m:t>
        </m:r>
      </m:oMath>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distance between the metasurface and the receiver for different power values of light impinging on the metasurface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d) In case of free-space optical communications in the pulsed illumination regime, the number of photons at the receiver </w:t>
      </w:r>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distance between the metasurface and the receiver for different energies of the laser pulses impinging on the metasurface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xml:space="preserve">. The green dashed line denotes the threshold of the receiver. The assumed beam diameter is 0.2 cm, and the diameter of the detector collection area is 3 cm, and the </w:t>
      </w:r>
      <w:r w:rsidRPr="00613F8A">
        <w:rPr>
          <w:rFonts w:ascii="Arial" w:eastAsiaTheme="minorEastAsia" w:hAnsi="Arial" w:cs="Arial"/>
          <w:i/>
          <w:iCs/>
          <w:sz w:val="19"/>
          <w:szCs w:val="19"/>
        </w:rPr>
        <w:t>assumed beam steering efficiency of the metasurface is 3%</w:t>
      </w:r>
      <w:r w:rsidRPr="00613F8A">
        <w:rPr>
          <w:rFonts w:ascii="Arial" w:eastAsiaTheme="minorEastAsia" w:hAnsi="Arial" w:cs="Arial"/>
          <w:sz w:val="19"/>
          <w:szCs w:val="19"/>
        </w:rPr>
        <w:t>.</w:t>
      </w:r>
    </w:p>
    <w:p w14:paraId="279CF8BE" w14:textId="77777777" w:rsidR="005F45B6" w:rsidRPr="00613F8A" w:rsidRDefault="005F45B6" w:rsidP="003E659C">
      <w:pPr>
        <w:jc w:val="both"/>
        <w:rPr>
          <w:rFonts w:ascii="Arial" w:eastAsiaTheme="minorEastAsia" w:hAnsi="Arial" w:cs="Arial"/>
          <w:sz w:val="19"/>
          <w:szCs w:val="19"/>
        </w:rPr>
      </w:pPr>
    </w:p>
    <w:p w14:paraId="75FFC4FB" w14:textId="2490984D" w:rsidR="005F45B6" w:rsidRPr="00613F8A" w:rsidRDefault="005F45B6" w:rsidP="00B17658">
      <w:pPr>
        <w:spacing w:after="0"/>
        <w:jc w:val="both"/>
        <w:rPr>
          <w:rFonts w:ascii="Arial" w:eastAsiaTheme="minorEastAsia" w:hAnsi="Arial" w:cs="Arial"/>
          <w:sz w:val="19"/>
          <w:szCs w:val="19"/>
        </w:rPr>
      </w:pPr>
      <w:r w:rsidRPr="00613F8A">
        <w:rPr>
          <w:rFonts w:ascii="Arial" w:eastAsiaTheme="minorEastAsia" w:hAnsi="Arial" w:cs="Arial"/>
          <w:sz w:val="19"/>
          <w:szCs w:val="19"/>
        </w:rPr>
        <w:t xml:space="preserve">the contribution of the scattering object </w:t>
      </w:r>
      <m:oMath>
        <m:r>
          <w:rPr>
            <w:rFonts w:ascii="Cambria Math" w:eastAsiaTheme="minorEastAsia" w:hAnsi="Cambria Math" w:cs="Arial"/>
            <w:sz w:val="19"/>
            <w:szCs w:val="19"/>
          </w:rPr>
          <m:t>(</m:t>
        </m:r>
        <m:r>
          <w:rPr>
            <w:rFonts w:ascii="Cambria Math" w:hAnsi="Cambria Math" w:cs="Arial"/>
            <w:sz w:val="19"/>
            <w:szCs w:val="19"/>
          </w:rPr>
          <m:t>ρ=1).</m:t>
        </m:r>
      </m:oMath>
      <w:r w:rsidRPr="00613F8A">
        <w:rPr>
          <w:rFonts w:ascii="Arial" w:eastAsiaTheme="minorEastAsia" w:hAnsi="Arial" w:cs="Arial"/>
          <w:sz w:val="19"/>
          <w:szCs w:val="19"/>
        </w:rPr>
        <w:t xml:space="preserve"> Within the context of free-space optical communications, </w:t>
      </w:r>
      <m:oMath>
        <m:r>
          <w:rPr>
            <w:rFonts w:ascii="Cambria Math" w:hAnsi="Cambria Math" w:cs="Arial"/>
            <w:sz w:val="19"/>
            <w:szCs w:val="19"/>
          </w:rPr>
          <m:t>r</m:t>
        </m:r>
      </m:oMath>
      <w:r w:rsidRPr="00613F8A">
        <w:rPr>
          <w:rFonts w:ascii="Arial" w:eastAsiaTheme="minorEastAsia" w:hAnsi="Arial" w:cs="Arial"/>
          <w:sz w:val="19"/>
          <w:szCs w:val="19"/>
        </w:rPr>
        <w:t xml:space="preserve"> now stands for the distance between the metasurface and the receiver (see Figure S1b). Having space-related applications in mind, we take the attenuation coefficient </w:t>
      </w:r>
      <m:oMath>
        <m:r>
          <w:rPr>
            <w:rFonts w:ascii="Cambria Math" w:eastAsiaTheme="minorEastAsia" w:hAnsi="Cambria Math" w:cs="Arial"/>
            <w:sz w:val="19"/>
            <w:szCs w:val="19"/>
          </w:rPr>
          <m:t>γ</m:t>
        </m:r>
      </m:oMath>
      <w:r w:rsidRPr="00613F8A">
        <w:rPr>
          <w:rFonts w:ascii="Arial" w:eastAsiaTheme="minorEastAsia" w:hAnsi="Arial" w:cs="Arial"/>
          <w:sz w:val="19"/>
          <w:szCs w:val="19"/>
        </w:rPr>
        <w:t xml:space="preserve"> to be unity: </w:t>
      </w:r>
      <m:oMath>
        <m:r>
          <w:rPr>
            <w:rFonts w:ascii="Cambria Math" w:eastAsiaTheme="minorEastAsia" w:hAnsi="Cambria Math" w:cs="Arial"/>
            <w:sz w:val="19"/>
            <w:szCs w:val="19"/>
          </w:rPr>
          <m:t>γ=1</m:t>
        </m:r>
      </m:oMath>
      <w:r w:rsidRPr="00613F8A">
        <w:rPr>
          <w:rFonts w:ascii="Arial" w:eastAsiaTheme="minorEastAsia" w:hAnsi="Arial" w:cs="Arial"/>
          <w:sz w:val="19"/>
          <w:szCs w:val="19"/>
        </w:rPr>
        <w:t xml:space="preserve">.  As in the case of the LiDAR, we assume that the diameter of the incoming beam is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D</m:t>
            </m:r>
          </m:e>
          <m:sub>
            <m:r>
              <w:rPr>
                <w:rFonts w:ascii="Cambria Math" w:eastAsiaTheme="minorEastAsia" w:hAnsi="Cambria Math" w:cs="Arial"/>
                <w:sz w:val="19"/>
                <w:szCs w:val="19"/>
              </w:rPr>
              <m:t>beam</m:t>
            </m:r>
          </m:sub>
        </m:sSub>
        <m:r>
          <w:rPr>
            <w:rFonts w:ascii="Cambria Math" w:eastAsiaTheme="minorEastAsia" w:hAnsi="Cambria Math" w:cs="Arial"/>
            <w:sz w:val="19"/>
            <w:szCs w:val="19"/>
          </w:rPr>
          <m:t xml:space="preserve">=0.2 </m:t>
        </m:r>
        <m:r>
          <m:rPr>
            <m:sty m:val="p"/>
          </m:rPr>
          <w:rPr>
            <w:rFonts w:ascii="Cambria Math" w:eastAsiaTheme="minorEastAsia" w:hAnsi="Cambria Math" w:cs="Arial"/>
            <w:sz w:val="19"/>
            <w:szCs w:val="19"/>
          </w:rPr>
          <m:t>cm</m:t>
        </m:r>
      </m:oMath>
      <w:r w:rsidRPr="00613F8A">
        <w:rPr>
          <w:rFonts w:ascii="Arial" w:eastAsiaTheme="minorEastAsia" w:hAnsi="Arial" w:cs="Arial"/>
          <w:sz w:val="19"/>
          <w:szCs w:val="19"/>
        </w:rPr>
        <w:t xml:space="preserve">, the aperture of the collecting lens at the receiver is </w:t>
      </w:r>
      <m:oMath>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rec</m:t>
            </m:r>
          </m:sub>
        </m:sSub>
        <m:r>
          <w:rPr>
            <w:rFonts w:ascii="Cambria Math" w:hAnsi="Cambria Math" w:cs="Arial"/>
            <w:sz w:val="19"/>
            <w:szCs w:val="19"/>
          </w:rPr>
          <m:t xml:space="preserve">=3 </m:t>
        </m:r>
        <m:r>
          <m:rPr>
            <m:sty m:val="p"/>
          </m:rPr>
          <w:rPr>
            <w:rFonts w:ascii="Cambria Math" w:hAnsi="Cambria Math" w:cs="Arial"/>
            <w:sz w:val="19"/>
            <w:szCs w:val="19"/>
          </w:rPr>
          <m:t>cm</m:t>
        </m:r>
      </m:oMath>
      <w:r w:rsidRPr="00613F8A">
        <w:rPr>
          <w:rFonts w:ascii="Arial" w:eastAsiaTheme="minorEastAsia" w:hAnsi="Arial" w:cs="Arial"/>
          <w:sz w:val="19"/>
          <w:szCs w:val="19"/>
        </w:rPr>
        <w:t>, and the beam steering efficiency of the metasurface is 22%. In case of CW illumination, the proposed metasurface-based free-space optical communication system can attain the distance of 100 km for an incoming power of 0.01 kW (Figure S1e). In case of pulsed laser illumination, the proposed metasurface-based free-space optical communication system can attain the distance of 10 000 km for a pulse energy of 0.01 mJ (Figure S1f). In what follows, we will theoretically investigate whether gate-tunable conducting oxide metasurfaces can withstand such laser irradiances or pulse energies, which are of interest for LiDAR and free space optical communications applications.</w:t>
      </w:r>
    </w:p>
    <w:p w14:paraId="7034C46C" w14:textId="77777777" w:rsidR="005F45B6" w:rsidRPr="00613F8A" w:rsidRDefault="005F45B6" w:rsidP="003E659C">
      <w:pPr>
        <w:spacing w:after="0"/>
        <w:ind w:firstLine="720"/>
        <w:jc w:val="both"/>
        <w:rPr>
          <w:rFonts w:ascii="Arial" w:eastAsiaTheme="minorEastAsia" w:hAnsi="Arial" w:cs="Arial"/>
          <w:sz w:val="19"/>
          <w:szCs w:val="19"/>
        </w:rPr>
      </w:pPr>
      <w:r w:rsidRPr="00613F8A">
        <w:rPr>
          <w:rFonts w:ascii="Arial" w:eastAsiaTheme="minorEastAsia" w:hAnsi="Arial" w:cs="Arial"/>
          <w:sz w:val="19"/>
          <w:szCs w:val="19"/>
        </w:rPr>
        <w:t xml:space="preserve">Apparently, the range of the LiDAR or the communication distance of the free space optical communication system increases with the power or the energy of the incoming laser beam. The power (energy) </w:t>
      </w:r>
      <w:r w:rsidRPr="00613F8A">
        <w:rPr>
          <w:rFonts w:ascii="Arial" w:eastAsiaTheme="minorEastAsia" w:hAnsi="Arial" w:cs="Arial"/>
          <w:sz w:val="19"/>
          <w:szCs w:val="19"/>
        </w:rPr>
        <w:lastRenderedPageBreak/>
        <w:t xml:space="preserve">of the incoming laser beam can be increased by increasing the irradiance (laser fluence) of the metasurface or by increasing the area of the incoming laser beam that implies an increased metasurface area. Another important parameter to consider is the beam steering efficiency of the metasurface, which was set to 22%. For example, if the beam steering efficiency of a metasurface is set to 3%, for a given incoming power (pulse energy) the detection range and communication distance of the metasurface are significantly reduced (Figure S2). Alternatively, the detection range or communication distance can be increased by increasing the aperture of the collecting lens </w:t>
      </w:r>
      <m:oMath>
        <m:sSub>
          <m:sSubPr>
            <m:ctrlPr>
              <w:rPr>
                <w:rFonts w:ascii="Cambria Math" w:hAnsi="Cambria Math" w:cs="Arial"/>
                <w:i/>
                <w:sz w:val="19"/>
                <w:szCs w:val="19"/>
              </w:rPr>
            </m:ctrlPr>
          </m:sSubPr>
          <m:e>
            <m:r>
              <w:rPr>
                <w:rFonts w:ascii="Cambria Math" w:hAnsi="Cambria Math" w:cs="Arial"/>
                <w:sz w:val="19"/>
                <w:szCs w:val="19"/>
              </w:rPr>
              <m:t>A</m:t>
            </m:r>
          </m:e>
          <m:sub>
            <m:r>
              <w:rPr>
                <w:rFonts w:ascii="Cambria Math" w:hAnsi="Cambria Math" w:cs="Arial"/>
                <w:sz w:val="19"/>
                <w:szCs w:val="19"/>
              </w:rPr>
              <m:t>rec</m:t>
            </m:r>
          </m:sub>
        </m:sSub>
      </m:oMath>
      <w:r w:rsidRPr="00613F8A">
        <w:rPr>
          <w:rFonts w:ascii="Arial" w:eastAsiaTheme="minorEastAsia" w:hAnsi="Arial" w:cs="Arial"/>
          <w:sz w:val="19"/>
          <w:szCs w:val="19"/>
        </w:rPr>
        <w:t>.</w:t>
      </w:r>
    </w:p>
    <w:p w14:paraId="33604B29" w14:textId="77777777" w:rsidR="005F45B6" w:rsidRPr="00613F8A" w:rsidRDefault="005F45B6" w:rsidP="003E659C">
      <w:pPr>
        <w:spacing w:after="0"/>
        <w:ind w:firstLine="720"/>
        <w:jc w:val="both"/>
        <w:rPr>
          <w:rFonts w:ascii="Arial" w:eastAsiaTheme="minorEastAsia" w:hAnsi="Arial" w:cs="Arial"/>
          <w:sz w:val="19"/>
          <w:szCs w:val="19"/>
        </w:rPr>
      </w:pPr>
    </w:p>
    <w:p w14:paraId="10303B57" w14:textId="77777777" w:rsidR="005F45B6" w:rsidRPr="00613F8A" w:rsidRDefault="005F45B6" w:rsidP="003E659C">
      <w:pPr>
        <w:spacing w:after="0"/>
        <w:ind w:firstLine="720"/>
        <w:jc w:val="both"/>
        <w:rPr>
          <w:rFonts w:ascii="Arial" w:eastAsiaTheme="minorEastAsia" w:hAnsi="Arial" w:cs="Arial"/>
          <w:sz w:val="19"/>
          <w:szCs w:val="19"/>
        </w:rPr>
      </w:pPr>
    </w:p>
    <w:p w14:paraId="25612B1C" w14:textId="77777777" w:rsidR="005F45B6" w:rsidRPr="00613F8A" w:rsidRDefault="005F45B6" w:rsidP="00750F3F">
      <w:pPr>
        <w:spacing w:after="0"/>
        <w:jc w:val="center"/>
        <w:rPr>
          <w:rFonts w:ascii="Arial" w:eastAsiaTheme="minorEastAsia" w:hAnsi="Arial" w:cs="Arial"/>
          <w:sz w:val="19"/>
          <w:szCs w:val="19"/>
        </w:rPr>
      </w:pPr>
      <w:r w:rsidRPr="00613F8A">
        <w:rPr>
          <w:rFonts w:ascii="Arial" w:eastAsiaTheme="minorEastAsia" w:hAnsi="Arial" w:cs="Arial"/>
          <w:noProof/>
          <w:sz w:val="19"/>
          <w:szCs w:val="19"/>
        </w:rPr>
        <w:drawing>
          <wp:inline distT="0" distB="0" distL="0" distR="0" wp14:anchorId="2BEA4E6D" wp14:editId="56CF867C">
            <wp:extent cx="5378824" cy="2160385"/>
            <wp:effectExtent l="0" t="0" r="0" b="0"/>
            <wp:docPr id="15" name="Picture 1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7647" cy="2163929"/>
                    </a:xfrm>
                    <a:prstGeom prst="rect">
                      <a:avLst/>
                    </a:prstGeom>
                    <a:noFill/>
                    <a:ln>
                      <a:noFill/>
                    </a:ln>
                  </pic:spPr>
                </pic:pic>
              </a:graphicData>
            </a:graphic>
          </wp:inline>
        </w:drawing>
      </w:r>
    </w:p>
    <w:p w14:paraId="1BBF94FC" w14:textId="77777777" w:rsidR="005F45B6" w:rsidRPr="00613F8A" w:rsidRDefault="005F45B6" w:rsidP="003E659C">
      <w:pPr>
        <w:spacing w:after="0"/>
        <w:ind w:firstLine="720"/>
        <w:jc w:val="both"/>
        <w:rPr>
          <w:rFonts w:ascii="Arial" w:eastAsiaTheme="minorEastAsia" w:hAnsi="Arial" w:cs="Arial"/>
          <w:sz w:val="19"/>
          <w:szCs w:val="19"/>
        </w:rPr>
      </w:pPr>
    </w:p>
    <w:p w14:paraId="1FC349C9" w14:textId="77777777" w:rsidR="005F45B6" w:rsidRPr="00613F8A" w:rsidRDefault="005F45B6" w:rsidP="003E659C">
      <w:pPr>
        <w:spacing w:after="0"/>
        <w:jc w:val="both"/>
        <w:rPr>
          <w:rFonts w:ascii="Arial" w:eastAsiaTheme="minorEastAsia" w:hAnsi="Arial" w:cs="Arial"/>
          <w:sz w:val="19"/>
          <w:szCs w:val="19"/>
        </w:rPr>
      </w:pPr>
      <w:r w:rsidRPr="00613F8A">
        <w:rPr>
          <w:rFonts w:ascii="Arial" w:eastAsiaTheme="minorEastAsia" w:hAnsi="Arial" w:cs="Arial"/>
          <w:b/>
          <w:bCs/>
          <w:sz w:val="19"/>
          <w:szCs w:val="19"/>
        </w:rPr>
        <w:t>Figure S3.</w:t>
      </w:r>
      <w:r w:rsidRPr="00613F8A">
        <w:rPr>
          <w:rFonts w:ascii="Arial" w:eastAsiaTheme="minorEastAsia" w:hAnsi="Arial" w:cs="Arial"/>
          <w:sz w:val="19"/>
          <w:szCs w:val="19"/>
        </w:rPr>
        <w:t xml:space="preserve">  a) In case of the LiDAR operating in the CW regime, the power at the receiver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receiver</m:t>
            </m:r>
          </m:sub>
        </m:sSub>
        <m:r>
          <w:rPr>
            <w:rFonts w:ascii="Cambria Math" w:hAnsi="Cambria Math" w:cs="Arial"/>
            <w:sz w:val="19"/>
            <w:szCs w:val="19"/>
          </w:rPr>
          <m:t xml:space="preserve"> </m:t>
        </m:r>
      </m:oMath>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power values of light impinging on the metasurface </w:t>
      </w:r>
      <m:oMath>
        <m:sSub>
          <m:sSubPr>
            <m:ctrlPr>
              <w:rPr>
                <w:rFonts w:ascii="Cambria Math" w:hAnsi="Cambria Math" w:cs="Arial"/>
                <w:i/>
                <w:sz w:val="19"/>
                <w:szCs w:val="19"/>
              </w:rPr>
            </m:ctrlPr>
          </m:sSubPr>
          <m:e>
            <m:r>
              <w:rPr>
                <w:rFonts w:ascii="Cambria Math" w:hAnsi="Cambria Math" w:cs="Arial"/>
                <w:sz w:val="19"/>
                <w:szCs w:val="19"/>
              </w:rPr>
              <m:t>P</m:t>
            </m:r>
          </m:e>
          <m:sub>
            <m:r>
              <w:rPr>
                <w:rFonts w:ascii="Cambria Math" w:hAnsi="Cambria Math" w:cs="Arial"/>
                <w:sz w:val="19"/>
                <w:szCs w:val="19"/>
              </w:rPr>
              <m:t>in</m:t>
            </m:r>
          </m:sub>
        </m:sSub>
      </m:oMath>
      <w:r w:rsidRPr="00613F8A">
        <w:rPr>
          <w:rFonts w:ascii="Arial" w:eastAsiaTheme="minorEastAsia" w:hAnsi="Arial" w:cs="Arial"/>
          <w:sz w:val="19"/>
          <w:szCs w:val="19"/>
        </w:rPr>
        <w:t xml:space="preserve">. b) In case of the LiDAR in the pulsed illumination regime, the number of photons at the receiver </w:t>
      </w:r>
      <w:r w:rsidRPr="00613F8A">
        <w:rPr>
          <w:rFonts w:ascii="Arial" w:eastAsiaTheme="minorEastAsia" w:hAnsi="Arial" w:cs="Arial"/>
          <w:i/>
          <w:iCs/>
          <w:sz w:val="19"/>
          <w:szCs w:val="19"/>
        </w:rPr>
        <w:t>vs</w:t>
      </w:r>
      <w:r w:rsidRPr="00613F8A">
        <w:rPr>
          <w:rFonts w:ascii="Arial" w:eastAsiaTheme="minorEastAsia" w:hAnsi="Arial" w:cs="Arial"/>
          <w:sz w:val="19"/>
          <w:szCs w:val="19"/>
        </w:rPr>
        <w:t xml:space="preserve">. the range from the metasurface for different energies of the laser pulse impinging on the metasurface </w:t>
      </w:r>
      <m:oMath>
        <m:sSub>
          <m:sSubPr>
            <m:ctrlPr>
              <w:rPr>
                <w:rFonts w:ascii="Cambria Math" w:hAnsi="Cambria Math" w:cs="Arial"/>
                <w:i/>
                <w:sz w:val="19"/>
                <w:szCs w:val="19"/>
              </w:rPr>
            </m:ctrlPr>
          </m:sSubPr>
          <m:e>
            <m:r>
              <w:rPr>
                <w:rFonts w:ascii="Cambria Math" w:hAnsi="Cambria Math" w:cs="Arial"/>
                <w:sz w:val="19"/>
                <w:szCs w:val="19"/>
              </w:rPr>
              <m:t>E</m:t>
            </m:r>
          </m:e>
          <m:sub>
            <m:r>
              <w:rPr>
                <w:rFonts w:ascii="Cambria Math" w:hAnsi="Cambria Math" w:cs="Arial"/>
                <w:sz w:val="19"/>
                <w:szCs w:val="19"/>
              </w:rPr>
              <m:t>in</m:t>
            </m:r>
          </m:sub>
        </m:sSub>
      </m:oMath>
      <w:r w:rsidRPr="00613F8A">
        <w:rPr>
          <w:rFonts w:ascii="Arial" w:eastAsiaTheme="minorEastAsia" w:hAnsi="Arial" w:cs="Arial"/>
          <w:sz w:val="19"/>
          <w:szCs w:val="19"/>
        </w:rPr>
        <w:t>. The assumed beam waist is 0.7 cm, the other parameters are the same as in Figure S1.</w:t>
      </w:r>
    </w:p>
    <w:p w14:paraId="21F26D60" w14:textId="77777777" w:rsidR="005F45B6" w:rsidRPr="00613F8A" w:rsidRDefault="005F45B6" w:rsidP="003E659C">
      <w:pPr>
        <w:spacing w:after="0"/>
        <w:jc w:val="both"/>
        <w:rPr>
          <w:rFonts w:ascii="Arial" w:eastAsiaTheme="minorEastAsia" w:hAnsi="Arial" w:cs="Arial"/>
          <w:sz w:val="19"/>
          <w:szCs w:val="19"/>
        </w:rPr>
      </w:pPr>
    </w:p>
    <w:p w14:paraId="6C5ACF0B" w14:textId="77777777" w:rsidR="005F45B6" w:rsidRPr="00613F8A" w:rsidRDefault="005F45B6" w:rsidP="003E659C">
      <w:pPr>
        <w:spacing w:after="0"/>
        <w:ind w:firstLine="720"/>
        <w:jc w:val="both"/>
        <w:rPr>
          <w:rFonts w:ascii="Arial" w:eastAsiaTheme="minorEastAsia" w:hAnsi="Arial" w:cs="Arial"/>
          <w:sz w:val="19"/>
          <w:szCs w:val="19"/>
        </w:rPr>
      </w:pPr>
      <w:bookmarkStart w:id="1" w:name="_Hlk75626735"/>
      <w:r w:rsidRPr="00613F8A">
        <w:rPr>
          <w:rFonts w:ascii="Arial" w:eastAsiaTheme="minorEastAsia" w:hAnsi="Arial" w:cs="Arial"/>
          <w:sz w:val="19"/>
          <w:szCs w:val="19"/>
        </w:rPr>
        <w:t xml:space="preserve">In the cases discussed above (Figures S1, S2), the diameter of the steered beam was taken to be 0.2 cm. However, one can increase the diameter of the outcoupled beam by adding additional optical components, which can expand and collimate the steered beam thus reducing the diffraction losses. As an example, we consider the case when the diameter of the laser spot outcoupled from the LiDAR is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ω</m:t>
            </m:r>
          </m:e>
          <m:sub>
            <m:r>
              <w:rPr>
                <w:rFonts w:ascii="Cambria Math" w:eastAsiaTheme="minorEastAsia" w:hAnsi="Cambria Math" w:cs="Arial"/>
                <w:sz w:val="19"/>
                <w:szCs w:val="19"/>
              </w:rPr>
              <m:t>0</m:t>
            </m:r>
          </m:sub>
        </m:sSub>
        <m:r>
          <w:rPr>
            <w:rFonts w:ascii="Cambria Math" w:eastAsiaTheme="minorEastAsia" w:hAnsi="Cambria Math" w:cs="Arial"/>
            <w:sz w:val="19"/>
            <w:szCs w:val="19"/>
          </w:rPr>
          <m:t>=0.7</m:t>
        </m:r>
      </m:oMath>
      <w:r w:rsidRPr="00613F8A">
        <w:rPr>
          <w:rFonts w:ascii="Arial" w:eastAsiaTheme="minorEastAsia" w:hAnsi="Arial" w:cs="Arial"/>
          <w:sz w:val="19"/>
          <w:szCs w:val="19"/>
        </w:rPr>
        <w:t xml:space="preserve"> cm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z</m:t>
            </m:r>
          </m:e>
          <m:sub>
            <m:r>
              <w:rPr>
                <w:rFonts w:ascii="Cambria Math" w:eastAsiaTheme="minorEastAsia" w:hAnsi="Cambria Math" w:cs="Arial"/>
                <w:sz w:val="19"/>
                <w:szCs w:val="19"/>
              </w:rPr>
              <m:t>R</m:t>
            </m:r>
          </m:sub>
        </m:sSub>
        <m:r>
          <w:rPr>
            <w:rFonts w:ascii="Cambria Math" w:eastAsiaTheme="minorEastAsia" w:hAnsi="Cambria Math" w:cs="Arial"/>
            <w:sz w:val="19"/>
            <w:szCs w:val="19"/>
          </w:rPr>
          <m:t>≈100 m</m:t>
        </m:r>
      </m:oMath>
      <w:r w:rsidRPr="00613F8A">
        <w:rPr>
          <w:rFonts w:ascii="Arial" w:eastAsiaTheme="minorEastAsia" w:hAnsi="Arial" w:cs="Arial"/>
          <w:sz w:val="19"/>
          <w:szCs w:val="19"/>
        </w:rPr>
        <w:t xml:space="preserve">) (Figure S3). </w:t>
      </w:r>
      <w:bookmarkStart w:id="2" w:name="_Hlk80625759"/>
      <w:r w:rsidRPr="00613F8A">
        <w:rPr>
          <w:rFonts w:ascii="Arial" w:eastAsiaTheme="minorEastAsia" w:hAnsi="Arial" w:cs="Arial"/>
          <w:sz w:val="19"/>
          <w:szCs w:val="19"/>
        </w:rPr>
        <w:t xml:space="preserve">Figure S3 assumes a beam steering efficiency of 3%. Note that in the case of the CW illumination, the power of the incoming light is three orders of magnitude lower as compared with the powers used in Figures S1 and S2. In case of pulsed laser illumination, the incoming pulse energies are five orders of magnitude lower as compared with the ones assumed in Figures S1 and S2. However, due to an optimal choice of the diameter of the outcoupled beam, the proposed LiDAR system is able to efficiently detect objects at target distances exceeding 100 m. </w:t>
      </w:r>
    </w:p>
    <w:bookmarkEnd w:id="2"/>
    <w:p w14:paraId="72C5CAA9" w14:textId="77777777" w:rsidR="005F45B6" w:rsidRPr="00613F8A" w:rsidRDefault="005F45B6" w:rsidP="003E659C">
      <w:pPr>
        <w:spacing w:after="0"/>
        <w:ind w:firstLine="720"/>
        <w:jc w:val="both"/>
        <w:rPr>
          <w:rFonts w:ascii="Arial" w:hAnsi="Arial" w:cs="Arial"/>
          <w:sz w:val="19"/>
          <w:szCs w:val="19"/>
        </w:rPr>
      </w:pPr>
      <w:r w:rsidRPr="00613F8A">
        <w:rPr>
          <w:rFonts w:ascii="Arial" w:hAnsi="Arial" w:cs="Arial"/>
          <w:sz w:val="19"/>
          <w:szCs w:val="19"/>
          <w:shd w:val="clear" w:color="auto" w:fill="FFFFFF"/>
        </w:rPr>
        <w:t xml:space="preserve">Finally, we briefly discuss requirements of metasurface-based additive manufacturing. </w:t>
      </w:r>
      <w:bookmarkEnd w:id="1"/>
      <w:r w:rsidRPr="00613F8A">
        <w:rPr>
          <w:rFonts w:ascii="Arial" w:hAnsi="Arial" w:cs="Arial"/>
          <w:sz w:val="19"/>
          <w:szCs w:val="19"/>
          <w:shd w:val="clear" w:color="auto" w:fill="FFFFFF"/>
        </w:rPr>
        <w:t>In standard additive manufacturing schemes, a focused light beam emitted by a CW laser is mechanically raster scanned on the powder bed. The power of the beam is typically few hundreds of Watts (up to ~1 kW).</w:t>
      </w:r>
      <w:r w:rsidRPr="00613F8A">
        <w:rPr>
          <w:rFonts w:ascii="Arial" w:hAnsi="Arial" w:cs="Arial"/>
          <w:noProof/>
          <w:sz w:val="19"/>
          <w:szCs w:val="19"/>
          <w:shd w:val="clear" w:color="auto" w:fill="FFFFFF"/>
          <w:vertAlign w:val="superscript"/>
        </w:rPr>
        <w:t>2</w:t>
      </w:r>
      <w:r w:rsidRPr="00613F8A">
        <w:rPr>
          <w:rFonts w:ascii="Arial" w:hAnsi="Arial" w:cs="Arial"/>
          <w:sz w:val="19"/>
          <w:szCs w:val="19"/>
          <w:shd w:val="clear" w:color="auto" w:fill="FFFFFF"/>
        </w:rPr>
        <w:t xml:space="preserve">  This implies, for example, that if the metasurface area is 1 cm × 1 cm, and the metasurface reflectance is ~20%, the irradiance of 5 kW/cm</w:t>
      </w:r>
      <w:r w:rsidRPr="00613F8A">
        <w:rPr>
          <w:rFonts w:ascii="Arial" w:hAnsi="Arial" w:cs="Arial"/>
          <w:sz w:val="19"/>
          <w:szCs w:val="19"/>
          <w:shd w:val="clear" w:color="auto" w:fill="FFFFFF"/>
          <w:vertAlign w:val="superscript"/>
        </w:rPr>
        <w:t>2</w:t>
      </w:r>
      <w:r w:rsidRPr="00613F8A">
        <w:rPr>
          <w:rFonts w:ascii="Arial" w:hAnsi="Arial" w:cs="Arial"/>
          <w:sz w:val="19"/>
          <w:szCs w:val="19"/>
          <w:shd w:val="clear" w:color="auto" w:fill="FFFFFF"/>
        </w:rPr>
        <w:t xml:space="preserve"> would yield a 1 kW reflected beam. In the case of a modest reflectance of 3%, the incoming irradiance should be 33 kW/cm</w:t>
      </w:r>
      <w:r w:rsidRPr="00613F8A">
        <w:rPr>
          <w:rFonts w:ascii="Arial" w:hAnsi="Arial" w:cs="Arial"/>
          <w:sz w:val="19"/>
          <w:szCs w:val="19"/>
          <w:shd w:val="clear" w:color="auto" w:fill="FFFFFF"/>
          <w:vertAlign w:val="superscript"/>
        </w:rPr>
        <w:t>2</w:t>
      </w:r>
      <w:r w:rsidRPr="00613F8A">
        <w:rPr>
          <w:rFonts w:ascii="Arial" w:hAnsi="Arial" w:cs="Arial"/>
          <w:sz w:val="19"/>
          <w:szCs w:val="19"/>
          <w:shd w:val="clear" w:color="auto" w:fill="FFFFFF"/>
        </w:rPr>
        <w:t xml:space="preserve">, so that the power of the reflected beam is 1 kW. Active metasurfaces can simultaneously electronically steer and focus the reflected beam without employing mechanically moving parts. The ability of metasurfaces to arbitrarily shape the beam could offer interesting opportunities for additive manufacturing. Another important advantage of active metasurfaces is their ability to near-instantaneously change the position of the laser spot, which would impact the beam dwell time and temperature history and profile thus altering the powder melting dynamics and residual stresses. In contrast, galvanometric mirrors, which change the direction of the beam in current additive manufacturing schemes, cannot change the beam direction in such near-instantaneous fashion. For example, typical fast galvanometric mirrors with an aperture of 5 cm will require 5 ms to shift the beam by 10 mrad. Prior research has demonstrated ITO-based optical modulators operating at GHz </w:t>
      </w:r>
      <w:r w:rsidRPr="00613F8A">
        <w:rPr>
          <w:rFonts w:ascii="Arial" w:hAnsi="Arial" w:cs="Arial"/>
          <w:sz w:val="19"/>
          <w:szCs w:val="19"/>
          <w:shd w:val="clear" w:color="auto" w:fill="FFFFFF"/>
        </w:rPr>
        <w:lastRenderedPageBreak/>
        <w:t>frequencies.</w:t>
      </w:r>
      <w:r w:rsidRPr="00613F8A">
        <w:rPr>
          <w:rFonts w:ascii="Arial" w:hAnsi="Arial" w:cs="Arial"/>
          <w:noProof/>
          <w:sz w:val="19"/>
          <w:szCs w:val="19"/>
          <w:shd w:val="clear" w:color="auto" w:fill="FFFFFF"/>
          <w:vertAlign w:val="superscript"/>
        </w:rPr>
        <w:t>3</w:t>
      </w:r>
      <w:r w:rsidRPr="00613F8A">
        <w:rPr>
          <w:rFonts w:ascii="Arial" w:hAnsi="Arial" w:cs="Arial"/>
          <w:sz w:val="19"/>
          <w:szCs w:val="19"/>
          <w:shd w:val="clear" w:color="auto" w:fill="FFFFFF"/>
        </w:rPr>
        <w:t xml:space="preserve"> Thus, in principle, active metasurfaces operating at such high modulation frequencies (or a least at modulation frequencies of ~100 MHz) could also be achievable.</w:t>
      </w:r>
    </w:p>
    <w:p w14:paraId="28FCA45D" w14:textId="43D50E12" w:rsidR="005F45B6" w:rsidRPr="00613F8A" w:rsidRDefault="005F45B6" w:rsidP="00A31AFD">
      <w:pPr>
        <w:spacing w:after="0"/>
        <w:ind w:firstLine="432"/>
        <w:jc w:val="both"/>
        <w:rPr>
          <w:rFonts w:ascii="Arial" w:hAnsi="Arial" w:cs="Arial"/>
          <w:sz w:val="19"/>
          <w:szCs w:val="19"/>
        </w:rPr>
      </w:pPr>
    </w:p>
    <w:p w14:paraId="5F899710" w14:textId="77777777" w:rsidR="00F820AA" w:rsidRPr="00613F8A" w:rsidRDefault="00F820AA" w:rsidP="00A31AFD">
      <w:pPr>
        <w:spacing w:after="0"/>
        <w:ind w:firstLine="432"/>
        <w:jc w:val="both"/>
        <w:rPr>
          <w:rFonts w:ascii="Arial" w:hAnsi="Arial" w:cs="Arial"/>
          <w:sz w:val="19"/>
          <w:szCs w:val="19"/>
        </w:rPr>
      </w:pPr>
    </w:p>
    <w:p w14:paraId="7F3A5E12" w14:textId="77777777" w:rsidR="005F45B6" w:rsidRPr="00613F8A" w:rsidRDefault="005F45B6">
      <w:pPr>
        <w:rPr>
          <w:rFonts w:ascii="Arial" w:hAnsi="Arial" w:cs="Arial"/>
          <w:b/>
          <w:bCs/>
          <w:sz w:val="19"/>
          <w:szCs w:val="19"/>
          <w:u w:val="single"/>
        </w:rPr>
      </w:pPr>
      <w:r w:rsidRPr="00613F8A">
        <w:rPr>
          <w:rFonts w:ascii="Arial" w:hAnsi="Arial" w:cs="Arial"/>
          <w:b/>
          <w:bCs/>
          <w:sz w:val="19"/>
          <w:szCs w:val="19"/>
          <w:u w:val="single"/>
        </w:rPr>
        <w:t>2. Electrical and optical properties of ITO and CdO</w:t>
      </w:r>
    </w:p>
    <w:p w14:paraId="7D37D404" w14:textId="77777777" w:rsidR="005F45B6" w:rsidRPr="00613F8A" w:rsidRDefault="005F45B6" w:rsidP="00C67443">
      <w:pPr>
        <w:spacing w:after="0"/>
        <w:jc w:val="both"/>
        <w:rPr>
          <w:rFonts w:ascii="Arial" w:hAnsi="Arial" w:cs="Arial"/>
          <w:sz w:val="19"/>
          <w:szCs w:val="19"/>
        </w:rPr>
      </w:pPr>
      <w:r w:rsidRPr="00613F8A">
        <w:rPr>
          <w:rFonts w:ascii="Arial" w:hAnsi="Arial" w:cs="Arial"/>
          <w:sz w:val="19"/>
          <w:szCs w:val="19"/>
        </w:rPr>
        <w:t xml:space="preserve">Simple physics consideration can set an upper bound on the carrier density in the active ITO layer. Let us consider a planar structure, which consists of Au, HAOL, and ITO (Au/HAOL/ITO) in which Au and ITO electrodes are biased with respect to each other (for the considered voltage polarity see Fig. 1a). Let us also assume that the thickness of the charge accumulation layer in ITO is </w:t>
      </w:r>
      <w:r w:rsidRPr="00613F8A">
        <w:rPr>
          <w:rFonts w:ascii="Arial" w:hAnsi="Arial" w:cs="Arial"/>
          <w:i/>
          <w:sz w:val="19"/>
          <w:szCs w:val="19"/>
        </w:rPr>
        <w:t>t</w:t>
      </w:r>
      <w:r w:rsidRPr="00613F8A">
        <w:rPr>
          <w:rFonts w:ascii="Arial" w:hAnsi="Arial" w:cs="Arial"/>
          <w:i/>
          <w:sz w:val="19"/>
          <w:szCs w:val="19"/>
          <w:vertAlign w:val="subscript"/>
        </w:rPr>
        <w:t>ac</w:t>
      </w:r>
      <w:r w:rsidRPr="00613F8A">
        <w:rPr>
          <w:rFonts w:ascii="Arial" w:hAnsi="Arial" w:cs="Arial"/>
          <w:sz w:val="19"/>
          <w:szCs w:val="19"/>
        </w:rPr>
        <w:t xml:space="preserve">, and the charge density in this accumulation layer is constant. The assumed thicknesses of the dielectric HAOL layer is </w:t>
      </w:r>
      <w:r w:rsidRPr="00613F8A">
        <w:rPr>
          <w:rFonts w:ascii="Arial" w:hAnsi="Arial" w:cs="Arial"/>
          <w:i/>
          <w:sz w:val="19"/>
          <w:szCs w:val="19"/>
        </w:rPr>
        <w:t>t</w:t>
      </w:r>
      <w:r w:rsidRPr="00613F8A">
        <w:rPr>
          <w:rFonts w:ascii="Arial" w:hAnsi="Arial" w:cs="Arial"/>
          <w:i/>
          <w:sz w:val="19"/>
          <w:szCs w:val="19"/>
          <w:vertAlign w:val="subscript"/>
        </w:rPr>
        <w:t>d</w:t>
      </w:r>
      <w:r w:rsidRPr="00613F8A">
        <w:rPr>
          <w:rFonts w:ascii="Arial" w:hAnsi="Arial" w:cs="Arial"/>
          <w:sz w:val="19"/>
          <w:szCs w:val="19"/>
        </w:rPr>
        <w:t>. In this case, using Gauss’s law we can derive the following relation between the carrier density increase in the accumulation layer Δ</w:t>
      </w:r>
      <w:r w:rsidRPr="00613F8A">
        <w:rPr>
          <w:rFonts w:ascii="Arial" w:hAnsi="Arial" w:cs="Arial"/>
          <w:i/>
          <w:sz w:val="19"/>
          <w:szCs w:val="19"/>
        </w:rPr>
        <w:t>N</w:t>
      </w:r>
      <w:r w:rsidRPr="00613F8A">
        <w:rPr>
          <w:rFonts w:ascii="Arial" w:hAnsi="Arial" w:cs="Arial"/>
          <w:sz w:val="19"/>
          <w:szCs w:val="19"/>
        </w:rPr>
        <w:t xml:space="preserve"> and applied gating voltage </w:t>
      </w:r>
      <w:r w:rsidRPr="00613F8A">
        <w:rPr>
          <w:rFonts w:ascii="Arial" w:hAnsi="Arial" w:cs="Arial"/>
          <w:i/>
          <w:sz w:val="19"/>
          <w:szCs w:val="19"/>
        </w:rPr>
        <w:t>V</w:t>
      </w:r>
      <w:r w:rsidRPr="00613F8A">
        <w:rPr>
          <w:rFonts w:ascii="Arial" w:hAnsi="Arial" w:cs="Arial"/>
          <w:i/>
          <w:sz w:val="19"/>
          <w:szCs w:val="19"/>
          <w:vertAlign w:val="subscript"/>
        </w:rPr>
        <w:t>g</w:t>
      </w:r>
      <w:r w:rsidRPr="00613F8A">
        <w:rPr>
          <w:rFonts w:ascii="Arial" w:hAnsi="Arial" w:cs="Arial"/>
          <w:sz w:val="19"/>
          <w:szCs w:val="19"/>
        </w:rPr>
        <w:t>: Δ</w:t>
      </w:r>
      <w:r w:rsidRPr="00613F8A">
        <w:rPr>
          <w:rFonts w:ascii="Arial" w:hAnsi="Arial" w:cs="Arial"/>
          <w:i/>
          <w:sz w:val="19"/>
          <w:szCs w:val="19"/>
        </w:rPr>
        <w:t>N = ɛ</w:t>
      </w:r>
      <w:r w:rsidRPr="00613F8A">
        <w:rPr>
          <w:rFonts w:ascii="Arial" w:hAnsi="Arial" w:cs="Arial"/>
          <w:i/>
          <w:sz w:val="19"/>
          <w:szCs w:val="19"/>
          <w:vertAlign w:val="subscript"/>
        </w:rPr>
        <w:t>0</w:t>
      </w:r>
      <w:r w:rsidRPr="00613F8A">
        <w:rPr>
          <w:rFonts w:ascii="Arial" w:hAnsi="Arial" w:cs="Arial"/>
          <w:i/>
          <w:sz w:val="19"/>
          <w:szCs w:val="19"/>
        </w:rPr>
        <w:t xml:space="preserve"> k</w:t>
      </w:r>
      <w:r w:rsidRPr="00613F8A">
        <w:rPr>
          <w:rFonts w:ascii="Arial" w:hAnsi="Arial" w:cs="Arial"/>
          <w:i/>
          <w:sz w:val="19"/>
          <w:szCs w:val="19"/>
          <w:vertAlign w:val="subscript"/>
        </w:rPr>
        <w:t>d</w:t>
      </w:r>
      <w:r w:rsidRPr="00613F8A">
        <w:rPr>
          <w:rFonts w:ascii="Arial" w:hAnsi="Arial" w:cs="Arial"/>
          <w:i/>
          <w:sz w:val="19"/>
          <w:szCs w:val="19"/>
        </w:rPr>
        <w:t xml:space="preserve"> V</w:t>
      </w:r>
      <w:r w:rsidRPr="00613F8A">
        <w:rPr>
          <w:rFonts w:ascii="Arial" w:hAnsi="Arial" w:cs="Arial"/>
          <w:i/>
          <w:sz w:val="19"/>
          <w:szCs w:val="19"/>
          <w:vertAlign w:val="subscript"/>
        </w:rPr>
        <w:t>g</w:t>
      </w:r>
      <w:r w:rsidRPr="00613F8A">
        <w:rPr>
          <w:rFonts w:ascii="Arial" w:hAnsi="Arial" w:cs="Arial"/>
          <w:i/>
          <w:sz w:val="19"/>
          <w:szCs w:val="19"/>
        </w:rPr>
        <w:t>/(e t</w:t>
      </w:r>
      <w:r w:rsidRPr="00613F8A">
        <w:rPr>
          <w:rFonts w:ascii="Arial" w:hAnsi="Arial" w:cs="Arial"/>
          <w:i/>
          <w:sz w:val="19"/>
          <w:szCs w:val="19"/>
          <w:vertAlign w:val="subscript"/>
        </w:rPr>
        <w:t>ac</w:t>
      </w:r>
      <w:r w:rsidRPr="00613F8A">
        <w:rPr>
          <w:rFonts w:ascii="Arial" w:hAnsi="Arial" w:cs="Arial"/>
          <w:i/>
          <w:sz w:val="19"/>
          <w:szCs w:val="19"/>
        </w:rPr>
        <w:t xml:space="preserve"> t</w:t>
      </w:r>
      <w:r w:rsidRPr="00613F8A">
        <w:rPr>
          <w:rFonts w:ascii="Arial" w:hAnsi="Arial" w:cs="Arial"/>
          <w:i/>
          <w:sz w:val="19"/>
          <w:szCs w:val="19"/>
          <w:vertAlign w:val="subscript"/>
        </w:rPr>
        <w:t>d</w:t>
      </w:r>
      <w:r w:rsidRPr="00613F8A">
        <w:rPr>
          <w:rFonts w:ascii="Arial" w:hAnsi="Arial" w:cs="Arial"/>
          <w:i/>
          <w:sz w:val="19"/>
          <w:szCs w:val="19"/>
        </w:rPr>
        <w:t>).</w:t>
      </w:r>
      <w:r w:rsidRPr="00613F8A">
        <w:rPr>
          <w:rFonts w:ascii="Arial" w:hAnsi="Arial" w:cs="Arial"/>
          <w:sz w:val="19"/>
          <w:szCs w:val="19"/>
        </w:rPr>
        <w:t xml:space="preserve"> This relation was derived by considering a parallel plate capacitor structure and integrating over a cylindrical surface such that the axis of the cylinder is perpendicular to the capacitor plates, and the considered cylinder also encompasses one of the capacitor plates. Here,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ε</m:t>
            </m:r>
          </m:e>
          <m:sub>
            <m:r>
              <w:rPr>
                <w:rFonts w:ascii="Cambria Math" w:eastAsiaTheme="minorEastAsia" w:hAnsi="Cambria Math" w:cs="Arial"/>
                <w:sz w:val="19"/>
                <w:szCs w:val="19"/>
              </w:rPr>
              <m:t>0</m:t>
            </m:r>
          </m:sub>
        </m:sSub>
      </m:oMath>
      <w:r w:rsidRPr="00613F8A">
        <w:rPr>
          <w:rFonts w:ascii="Arial" w:hAnsi="Arial" w:cs="Arial"/>
          <w:sz w:val="19"/>
          <w:szCs w:val="19"/>
        </w:rPr>
        <w:t xml:space="preserve"> is the dielectric permittivity of vacuum, </w:t>
      </w:r>
      <w:r w:rsidRPr="00613F8A">
        <w:rPr>
          <w:rFonts w:ascii="Arial" w:hAnsi="Arial" w:cs="Arial"/>
          <w:i/>
          <w:sz w:val="19"/>
          <w:szCs w:val="19"/>
        </w:rPr>
        <w:t>e</w:t>
      </w:r>
      <w:r w:rsidRPr="00613F8A">
        <w:rPr>
          <w:rFonts w:ascii="Arial" w:hAnsi="Arial" w:cs="Arial"/>
          <w:sz w:val="19"/>
          <w:szCs w:val="19"/>
        </w:rPr>
        <w:t xml:space="preserve"> is the electron charge, </w:t>
      </w:r>
      <w:r w:rsidRPr="00613F8A">
        <w:rPr>
          <w:rFonts w:ascii="Arial" w:hAnsi="Arial" w:cs="Arial"/>
          <w:i/>
          <w:sz w:val="19"/>
          <w:szCs w:val="19"/>
        </w:rPr>
        <w:t>k</w:t>
      </w:r>
      <w:r w:rsidRPr="00613F8A">
        <w:rPr>
          <w:rFonts w:ascii="Arial" w:hAnsi="Arial" w:cs="Arial"/>
          <w:i/>
          <w:sz w:val="19"/>
          <w:szCs w:val="19"/>
          <w:vertAlign w:val="subscript"/>
        </w:rPr>
        <w:t>d</w:t>
      </w:r>
      <w:r w:rsidRPr="00613F8A">
        <w:rPr>
          <w:rFonts w:ascii="Arial" w:hAnsi="Arial" w:cs="Arial"/>
          <w:i/>
          <w:sz w:val="19"/>
          <w:szCs w:val="19"/>
        </w:rPr>
        <w:t xml:space="preserve"> </w:t>
      </w:r>
      <w:r w:rsidRPr="00613F8A">
        <w:rPr>
          <w:rFonts w:ascii="Arial" w:hAnsi="Arial" w:cs="Arial"/>
          <w:sz w:val="19"/>
          <w:szCs w:val="19"/>
        </w:rPr>
        <w:t>is the</w:t>
      </w:r>
      <w:r w:rsidRPr="00613F8A">
        <w:rPr>
          <w:rFonts w:ascii="Arial" w:hAnsi="Arial" w:cs="Arial"/>
          <w:i/>
          <w:sz w:val="19"/>
          <w:szCs w:val="19"/>
        </w:rPr>
        <w:t xml:space="preserve"> </w:t>
      </w:r>
      <w:r w:rsidRPr="00613F8A">
        <w:rPr>
          <w:rFonts w:ascii="Arial" w:hAnsi="Arial" w:cs="Arial"/>
          <w:sz w:val="19"/>
          <w:szCs w:val="19"/>
        </w:rPr>
        <w:t>DC permittivity of the</w:t>
      </w:r>
      <w:r w:rsidRPr="00613F8A">
        <w:rPr>
          <w:rFonts w:ascii="Arial" w:hAnsi="Arial" w:cs="Arial"/>
          <w:i/>
          <w:sz w:val="19"/>
          <w:szCs w:val="19"/>
        </w:rPr>
        <w:t xml:space="preserve"> </w:t>
      </w:r>
      <w:r w:rsidRPr="00613F8A">
        <w:rPr>
          <w:rFonts w:ascii="Arial" w:hAnsi="Arial" w:cs="Arial"/>
          <w:sz w:val="19"/>
          <w:szCs w:val="19"/>
        </w:rPr>
        <w:t xml:space="preserve">gate dielectric, which is HAOL in our case. In our metasurface design, the thickness of the HAOL layer is </w:t>
      </w:r>
      <w:r w:rsidRPr="00613F8A">
        <w:rPr>
          <w:rFonts w:ascii="Arial" w:hAnsi="Arial" w:cs="Arial"/>
          <w:i/>
          <w:sz w:val="19"/>
          <w:szCs w:val="19"/>
        </w:rPr>
        <w:t>t</w:t>
      </w:r>
      <w:r w:rsidRPr="00613F8A">
        <w:rPr>
          <w:rFonts w:ascii="Arial" w:hAnsi="Arial" w:cs="Arial"/>
          <w:i/>
          <w:sz w:val="19"/>
          <w:szCs w:val="19"/>
          <w:vertAlign w:val="subscript"/>
        </w:rPr>
        <w:t xml:space="preserve">d </w:t>
      </w:r>
      <w:r w:rsidRPr="00613F8A">
        <w:rPr>
          <w:rFonts w:ascii="Arial" w:hAnsi="Arial" w:cs="Arial"/>
          <w:i/>
          <w:sz w:val="19"/>
          <w:szCs w:val="19"/>
        </w:rPr>
        <w:t xml:space="preserve">= </w:t>
      </w:r>
      <w:r w:rsidRPr="00613F8A">
        <w:rPr>
          <w:rFonts w:ascii="Arial" w:hAnsi="Arial" w:cs="Arial"/>
          <w:sz w:val="19"/>
          <w:szCs w:val="19"/>
        </w:rPr>
        <w:t>10</w:t>
      </w:r>
      <w:r w:rsidRPr="00613F8A">
        <w:rPr>
          <w:rFonts w:ascii="Arial" w:hAnsi="Arial" w:cs="Arial"/>
          <w:i/>
          <w:sz w:val="19"/>
          <w:szCs w:val="19"/>
        </w:rPr>
        <w:t xml:space="preserve"> </w:t>
      </w:r>
      <w:r w:rsidRPr="00613F8A">
        <w:rPr>
          <w:rFonts w:ascii="Arial" w:hAnsi="Arial" w:cs="Arial"/>
          <w:sz w:val="19"/>
          <w:szCs w:val="19"/>
        </w:rPr>
        <w:t xml:space="preserve">nm. Prior research has reported that the DC permittivity of HAOL is </w:t>
      </w:r>
      <w:r w:rsidRPr="00613F8A">
        <w:rPr>
          <w:rFonts w:ascii="Arial" w:hAnsi="Arial" w:cs="Arial"/>
          <w:i/>
          <w:sz w:val="19"/>
          <w:szCs w:val="19"/>
        </w:rPr>
        <w:t>k</w:t>
      </w:r>
      <w:r w:rsidRPr="00613F8A">
        <w:rPr>
          <w:rFonts w:ascii="Arial" w:hAnsi="Arial" w:cs="Arial"/>
          <w:i/>
          <w:sz w:val="19"/>
          <w:szCs w:val="19"/>
          <w:vertAlign w:val="subscript"/>
        </w:rPr>
        <w:t xml:space="preserve">d </w:t>
      </w:r>
      <w:r w:rsidRPr="00613F8A">
        <w:rPr>
          <w:rFonts w:ascii="Arial" w:hAnsi="Arial" w:cs="Arial"/>
          <w:sz w:val="19"/>
          <w:szCs w:val="19"/>
        </w:rPr>
        <w:t>=</w:t>
      </w:r>
      <w:r w:rsidRPr="00613F8A">
        <w:rPr>
          <w:rFonts w:ascii="Arial" w:hAnsi="Arial" w:cs="Arial"/>
          <w:i/>
          <w:sz w:val="19"/>
          <w:szCs w:val="19"/>
        </w:rPr>
        <w:t xml:space="preserve"> </w:t>
      </w:r>
      <w:r w:rsidRPr="00613F8A">
        <w:rPr>
          <w:rFonts w:ascii="Arial" w:hAnsi="Arial" w:cs="Arial"/>
          <w:sz w:val="19"/>
          <w:szCs w:val="19"/>
        </w:rPr>
        <w:t>22 while the breakdown field in HAOL is 0.72 V/nm, which, in our case, corresponds to the maximal applied voltage of 7.2 V.</w:t>
      </w:r>
      <w:r w:rsidRPr="00613F8A">
        <w:rPr>
          <w:rFonts w:ascii="Arial" w:hAnsi="Arial" w:cs="Arial"/>
          <w:noProof/>
          <w:sz w:val="19"/>
          <w:szCs w:val="19"/>
          <w:vertAlign w:val="superscript"/>
        </w:rPr>
        <w:t>4</w:t>
      </w:r>
      <w:r w:rsidRPr="00613F8A">
        <w:rPr>
          <w:rFonts w:ascii="Arial" w:hAnsi="Arial" w:cs="Arial"/>
          <w:sz w:val="19"/>
          <w:szCs w:val="19"/>
        </w:rPr>
        <w:t xml:space="preserve"> If the assumed thickness of the accumulation layer is </w:t>
      </w:r>
      <w:r w:rsidRPr="00613F8A">
        <w:rPr>
          <w:rFonts w:ascii="Arial" w:hAnsi="Arial" w:cs="Arial"/>
          <w:i/>
          <w:sz w:val="19"/>
          <w:szCs w:val="19"/>
        </w:rPr>
        <w:t>t</w:t>
      </w:r>
      <w:r w:rsidRPr="00613F8A">
        <w:rPr>
          <w:rFonts w:ascii="Arial" w:hAnsi="Arial" w:cs="Arial"/>
          <w:i/>
          <w:sz w:val="19"/>
          <w:szCs w:val="19"/>
          <w:vertAlign w:val="subscript"/>
        </w:rPr>
        <w:t xml:space="preserve">acc </w:t>
      </w:r>
      <w:r w:rsidRPr="00613F8A">
        <w:rPr>
          <w:rFonts w:ascii="Arial" w:hAnsi="Arial" w:cs="Arial"/>
          <w:i/>
          <w:sz w:val="19"/>
          <w:szCs w:val="19"/>
        </w:rPr>
        <w:t xml:space="preserve">= </w:t>
      </w:r>
      <w:r w:rsidRPr="00613F8A">
        <w:rPr>
          <w:rFonts w:ascii="Arial" w:hAnsi="Arial" w:cs="Arial"/>
          <w:sz w:val="19"/>
          <w:szCs w:val="19"/>
        </w:rPr>
        <w:t>1 nm</w:t>
      </w:r>
      <w:r w:rsidRPr="00613F8A">
        <w:rPr>
          <w:rFonts w:ascii="Arial" w:hAnsi="Arial" w:cs="Arial"/>
          <w:noProof/>
          <w:sz w:val="19"/>
          <w:szCs w:val="19"/>
          <w:vertAlign w:val="superscript"/>
        </w:rPr>
        <w:t>5</w:t>
      </w:r>
      <w:r w:rsidRPr="00613F8A">
        <w:rPr>
          <w:rFonts w:ascii="Arial" w:hAnsi="Arial" w:cs="Arial"/>
          <w:sz w:val="19"/>
          <w:szCs w:val="19"/>
        </w:rPr>
        <w:t xml:space="preserve">, then the carrier density in the accumulation layer </w:t>
      </w:r>
      <w:r w:rsidRPr="00613F8A">
        <w:rPr>
          <w:rFonts w:ascii="Arial" w:hAnsi="Arial" w:cs="Arial"/>
          <w:i/>
          <w:sz w:val="19"/>
          <w:szCs w:val="19"/>
        </w:rPr>
        <w:t>N</w:t>
      </w:r>
      <w:r w:rsidRPr="00613F8A">
        <w:rPr>
          <w:rFonts w:ascii="Arial" w:hAnsi="Arial" w:cs="Arial"/>
          <w:i/>
          <w:sz w:val="19"/>
          <w:szCs w:val="19"/>
          <w:vertAlign w:val="subscript"/>
        </w:rPr>
        <w:t>acc</w:t>
      </w:r>
      <w:r w:rsidRPr="00613F8A">
        <w:rPr>
          <w:rFonts w:ascii="Arial" w:hAnsi="Arial" w:cs="Arial"/>
          <w:sz w:val="19"/>
          <w:szCs w:val="19"/>
        </w:rPr>
        <w:t xml:space="preserve"> can vary between the background carrier density </w:t>
      </w:r>
      <w:r w:rsidRPr="00613F8A">
        <w:rPr>
          <w:rFonts w:ascii="Arial" w:hAnsi="Arial" w:cs="Arial"/>
          <w:i/>
          <w:sz w:val="19"/>
          <w:szCs w:val="19"/>
        </w:rPr>
        <w:t>N</w:t>
      </w:r>
      <w:r w:rsidRPr="00613F8A">
        <w:rPr>
          <w:rFonts w:ascii="Arial" w:hAnsi="Arial" w:cs="Arial"/>
          <w:i/>
          <w:sz w:val="19"/>
          <w:szCs w:val="19"/>
          <w:vertAlign w:val="subscript"/>
        </w:rPr>
        <w:t>bg</w:t>
      </w:r>
      <w:r w:rsidRPr="00613F8A">
        <w:rPr>
          <w:rFonts w:ascii="Arial" w:hAnsi="Arial" w:cs="Arial"/>
          <w:sz w:val="19"/>
          <w:szCs w:val="19"/>
        </w:rPr>
        <w:t xml:space="preserve"> and </w:t>
      </w:r>
      <w:r w:rsidRPr="00613F8A">
        <w:rPr>
          <w:rFonts w:ascii="Arial" w:hAnsi="Arial" w:cs="Arial"/>
          <w:i/>
          <w:sz w:val="19"/>
          <w:szCs w:val="19"/>
        </w:rPr>
        <w:t>N</w:t>
      </w:r>
      <w:r w:rsidRPr="00613F8A">
        <w:rPr>
          <w:rFonts w:ascii="Arial" w:hAnsi="Arial" w:cs="Arial"/>
          <w:i/>
          <w:sz w:val="19"/>
          <w:szCs w:val="19"/>
          <w:vertAlign w:val="subscript"/>
        </w:rPr>
        <w:t>bg</w:t>
      </w:r>
      <w:r w:rsidRPr="00613F8A">
        <w:rPr>
          <w:rFonts w:ascii="Arial" w:hAnsi="Arial" w:cs="Arial"/>
          <w:i/>
          <w:sz w:val="19"/>
          <w:szCs w:val="19"/>
        </w:rPr>
        <w:t>+</w:t>
      </w:r>
      <w:r w:rsidRPr="00613F8A">
        <w:rPr>
          <w:rFonts w:ascii="Arial" w:hAnsi="Arial" w:cs="Arial"/>
          <w:sz w:val="19"/>
          <w:szCs w:val="19"/>
        </w:rPr>
        <w:t>8.8×10</w:t>
      </w:r>
      <w:r w:rsidRPr="00613F8A">
        <w:rPr>
          <w:rFonts w:ascii="Arial" w:hAnsi="Arial" w:cs="Arial"/>
          <w:sz w:val="19"/>
          <w:szCs w:val="19"/>
          <w:vertAlign w:val="superscript"/>
        </w:rPr>
        <w:t>20</w:t>
      </w:r>
      <w:r w:rsidRPr="00613F8A">
        <w:rPr>
          <w:rFonts w:ascii="Arial" w:hAnsi="Arial" w:cs="Arial"/>
          <w:sz w:val="19"/>
          <w:szCs w:val="19"/>
        </w:rPr>
        <w:t xml:space="preserve"> cm</w:t>
      </w:r>
      <w:r w:rsidRPr="00613F8A">
        <w:rPr>
          <w:rFonts w:ascii="Arial" w:hAnsi="Arial" w:cs="Arial"/>
          <w:sz w:val="19"/>
          <w:szCs w:val="19"/>
          <w:vertAlign w:val="superscript"/>
        </w:rPr>
        <w:t>-3</w:t>
      </w:r>
      <w:r w:rsidRPr="00613F8A">
        <w:rPr>
          <w:rFonts w:ascii="Arial" w:hAnsi="Arial" w:cs="Arial"/>
          <w:sz w:val="19"/>
          <w:szCs w:val="19"/>
        </w:rPr>
        <w:t>, as calculated from the equation for Δ</w:t>
      </w:r>
      <w:r w:rsidRPr="00613F8A">
        <w:rPr>
          <w:rFonts w:ascii="Arial" w:hAnsi="Arial" w:cs="Arial"/>
          <w:i/>
          <w:sz w:val="19"/>
          <w:szCs w:val="19"/>
        </w:rPr>
        <w:t>N</w:t>
      </w:r>
      <w:r w:rsidRPr="00613F8A">
        <w:rPr>
          <w:rFonts w:ascii="Arial" w:hAnsi="Arial" w:cs="Arial"/>
          <w:sz w:val="19"/>
          <w:szCs w:val="19"/>
        </w:rPr>
        <w:t xml:space="preserve"> above. Thus, we conclude that when the considered gate dielectric is 10 nm-thick HAOL, the carrier density in the 1 nm-thick active ITO layer can be maximally increased by 8.8×10</w:t>
      </w:r>
      <w:r w:rsidRPr="00613F8A">
        <w:rPr>
          <w:rFonts w:ascii="Arial" w:hAnsi="Arial" w:cs="Arial"/>
          <w:sz w:val="19"/>
          <w:szCs w:val="19"/>
          <w:vertAlign w:val="superscript"/>
        </w:rPr>
        <w:t>20</w:t>
      </w:r>
      <w:r w:rsidRPr="00613F8A">
        <w:rPr>
          <w:rFonts w:ascii="Arial" w:hAnsi="Arial" w:cs="Arial"/>
          <w:sz w:val="19"/>
          <w:szCs w:val="19"/>
        </w:rPr>
        <w:t xml:space="preserve"> cm</w:t>
      </w:r>
      <w:r w:rsidRPr="00613F8A">
        <w:rPr>
          <w:rFonts w:ascii="Arial" w:hAnsi="Arial" w:cs="Arial"/>
          <w:sz w:val="19"/>
          <w:szCs w:val="19"/>
          <w:vertAlign w:val="superscript"/>
        </w:rPr>
        <w:t>-3</w:t>
      </w:r>
      <w:r w:rsidRPr="00613F8A">
        <w:rPr>
          <w:rFonts w:ascii="Arial" w:hAnsi="Arial" w:cs="Arial"/>
          <w:sz w:val="19"/>
          <w:szCs w:val="19"/>
        </w:rPr>
        <w:t>.</w:t>
      </w:r>
    </w:p>
    <w:p w14:paraId="61CDAAD7" w14:textId="77777777" w:rsidR="005F45B6" w:rsidRPr="00613F8A" w:rsidRDefault="005F45B6" w:rsidP="00077E78">
      <w:pPr>
        <w:spacing w:after="0"/>
        <w:ind w:firstLine="720"/>
        <w:jc w:val="both"/>
        <w:rPr>
          <w:rFonts w:ascii="Arial" w:eastAsia="Times New Roman" w:hAnsi="Arial" w:cs="Arial"/>
          <w:sz w:val="19"/>
          <w:szCs w:val="19"/>
        </w:rPr>
      </w:pPr>
      <w:r w:rsidRPr="00613F8A">
        <w:rPr>
          <w:rFonts w:ascii="Arial" w:eastAsia="Times New Roman" w:hAnsi="Arial" w:cs="Arial"/>
          <w:sz w:val="19"/>
          <w:szCs w:val="19"/>
        </w:rPr>
        <w:t xml:space="preserve">The complex dielectric permittivity of the ITO layer can be described by the Drude model: </w:t>
      </w:r>
      <m:oMath>
        <m:sSub>
          <m:sSubPr>
            <m:ctrlPr>
              <w:rPr>
                <w:rFonts w:ascii="Cambria Math" w:eastAsia="Cambria Math" w:hAnsi="Cambria Math" w:cs="Arial"/>
                <w:sz w:val="19"/>
                <w:szCs w:val="19"/>
              </w:rPr>
            </m:ctrlPr>
          </m:sSubPr>
          <m:e>
            <m:r>
              <w:rPr>
                <w:rFonts w:ascii="Cambria Math" w:hAnsi="Cambria Math" w:cs="Arial"/>
                <w:sz w:val="19"/>
                <w:szCs w:val="19"/>
              </w:rPr>
              <m:t>ε</m:t>
            </m:r>
          </m:e>
          <m:sub>
            <m:r>
              <w:rPr>
                <w:rFonts w:ascii="Cambria Math" w:eastAsia="Cambria Math" w:hAnsi="Cambria Math" w:cs="Arial"/>
                <w:sz w:val="19"/>
                <w:szCs w:val="19"/>
              </w:rPr>
              <m:t>ITO</m:t>
            </m:r>
          </m:sub>
        </m:sSub>
        <m:r>
          <w:rPr>
            <w:rFonts w:ascii="Cambria Math" w:eastAsia="Cambria Math" w:hAnsi="Cambria Math" w:cs="Arial"/>
            <w:sz w:val="19"/>
            <w:szCs w:val="19"/>
          </w:rPr>
          <m:t>=</m:t>
        </m:r>
        <m:sSub>
          <m:sSubPr>
            <m:ctrlPr>
              <w:rPr>
                <w:rFonts w:ascii="Cambria Math" w:eastAsia="Cambria Math" w:hAnsi="Cambria Math" w:cs="Arial"/>
                <w:sz w:val="19"/>
                <w:szCs w:val="19"/>
              </w:rPr>
            </m:ctrlPr>
          </m:sSubPr>
          <m:e>
            <m:r>
              <w:rPr>
                <w:rFonts w:ascii="Cambria Math" w:eastAsia="Cambria Math" w:hAnsi="Cambria Math" w:cs="Arial"/>
                <w:sz w:val="19"/>
                <w:szCs w:val="19"/>
              </w:rPr>
              <m:t>ε</m:t>
            </m:r>
          </m:e>
          <m:sub>
            <m:r>
              <w:rPr>
                <w:rFonts w:ascii="Cambria Math" w:eastAsia="Cambria Math" w:hAnsi="Cambria Math" w:cs="Arial"/>
                <w:sz w:val="19"/>
                <w:szCs w:val="19"/>
              </w:rPr>
              <m:t>∞</m:t>
            </m:r>
          </m:sub>
        </m:sSub>
        <m:r>
          <w:rPr>
            <w:rFonts w:ascii="Cambria Math" w:eastAsia="Cambria Math" w:hAnsi="Cambria Math" w:cs="Arial"/>
            <w:sz w:val="19"/>
            <w:szCs w:val="19"/>
          </w:rPr>
          <m:t>-</m:t>
        </m:r>
        <m:f>
          <m:fPr>
            <m:ctrlPr>
              <w:rPr>
                <w:rFonts w:ascii="Cambria Math" w:eastAsia="Cambria Math" w:hAnsi="Cambria Math" w:cs="Arial"/>
                <w:sz w:val="19"/>
                <w:szCs w:val="19"/>
              </w:rPr>
            </m:ctrlPr>
          </m:fPr>
          <m:num>
            <m:sSubSup>
              <m:sSubSupPr>
                <m:ctrlPr>
                  <w:rPr>
                    <w:rFonts w:ascii="Cambria Math" w:eastAsia="Cambria Math" w:hAnsi="Cambria Math" w:cs="Arial"/>
                    <w:sz w:val="19"/>
                    <w:szCs w:val="19"/>
                  </w:rPr>
                </m:ctrlPr>
              </m:sSubSupPr>
              <m:e>
                <m:r>
                  <w:rPr>
                    <w:rFonts w:ascii="Cambria Math" w:eastAsia="Cambria Math" w:hAnsi="Cambria Math" w:cs="Arial"/>
                    <w:sz w:val="19"/>
                    <w:szCs w:val="19"/>
                  </w:rPr>
                  <m:t>ω</m:t>
                </m:r>
              </m:e>
              <m:sub>
                <m:r>
                  <w:rPr>
                    <w:rFonts w:ascii="Cambria Math" w:eastAsia="Cambria Math" w:hAnsi="Cambria Math" w:cs="Arial"/>
                    <w:sz w:val="19"/>
                    <w:szCs w:val="19"/>
                  </w:rPr>
                  <m:t>p</m:t>
                </m:r>
              </m:sub>
              <m:sup>
                <m:r>
                  <w:rPr>
                    <w:rFonts w:ascii="Cambria Math" w:eastAsia="Cambria Math" w:hAnsi="Cambria Math" w:cs="Arial"/>
                    <w:sz w:val="19"/>
                    <w:szCs w:val="19"/>
                  </w:rPr>
                  <m:t>2</m:t>
                </m:r>
              </m:sup>
            </m:sSubSup>
          </m:num>
          <m:den>
            <m:r>
              <w:rPr>
                <w:rFonts w:ascii="Cambria Math" w:eastAsia="Cambria Math" w:hAnsi="Cambria Math" w:cs="Arial"/>
                <w:sz w:val="19"/>
                <w:szCs w:val="19"/>
              </w:rPr>
              <m:t>(</m:t>
            </m:r>
            <m:sSup>
              <m:sSupPr>
                <m:ctrlPr>
                  <w:rPr>
                    <w:rFonts w:ascii="Cambria Math" w:eastAsia="Cambria Math" w:hAnsi="Cambria Math" w:cs="Arial"/>
                    <w:sz w:val="19"/>
                    <w:szCs w:val="19"/>
                  </w:rPr>
                </m:ctrlPr>
              </m:sSupPr>
              <m:e>
                <m:r>
                  <w:rPr>
                    <w:rFonts w:ascii="Cambria Math" w:eastAsia="Cambria Math" w:hAnsi="Cambria Math" w:cs="Arial"/>
                    <w:sz w:val="19"/>
                    <w:szCs w:val="19"/>
                  </w:rPr>
                  <m:t>ω</m:t>
                </m:r>
              </m:e>
              <m:sup>
                <m:r>
                  <w:rPr>
                    <w:rFonts w:ascii="Cambria Math" w:eastAsia="Cambria Math" w:hAnsi="Cambria Math" w:cs="Arial"/>
                    <w:sz w:val="19"/>
                    <w:szCs w:val="19"/>
                  </w:rPr>
                  <m:t>2</m:t>
                </m:r>
              </m:sup>
            </m:sSup>
            <m:r>
              <w:rPr>
                <w:rFonts w:ascii="Cambria Math" w:eastAsia="Cambria Math" w:hAnsi="Cambria Math" w:cs="Arial"/>
                <w:sz w:val="19"/>
                <w:szCs w:val="19"/>
              </w:rPr>
              <m:t>+iωΓ)</m:t>
            </m:r>
          </m:den>
        </m:f>
      </m:oMath>
      <w:r w:rsidRPr="00613F8A">
        <w:rPr>
          <w:rFonts w:ascii="Arial" w:eastAsia="Times New Roman" w:hAnsi="Arial" w:cs="Arial"/>
          <w:sz w:val="19"/>
          <w:szCs w:val="19"/>
        </w:rPr>
        <w:t xml:space="preserve">. Here, </w:t>
      </w:r>
      <m:oMath>
        <m:r>
          <w:rPr>
            <w:rFonts w:ascii="Cambria Math" w:hAnsi="Cambria Math" w:cs="Arial"/>
            <w:sz w:val="19"/>
            <w:szCs w:val="19"/>
          </w:rPr>
          <m:t>ω</m:t>
        </m:r>
      </m:oMath>
      <w:r w:rsidRPr="00613F8A">
        <w:rPr>
          <w:rFonts w:ascii="Arial" w:eastAsia="Times New Roman" w:hAnsi="Arial" w:cs="Arial"/>
          <w:sz w:val="19"/>
          <w:szCs w:val="19"/>
        </w:rPr>
        <w:t xml:space="preserve"> is the angular frequency of light and </w:t>
      </w:r>
      <m:oMath>
        <m:r>
          <w:rPr>
            <w:rFonts w:ascii="Cambria Math" w:hAnsi="Cambria Math" w:cs="Arial"/>
            <w:sz w:val="19"/>
            <w:szCs w:val="19"/>
          </w:rPr>
          <m:t>Γ</m:t>
        </m:r>
      </m:oMath>
      <w:r w:rsidRPr="00613F8A">
        <w:rPr>
          <w:rFonts w:ascii="Arial" w:eastAsia="Times New Roman" w:hAnsi="Arial" w:cs="Arial"/>
          <w:sz w:val="19"/>
          <w:szCs w:val="19"/>
        </w:rPr>
        <w:t xml:space="preserve"> is the damping constant. The plasma frequency </w:t>
      </w:r>
      <m:oMath>
        <m:sSub>
          <m:sSubPr>
            <m:ctrlPr>
              <w:rPr>
                <w:rFonts w:ascii="Cambria Math" w:eastAsia="Cambria Math" w:hAnsi="Cambria Math" w:cs="Arial"/>
                <w:sz w:val="19"/>
                <w:szCs w:val="19"/>
              </w:rPr>
            </m:ctrlPr>
          </m:sSubPr>
          <m:e>
            <m:r>
              <w:rPr>
                <w:rFonts w:ascii="Cambria Math" w:hAnsi="Cambria Math" w:cs="Arial"/>
                <w:sz w:val="19"/>
                <w:szCs w:val="19"/>
              </w:rPr>
              <m:t>ω</m:t>
            </m:r>
          </m:e>
          <m:sub>
            <m:r>
              <w:rPr>
                <w:rFonts w:ascii="Cambria Math" w:eastAsia="Cambria Math" w:hAnsi="Cambria Math" w:cs="Arial"/>
                <w:sz w:val="19"/>
                <w:szCs w:val="19"/>
              </w:rPr>
              <m:t>p</m:t>
            </m:r>
          </m:sub>
        </m:sSub>
      </m:oMath>
      <w:r w:rsidRPr="00613F8A">
        <w:rPr>
          <w:rFonts w:ascii="Arial" w:eastAsia="Times New Roman" w:hAnsi="Arial" w:cs="Arial"/>
          <w:sz w:val="19"/>
          <w:szCs w:val="19"/>
        </w:rPr>
        <w:t xml:space="preserve"> is related to the ITO charge carrier density </w:t>
      </w:r>
      <w:r w:rsidRPr="00613F8A">
        <w:rPr>
          <w:rFonts w:ascii="Arial" w:eastAsia="Times New Roman" w:hAnsi="Arial" w:cs="Arial"/>
          <w:i/>
          <w:sz w:val="19"/>
          <w:szCs w:val="19"/>
        </w:rPr>
        <w:t>N</w:t>
      </w:r>
      <w:r w:rsidRPr="00613F8A">
        <w:rPr>
          <w:rFonts w:ascii="Arial" w:eastAsia="Times New Roman" w:hAnsi="Arial" w:cs="Arial"/>
          <w:sz w:val="19"/>
          <w:szCs w:val="19"/>
        </w:rPr>
        <w:t xml:space="preserve"> and the effective electron mass </w:t>
      </w:r>
      <m:oMath>
        <m:sSup>
          <m:sSupPr>
            <m:ctrlPr>
              <w:rPr>
                <w:rFonts w:ascii="Cambria Math" w:eastAsia="Cambria Math" w:hAnsi="Cambria Math" w:cs="Arial"/>
                <w:sz w:val="19"/>
                <w:szCs w:val="19"/>
              </w:rPr>
            </m:ctrlPr>
          </m:sSupPr>
          <m:e>
            <m:r>
              <w:rPr>
                <w:rFonts w:ascii="Cambria Math" w:eastAsia="Cambria Math" w:hAnsi="Cambria Math" w:cs="Arial"/>
                <w:sz w:val="19"/>
                <w:szCs w:val="19"/>
              </w:rPr>
              <m:t>m</m:t>
            </m:r>
          </m:e>
          <m:sup>
            <m:r>
              <w:rPr>
                <w:rFonts w:ascii="Cambria Math" w:eastAsia="Cambria Math" w:hAnsi="Cambria Math" w:cs="Arial"/>
                <w:sz w:val="19"/>
                <w:szCs w:val="19"/>
              </w:rPr>
              <m:t>*</m:t>
            </m:r>
          </m:sup>
        </m:sSup>
      </m:oMath>
      <w:r w:rsidRPr="00613F8A">
        <w:rPr>
          <w:rFonts w:ascii="Arial" w:eastAsia="Times New Roman" w:hAnsi="Arial" w:cs="Arial"/>
          <w:sz w:val="19"/>
          <w:szCs w:val="19"/>
        </w:rPr>
        <w:t xml:space="preserve"> according to </w:t>
      </w:r>
      <m:oMath>
        <m:sSub>
          <m:sSubPr>
            <m:ctrlPr>
              <w:rPr>
                <w:rFonts w:ascii="Cambria Math" w:eastAsia="Cambria Math" w:hAnsi="Cambria Math" w:cs="Arial"/>
                <w:sz w:val="19"/>
                <w:szCs w:val="19"/>
              </w:rPr>
            </m:ctrlPr>
          </m:sSubPr>
          <m:e>
            <m:r>
              <w:rPr>
                <w:rFonts w:ascii="Cambria Math" w:hAnsi="Cambria Math" w:cs="Arial"/>
                <w:sz w:val="19"/>
                <w:szCs w:val="19"/>
              </w:rPr>
              <m:t>ω</m:t>
            </m:r>
          </m:e>
          <m:sub>
            <m:r>
              <w:rPr>
                <w:rFonts w:ascii="Cambria Math" w:eastAsia="Cambria Math" w:hAnsi="Cambria Math" w:cs="Arial"/>
                <w:sz w:val="19"/>
                <w:szCs w:val="19"/>
              </w:rPr>
              <m:t>p</m:t>
            </m:r>
          </m:sub>
        </m:sSub>
        <m:r>
          <w:rPr>
            <w:rFonts w:ascii="Cambria Math" w:eastAsia="Cambria Math" w:hAnsi="Cambria Math" w:cs="Arial"/>
            <w:sz w:val="19"/>
            <w:szCs w:val="19"/>
          </w:rPr>
          <m:t>=</m:t>
        </m:r>
        <m:rad>
          <m:radPr>
            <m:degHide m:val="1"/>
            <m:ctrlPr>
              <w:rPr>
                <w:rFonts w:ascii="Cambria Math" w:eastAsia="Cambria Math" w:hAnsi="Cambria Math" w:cs="Arial"/>
                <w:sz w:val="19"/>
                <w:szCs w:val="19"/>
              </w:rPr>
            </m:ctrlPr>
          </m:radPr>
          <m:deg/>
          <m:e>
            <m:f>
              <m:fPr>
                <m:ctrlPr>
                  <w:rPr>
                    <w:rFonts w:ascii="Cambria Math" w:eastAsia="Cambria Math" w:hAnsi="Cambria Math" w:cs="Arial"/>
                    <w:sz w:val="19"/>
                    <w:szCs w:val="19"/>
                  </w:rPr>
                </m:ctrlPr>
              </m:fPr>
              <m:num>
                <m:r>
                  <w:rPr>
                    <w:rFonts w:ascii="Cambria Math" w:eastAsia="Cambria Math" w:hAnsi="Cambria Math" w:cs="Arial"/>
                    <w:sz w:val="19"/>
                    <w:szCs w:val="19"/>
                  </w:rPr>
                  <m:t>N</m:t>
                </m:r>
                <m:sSup>
                  <m:sSupPr>
                    <m:ctrlPr>
                      <w:rPr>
                        <w:rFonts w:ascii="Cambria Math" w:eastAsia="Cambria Math" w:hAnsi="Cambria Math" w:cs="Arial"/>
                        <w:sz w:val="19"/>
                        <w:szCs w:val="19"/>
                      </w:rPr>
                    </m:ctrlPr>
                  </m:sSupPr>
                  <m:e>
                    <m:r>
                      <w:rPr>
                        <w:rFonts w:ascii="Cambria Math" w:eastAsia="Cambria Math" w:hAnsi="Cambria Math" w:cs="Arial"/>
                        <w:sz w:val="19"/>
                        <w:szCs w:val="19"/>
                      </w:rPr>
                      <m:t>e</m:t>
                    </m:r>
                  </m:e>
                  <m:sup>
                    <m:r>
                      <w:rPr>
                        <w:rFonts w:ascii="Cambria Math" w:eastAsia="Cambria Math" w:hAnsi="Cambria Math" w:cs="Arial"/>
                        <w:sz w:val="19"/>
                        <w:szCs w:val="19"/>
                      </w:rPr>
                      <m:t>2</m:t>
                    </m:r>
                  </m:sup>
                </m:sSup>
              </m:num>
              <m:den>
                <m:r>
                  <w:rPr>
                    <w:rFonts w:ascii="Cambria Math" w:eastAsia="Cambria Math" w:hAnsi="Cambria Math" w:cs="Arial"/>
                    <w:sz w:val="19"/>
                    <w:szCs w:val="19"/>
                  </w:rPr>
                  <m:t>(</m:t>
                </m:r>
                <m:sSub>
                  <m:sSubPr>
                    <m:ctrlPr>
                      <w:rPr>
                        <w:rFonts w:ascii="Cambria Math" w:eastAsia="Cambria Math" w:hAnsi="Cambria Math" w:cs="Arial"/>
                        <w:sz w:val="19"/>
                        <w:szCs w:val="19"/>
                      </w:rPr>
                    </m:ctrlPr>
                  </m:sSubPr>
                  <m:e>
                    <m:r>
                      <w:rPr>
                        <w:rFonts w:ascii="Cambria Math" w:eastAsia="Cambria Math" w:hAnsi="Cambria Math" w:cs="Arial"/>
                        <w:sz w:val="19"/>
                        <w:szCs w:val="19"/>
                      </w:rPr>
                      <m:t>ε</m:t>
                    </m:r>
                  </m:e>
                  <m:sub>
                    <m:r>
                      <w:rPr>
                        <w:rFonts w:ascii="Cambria Math" w:eastAsia="Cambria Math" w:hAnsi="Cambria Math" w:cs="Arial"/>
                        <w:sz w:val="19"/>
                        <w:szCs w:val="19"/>
                      </w:rPr>
                      <m:t>0</m:t>
                    </m:r>
                  </m:sub>
                </m:sSub>
                <m:sSup>
                  <m:sSupPr>
                    <m:ctrlPr>
                      <w:rPr>
                        <w:rFonts w:ascii="Cambria Math" w:eastAsia="Cambria Math" w:hAnsi="Cambria Math" w:cs="Arial"/>
                        <w:sz w:val="19"/>
                        <w:szCs w:val="19"/>
                      </w:rPr>
                    </m:ctrlPr>
                  </m:sSupPr>
                  <m:e>
                    <m:r>
                      <w:rPr>
                        <w:rFonts w:ascii="Cambria Math" w:eastAsia="Cambria Math" w:hAnsi="Cambria Math" w:cs="Arial"/>
                        <w:sz w:val="19"/>
                        <w:szCs w:val="19"/>
                      </w:rPr>
                      <m:t>m</m:t>
                    </m:r>
                  </m:e>
                  <m:sup>
                    <m:r>
                      <w:rPr>
                        <w:rFonts w:ascii="Cambria Math" w:eastAsia="Cambria Math" w:hAnsi="Cambria Math" w:cs="Arial"/>
                        <w:sz w:val="19"/>
                        <w:szCs w:val="19"/>
                      </w:rPr>
                      <m:t>*</m:t>
                    </m:r>
                  </m:sup>
                </m:sSup>
                <m:r>
                  <w:rPr>
                    <w:rFonts w:ascii="Cambria Math" w:eastAsia="Cambria Math" w:hAnsi="Cambria Math" w:cs="Arial"/>
                    <w:sz w:val="19"/>
                    <w:szCs w:val="19"/>
                  </w:rPr>
                  <m:t>)</m:t>
                </m:r>
              </m:den>
            </m:f>
          </m:e>
        </m:rad>
      </m:oMath>
      <w:r w:rsidRPr="00613F8A">
        <w:rPr>
          <w:rFonts w:ascii="Arial" w:eastAsia="Times New Roman" w:hAnsi="Arial" w:cs="Arial"/>
          <w:sz w:val="19"/>
          <w:szCs w:val="19"/>
        </w:rPr>
        <w:t xml:space="preserve">. In our simulations, we use </w:t>
      </w:r>
      <m:oMath>
        <m:r>
          <w:rPr>
            <w:rFonts w:ascii="Cambria Math" w:hAnsi="Cambria Math" w:cs="Arial"/>
            <w:sz w:val="19"/>
            <w:szCs w:val="19"/>
          </w:rPr>
          <m:t>Γ</m:t>
        </m:r>
      </m:oMath>
      <w:r w:rsidRPr="00613F8A">
        <w:rPr>
          <w:rFonts w:ascii="Arial" w:eastAsia="Times New Roman" w:hAnsi="Arial" w:cs="Arial"/>
          <w:i/>
          <w:sz w:val="19"/>
          <w:szCs w:val="19"/>
        </w:rPr>
        <w:t xml:space="preserve"> </w:t>
      </w:r>
      <w:r w:rsidRPr="00613F8A">
        <w:rPr>
          <w:rFonts w:ascii="Arial" w:eastAsia="Times New Roman" w:hAnsi="Arial" w:cs="Arial"/>
          <w:sz w:val="19"/>
          <w:szCs w:val="19"/>
        </w:rPr>
        <w:t>=1.8×10</w:t>
      </w:r>
      <w:r w:rsidRPr="00613F8A">
        <w:rPr>
          <w:rFonts w:ascii="Arial" w:eastAsia="Times New Roman" w:hAnsi="Arial" w:cs="Arial"/>
          <w:sz w:val="19"/>
          <w:szCs w:val="19"/>
          <w:vertAlign w:val="superscript"/>
        </w:rPr>
        <w:t>14</w:t>
      </w:r>
      <w:r w:rsidRPr="00613F8A">
        <w:rPr>
          <w:rFonts w:ascii="Arial" w:eastAsia="Times New Roman" w:hAnsi="Arial" w:cs="Arial"/>
          <w:sz w:val="19"/>
          <w:szCs w:val="19"/>
        </w:rPr>
        <w:t xml:space="preserve"> rad×Hz, </w:t>
      </w:r>
      <w:r w:rsidRPr="00613F8A">
        <w:rPr>
          <w:rFonts w:ascii="Arial" w:eastAsia="Times New Roman" w:hAnsi="Arial" w:cs="Arial"/>
          <w:i/>
          <w:sz w:val="19"/>
          <w:szCs w:val="19"/>
        </w:rPr>
        <w:t>m*</w:t>
      </w:r>
      <w:r w:rsidRPr="00613F8A">
        <w:rPr>
          <w:rFonts w:ascii="Arial" w:eastAsia="Times New Roman" w:hAnsi="Arial" w:cs="Arial"/>
          <w:sz w:val="19"/>
          <w:szCs w:val="19"/>
        </w:rPr>
        <w:t xml:space="preserve"> = 0.35 </w:t>
      </w:r>
      <w:r w:rsidRPr="00613F8A">
        <w:rPr>
          <w:rFonts w:ascii="Arial" w:eastAsia="Times New Roman" w:hAnsi="Arial" w:cs="Arial"/>
          <w:i/>
          <w:sz w:val="19"/>
          <w:szCs w:val="19"/>
        </w:rPr>
        <w:t>m</w:t>
      </w:r>
      <w:r w:rsidRPr="00613F8A">
        <w:rPr>
          <w:rFonts w:ascii="Arial" w:eastAsia="Times New Roman" w:hAnsi="Arial" w:cs="Arial"/>
          <w:i/>
          <w:sz w:val="19"/>
          <w:szCs w:val="19"/>
          <w:vertAlign w:val="subscript"/>
        </w:rPr>
        <w:t>e</w:t>
      </w:r>
      <w:r w:rsidRPr="00613F8A">
        <w:rPr>
          <w:rFonts w:ascii="Arial" w:eastAsia="Times New Roman" w:hAnsi="Arial" w:cs="Arial"/>
          <w:sz w:val="19"/>
          <w:szCs w:val="19"/>
        </w:rPr>
        <w:t xml:space="preserve">, and </w:t>
      </w:r>
      <m:oMath>
        <m:sSub>
          <m:sSubPr>
            <m:ctrlPr>
              <w:rPr>
                <w:rFonts w:ascii="Cambria Math" w:hAnsi="Cambria Math" w:cs="Arial"/>
                <w:sz w:val="19"/>
                <w:szCs w:val="19"/>
              </w:rPr>
            </m:ctrlPr>
          </m:sSubPr>
          <m:e>
            <m:r>
              <w:rPr>
                <w:rFonts w:ascii="Cambria Math" w:hAnsi="Cambria Math" w:cs="Arial"/>
                <w:sz w:val="19"/>
                <w:szCs w:val="19"/>
              </w:rPr>
              <m:t>ε</m:t>
            </m:r>
          </m:e>
          <m:sub>
            <m:r>
              <w:rPr>
                <w:rFonts w:ascii="Cambria Math" w:hAnsi="Cambria Math" w:cs="Arial"/>
                <w:sz w:val="19"/>
                <w:szCs w:val="19"/>
              </w:rPr>
              <m:t>∞</m:t>
            </m:r>
          </m:sub>
        </m:sSub>
      </m:oMath>
      <w:r w:rsidRPr="00613F8A">
        <w:rPr>
          <w:rFonts w:ascii="Arial" w:eastAsia="Times New Roman" w:hAnsi="Arial" w:cs="Arial"/>
          <w:sz w:val="19"/>
          <w:szCs w:val="19"/>
        </w:rPr>
        <w:t xml:space="preserve">=3.9, where </w:t>
      </w:r>
      <w:r w:rsidRPr="00613F8A">
        <w:rPr>
          <w:rFonts w:ascii="Arial" w:eastAsia="Times New Roman" w:hAnsi="Arial" w:cs="Arial"/>
          <w:i/>
          <w:sz w:val="19"/>
          <w:szCs w:val="19"/>
        </w:rPr>
        <w:t>m</w:t>
      </w:r>
      <w:r w:rsidRPr="00613F8A">
        <w:rPr>
          <w:rFonts w:ascii="Arial" w:eastAsia="Times New Roman" w:hAnsi="Arial" w:cs="Arial"/>
          <w:i/>
          <w:sz w:val="19"/>
          <w:szCs w:val="19"/>
          <w:vertAlign w:val="subscript"/>
        </w:rPr>
        <w:t>e</w:t>
      </w:r>
      <w:r w:rsidRPr="00613F8A">
        <w:rPr>
          <w:rFonts w:ascii="Arial" w:eastAsia="Times New Roman" w:hAnsi="Arial" w:cs="Arial"/>
          <w:sz w:val="19"/>
          <w:szCs w:val="19"/>
        </w:rPr>
        <w:t xml:space="preserve"> is the free electron mass.</w:t>
      </w:r>
      <w:r w:rsidRPr="00613F8A">
        <w:rPr>
          <w:rFonts w:ascii="Arial" w:eastAsia="Times New Roman" w:hAnsi="Arial" w:cs="Arial"/>
          <w:sz w:val="19"/>
          <w:szCs w:val="19"/>
          <w:vertAlign w:val="superscript"/>
        </w:rPr>
        <w:t>18</w:t>
      </w:r>
      <w:r w:rsidRPr="00613F8A">
        <w:rPr>
          <w:rFonts w:ascii="Arial" w:eastAsia="Times New Roman" w:hAnsi="Arial" w:cs="Arial"/>
          <w:sz w:val="19"/>
          <w:szCs w:val="19"/>
        </w:rPr>
        <w:t xml:space="preserve"> We also assume the bulk electron density of ITO is </w:t>
      </w:r>
      <w:r w:rsidRPr="00613F8A">
        <w:rPr>
          <w:rFonts w:ascii="Arial" w:eastAsia="Times New Roman" w:hAnsi="Arial" w:cs="Arial"/>
          <w:i/>
          <w:sz w:val="19"/>
          <w:szCs w:val="19"/>
        </w:rPr>
        <w:t>N</w:t>
      </w:r>
      <w:r w:rsidRPr="00613F8A">
        <w:rPr>
          <w:rFonts w:ascii="Arial" w:eastAsia="Times New Roman" w:hAnsi="Arial" w:cs="Arial"/>
          <w:sz w:val="19"/>
          <w:szCs w:val="19"/>
        </w:rPr>
        <w:t>=3×10</w:t>
      </w:r>
      <w:r w:rsidRPr="00613F8A">
        <w:rPr>
          <w:rFonts w:ascii="Arial" w:eastAsia="Times New Roman" w:hAnsi="Arial" w:cs="Arial"/>
          <w:sz w:val="19"/>
          <w:szCs w:val="19"/>
          <w:vertAlign w:val="superscript"/>
        </w:rPr>
        <w:t xml:space="preserve">20 </w:t>
      </w:r>
      <w:r w:rsidRPr="00613F8A">
        <w:rPr>
          <w:rFonts w:ascii="Arial" w:eastAsia="Times New Roman" w:hAnsi="Arial" w:cs="Arial"/>
          <w:sz w:val="19"/>
          <w:szCs w:val="19"/>
        </w:rPr>
        <w:t>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w:t>
      </w:r>
    </w:p>
    <w:p w14:paraId="2A1FF105" w14:textId="77777777" w:rsidR="005F45B6" w:rsidRPr="00613F8A" w:rsidRDefault="005F45B6" w:rsidP="00077E78">
      <w:pPr>
        <w:spacing w:after="0"/>
        <w:ind w:firstLine="720"/>
        <w:jc w:val="both"/>
        <w:rPr>
          <w:rFonts w:ascii="Arial" w:hAnsi="Arial" w:cs="Arial"/>
          <w:sz w:val="19"/>
          <w:szCs w:val="19"/>
        </w:rPr>
      </w:pPr>
      <w:r w:rsidRPr="00613F8A">
        <w:rPr>
          <w:rFonts w:ascii="Arial" w:hAnsi="Arial" w:cs="Arial"/>
          <w:sz w:val="19"/>
          <w:szCs w:val="19"/>
        </w:rPr>
        <w:t xml:space="preserve">As in the case of ITO, the complex dielectric permittivity of cadmium oxide (CdO) </w:t>
      </w:r>
      <w:r w:rsidRPr="00613F8A">
        <w:rPr>
          <w:rFonts w:ascii="Arial" w:hAnsi="Arial" w:cs="Arial"/>
          <w:i/>
          <w:sz w:val="19"/>
          <w:szCs w:val="19"/>
        </w:rPr>
        <w:t>ɛ</w:t>
      </w:r>
      <w:r w:rsidRPr="00613F8A">
        <w:rPr>
          <w:rFonts w:ascii="Arial" w:hAnsi="Arial" w:cs="Arial"/>
          <w:sz w:val="19"/>
          <w:szCs w:val="19"/>
          <w:vertAlign w:val="subscript"/>
        </w:rPr>
        <w:t xml:space="preserve">CdO </w:t>
      </w:r>
      <w:r w:rsidRPr="00613F8A">
        <w:rPr>
          <w:rFonts w:ascii="Arial" w:hAnsi="Arial" w:cs="Arial"/>
          <w:sz w:val="19"/>
          <w:szCs w:val="19"/>
        </w:rPr>
        <w:t xml:space="preserve">can also be described by the Drude model with the following Drude parameters: </w:t>
      </w:r>
      <m:oMath>
        <m:r>
          <w:rPr>
            <w:rFonts w:ascii="Cambria Math" w:hAnsi="Cambria Math" w:cs="Arial"/>
            <w:sz w:val="19"/>
            <w:szCs w:val="19"/>
          </w:rPr>
          <m:t>Γ</m:t>
        </m:r>
      </m:oMath>
      <w:r w:rsidRPr="00613F8A">
        <w:rPr>
          <w:rFonts w:ascii="Arial" w:hAnsi="Arial" w:cs="Arial"/>
          <w:i/>
          <w:sz w:val="19"/>
          <w:szCs w:val="19"/>
        </w:rPr>
        <w:t xml:space="preserve"> </w:t>
      </w:r>
      <w:r w:rsidRPr="00613F8A">
        <w:rPr>
          <w:rFonts w:ascii="Arial" w:hAnsi="Arial" w:cs="Arial"/>
          <w:sz w:val="19"/>
          <w:szCs w:val="19"/>
        </w:rPr>
        <w:t>=3.3×10</w:t>
      </w:r>
      <w:r w:rsidRPr="00613F8A">
        <w:rPr>
          <w:rFonts w:ascii="Arial" w:hAnsi="Arial" w:cs="Arial"/>
          <w:sz w:val="19"/>
          <w:szCs w:val="19"/>
          <w:vertAlign w:val="superscript"/>
        </w:rPr>
        <w:t>13</w:t>
      </w:r>
      <w:r w:rsidRPr="00613F8A">
        <w:rPr>
          <w:rFonts w:ascii="Arial" w:hAnsi="Arial" w:cs="Arial"/>
          <w:sz w:val="19"/>
          <w:szCs w:val="19"/>
        </w:rPr>
        <w:t xml:space="preserve"> </w:t>
      </w:r>
      <w:r w:rsidRPr="00613F8A">
        <w:rPr>
          <w:rFonts w:ascii="Arial" w:eastAsia="Times New Roman" w:hAnsi="Arial" w:cs="Arial"/>
          <w:sz w:val="19"/>
          <w:szCs w:val="19"/>
        </w:rPr>
        <w:t>rad×Hz</w:t>
      </w:r>
      <w:r w:rsidRPr="00613F8A">
        <w:rPr>
          <w:rFonts w:ascii="Arial" w:hAnsi="Arial" w:cs="Arial"/>
          <w:sz w:val="19"/>
          <w:szCs w:val="19"/>
        </w:rPr>
        <w:t xml:space="preserve">, </w:t>
      </w:r>
      <w:r w:rsidRPr="00613F8A">
        <w:rPr>
          <w:rFonts w:ascii="Arial" w:hAnsi="Arial" w:cs="Arial"/>
          <w:i/>
          <w:sz w:val="19"/>
          <w:szCs w:val="19"/>
        </w:rPr>
        <w:t>m*</w:t>
      </w:r>
      <w:r w:rsidRPr="00613F8A">
        <w:rPr>
          <w:rFonts w:ascii="Arial" w:hAnsi="Arial" w:cs="Arial"/>
          <w:sz w:val="19"/>
          <w:szCs w:val="19"/>
        </w:rPr>
        <w:t xml:space="preserve"> = 0.21 </w:t>
      </w:r>
      <w:r w:rsidRPr="00613F8A">
        <w:rPr>
          <w:rFonts w:ascii="Arial" w:hAnsi="Arial" w:cs="Arial"/>
          <w:i/>
          <w:sz w:val="19"/>
          <w:szCs w:val="19"/>
        </w:rPr>
        <w:t>m</w:t>
      </w:r>
      <w:r w:rsidRPr="00613F8A">
        <w:rPr>
          <w:rFonts w:ascii="Arial" w:hAnsi="Arial" w:cs="Arial"/>
          <w:i/>
          <w:sz w:val="19"/>
          <w:szCs w:val="19"/>
          <w:vertAlign w:val="subscript"/>
        </w:rPr>
        <w:t>e</w:t>
      </w:r>
      <w:r w:rsidRPr="00613F8A">
        <w:rPr>
          <w:rFonts w:ascii="Arial" w:hAnsi="Arial" w:cs="Arial"/>
          <w:sz w:val="19"/>
          <w:szCs w:val="19"/>
        </w:rPr>
        <w:t xml:space="preserve">, </w:t>
      </w:r>
      <m:oMath>
        <m:sSub>
          <m:sSubPr>
            <m:ctrlPr>
              <w:rPr>
                <w:rFonts w:ascii="Cambria Math" w:hAnsi="Cambria Math" w:cs="Arial"/>
                <w:i/>
                <w:sz w:val="19"/>
                <w:szCs w:val="19"/>
              </w:rPr>
            </m:ctrlPr>
          </m:sSubPr>
          <m:e>
            <m:r>
              <w:rPr>
                <w:rFonts w:ascii="Cambria Math" w:hAnsi="Cambria Math" w:cs="Arial"/>
                <w:sz w:val="19"/>
                <w:szCs w:val="19"/>
              </w:rPr>
              <m:t>ε</m:t>
            </m:r>
          </m:e>
          <m:sub>
            <m:r>
              <w:rPr>
                <w:rFonts w:ascii="Cambria Math" w:hAnsi="Cambria Math" w:cs="Arial"/>
                <w:sz w:val="19"/>
                <w:szCs w:val="19"/>
              </w:rPr>
              <m:t>∞</m:t>
            </m:r>
          </m:sub>
        </m:sSub>
      </m:oMath>
      <w:r w:rsidRPr="00613F8A">
        <w:rPr>
          <w:rFonts w:ascii="Arial" w:eastAsiaTheme="minorEastAsia" w:hAnsi="Arial" w:cs="Arial"/>
          <w:sz w:val="19"/>
          <w:szCs w:val="19"/>
        </w:rPr>
        <w:t>=5.5.</w:t>
      </w:r>
      <w:r w:rsidRPr="00613F8A">
        <w:rPr>
          <w:rFonts w:ascii="Arial" w:hAnsi="Arial" w:cs="Arial"/>
          <w:noProof/>
          <w:sz w:val="19"/>
          <w:szCs w:val="19"/>
          <w:vertAlign w:val="superscript"/>
        </w:rPr>
        <w:t>6</w:t>
      </w:r>
    </w:p>
    <w:p w14:paraId="266E0A69" w14:textId="77777777" w:rsidR="005F45B6" w:rsidRPr="00613F8A" w:rsidRDefault="005F45B6" w:rsidP="00C67443">
      <w:pPr>
        <w:spacing w:after="0"/>
        <w:jc w:val="both"/>
        <w:rPr>
          <w:rFonts w:ascii="Arial" w:hAnsi="Arial" w:cs="Arial"/>
          <w:sz w:val="19"/>
          <w:szCs w:val="19"/>
        </w:rPr>
      </w:pPr>
    </w:p>
    <w:p w14:paraId="66921D75" w14:textId="77777777" w:rsidR="005F45B6" w:rsidRPr="00613F8A" w:rsidRDefault="005F45B6" w:rsidP="00C67443">
      <w:pPr>
        <w:spacing w:after="0"/>
        <w:jc w:val="both"/>
        <w:rPr>
          <w:rFonts w:ascii="Arial" w:hAnsi="Arial" w:cs="Arial"/>
          <w:sz w:val="19"/>
          <w:szCs w:val="19"/>
        </w:rPr>
      </w:pPr>
    </w:p>
    <w:p w14:paraId="0E80FE01" w14:textId="77777777" w:rsidR="005F45B6" w:rsidRPr="00613F8A" w:rsidRDefault="005F45B6" w:rsidP="00C67443">
      <w:pPr>
        <w:spacing w:after="0"/>
        <w:jc w:val="both"/>
        <w:rPr>
          <w:rFonts w:ascii="Arial" w:hAnsi="Arial" w:cs="Arial"/>
          <w:sz w:val="19"/>
          <w:szCs w:val="19"/>
        </w:rPr>
      </w:pPr>
    </w:p>
    <w:p w14:paraId="059D2071" w14:textId="78385527" w:rsidR="005F45B6" w:rsidRDefault="005F45B6" w:rsidP="00C67443">
      <w:pPr>
        <w:spacing w:after="0"/>
        <w:jc w:val="both"/>
        <w:rPr>
          <w:rFonts w:ascii="Arial" w:hAnsi="Arial" w:cs="Arial"/>
          <w:sz w:val="19"/>
          <w:szCs w:val="19"/>
        </w:rPr>
      </w:pPr>
    </w:p>
    <w:p w14:paraId="2427BA0C" w14:textId="23192206" w:rsidR="00B17658" w:rsidRDefault="00B17658" w:rsidP="00C67443">
      <w:pPr>
        <w:spacing w:after="0"/>
        <w:jc w:val="both"/>
        <w:rPr>
          <w:rFonts w:ascii="Arial" w:hAnsi="Arial" w:cs="Arial"/>
          <w:sz w:val="19"/>
          <w:szCs w:val="19"/>
        </w:rPr>
      </w:pPr>
    </w:p>
    <w:p w14:paraId="163AF47C" w14:textId="6EC1E447" w:rsidR="00B17658" w:rsidRDefault="00B17658" w:rsidP="00C67443">
      <w:pPr>
        <w:spacing w:after="0"/>
        <w:jc w:val="both"/>
        <w:rPr>
          <w:rFonts w:ascii="Arial" w:hAnsi="Arial" w:cs="Arial"/>
          <w:sz w:val="19"/>
          <w:szCs w:val="19"/>
        </w:rPr>
      </w:pPr>
    </w:p>
    <w:p w14:paraId="1F5F7094" w14:textId="2B6EB01D" w:rsidR="00B17658" w:rsidRDefault="00B17658" w:rsidP="00C67443">
      <w:pPr>
        <w:spacing w:after="0"/>
        <w:jc w:val="both"/>
        <w:rPr>
          <w:rFonts w:ascii="Arial" w:hAnsi="Arial" w:cs="Arial"/>
          <w:sz w:val="19"/>
          <w:szCs w:val="19"/>
        </w:rPr>
      </w:pPr>
    </w:p>
    <w:p w14:paraId="506713EA" w14:textId="1D73C782" w:rsidR="00B17658" w:rsidRDefault="00B17658" w:rsidP="00C67443">
      <w:pPr>
        <w:spacing w:after="0"/>
        <w:jc w:val="both"/>
        <w:rPr>
          <w:rFonts w:ascii="Arial" w:hAnsi="Arial" w:cs="Arial"/>
          <w:sz w:val="19"/>
          <w:szCs w:val="19"/>
        </w:rPr>
      </w:pPr>
    </w:p>
    <w:p w14:paraId="7DB99559" w14:textId="53A37057" w:rsidR="00B17658" w:rsidRDefault="00B17658" w:rsidP="00C67443">
      <w:pPr>
        <w:spacing w:after="0"/>
        <w:jc w:val="both"/>
        <w:rPr>
          <w:rFonts w:ascii="Arial" w:hAnsi="Arial" w:cs="Arial"/>
          <w:sz w:val="19"/>
          <w:szCs w:val="19"/>
        </w:rPr>
      </w:pPr>
    </w:p>
    <w:p w14:paraId="4019A0EF" w14:textId="323FB6CF" w:rsidR="00B17658" w:rsidRDefault="00B17658" w:rsidP="00C67443">
      <w:pPr>
        <w:spacing w:after="0"/>
        <w:jc w:val="both"/>
        <w:rPr>
          <w:rFonts w:ascii="Arial" w:hAnsi="Arial" w:cs="Arial"/>
          <w:sz w:val="19"/>
          <w:szCs w:val="19"/>
        </w:rPr>
      </w:pPr>
    </w:p>
    <w:p w14:paraId="5154EFB3" w14:textId="427C9153" w:rsidR="00B17658" w:rsidRDefault="00B17658" w:rsidP="00C67443">
      <w:pPr>
        <w:spacing w:after="0"/>
        <w:jc w:val="both"/>
        <w:rPr>
          <w:rFonts w:ascii="Arial" w:hAnsi="Arial" w:cs="Arial"/>
          <w:sz w:val="19"/>
          <w:szCs w:val="19"/>
        </w:rPr>
      </w:pPr>
    </w:p>
    <w:p w14:paraId="3FDFFB30" w14:textId="0EB438B5" w:rsidR="00B17658" w:rsidRDefault="00B17658" w:rsidP="00C67443">
      <w:pPr>
        <w:spacing w:after="0"/>
        <w:jc w:val="both"/>
        <w:rPr>
          <w:rFonts w:ascii="Arial" w:hAnsi="Arial" w:cs="Arial"/>
          <w:sz w:val="19"/>
          <w:szCs w:val="19"/>
        </w:rPr>
      </w:pPr>
    </w:p>
    <w:p w14:paraId="32F02A2F" w14:textId="428F09EB" w:rsidR="00B17658" w:rsidRDefault="00B17658" w:rsidP="00C67443">
      <w:pPr>
        <w:spacing w:after="0"/>
        <w:jc w:val="both"/>
        <w:rPr>
          <w:rFonts w:ascii="Arial" w:hAnsi="Arial" w:cs="Arial"/>
          <w:sz w:val="19"/>
          <w:szCs w:val="19"/>
        </w:rPr>
      </w:pPr>
    </w:p>
    <w:p w14:paraId="047C42BC" w14:textId="2E18C8EA" w:rsidR="00B17658" w:rsidRDefault="00B17658" w:rsidP="00C67443">
      <w:pPr>
        <w:spacing w:after="0"/>
        <w:jc w:val="both"/>
        <w:rPr>
          <w:rFonts w:ascii="Arial" w:hAnsi="Arial" w:cs="Arial"/>
          <w:sz w:val="19"/>
          <w:szCs w:val="19"/>
        </w:rPr>
      </w:pPr>
    </w:p>
    <w:p w14:paraId="07E08FB4" w14:textId="4CF5A5EF" w:rsidR="00B17658" w:rsidRDefault="00B17658" w:rsidP="00C67443">
      <w:pPr>
        <w:spacing w:after="0"/>
        <w:jc w:val="both"/>
        <w:rPr>
          <w:rFonts w:ascii="Arial" w:hAnsi="Arial" w:cs="Arial"/>
          <w:sz w:val="19"/>
          <w:szCs w:val="19"/>
        </w:rPr>
      </w:pPr>
    </w:p>
    <w:p w14:paraId="06EBAED9" w14:textId="1A9F7953" w:rsidR="00B17658" w:rsidRDefault="00B17658" w:rsidP="00C67443">
      <w:pPr>
        <w:spacing w:after="0"/>
        <w:jc w:val="both"/>
        <w:rPr>
          <w:rFonts w:ascii="Arial" w:hAnsi="Arial" w:cs="Arial"/>
          <w:sz w:val="19"/>
          <w:szCs w:val="19"/>
        </w:rPr>
      </w:pPr>
    </w:p>
    <w:p w14:paraId="72FE2B5B" w14:textId="1BD249D5" w:rsidR="00B17658" w:rsidRDefault="00B17658" w:rsidP="00C67443">
      <w:pPr>
        <w:spacing w:after="0"/>
        <w:jc w:val="both"/>
        <w:rPr>
          <w:rFonts w:ascii="Arial" w:hAnsi="Arial" w:cs="Arial"/>
          <w:sz w:val="19"/>
          <w:szCs w:val="19"/>
        </w:rPr>
      </w:pPr>
    </w:p>
    <w:p w14:paraId="6D6728F3" w14:textId="77777777" w:rsidR="00B17658" w:rsidRPr="00613F8A" w:rsidRDefault="00B17658" w:rsidP="00C67443">
      <w:pPr>
        <w:spacing w:after="0"/>
        <w:jc w:val="both"/>
        <w:rPr>
          <w:rFonts w:ascii="Arial" w:hAnsi="Arial" w:cs="Arial"/>
          <w:sz w:val="19"/>
          <w:szCs w:val="19"/>
        </w:rPr>
      </w:pPr>
    </w:p>
    <w:p w14:paraId="77F24BBD" w14:textId="77777777" w:rsidR="005F45B6" w:rsidRPr="00613F8A" w:rsidRDefault="005F45B6" w:rsidP="00C67443">
      <w:pPr>
        <w:spacing w:after="0"/>
        <w:jc w:val="both"/>
        <w:rPr>
          <w:rFonts w:ascii="Arial" w:hAnsi="Arial" w:cs="Arial"/>
          <w:sz w:val="19"/>
          <w:szCs w:val="19"/>
        </w:rPr>
      </w:pPr>
    </w:p>
    <w:p w14:paraId="255096CF" w14:textId="77777777" w:rsidR="005F45B6" w:rsidRPr="00613F8A" w:rsidRDefault="005F45B6" w:rsidP="00C67443">
      <w:pPr>
        <w:spacing w:after="0"/>
        <w:jc w:val="both"/>
        <w:rPr>
          <w:rFonts w:ascii="Arial" w:hAnsi="Arial" w:cs="Arial"/>
          <w:sz w:val="19"/>
          <w:szCs w:val="19"/>
        </w:rPr>
      </w:pPr>
    </w:p>
    <w:p w14:paraId="1FB65480" w14:textId="77777777" w:rsidR="005F45B6" w:rsidRPr="00613F8A" w:rsidRDefault="005F45B6" w:rsidP="00C67443">
      <w:pPr>
        <w:spacing w:after="0"/>
        <w:jc w:val="both"/>
        <w:rPr>
          <w:rFonts w:ascii="Arial" w:hAnsi="Arial" w:cs="Arial"/>
          <w:sz w:val="19"/>
          <w:szCs w:val="19"/>
        </w:rPr>
      </w:pPr>
    </w:p>
    <w:p w14:paraId="30D4690D" w14:textId="77777777" w:rsidR="005F45B6" w:rsidRPr="00613F8A" w:rsidRDefault="005F45B6" w:rsidP="00C67443">
      <w:pPr>
        <w:spacing w:after="0"/>
        <w:jc w:val="both"/>
        <w:rPr>
          <w:rFonts w:ascii="Arial" w:hAnsi="Arial" w:cs="Arial"/>
          <w:sz w:val="19"/>
          <w:szCs w:val="19"/>
        </w:rPr>
      </w:pPr>
    </w:p>
    <w:p w14:paraId="5FCED430" w14:textId="77777777" w:rsidR="005F45B6" w:rsidRPr="00613F8A" w:rsidRDefault="005F45B6" w:rsidP="00C67443">
      <w:pPr>
        <w:spacing w:after="0"/>
        <w:jc w:val="both"/>
        <w:rPr>
          <w:rFonts w:ascii="Arial" w:hAnsi="Arial" w:cs="Arial"/>
          <w:sz w:val="19"/>
          <w:szCs w:val="19"/>
        </w:rPr>
      </w:pPr>
    </w:p>
    <w:p w14:paraId="006CB4B0" w14:textId="77777777" w:rsidR="005F45B6" w:rsidRPr="00613F8A" w:rsidRDefault="005F45B6">
      <w:pPr>
        <w:rPr>
          <w:rFonts w:ascii="Arial" w:hAnsi="Arial" w:cs="Arial"/>
          <w:b/>
          <w:bCs/>
          <w:sz w:val="19"/>
          <w:szCs w:val="19"/>
          <w:u w:val="single"/>
        </w:rPr>
      </w:pPr>
      <w:r w:rsidRPr="00613F8A">
        <w:rPr>
          <w:rFonts w:ascii="Arial" w:hAnsi="Arial" w:cs="Arial"/>
          <w:b/>
          <w:bCs/>
          <w:sz w:val="19"/>
          <w:szCs w:val="19"/>
          <w:u w:val="single"/>
        </w:rPr>
        <w:lastRenderedPageBreak/>
        <w:t xml:space="preserve">3. </w:t>
      </w:r>
      <w:bookmarkStart w:id="3" w:name="_Hlk65071035"/>
      <w:r w:rsidRPr="00613F8A">
        <w:rPr>
          <w:rFonts w:ascii="Arial" w:hAnsi="Arial" w:cs="Arial"/>
          <w:b/>
          <w:bCs/>
          <w:sz w:val="19"/>
          <w:szCs w:val="19"/>
          <w:u w:val="single"/>
        </w:rPr>
        <w:t>Phase shift and reflectance modulation by ITO-based active metasurfaces</w:t>
      </w:r>
      <w:bookmarkEnd w:id="3"/>
    </w:p>
    <w:p w14:paraId="655C8366" w14:textId="3F42A703" w:rsidR="005F45B6" w:rsidRPr="00613F8A" w:rsidRDefault="001B351B" w:rsidP="00B32B28">
      <w:pPr>
        <w:jc w:val="center"/>
        <w:rPr>
          <w:rFonts w:ascii="Arial" w:hAnsi="Arial" w:cs="Arial"/>
          <w:sz w:val="19"/>
          <w:szCs w:val="19"/>
        </w:rPr>
      </w:pPr>
      <w:r w:rsidRPr="001B351B">
        <w:t xml:space="preserve"> </w:t>
      </w:r>
      <w:r>
        <w:rPr>
          <w:noProof/>
        </w:rPr>
        <w:drawing>
          <wp:inline distT="0" distB="0" distL="0" distR="0" wp14:anchorId="316EAE43" wp14:editId="096BC55C">
            <wp:extent cx="4465135" cy="4880113"/>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2267" cy="4887908"/>
                    </a:xfrm>
                    <a:prstGeom prst="rect">
                      <a:avLst/>
                    </a:prstGeom>
                    <a:noFill/>
                    <a:ln>
                      <a:noFill/>
                    </a:ln>
                  </pic:spPr>
                </pic:pic>
              </a:graphicData>
            </a:graphic>
          </wp:inline>
        </w:drawing>
      </w:r>
    </w:p>
    <w:p w14:paraId="2929DA7E" w14:textId="77777777" w:rsidR="005F45B6" w:rsidRPr="00613F8A" w:rsidRDefault="005F45B6" w:rsidP="00D97D9D">
      <w:pPr>
        <w:jc w:val="both"/>
        <w:rPr>
          <w:rFonts w:ascii="Arial" w:hAnsi="Arial" w:cs="Arial"/>
          <w:sz w:val="19"/>
          <w:szCs w:val="19"/>
        </w:rPr>
      </w:pPr>
      <w:r w:rsidRPr="00613F8A">
        <w:rPr>
          <w:rFonts w:ascii="Arial" w:hAnsi="Arial" w:cs="Arial"/>
          <w:b/>
          <w:bCs/>
          <w:sz w:val="19"/>
          <w:szCs w:val="19"/>
        </w:rPr>
        <w:t>Figure S4.</w:t>
      </w:r>
      <w:r w:rsidRPr="00613F8A">
        <w:rPr>
          <w:rFonts w:ascii="Arial" w:hAnsi="Arial" w:cs="Arial"/>
          <w:sz w:val="19"/>
          <w:szCs w:val="19"/>
        </w:rPr>
        <w:t xml:space="preserve"> Electrically tunable optical response of the ITO-based gate-tunable metasurface schematically depicted in Fig. 1a. We plot the phase shift and the reflectance as a function of the carrier density of the active ITO layer for different fixed values of the operating wavelength. Legends indicate the values of the operating wavelengths in each case.</w:t>
      </w:r>
    </w:p>
    <w:p w14:paraId="45AFCB12" w14:textId="77777777" w:rsidR="005F45B6" w:rsidRPr="00613F8A" w:rsidRDefault="005F45B6" w:rsidP="00D97D9D">
      <w:pPr>
        <w:jc w:val="both"/>
        <w:rPr>
          <w:rFonts w:ascii="Arial" w:hAnsi="Arial" w:cs="Arial"/>
          <w:sz w:val="19"/>
          <w:szCs w:val="19"/>
        </w:rPr>
      </w:pPr>
    </w:p>
    <w:p w14:paraId="040E4D55" w14:textId="32CC7F8C" w:rsidR="005F45B6" w:rsidRDefault="005F45B6" w:rsidP="00D97D9D">
      <w:pPr>
        <w:jc w:val="both"/>
        <w:rPr>
          <w:rFonts w:ascii="Arial" w:hAnsi="Arial" w:cs="Arial"/>
          <w:sz w:val="19"/>
          <w:szCs w:val="19"/>
        </w:rPr>
      </w:pPr>
    </w:p>
    <w:p w14:paraId="6A45FD3E" w14:textId="77777777" w:rsidR="001B351B" w:rsidRPr="00613F8A" w:rsidRDefault="001B351B" w:rsidP="00D97D9D">
      <w:pPr>
        <w:jc w:val="both"/>
        <w:rPr>
          <w:rFonts w:ascii="Arial" w:hAnsi="Arial" w:cs="Arial"/>
          <w:sz w:val="19"/>
          <w:szCs w:val="19"/>
        </w:rPr>
      </w:pPr>
    </w:p>
    <w:p w14:paraId="33B9568C" w14:textId="77777777" w:rsidR="005F45B6" w:rsidRPr="00613F8A" w:rsidRDefault="005F45B6" w:rsidP="00D97D9D">
      <w:pPr>
        <w:jc w:val="both"/>
        <w:rPr>
          <w:rFonts w:ascii="Arial" w:hAnsi="Arial" w:cs="Arial"/>
          <w:sz w:val="19"/>
          <w:szCs w:val="19"/>
        </w:rPr>
      </w:pPr>
    </w:p>
    <w:p w14:paraId="683A1A30" w14:textId="77777777" w:rsidR="005F45B6" w:rsidRPr="00613F8A" w:rsidRDefault="005F45B6" w:rsidP="00D97D9D">
      <w:pPr>
        <w:jc w:val="both"/>
        <w:rPr>
          <w:rFonts w:ascii="Arial" w:hAnsi="Arial" w:cs="Arial"/>
          <w:sz w:val="19"/>
          <w:szCs w:val="19"/>
        </w:rPr>
      </w:pPr>
    </w:p>
    <w:p w14:paraId="180BA1C5" w14:textId="77777777" w:rsidR="005F45B6" w:rsidRPr="00613F8A" w:rsidRDefault="005F45B6" w:rsidP="00D97D9D">
      <w:pPr>
        <w:jc w:val="both"/>
        <w:rPr>
          <w:rFonts w:ascii="Arial" w:hAnsi="Arial" w:cs="Arial"/>
          <w:sz w:val="19"/>
          <w:szCs w:val="19"/>
        </w:rPr>
      </w:pPr>
    </w:p>
    <w:p w14:paraId="1149BF7C" w14:textId="475434BE" w:rsidR="005F45B6" w:rsidRDefault="005F45B6" w:rsidP="00D97D9D">
      <w:pPr>
        <w:jc w:val="both"/>
        <w:rPr>
          <w:rFonts w:ascii="Arial" w:hAnsi="Arial" w:cs="Arial"/>
          <w:sz w:val="19"/>
          <w:szCs w:val="19"/>
        </w:rPr>
      </w:pPr>
    </w:p>
    <w:p w14:paraId="04783F42" w14:textId="77777777" w:rsidR="00613F8A" w:rsidRPr="00613F8A" w:rsidRDefault="00613F8A" w:rsidP="00D97D9D">
      <w:pPr>
        <w:jc w:val="both"/>
        <w:rPr>
          <w:rFonts w:ascii="Arial" w:hAnsi="Arial" w:cs="Arial"/>
          <w:sz w:val="19"/>
          <w:szCs w:val="19"/>
        </w:rPr>
      </w:pPr>
    </w:p>
    <w:p w14:paraId="5543C55F" w14:textId="77777777" w:rsidR="005F45B6" w:rsidRPr="00613F8A" w:rsidRDefault="005F45B6" w:rsidP="00D97D9D">
      <w:pPr>
        <w:jc w:val="both"/>
        <w:rPr>
          <w:rFonts w:ascii="Arial" w:hAnsi="Arial" w:cs="Arial"/>
          <w:sz w:val="19"/>
          <w:szCs w:val="19"/>
        </w:rPr>
      </w:pPr>
    </w:p>
    <w:p w14:paraId="23F7B8BC" w14:textId="77777777" w:rsidR="005F45B6" w:rsidRPr="00613F8A" w:rsidRDefault="005F45B6">
      <w:pPr>
        <w:rPr>
          <w:rFonts w:ascii="Arial" w:hAnsi="Arial" w:cs="Arial"/>
          <w:b/>
          <w:bCs/>
          <w:sz w:val="19"/>
          <w:szCs w:val="19"/>
          <w:u w:val="single"/>
        </w:rPr>
      </w:pPr>
      <w:r w:rsidRPr="00613F8A">
        <w:rPr>
          <w:rFonts w:ascii="Arial" w:hAnsi="Arial" w:cs="Arial"/>
          <w:b/>
          <w:bCs/>
          <w:sz w:val="19"/>
          <w:szCs w:val="19"/>
          <w:u w:val="single"/>
        </w:rPr>
        <w:lastRenderedPageBreak/>
        <w:t>4. Absorbance in ITO-based active metasurfaces</w:t>
      </w:r>
    </w:p>
    <w:p w14:paraId="7176DB5C" w14:textId="77777777" w:rsidR="005F45B6" w:rsidRPr="00613F8A" w:rsidRDefault="005F45B6" w:rsidP="00843254">
      <w:pPr>
        <w:jc w:val="center"/>
        <w:rPr>
          <w:rFonts w:ascii="Arial" w:hAnsi="Arial" w:cs="Arial"/>
          <w:sz w:val="19"/>
          <w:szCs w:val="19"/>
        </w:rPr>
      </w:pPr>
      <w:r w:rsidRPr="00613F8A">
        <w:rPr>
          <w:rFonts w:ascii="Arial" w:hAnsi="Arial" w:cs="Arial"/>
          <w:noProof/>
          <w:sz w:val="19"/>
          <w:szCs w:val="19"/>
        </w:rPr>
        <w:drawing>
          <wp:inline distT="0" distB="0" distL="0" distR="0" wp14:anchorId="11F6B9B4" wp14:editId="413EF63F">
            <wp:extent cx="2693897" cy="2048628"/>
            <wp:effectExtent l="0" t="0" r="0" b="889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511" cy="2057460"/>
                    </a:xfrm>
                    <a:prstGeom prst="rect">
                      <a:avLst/>
                    </a:prstGeom>
                    <a:noFill/>
                    <a:ln>
                      <a:noFill/>
                    </a:ln>
                  </pic:spPr>
                </pic:pic>
              </a:graphicData>
            </a:graphic>
          </wp:inline>
        </w:drawing>
      </w:r>
    </w:p>
    <w:p w14:paraId="77CA5B2B" w14:textId="77777777" w:rsidR="005F45B6" w:rsidRPr="00613F8A" w:rsidRDefault="005F45B6" w:rsidP="00D03467">
      <w:pPr>
        <w:jc w:val="both"/>
        <w:rPr>
          <w:rFonts w:ascii="Arial" w:hAnsi="Arial" w:cs="Arial"/>
          <w:sz w:val="19"/>
          <w:szCs w:val="19"/>
        </w:rPr>
      </w:pPr>
      <w:r w:rsidRPr="00613F8A">
        <w:rPr>
          <w:rFonts w:ascii="Arial" w:hAnsi="Arial" w:cs="Arial"/>
          <w:b/>
          <w:bCs/>
          <w:sz w:val="19"/>
          <w:szCs w:val="19"/>
        </w:rPr>
        <w:t>Figure S5.</w:t>
      </w:r>
      <w:r w:rsidRPr="00613F8A">
        <w:rPr>
          <w:rFonts w:ascii="Arial" w:hAnsi="Arial" w:cs="Arial"/>
          <w:sz w:val="19"/>
          <w:szCs w:val="19"/>
        </w:rPr>
        <w:t xml:space="preserve"> a) Absorbance in ITO-based active metasurface as a function of wavelength and the carrier density in the active ITO layer. </w:t>
      </w:r>
    </w:p>
    <w:p w14:paraId="29187F7A" w14:textId="77777777" w:rsidR="005F45B6" w:rsidRPr="00613F8A" w:rsidRDefault="005F45B6" w:rsidP="00D03467">
      <w:pPr>
        <w:jc w:val="both"/>
        <w:rPr>
          <w:rFonts w:ascii="Arial" w:hAnsi="Arial" w:cs="Arial"/>
          <w:sz w:val="19"/>
          <w:szCs w:val="19"/>
        </w:rPr>
      </w:pPr>
    </w:p>
    <w:p w14:paraId="2BDF32BB" w14:textId="77777777" w:rsidR="005F45B6" w:rsidRPr="00613F8A" w:rsidRDefault="005F45B6" w:rsidP="00287136">
      <w:pPr>
        <w:jc w:val="center"/>
        <w:rPr>
          <w:rFonts w:ascii="Arial" w:hAnsi="Arial" w:cs="Arial"/>
          <w:sz w:val="19"/>
          <w:szCs w:val="19"/>
        </w:rPr>
      </w:pPr>
      <w:r w:rsidRPr="00613F8A">
        <w:rPr>
          <w:rFonts w:ascii="Arial" w:hAnsi="Arial" w:cs="Arial"/>
          <w:noProof/>
          <w:sz w:val="19"/>
          <w:szCs w:val="19"/>
        </w:rPr>
        <w:drawing>
          <wp:inline distT="0" distB="0" distL="0" distR="0" wp14:anchorId="2779B025" wp14:editId="02674C71">
            <wp:extent cx="5098211" cy="4007760"/>
            <wp:effectExtent l="0" t="0" r="7620" b="0"/>
            <wp:docPr id="19" name="Picture 19" descr="Graphical user interfac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PowerPoi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786" cy="4013715"/>
                    </a:xfrm>
                    <a:prstGeom prst="rect">
                      <a:avLst/>
                    </a:prstGeom>
                    <a:noFill/>
                    <a:ln>
                      <a:noFill/>
                    </a:ln>
                  </pic:spPr>
                </pic:pic>
              </a:graphicData>
            </a:graphic>
          </wp:inline>
        </w:drawing>
      </w:r>
    </w:p>
    <w:p w14:paraId="2CA9E762" w14:textId="77777777" w:rsidR="005F45B6" w:rsidRPr="00613F8A" w:rsidRDefault="005F45B6" w:rsidP="00B443FE">
      <w:pPr>
        <w:jc w:val="both"/>
        <w:rPr>
          <w:rFonts w:ascii="Arial" w:hAnsi="Arial" w:cs="Arial"/>
          <w:sz w:val="19"/>
          <w:szCs w:val="19"/>
        </w:rPr>
      </w:pPr>
      <w:r w:rsidRPr="00613F8A">
        <w:rPr>
          <w:rFonts w:ascii="Arial" w:hAnsi="Arial" w:cs="Arial"/>
          <w:b/>
          <w:bCs/>
          <w:sz w:val="19"/>
          <w:szCs w:val="19"/>
        </w:rPr>
        <w:t>Figure S6.</w:t>
      </w:r>
      <w:r w:rsidRPr="00613F8A">
        <w:rPr>
          <w:rFonts w:ascii="Arial" w:hAnsi="Arial" w:cs="Arial"/>
          <w:sz w:val="19"/>
          <w:szCs w:val="19"/>
        </w:rPr>
        <w:t xml:space="preserve"> Absorbance in different constituent layers of ITO-based active metasurface as a function of wavelength and the carrier density in the active ITO layer. Absorbance in a) the Au wire, b) the Au back plane, c) 4 nm-thick non-modulated ITO layer, d) 1 nm-thick ITO accumulation layer.</w:t>
      </w:r>
    </w:p>
    <w:p w14:paraId="0D1E5DF7" w14:textId="141F7F7A" w:rsidR="005F45B6" w:rsidRDefault="005F45B6" w:rsidP="00D03467">
      <w:pPr>
        <w:jc w:val="both"/>
        <w:rPr>
          <w:rFonts w:ascii="Arial" w:hAnsi="Arial" w:cs="Arial"/>
          <w:sz w:val="19"/>
          <w:szCs w:val="19"/>
        </w:rPr>
      </w:pPr>
    </w:p>
    <w:p w14:paraId="176A1D27" w14:textId="77777777" w:rsidR="00613F8A" w:rsidRPr="00613F8A" w:rsidRDefault="00613F8A" w:rsidP="00D03467">
      <w:pPr>
        <w:jc w:val="both"/>
        <w:rPr>
          <w:rFonts w:ascii="Arial" w:hAnsi="Arial" w:cs="Arial"/>
          <w:sz w:val="19"/>
          <w:szCs w:val="19"/>
        </w:rPr>
      </w:pPr>
    </w:p>
    <w:p w14:paraId="61078B85" w14:textId="77777777" w:rsidR="005F45B6" w:rsidRPr="00613F8A" w:rsidRDefault="005F45B6" w:rsidP="002B6836">
      <w:pPr>
        <w:rPr>
          <w:rFonts w:ascii="Arial" w:hAnsi="Arial" w:cs="Arial"/>
          <w:b/>
          <w:bCs/>
          <w:sz w:val="19"/>
          <w:szCs w:val="19"/>
          <w:u w:val="single"/>
        </w:rPr>
      </w:pPr>
      <w:r w:rsidRPr="00613F8A">
        <w:rPr>
          <w:rFonts w:ascii="Arial" w:hAnsi="Arial" w:cs="Arial"/>
          <w:b/>
          <w:bCs/>
          <w:sz w:val="19"/>
          <w:szCs w:val="19"/>
          <w:u w:val="single"/>
        </w:rPr>
        <w:lastRenderedPageBreak/>
        <w:t>5. Spatial distribution of the electric field inside ITO-based active metasurfaces</w:t>
      </w:r>
    </w:p>
    <w:p w14:paraId="79804F65" w14:textId="77777777" w:rsidR="005F45B6" w:rsidRPr="00613F8A" w:rsidRDefault="005F45B6" w:rsidP="001F0533">
      <w:pPr>
        <w:jc w:val="center"/>
        <w:rPr>
          <w:rFonts w:ascii="Arial" w:hAnsi="Arial" w:cs="Arial"/>
          <w:sz w:val="19"/>
          <w:szCs w:val="19"/>
        </w:rPr>
      </w:pPr>
      <w:r w:rsidRPr="00613F8A">
        <w:rPr>
          <w:rFonts w:ascii="Arial" w:hAnsi="Arial" w:cs="Arial"/>
          <w:noProof/>
          <w:sz w:val="19"/>
          <w:szCs w:val="19"/>
        </w:rPr>
        <w:drawing>
          <wp:inline distT="0" distB="0" distL="0" distR="0" wp14:anchorId="4FEC4C17" wp14:editId="372FDB4F">
            <wp:extent cx="3027872" cy="2416151"/>
            <wp:effectExtent l="0" t="0" r="1270" b="3810"/>
            <wp:docPr id="20" name="Picture 2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PowerPoi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553" cy="2427068"/>
                    </a:xfrm>
                    <a:prstGeom prst="rect">
                      <a:avLst/>
                    </a:prstGeom>
                    <a:noFill/>
                    <a:ln>
                      <a:noFill/>
                    </a:ln>
                  </pic:spPr>
                </pic:pic>
              </a:graphicData>
            </a:graphic>
          </wp:inline>
        </w:drawing>
      </w:r>
    </w:p>
    <w:p w14:paraId="4A72CCFA" w14:textId="77777777" w:rsidR="005F45B6" w:rsidRPr="00613F8A" w:rsidRDefault="005F45B6" w:rsidP="001F0533">
      <w:pPr>
        <w:jc w:val="both"/>
        <w:rPr>
          <w:rFonts w:ascii="Arial" w:eastAsia="Times New Roman" w:hAnsi="Arial" w:cs="Arial"/>
          <w:sz w:val="19"/>
          <w:szCs w:val="19"/>
        </w:rPr>
      </w:pPr>
      <w:r w:rsidRPr="00613F8A">
        <w:rPr>
          <w:rFonts w:ascii="Arial" w:hAnsi="Arial" w:cs="Arial"/>
          <w:b/>
          <w:bCs/>
          <w:sz w:val="19"/>
          <w:szCs w:val="19"/>
        </w:rPr>
        <w:t>Figure S7.</w:t>
      </w:r>
      <w:r w:rsidRPr="00613F8A">
        <w:rPr>
          <w:rFonts w:ascii="Arial" w:hAnsi="Arial" w:cs="Arial"/>
          <w:sz w:val="19"/>
          <w:szCs w:val="19"/>
        </w:rPr>
        <w:t xml:space="preserve"> </w:t>
      </w:r>
      <w:r w:rsidRPr="00613F8A">
        <w:rPr>
          <w:rFonts w:ascii="Arial" w:eastAsia="Times New Roman" w:hAnsi="Arial" w:cs="Arial"/>
          <w:sz w:val="19"/>
          <w:szCs w:val="19"/>
        </w:rPr>
        <w:t>a) Spatial distribution of the electric field |</w:t>
      </w:r>
      <w:r w:rsidRPr="00613F8A">
        <w:rPr>
          <w:rFonts w:ascii="Arial" w:eastAsia="Times New Roman" w:hAnsi="Arial" w:cs="Arial"/>
          <w:b/>
          <w:sz w:val="19"/>
          <w:szCs w:val="19"/>
        </w:rPr>
        <w:t>E</w:t>
      </w:r>
      <w:r w:rsidRPr="00613F8A">
        <w:rPr>
          <w:rFonts w:ascii="Arial" w:eastAsia="Times New Roman" w:hAnsi="Arial" w:cs="Arial"/>
          <w:sz w:val="19"/>
          <w:szCs w:val="19"/>
        </w:rPr>
        <w:t>| inside the ITO-based active metasurface at no applied bias. b) Power absorbed per unit volume (absorption density) in the metasurface unit cell at zero applied bias and for an irradiance of 3.5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c) Spatial distribution of the electric field |</w:t>
      </w:r>
      <w:r w:rsidRPr="00613F8A">
        <w:rPr>
          <w:rFonts w:ascii="Arial" w:eastAsia="Times New Roman" w:hAnsi="Arial" w:cs="Arial"/>
          <w:b/>
          <w:sz w:val="19"/>
          <w:szCs w:val="19"/>
        </w:rPr>
        <w:t>E</w:t>
      </w:r>
      <w:r w:rsidRPr="00613F8A">
        <w:rPr>
          <w:rFonts w:ascii="Arial" w:eastAsia="Times New Roman" w:hAnsi="Arial" w:cs="Arial"/>
          <w:sz w:val="19"/>
          <w:szCs w:val="19"/>
        </w:rPr>
        <w:t>| inside the ITO-based active metasurface when the accumulation layer of ITO is in the ENZ regime (</w:t>
      </w:r>
      <w:r w:rsidRPr="00613F8A">
        <w:rPr>
          <w:rFonts w:ascii="Arial" w:eastAsia="Times New Roman" w:hAnsi="Arial" w:cs="Arial"/>
          <w:i/>
          <w:sz w:val="19"/>
          <w:szCs w:val="19"/>
        </w:rPr>
        <w:t>N</w:t>
      </w:r>
      <w:r w:rsidRPr="00613F8A">
        <w:rPr>
          <w:rFonts w:ascii="Arial" w:eastAsia="Times New Roman" w:hAnsi="Arial" w:cs="Arial"/>
          <w:sz w:val="19"/>
          <w:szCs w:val="19"/>
          <w:vertAlign w:val="subscript"/>
        </w:rPr>
        <w:t>acc</w:t>
      </w:r>
      <w:r w:rsidRPr="00613F8A">
        <w:rPr>
          <w:rFonts w:ascii="Arial" w:eastAsia="Times New Roman" w:hAnsi="Arial" w:cs="Arial"/>
          <w:sz w:val="19"/>
          <w:szCs w:val="19"/>
        </w:rPr>
        <w:t>=6.5×10</w:t>
      </w:r>
      <w:r w:rsidRPr="00613F8A">
        <w:rPr>
          <w:rFonts w:ascii="Arial" w:eastAsia="Times New Roman" w:hAnsi="Arial" w:cs="Arial"/>
          <w:sz w:val="19"/>
          <w:szCs w:val="19"/>
          <w:vertAlign w:val="superscript"/>
        </w:rPr>
        <w:t xml:space="preserve">20 </w:t>
      </w:r>
      <w:r w:rsidRPr="00613F8A">
        <w:rPr>
          <w:rFonts w:ascii="Arial" w:eastAsia="Times New Roman" w:hAnsi="Arial" w:cs="Arial"/>
          <w:sz w:val="19"/>
          <w:szCs w:val="19"/>
        </w:rPr>
        <w:t>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 d) Spatial distribution of the electric field |</w:t>
      </w:r>
      <w:r w:rsidRPr="00613F8A">
        <w:rPr>
          <w:rFonts w:ascii="Arial" w:eastAsia="Times New Roman" w:hAnsi="Arial" w:cs="Arial"/>
          <w:b/>
          <w:sz w:val="19"/>
          <w:szCs w:val="19"/>
        </w:rPr>
        <w:t>E</w:t>
      </w:r>
      <w:r w:rsidRPr="00613F8A">
        <w:rPr>
          <w:rFonts w:ascii="Arial" w:eastAsia="Times New Roman" w:hAnsi="Arial" w:cs="Arial"/>
          <w:sz w:val="19"/>
          <w:szCs w:val="19"/>
        </w:rPr>
        <w:t>| inside the metasurface when the accumulation layer of ITO is in the ENZ regime (</w:t>
      </w:r>
      <w:r w:rsidRPr="00613F8A">
        <w:rPr>
          <w:rFonts w:ascii="Arial" w:eastAsia="Times New Roman" w:hAnsi="Arial" w:cs="Arial"/>
          <w:i/>
          <w:sz w:val="19"/>
          <w:szCs w:val="19"/>
        </w:rPr>
        <w:t>N</w:t>
      </w:r>
      <w:r w:rsidRPr="00613F8A">
        <w:rPr>
          <w:rFonts w:ascii="Arial" w:eastAsia="Times New Roman" w:hAnsi="Arial" w:cs="Arial"/>
          <w:sz w:val="19"/>
          <w:szCs w:val="19"/>
          <w:vertAlign w:val="subscript"/>
        </w:rPr>
        <w:t>acc</w:t>
      </w:r>
      <w:r w:rsidRPr="00613F8A">
        <w:rPr>
          <w:rFonts w:ascii="Arial" w:eastAsia="Times New Roman" w:hAnsi="Arial" w:cs="Arial"/>
          <w:sz w:val="19"/>
          <w:szCs w:val="19"/>
        </w:rPr>
        <w:t>=6.5×10</w:t>
      </w:r>
      <w:r w:rsidRPr="00613F8A">
        <w:rPr>
          <w:rFonts w:ascii="Arial" w:eastAsia="Times New Roman" w:hAnsi="Arial" w:cs="Arial"/>
          <w:sz w:val="19"/>
          <w:szCs w:val="19"/>
          <w:vertAlign w:val="superscript"/>
        </w:rPr>
        <w:t xml:space="preserve">20 </w:t>
      </w:r>
      <w:r w:rsidRPr="00613F8A">
        <w:rPr>
          <w:rFonts w:ascii="Arial" w:eastAsia="Times New Roman" w:hAnsi="Arial" w:cs="Arial"/>
          <w:sz w:val="19"/>
          <w:szCs w:val="19"/>
        </w:rPr>
        <w:t>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 xml:space="preserve">). </w:t>
      </w:r>
    </w:p>
    <w:p w14:paraId="312E7341" w14:textId="77777777" w:rsidR="005F45B6" w:rsidRPr="00613F8A" w:rsidRDefault="005F45B6" w:rsidP="001F0533">
      <w:pPr>
        <w:jc w:val="both"/>
        <w:rPr>
          <w:rFonts w:ascii="Arial" w:eastAsia="Times New Roman" w:hAnsi="Arial" w:cs="Arial"/>
          <w:sz w:val="19"/>
          <w:szCs w:val="19"/>
        </w:rPr>
      </w:pPr>
    </w:p>
    <w:p w14:paraId="5E0855AF" w14:textId="77777777" w:rsidR="005F45B6" w:rsidRPr="00613F8A" w:rsidRDefault="005F45B6" w:rsidP="001F0533">
      <w:pPr>
        <w:jc w:val="both"/>
        <w:rPr>
          <w:rFonts w:ascii="Arial" w:eastAsia="Times New Roman" w:hAnsi="Arial" w:cs="Arial"/>
          <w:sz w:val="19"/>
          <w:szCs w:val="19"/>
        </w:rPr>
      </w:pPr>
      <w:r w:rsidRPr="00613F8A">
        <w:rPr>
          <w:rFonts w:ascii="Arial" w:eastAsia="Times New Roman" w:hAnsi="Arial" w:cs="Arial"/>
          <w:sz w:val="19"/>
          <w:szCs w:val="19"/>
        </w:rPr>
        <w:t>Figure S7 plots the spatial distribution of the optical electric field inside the metasurface as well as the calculated absorption density. In the case when no electrical bias is applied, we observe that the electric field is concentrated in the dielectric spacer between the Au wire and the Au back reflector (Figure S7a).  Figure S7b plots the calculated absorption density in the case without applied bias. Note that we left blank the spatial areas in which the lossless (non-absorbant) HAOL and SiO</w:t>
      </w:r>
      <w:r w:rsidRPr="00613F8A">
        <w:rPr>
          <w:rFonts w:ascii="Arial" w:eastAsia="Times New Roman" w:hAnsi="Arial" w:cs="Arial"/>
          <w:sz w:val="19"/>
          <w:szCs w:val="19"/>
          <w:vertAlign w:val="subscript"/>
        </w:rPr>
        <w:t>2</w:t>
      </w:r>
      <w:r w:rsidRPr="00613F8A">
        <w:rPr>
          <w:rFonts w:ascii="Arial" w:eastAsia="Times New Roman" w:hAnsi="Arial" w:cs="Arial"/>
          <w:sz w:val="19"/>
          <w:szCs w:val="19"/>
        </w:rPr>
        <w:t xml:space="preserve"> layers are located. The calculated absorption density exhibits significant enhancement in the ITO layer as well as at the bottom surface of the Au wire and at the top surface of the Au back reflector. When the ITO accumulation layer is in the ENZ regime, we observe a strong optical electrical field enhancement in the </w:t>
      </w:r>
      <w:r w:rsidRPr="00613F8A">
        <w:rPr>
          <w:rFonts w:ascii="Arial" w:hAnsi="Arial" w:cs="Arial"/>
          <w:sz w:val="19"/>
          <w:szCs w:val="19"/>
        </w:rPr>
        <w:t>1-nm–thick</w:t>
      </w:r>
      <w:r w:rsidRPr="00613F8A">
        <w:rPr>
          <w:rFonts w:ascii="Arial" w:eastAsia="Times New Roman" w:hAnsi="Arial" w:cs="Arial"/>
          <w:sz w:val="19"/>
          <w:szCs w:val="19"/>
        </w:rPr>
        <w:t xml:space="preserve"> active layer (Figure S7c). The calculated absorption density also exhibits enhancement in the </w:t>
      </w:r>
      <w:r w:rsidRPr="00613F8A">
        <w:rPr>
          <w:rFonts w:ascii="Arial" w:hAnsi="Arial" w:cs="Arial"/>
          <w:sz w:val="19"/>
          <w:szCs w:val="19"/>
        </w:rPr>
        <w:t>1-nm–thick</w:t>
      </w:r>
      <w:r w:rsidRPr="00613F8A">
        <w:rPr>
          <w:rFonts w:ascii="Arial" w:eastAsia="Times New Roman" w:hAnsi="Arial" w:cs="Arial"/>
          <w:sz w:val="19"/>
          <w:szCs w:val="19"/>
        </w:rPr>
        <w:t xml:space="preserve"> ITO accumulation layer (Figure S7d).</w:t>
      </w:r>
    </w:p>
    <w:p w14:paraId="00CC08F3" w14:textId="77777777" w:rsidR="005F45B6" w:rsidRPr="00613F8A" w:rsidRDefault="005F45B6" w:rsidP="001F0533">
      <w:pPr>
        <w:jc w:val="both"/>
        <w:rPr>
          <w:rFonts w:ascii="Arial" w:eastAsia="Times New Roman" w:hAnsi="Arial" w:cs="Arial"/>
          <w:sz w:val="19"/>
          <w:szCs w:val="19"/>
        </w:rPr>
      </w:pPr>
    </w:p>
    <w:p w14:paraId="0D0A3D74" w14:textId="77777777" w:rsidR="00613F8A" w:rsidRDefault="00613F8A" w:rsidP="00D90B47">
      <w:pPr>
        <w:jc w:val="both"/>
        <w:rPr>
          <w:rFonts w:ascii="Arial" w:hAnsi="Arial" w:cs="Arial"/>
          <w:b/>
          <w:bCs/>
          <w:sz w:val="19"/>
          <w:szCs w:val="19"/>
          <w:u w:val="single"/>
        </w:rPr>
      </w:pPr>
    </w:p>
    <w:p w14:paraId="3E090521" w14:textId="77777777" w:rsidR="00613F8A" w:rsidRDefault="00613F8A" w:rsidP="00D90B47">
      <w:pPr>
        <w:jc w:val="both"/>
        <w:rPr>
          <w:rFonts w:ascii="Arial" w:hAnsi="Arial" w:cs="Arial"/>
          <w:b/>
          <w:bCs/>
          <w:sz w:val="19"/>
          <w:szCs w:val="19"/>
          <w:u w:val="single"/>
        </w:rPr>
      </w:pPr>
    </w:p>
    <w:p w14:paraId="2A6946C5" w14:textId="77777777" w:rsidR="00613F8A" w:rsidRDefault="00613F8A" w:rsidP="00D90B47">
      <w:pPr>
        <w:jc w:val="both"/>
        <w:rPr>
          <w:rFonts w:ascii="Arial" w:hAnsi="Arial" w:cs="Arial"/>
          <w:b/>
          <w:bCs/>
          <w:sz w:val="19"/>
          <w:szCs w:val="19"/>
          <w:u w:val="single"/>
        </w:rPr>
      </w:pPr>
    </w:p>
    <w:p w14:paraId="02B7630B" w14:textId="77777777" w:rsidR="00613F8A" w:rsidRDefault="00613F8A" w:rsidP="00D90B47">
      <w:pPr>
        <w:jc w:val="both"/>
        <w:rPr>
          <w:rFonts w:ascii="Arial" w:hAnsi="Arial" w:cs="Arial"/>
          <w:b/>
          <w:bCs/>
          <w:sz w:val="19"/>
          <w:szCs w:val="19"/>
          <w:u w:val="single"/>
        </w:rPr>
      </w:pPr>
    </w:p>
    <w:p w14:paraId="74683A93" w14:textId="77777777" w:rsidR="00613F8A" w:rsidRDefault="00613F8A" w:rsidP="00D90B47">
      <w:pPr>
        <w:jc w:val="both"/>
        <w:rPr>
          <w:rFonts w:ascii="Arial" w:hAnsi="Arial" w:cs="Arial"/>
          <w:b/>
          <w:bCs/>
          <w:sz w:val="19"/>
          <w:szCs w:val="19"/>
          <w:u w:val="single"/>
        </w:rPr>
      </w:pPr>
    </w:p>
    <w:p w14:paraId="48F3BC9B" w14:textId="77777777" w:rsidR="00613F8A" w:rsidRDefault="00613F8A" w:rsidP="00D90B47">
      <w:pPr>
        <w:jc w:val="both"/>
        <w:rPr>
          <w:rFonts w:ascii="Arial" w:hAnsi="Arial" w:cs="Arial"/>
          <w:b/>
          <w:bCs/>
          <w:sz w:val="19"/>
          <w:szCs w:val="19"/>
          <w:u w:val="single"/>
        </w:rPr>
      </w:pPr>
    </w:p>
    <w:p w14:paraId="4CF79E81" w14:textId="77777777" w:rsidR="00613F8A" w:rsidRDefault="00613F8A" w:rsidP="00D90B47">
      <w:pPr>
        <w:jc w:val="both"/>
        <w:rPr>
          <w:rFonts w:ascii="Arial" w:hAnsi="Arial" w:cs="Arial"/>
          <w:b/>
          <w:bCs/>
          <w:sz w:val="19"/>
          <w:szCs w:val="19"/>
          <w:u w:val="single"/>
        </w:rPr>
      </w:pPr>
    </w:p>
    <w:p w14:paraId="5F4451F6" w14:textId="77777777" w:rsidR="00613F8A" w:rsidRDefault="00613F8A" w:rsidP="00D90B47">
      <w:pPr>
        <w:jc w:val="both"/>
        <w:rPr>
          <w:rFonts w:ascii="Arial" w:hAnsi="Arial" w:cs="Arial"/>
          <w:b/>
          <w:bCs/>
          <w:sz w:val="19"/>
          <w:szCs w:val="19"/>
          <w:u w:val="single"/>
        </w:rPr>
      </w:pPr>
    </w:p>
    <w:p w14:paraId="0D7340BE" w14:textId="77777777" w:rsidR="00613F8A" w:rsidRDefault="00613F8A" w:rsidP="00D90B47">
      <w:pPr>
        <w:jc w:val="both"/>
        <w:rPr>
          <w:rFonts w:ascii="Arial" w:hAnsi="Arial" w:cs="Arial"/>
          <w:b/>
          <w:bCs/>
          <w:sz w:val="19"/>
          <w:szCs w:val="19"/>
          <w:u w:val="single"/>
        </w:rPr>
      </w:pPr>
    </w:p>
    <w:p w14:paraId="7B3A9D97" w14:textId="77777777" w:rsidR="00613F8A" w:rsidRDefault="00613F8A" w:rsidP="00D90B47">
      <w:pPr>
        <w:jc w:val="both"/>
        <w:rPr>
          <w:rFonts w:ascii="Arial" w:hAnsi="Arial" w:cs="Arial"/>
          <w:b/>
          <w:bCs/>
          <w:sz w:val="19"/>
          <w:szCs w:val="19"/>
          <w:u w:val="single"/>
        </w:rPr>
      </w:pPr>
    </w:p>
    <w:p w14:paraId="2E7FF4BF" w14:textId="19876BAD" w:rsidR="005F45B6" w:rsidRPr="00613F8A" w:rsidRDefault="005F45B6" w:rsidP="00D90B47">
      <w:pPr>
        <w:jc w:val="both"/>
        <w:rPr>
          <w:rFonts w:ascii="Arial" w:hAnsi="Arial" w:cs="Arial"/>
          <w:b/>
          <w:bCs/>
          <w:sz w:val="19"/>
          <w:szCs w:val="19"/>
          <w:u w:val="single"/>
        </w:rPr>
      </w:pPr>
      <w:r w:rsidRPr="00613F8A">
        <w:rPr>
          <w:rFonts w:ascii="Arial" w:hAnsi="Arial" w:cs="Arial"/>
          <w:b/>
          <w:bCs/>
          <w:sz w:val="19"/>
          <w:szCs w:val="19"/>
          <w:u w:val="single"/>
        </w:rPr>
        <w:lastRenderedPageBreak/>
        <w:t>6. Thermal behavior of ITO-based active metasurfaces: CW regime</w:t>
      </w:r>
    </w:p>
    <w:p w14:paraId="7DDD0C24" w14:textId="297EC657" w:rsidR="005F45B6" w:rsidRPr="00613F8A" w:rsidRDefault="005F45B6" w:rsidP="008B4193">
      <w:pPr>
        <w:spacing w:after="0"/>
        <w:jc w:val="both"/>
        <w:rPr>
          <w:rFonts w:ascii="Arial" w:eastAsia="Times New Roman" w:hAnsi="Arial" w:cs="Arial"/>
          <w:sz w:val="19"/>
          <w:szCs w:val="19"/>
        </w:rPr>
      </w:pPr>
      <w:r w:rsidRPr="00613F8A">
        <w:rPr>
          <w:rFonts w:ascii="Arial" w:eastAsia="Times New Roman" w:hAnsi="Arial" w:cs="Arial"/>
          <w:sz w:val="19"/>
          <w:szCs w:val="19"/>
        </w:rPr>
        <w:t xml:space="preserve">Next, we identify the key optical and material parameters which drive the temperature rise in the metasurface during CW illumination. Reducing the amount of the absorbed power will, clearly, reduce the temperature rise of the metasurface. To further explore the effect of the reduced absorptance, we plot the peak temperature in the metasurface as a function of the wavelength of the incoming light with an irradiance </w:t>
      </w:r>
    </w:p>
    <w:p w14:paraId="2427B4BB" w14:textId="77777777" w:rsidR="005F45B6" w:rsidRPr="00613F8A" w:rsidRDefault="005F45B6" w:rsidP="00C5620A">
      <w:pPr>
        <w:rPr>
          <w:rFonts w:ascii="Arial" w:eastAsia="Times New Roman" w:hAnsi="Arial" w:cs="Arial"/>
          <w:sz w:val="19"/>
          <w:szCs w:val="19"/>
        </w:rPr>
      </w:pPr>
      <w:r w:rsidRPr="00613F8A">
        <w:rPr>
          <w:rFonts w:ascii="Arial" w:eastAsia="Times New Roman" w:hAnsi="Arial" w:cs="Arial"/>
          <w:noProof/>
          <w:sz w:val="19"/>
          <w:szCs w:val="19"/>
        </w:rPr>
        <w:drawing>
          <wp:inline distT="0" distB="0" distL="0" distR="0" wp14:anchorId="41FD4515" wp14:editId="2C50193C">
            <wp:extent cx="5943600" cy="4408866"/>
            <wp:effectExtent l="0" t="0" r="0" b="0"/>
            <wp:docPr id="11" name="image3.png" descr="C:\Users\sruza\Documents\2019\LLNL\manuscript\Figures\Figure3.PNG"/>
            <wp:cNvGraphicFramePr/>
            <a:graphic xmlns:a="http://schemas.openxmlformats.org/drawingml/2006/main">
              <a:graphicData uri="http://schemas.openxmlformats.org/drawingml/2006/picture">
                <pic:pic xmlns:pic="http://schemas.openxmlformats.org/drawingml/2006/picture">
                  <pic:nvPicPr>
                    <pic:cNvPr id="0" name="image3.png" descr="C:\Users\sruza\Documents\2019\LLNL\manuscript\Figures\Figure3.PNG"/>
                    <pic:cNvPicPr preferRelativeResize="0"/>
                  </pic:nvPicPr>
                  <pic:blipFill>
                    <a:blip r:embed="rId15"/>
                    <a:srcRect/>
                    <a:stretch>
                      <a:fillRect/>
                    </a:stretch>
                  </pic:blipFill>
                  <pic:spPr>
                    <a:xfrm>
                      <a:off x="0" y="0"/>
                      <a:ext cx="5943600" cy="4408866"/>
                    </a:xfrm>
                    <a:prstGeom prst="rect">
                      <a:avLst/>
                    </a:prstGeom>
                    <a:ln/>
                  </pic:spPr>
                </pic:pic>
              </a:graphicData>
            </a:graphic>
          </wp:inline>
        </w:drawing>
      </w:r>
    </w:p>
    <w:p w14:paraId="224D3E88" w14:textId="77777777" w:rsidR="005F45B6" w:rsidRPr="00613F8A" w:rsidRDefault="005F45B6" w:rsidP="00C5620A">
      <w:pPr>
        <w:spacing w:after="0"/>
        <w:jc w:val="both"/>
        <w:rPr>
          <w:rFonts w:ascii="Arial" w:eastAsia="Times New Roman" w:hAnsi="Arial" w:cs="Arial"/>
          <w:sz w:val="19"/>
          <w:szCs w:val="19"/>
        </w:rPr>
      </w:pPr>
      <w:r w:rsidRPr="00613F8A">
        <w:rPr>
          <w:rFonts w:ascii="Arial" w:eastAsia="Times New Roman" w:hAnsi="Arial" w:cs="Arial"/>
          <w:b/>
          <w:bCs/>
          <w:sz w:val="19"/>
          <w:szCs w:val="19"/>
        </w:rPr>
        <w:t>Figure S8.</w:t>
      </w:r>
      <w:r w:rsidRPr="00613F8A">
        <w:rPr>
          <w:rFonts w:ascii="Arial" w:eastAsia="Times New Roman" w:hAnsi="Arial" w:cs="Arial"/>
          <w:sz w:val="19"/>
          <w:szCs w:val="19"/>
        </w:rPr>
        <w:t xml:space="preserve"> Thermal response of the ITO-based gate-tunable metasurfaces upon CW illumination at a wavelength of 1550 nm. In a), the red curve shows the reflectance spectrum of our metasurface at no applied bias. In a), the blue curve shows the peak temperature attained in the metasurface for the thickness of the Si substrate of 250 μm and the irradiance of 3.5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xml:space="preserve">. b) Peak temperature in the metasurface as a function of the irradiance for different thicknesses of the Si substrate. c) Temperature distribution inside the metasurface unit cell when </w:t>
      </w:r>
      <w:r w:rsidRPr="00613F8A">
        <w:rPr>
          <w:rFonts w:ascii="Arial" w:eastAsia="Times New Roman" w:hAnsi="Arial" w:cs="Arial"/>
          <w:i/>
          <w:sz w:val="19"/>
          <w:szCs w:val="19"/>
        </w:rPr>
        <w:t>x</w:t>
      </w:r>
      <w:r w:rsidRPr="00613F8A">
        <w:rPr>
          <w:rFonts w:ascii="Arial" w:eastAsia="Times New Roman" w:hAnsi="Arial" w:cs="Arial"/>
          <w:sz w:val="19"/>
          <w:szCs w:val="19"/>
        </w:rPr>
        <w:t xml:space="preserve"> is fixed as </w:t>
      </w:r>
      <w:r w:rsidRPr="00613F8A">
        <w:rPr>
          <w:rFonts w:ascii="Arial" w:eastAsia="Times New Roman" w:hAnsi="Arial" w:cs="Arial"/>
          <w:i/>
          <w:sz w:val="19"/>
          <w:szCs w:val="19"/>
        </w:rPr>
        <w:t>x</w:t>
      </w:r>
      <w:r w:rsidRPr="00613F8A">
        <w:rPr>
          <w:rFonts w:ascii="Arial" w:eastAsia="Times New Roman" w:hAnsi="Arial" w:cs="Arial"/>
          <w:sz w:val="19"/>
          <w:szCs w:val="19"/>
        </w:rPr>
        <w:t xml:space="preserve">=100 nm (dark green layer indicating the </w:t>
      </w:r>
      <w:r w:rsidRPr="00613F8A">
        <w:rPr>
          <w:rFonts w:ascii="Arial" w:hAnsi="Arial" w:cs="Arial"/>
          <w:sz w:val="19"/>
          <w:szCs w:val="19"/>
        </w:rPr>
        <w:t>1-nm–thick</w:t>
      </w:r>
      <w:r w:rsidRPr="00613F8A">
        <w:rPr>
          <w:rFonts w:ascii="Arial" w:eastAsia="Times New Roman" w:hAnsi="Arial" w:cs="Arial"/>
          <w:sz w:val="19"/>
          <w:szCs w:val="19"/>
        </w:rPr>
        <w:t xml:space="preserve"> active accumulation layer). In c), the substrate thickness is taken as 100 μm. d) Peak temperature inside the metasurface as a function of the laser irradiance. The assumed substrate thickness is 100 μm. In d), the red curve corresponds to the case of no applied bias while the black curve corresponds to the case when the metasurface is biased so that the ITO accumulation layer is in the ENZ regime (</w:t>
      </w:r>
      <w:r w:rsidRPr="00613F8A">
        <w:rPr>
          <w:rFonts w:ascii="Arial" w:eastAsia="Times New Roman" w:hAnsi="Arial" w:cs="Arial"/>
          <w:i/>
          <w:sz w:val="19"/>
          <w:szCs w:val="19"/>
        </w:rPr>
        <w:t>N</w:t>
      </w:r>
      <w:r w:rsidRPr="00613F8A">
        <w:rPr>
          <w:rFonts w:ascii="Arial" w:eastAsia="Times New Roman" w:hAnsi="Arial" w:cs="Arial"/>
          <w:i/>
          <w:sz w:val="19"/>
          <w:szCs w:val="19"/>
          <w:vertAlign w:val="subscript"/>
        </w:rPr>
        <w:t>acc</w:t>
      </w:r>
      <w:r w:rsidRPr="00613F8A">
        <w:rPr>
          <w:rFonts w:ascii="Arial" w:eastAsia="Times New Roman" w:hAnsi="Arial" w:cs="Arial"/>
          <w:sz w:val="19"/>
          <w:szCs w:val="19"/>
        </w:rPr>
        <w:t>=6.5×10</w:t>
      </w:r>
      <w:r w:rsidRPr="00613F8A">
        <w:rPr>
          <w:rFonts w:ascii="Arial" w:eastAsia="Times New Roman" w:hAnsi="Arial" w:cs="Arial"/>
          <w:sz w:val="19"/>
          <w:szCs w:val="19"/>
          <w:vertAlign w:val="superscript"/>
        </w:rPr>
        <w:t xml:space="preserve">20 </w:t>
      </w:r>
      <w:r w:rsidRPr="00613F8A">
        <w:rPr>
          <w:rFonts w:ascii="Arial" w:eastAsia="Times New Roman" w:hAnsi="Arial" w:cs="Arial"/>
          <w:sz w:val="19"/>
          <w:szCs w:val="19"/>
        </w:rPr>
        <w:t>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w:t>
      </w:r>
    </w:p>
    <w:p w14:paraId="08649DA8" w14:textId="77777777" w:rsidR="005F45B6" w:rsidRPr="00613F8A" w:rsidRDefault="005F45B6" w:rsidP="00DF4577">
      <w:pPr>
        <w:spacing w:after="0"/>
        <w:ind w:firstLine="720"/>
        <w:jc w:val="both"/>
        <w:rPr>
          <w:rFonts w:ascii="Arial" w:eastAsia="Times New Roman" w:hAnsi="Arial" w:cs="Arial"/>
          <w:sz w:val="19"/>
          <w:szCs w:val="19"/>
        </w:rPr>
      </w:pPr>
    </w:p>
    <w:p w14:paraId="1700FCFE" w14:textId="77777777" w:rsidR="005F45B6" w:rsidRPr="00613F8A" w:rsidRDefault="005F45B6" w:rsidP="00DF4577">
      <w:pPr>
        <w:spacing w:after="0"/>
        <w:ind w:firstLine="720"/>
        <w:jc w:val="both"/>
        <w:rPr>
          <w:rFonts w:ascii="Arial" w:eastAsia="Times New Roman" w:hAnsi="Arial" w:cs="Arial"/>
          <w:sz w:val="19"/>
          <w:szCs w:val="19"/>
        </w:rPr>
      </w:pPr>
    </w:p>
    <w:p w14:paraId="1BF65047" w14:textId="77777777" w:rsidR="005F45B6" w:rsidRPr="00613F8A" w:rsidRDefault="005F45B6" w:rsidP="00C5620A">
      <w:pPr>
        <w:spacing w:after="0"/>
        <w:jc w:val="both"/>
        <w:rPr>
          <w:rFonts w:ascii="Arial" w:eastAsia="Times New Roman" w:hAnsi="Arial" w:cs="Arial"/>
          <w:sz w:val="19"/>
          <w:szCs w:val="19"/>
        </w:rPr>
      </w:pPr>
      <w:r w:rsidRPr="00613F8A">
        <w:rPr>
          <w:rFonts w:ascii="Arial" w:eastAsia="Times New Roman" w:hAnsi="Arial" w:cs="Arial"/>
          <w:sz w:val="19"/>
          <w:szCs w:val="19"/>
        </w:rPr>
        <w:t>of 3.5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xml:space="preserve"> (Figure S8a). In Figure 4a, the thickness of the Si is taken as 250 μm. As the operating wavelength moves away from the resonant wavelength, for a given bulk charge density without applied bias, the reflectance increases. As expected, the increase in the reflectance is accompanied by a decrease in the temperature. We observe that, at the resonant wavelengths, the peak temperature in the metasurface is around 350 K. On the other hand, at an off-resonant wavelength of 1250 nm, when the metasurface reflects over 80% of the incoming light, the peak temperature attainable in the metasurface is reduced to 310 K. Therefore, an improved active </w:t>
      </w:r>
      <w:r w:rsidRPr="00613F8A">
        <w:rPr>
          <w:rFonts w:ascii="Arial" w:eastAsia="Times New Roman" w:hAnsi="Arial" w:cs="Arial"/>
          <w:sz w:val="19"/>
          <w:szCs w:val="19"/>
        </w:rPr>
        <w:lastRenderedPageBreak/>
        <w:t>metasurface design, which exhibits higher reflectance while maintaining tunable optical properties, would significantly increase the laser power the metasurface can withstand.</w:t>
      </w:r>
    </w:p>
    <w:p w14:paraId="53726984" w14:textId="77777777" w:rsidR="005F45B6" w:rsidRPr="00613F8A" w:rsidRDefault="005F45B6" w:rsidP="00DF4577">
      <w:pPr>
        <w:spacing w:after="0"/>
        <w:ind w:firstLine="720"/>
        <w:jc w:val="both"/>
        <w:rPr>
          <w:rFonts w:ascii="Arial" w:eastAsia="Times New Roman" w:hAnsi="Arial" w:cs="Arial"/>
          <w:sz w:val="19"/>
          <w:szCs w:val="19"/>
        </w:rPr>
      </w:pPr>
      <w:r w:rsidRPr="00613F8A">
        <w:rPr>
          <w:rFonts w:ascii="Arial" w:eastAsia="Times New Roman" w:hAnsi="Arial" w:cs="Arial"/>
          <w:sz w:val="19"/>
          <w:szCs w:val="19"/>
        </w:rPr>
        <w:t>The choice of the substrate can also strongly affect the thermal response of the metasurface. When investigating the effect of the operating wavelength, we took the baseline thickness of the Si substrate to be 250 μm. However, changing substrate thickness can strongly affect the peak temperature of the metasurface during illumination.</w:t>
      </w:r>
      <w:r w:rsidRPr="00613F8A">
        <w:rPr>
          <w:rFonts w:ascii="Arial" w:eastAsia="Times New Roman" w:hAnsi="Arial" w:cs="Arial"/>
          <w:noProof/>
          <w:sz w:val="19"/>
          <w:szCs w:val="19"/>
          <w:vertAlign w:val="superscript"/>
        </w:rPr>
        <w:t>7-8</w:t>
      </w:r>
      <w:r w:rsidRPr="00613F8A">
        <w:rPr>
          <w:rFonts w:ascii="Arial" w:eastAsia="Times New Roman" w:hAnsi="Arial" w:cs="Arial"/>
          <w:sz w:val="19"/>
          <w:szCs w:val="19"/>
        </w:rPr>
        <w:t xml:space="preserve"> Figure S8b plots the peak temperature of the metasurface for different thicknesses of the Si substrate as a function of laser irradiance. For a fixed substrate thickness, the peak temperature is a linear function of the laser irradiance. This result is consistent with prior experimental reports in the literature.</w:t>
      </w:r>
      <w:r w:rsidRPr="00613F8A">
        <w:rPr>
          <w:rFonts w:ascii="Arial" w:eastAsiaTheme="minorEastAsia" w:hAnsi="Arial" w:cs="Arial"/>
          <w:noProof/>
          <w:sz w:val="19"/>
          <w:szCs w:val="19"/>
          <w:vertAlign w:val="superscript"/>
        </w:rPr>
        <w:t>9-11</w:t>
      </w:r>
      <w:r w:rsidRPr="00613F8A">
        <w:rPr>
          <w:rFonts w:ascii="Arial" w:eastAsia="Times New Roman" w:hAnsi="Arial" w:cs="Arial"/>
          <w:sz w:val="19"/>
          <w:szCs w:val="19"/>
        </w:rPr>
        <w:t xml:space="preserve"> As seen in Figure S8b, the peak temperature in the metasurface can be dramatically reduced when reducing the substrate thickness (Figure S8b). This strong dependence on the substrate thickness can be intuitively understood by considering heat flow in a solid kept at two different temperatures at two ends, </w:t>
      </w:r>
      <w:r w:rsidRPr="00613F8A">
        <w:rPr>
          <w:rFonts w:ascii="Arial" w:eastAsia="Times New Roman" w:hAnsi="Arial" w:cs="Arial"/>
          <w:i/>
          <w:sz w:val="19"/>
          <w:szCs w:val="19"/>
        </w:rPr>
        <w:t>T</w:t>
      </w:r>
      <w:r w:rsidRPr="00613F8A">
        <w:rPr>
          <w:rFonts w:ascii="Arial" w:eastAsia="Times New Roman" w:hAnsi="Arial" w:cs="Arial"/>
          <w:sz w:val="19"/>
          <w:szCs w:val="19"/>
          <w:vertAlign w:val="subscript"/>
        </w:rPr>
        <w:t>1</w:t>
      </w:r>
      <w:r w:rsidRPr="00613F8A">
        <w:rPr>
          <w:rFonts w:ascii="Arial" w:eastAsia="Times New Roman" w:hAnsi="Arial" w:cs="Arial"/>
          <w:sz w:val="19"/>
          <w:szCs w:val="19"/>
        </w:rPr>
        <w:t xml:space="preserve"> and </w:t>
      </w:r>
      <w:r w:rsidRPr="00613F8A">
        <w:rPr>
          <w:rFonts w:ascii="Arial" w:eastAsia="Times New Roman" w:hAnsi="Arial" w:cs="Arial"/>
          <w:i/>
          <w:sz w:val="19"/>
          <w:szCs w:val="19"/>
        </w:rPr>
        <w:t>T</w:t>
      </w:r>
      <w:r w:rsidRPr="00613F8A">
        <w:rPr>
          <w:rFonts w:ascii="Arial" w:eastAsia="Times New Roman" w:hAnsi="Arial" w:cs="Arial"/>
          <w:sz w:val="19"/>
          <w:szCs w:val="19"/>
          <w:vertAlign w:val="subscript"/>
        </w:rPr>
        <w:t>2</w:t>
      </w:r>
      <w:r w:rsidRPr="00613F8A">
        <w:rPr>
          <w:rFonts w:ascii="Arial" w:eastAsia="Times New Roman" w:hAnsi="Arial" w:cs="Arial"/>
          <w:sz w:val="19"/>
          <w:szCs w:val="19"/>
        </w:rPr>
        <w:t xml:space="preserve">, respectively. In this case, the amount of heat flowing through the unit area of the solid </w:t>
      </w:r>
      <w:r w:rsidRPr="00613F8A">
        <w:rPr>
          <w:rFonts w:ascii="Arial" w:eastAsia="Times New Roman" w:hAnsi="Arial" w:cs="Arial"/>
          <w:i/>
          <w:sz w:val="19"/>
          <w:szCs w:val="19"/>
        </w:rPr>
        <w:t xml:space="preserve">Q </w:t>
      </w:r>
      <w:r w:rsidRPr="00613F8A">
        <w:rPr>
          <w:rFonts w:ascii="Arial" w:eastAsia="Times New Roman" w:hAnsi="Arial" w:cs="Arial"/>
          <w:sz w:val="19"/>
          <w:szCs w:val="19"/>
        </w:rPr>
        <w:t xml:space="preserve">can be written as </w:t>
      </w:r>
      <w:r w:rsidRPr="00613F8A">
        <w:rPr>
          <w:rFonts w:ascii="Arial" w:eastAsia="Times New Roman" w:hAnsi="Arial" w:cs="Arial"/>
          <w:i/>
          <w:sz w:val="19"/>
          <w:szCs w:val="19"/>
        </w:rPr>
        <w:t>Q = k (T</w:t>
      </w:r>
      <w:r w:rsidRPr="00613F8A">
        <w:rPr>
          <w:rFonts w:ascii="Arial" w:eastAsia="Times New Roman" w:hAnsi="Arial" w:cs="Arial"/>
          <w:sz w:val="19"/>
          <w:szCs w:val="19"/>
          <w:vertAlign w:val="subscript"/>
        </w:rPr>
        <w:t>2</w:t>
      </w:r>
      <w:r w:rsidRPr="00613F8A">
        <w:rPr>
          <w:rFonts w:ascii="Arial" w:eastAsia="Times New Roman" w:hAnsi="Arial" w:cs="Arial"/>
          <w:i/>
          <w:sz w:val="19"/>
          <w:szCs w:val="19"/>
        </w:rPr>
        <w:t>-T</w:t>
      </w:r>
      <w:r w:rsidRPr="00613F8A">
        <w:rPr>
          <w:rFonts w:ascii="Arial" w:eastAsia="Times New Roman" w:hAnsi="Arial" w:cs="Arial"/>
          <w:sz w:val="19"/>
          <w:szCs w:val="19"/>
          <w:vertAlign w:val="subscript"/>
        </w:rPr>
        <w:t>1</w:t>
      </w:r>
      <w:r w:rsidRPr="00613F8A">
        <w:rPr>
          <w:rFonts w:ascii="Arial" w:eastAsia="Times New Roman" w:hAnsi="Arial" w:cs="Arial"/>
          <w:i/>
          <w:sz w:val="19"/>
          <w:szCs w:val="19"/>
        </w:rPr>
        <w:t>)/L</w:t>
      </w:r>
      <w:r w:rsidRPr="00613F8A">
        <w:rPr>
          <w:rFonts w:ascii="Arial" w:eastAsia="Times New Roman" w:hAnsi="Arial" w:cs="Arial"/>
          <w:sz w:val="19"/>
          <w:szCs w:val="19"/>
        </w:rPr>
        <w:t xml:space="preserve">. Here, </w:t>
      </w:r>
      <w:r w:rsidRPr="00613F8A">
        <w:rPr>
          <w:rFonts w:ascii="Arial" w:eastAsia="Times New Roman" w:hAnsi="Arial" w:cs="Arial"/>
          <w:i/>
          <w:sz w:val="19"/>
          <w:szCs w:val="19"/>
        </w:rPr>
        <w:t>L</w:t>
      </w:r>
      <w:r w:rsidRPr="00613F8A">
        <w:rPr>
          <w:rFonts w:ascii="Arial" w:eastAsia="Times New Roman" w:hAnsi="Arial" w:cs="Arial"/>
          <w:sz w:val="19"/>
          <w:szCs w:val="19"/>
        </w:rPr>
        <w:t xml:space="preserve"> is the length of the solid, and </w:t>
      </w:r>
      <w:r w:rsidRPr="00613F8A">
        <w:rPr>
          <w:rFonts w:ascii="Arial" w:eastAsia="Times New Roman" w:hAnsi="Arial" w:cs="Arial"/>
          <w:i/>
          <w:sz w:val="19"/>
          <w:szCs w:val="19"/>
        </w:rPr>
        <w:t>k</w:t>
      </w:r>
      <w:r w:rsidRPr="00613F8A">
        <w:rPr>
          <w:rFonts w:ascii="Arial" w:eastAsia="Times New Roman" w:hAnsi="Arial" w:cs="Arial"/>
          <w:sz w:val="19"/>
          <w:szCs w:val="19"/>
        </w:rPr>
        <w:t xml:space="preserve"> is the thermal conductivity of the solid. The presented relation shows that reducing the solid length would increase the heat flow. If we assume that the temperature at the hot side of the solid is not fixed, this increased heat flow will result in a decrease of the peak temperature in the solid. This relation also indicates that increasing the thermal conductivity of the substrate would also decrease the peak temperature attainable in the metasurface, which our modeling captures consistently, as expected. Thus, while the optical properties of the metasurface are not affected by the choice of the substrate, choosing a thinner substrate with higher thermal conductivity would significantly increase the laser damage threshold of the metasurface because the heat flux to the heatsink is increased due to a steeper temperature gradient across a thinner substrate.</w:t>
      </w:r>
    </w:p>
    <w:p w14:paraId="6746CFDB" w14:textId="77777777" w:rsidR="005F45B6" w:rsidRPr="00613F8A" w:rsidRDefault="005F45B6" w:rsidP="00DF4577">
      <w:pPr>
        <w:spacing w:after="0"/>
        <w:ind w:firstLine="720"/>
        <w:jc w:val="both"/>
        <w:rPr>
          <w:rFonts w:ascii="Arial" w:eastAsia="Times New Roman" w:hAnsi="Arial" w:cs="Arial"/>
          <w:sz w:val="19"/>
          <w:szCs w:val="19"/>
        </w:rPr>
      </w:pPr>
      <w:r w:rsidRPr="00613F8A">
        <w:rPr>
          <w:rFonts w:ascii="Arial" w:eastAsia="Times New Roman" w:hAnsi="Arial" w:cs="Arial"/>
          <w:sz w:val="19"/>
          <w:szCs w:val="19"/>
        </w:rPr>
        <w:t>Next, we examine the spatial variation of temperature inside the metasurface in the case when the active ITO layer is in the ENZ regime (</w:t>
      </w:r>
      <w:r w:rsidRPr="00613F8A">
        <w:rPr>
          <w:rFonts w:ascii="Arial" w:eastAsia="Times New Roman" w:hAnsi="Arial" w:cs="Arial"/>
          <w:i/>
          <w:sz w:val="19"/>
          <w:szCs w:val="19"/>
        </w:rPr>
        <w:t>N</w:t>
      </w:r>
      <w:r w:rsidRPr="00613F8A">
        <w:rPr>
          <w:rFonts w:ascii="Arial" w:eastAsia="Times New Roman" w:hAnsi="Arial" w:cs="Arial"/>
          <w:sz w:val="19"/>
          <w:szCs w:val="19"/>
          <w:vertAlign w:val="subscript"/>
        </w:rPr>
        <w:t>acc</w:t>
      </w:r>
      <w:r w:rsidRPr="00613F8A">
        <w:rPr>
          <w:rFonts w:ascii="Arial" w:eastAsia="Times New Roman" w:hAnsi="Arial" w:cs="Arial"/>
          <w:sz w:val="19"/>
          <w:szCs w:val="19"/>
        </w:rPr>
        <w:t>=6.5×10</w:t>
      </w:r>
      <w:r w:rsidRPr="00613F8A">
        <w:rPr>
          <w:rFonts w:ascii="Arial" w:eastAsia="Times New Roman" w:hAnsi="Arial" w:cs="Arial"/>
          <w:sz w:val="19"/>
          <w:szCs w:val="19"/>
          <w:vertAlign w:val="superscript"/>
        </w:rPr>
        <w:t>20</w:t>
      </w:r>
      <w:r w:rsidRPr="00613F8A">
        <w:rPr>
          <w:rFonts w:ascii="Arial" w:eastAsia="Times New Roman" w:hAnsi="Arial" w:cs="Arial"/>
          <w:sz w:val="19"/>
          <w:szCs w:val="19"/>
        </w:rPr>
        <w:t xml:space="preserve"> 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 xml:space="preserve">). Figure S8c plots the temperature inside the metasurface along </w:t>
      </w:r>
      <w:r w:rsidRPr="00613F8A">
        <w:rPr>
          <w:rFonts w:ascii="Arial" w:eastAsia="Times New Roman" w:hAnsi="Arial" w:cs="Arial"/>
          <w:i/>
          <w:sz w:val="19"/>
          <w:szCs w:val="19"/>
        </w:rPr>
        <w:t xml:space="preserve">z </w:t>
      </w:r>
      <w:r w:rsidRPr="00613F8A">
        <w:rPr>
          <w:rFonts w:ascii="Arial" w:eastAsia="Times New Roman" w:hAnsi="Arial" w:cs="Arial"/>
          <w:sz w:val="19"/>
          <w:szCs w:val="19"/>
        </w:rPr>
        <w:t xml:space="preserve">direction (depth of the heterostructure) at a fixed value of </w:t>
      </w:r>
      <w:r w:rsidRPr="00613F8A">
        <w:rPr>
          <w:rFonts w:ascii="Arial" w:eastAsia="Times New Roman" w:hAnsi="Arial" w:cs="Arial"/>
          <w:i/>
          <w:sz w:val="19"/>
          <w:szCs w:val="19"/>
        </w:rPr>
        <w:t>x</w:t>
      </w:r>
      <w:r w:rsidRPr="00613F8A">
        <w:rPr>
          <w:rFonts w:ascii="Arial" w:eastAsia="Times New Roman" w:hAnsi="Arial" w:cs="Arial"/>
          <w:sz w:val="19"/>
          <w:szCs w:val="19"/>
        </w:rPr>
        <w:t xml:space="preserve"> coordinate: </w:t>
      </w:r>
      <w:r w:rsidRPr="00613F8A">
        <w:rPr>
          <w:rFonts w:ascii="Arial" w:eastAsia="Times New Roman" w:hAnsi="Arial" w:cs="Arial"/>
          <w:i/>
          <w:sz w:val="19"/>
          <w:szCs w:val="19"/>
        </w:rPr>
        <w:t xml:space="preserve">x </w:t>
      </w:r>
      <w:r w:rsidRPr="00613F8A">
        <w:rPr>
          <w:rFonts w:ascii="Arial" w:eastAsia="Times New Roman" w:hAnsi="Arial" w:cs="Arial"/>
          <w:sz w:val="19"/>
          <w:szCs w:val="19"/>
        </w:rPr>
        <w:t xml:space="preserve">= 100 nm Figure S8a). In other words, the considered </w:t>
      </w:r>
      <w:r w:rsidRPr="00613F8A">
        <w:rPr>
          <w:rFonts w:ascii="Arial" w:eastAsia="Times New Roman" w:hAnsi="Arial" w:cs="Arial"/>
          <w:i/>
          <w:sz w:val="19"/>
          <w:szCs w:val="19"/>
        </w:rPr>
        <w:t>z</w:t>
      </w:r>
      <w:r w:rsidRPr="00613F8A">
        <w:rPr>
          <w:rFonts w:ascii="Arial" w:eastAsia="Times New Roman" w:hAnsi="Arial" w:cs="Arial"/>
          <w:sz w:val="19"/>
          <w:szCs w:val="19"/>
        </w:rPr>
        <w:t xml:space="preserve">-line is 8 nm away from the edge of the Au wire. In our notation, the plane </w:t>
      </w:r>
      <w:r w:rsidRPr="00613F8A">
        <w:rPr>
          <w:rFonts w:ascii="Arial" w:eastAsia="Times New Roman" w:hAnsi="Arial" w:cs="Arial"/>
          <w:i/>
          <w:sz w:val="19"/>
          <w:szCs w:val="19"/>
        </w:rPr>
        <w:t>z</w:t>
      </w:r>
      <w:r w:rsidRPr="00613F8A">
        <w:rPr>
          <w:rFonts w:ascii="Arial" w:eastAsia="Times New Roman" w:hAnsi="Arial" w:cs="Arial"/>
          <w:sz w:val="19"/>
          <w:szCs w:val="19"/>
        </w:rPr>
        <w:t>=0 corresponds to the interface of the back reflector and the SiO</w:t>
      </w:r>
      <w:r w:rsidRPr="00613F8A">
        <w:rPr>
          <w:rFonts w:ascii="Arial" w:eastAsia="Times New Roman" w:hAnsi="Arial" w:cs="Arial"/>
          <w:sz w:val="19"/>
          <w:szCs w:val="19"/>
          <w:vertAlign w:val="subscript"/>
        </w:rPr>
        <w:t>2</w:t>
      </w:r>
      <w:r w:rsidRPr="00613F8A">
        <w:rPr>
          <w:rFonts w:ascii="Arial" w:eastAsia="Times New Roman" w:hAnsi="Arial" w:cs="Arial"/>
          <w:sz w:val="19"/>
          <w:szCs w:val="19"/>
        </w:rPr>
        <w:t xml:space="preserve"> layer, and the top wire is located from </w:t>
      </w:r>
      <w:r w:rsidRPr="00613F8A">
        <w:rPr>
          <w:rFonts w:ascii="Arial" w:eastAsia="Times New Roman" w:hAnsi="Arial" w:cs="Arial"/>
          <w:i/>
          <w:sz w:val="19"/>
          <w:szCs w:val="19"/>
        </w:rPr>
        <w:t>z</w:t>
      </w:r>
      <w:r w:rsidRPr="00613F8A">
        <w:rPr>
          <w:rFonts w:ascii="Arial" w:eastAsia="Times New Roman" w:hAnsi="Arial" w:cs="Arial"/>
          <w:sz w:val="19"/>
          <w:szCs w:val="19"/>
        </w:rPr>
        <w:t xml:space="preserve">=25 nm to </w:t>
      </w:r>
      <w:r w:rsidRPr="00613F8A">
        <w:rPr>
          <w:rFonts w:ascii="Arial" w:eastAsia="Times New Roman" w:hAnsi="Arial" w:cs="Arial"/>
          <w:i/>
          <w:sz w:val="19"/>
          <w:szCs w:val="19"/>
        </w:rPr>
        <w:t>z</w:t>
      </w:r>
      <w:r w:rsidRPr="00613F8A">
        <w:rPr>
          <w:rFonts w:ascii="Arial" w:eastAsia="Times New Roman" w:hAnsi="Arial" w:cs="Arial"/>
          <w:sz w:val="19"/>
          <w:szCs w:val="19"/>
        </w:rPr>
        <w:t>=75 nm (see also Figure S8a). The thickness of the Si substrate is 100 μm, and the irradiance is, again, 3.5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the same irradiance value as in the case of no applied voltage. As seen in Figure S8c, we now reach the highest temperature in the active ITO layer (dark green region). However, despite the fact that the absorption density in the active ITO layer is significantly enhanced, the temperature increase in the accumulation layer with respect to the temperature of the other layers in the metasurface structure is practically negligible (&lt;1 K).</w:t>
      </w:r>
    </w:p>
    <w:p w14:paraId="22A0FBC6" w14:textId="77777777" w:rsidR="005F45B6" w:rsidRPr="00613F8A" w:rsidRDefault="005F45B6" w:rsidP="00DF4577">
      <w:pPr>
        <w:spacing w:after="0"/>
        <w:ind w:firstLine="720"/>
        <w:jc w:val="both"/>
        <w:rPr>
          <w:rFonts w:ascii="Arial" w:eastAsia="Times New Roman" w:hAnsi="Arial" w:cs="Arial"/>
          <w:sz w:val="19"/>
          <w:szCs w:val="19"/>
        </w:rPr>
      </w:pPr>
      <w:r w:rsidRPr="00613F8A">
        <w:rPr>
          <w:rFonts w:ascii="Arial" w:eastAsia="Times New Roman" w:hAnsi="Arial" w:cs="Arial"/>
          <w:sz w:val="19"/>
          <w:szCs w:val="19"/>
        </w:rPr>
        <w:t>We now focus on the peak temperature increase in the metasurface as a function of the laser irradiance under CW illumination for the cases of both i) no applied voltage (0 V) and ii) when the active ITO layer is in the ENZ regime (</w:t>
      </w:r>
      <w:r w:rsidRPr="00613F8A">
        <w:rPr>
          <w:rFonts w:ascii="Arial" w:eastAsia="Times New Roman" w:hAnsi="Arial" w:cs="Arial"/>
          <w:i/>
          <w:sz w:val="19"/>
          <w:szCs w:val="19"/>
        </w:rPr>
        <w:t>N</w:t>
      </w:r>
      <w:r w:rsidRPr="00613F8A">
        <w:rPr>
          <w:rFonts w:ascii="Arial" w:eastAsia="Times New Roman" w:hAnsi="Arial" w:cs="Arial"/>
          <w:sz w:val="19"/>
          <w:szCs w:val="19"/>
          <w:vertAlign w:val="subscript"/>
        </w:rPr>
        <w:t>acc</w:t>
      </w:r>
      <w:r w:rsidRPr="00613F8A">
        <w:rPr>
          <w:rFonts w:ascii="Arial" w:eastAsia="Times New Roman" w:hAnsi="Arial" w:cs="Arial"/>
          <w:sz w:val="19"/>
          <w:szCs w:val="19"/>
        </w:rPr>
        <w:t>=6.5×10</w:t>
      </w:r>
      <w:r w:rsidRPr="00613F8A">
        <w:rPr>
          <w:rFonts w:ascii="Arial" w:eastAsia="Times New Roman" w:hAnsi="Arial" w:cs="Arial"/>
          <w:sz w:val="19"/>
          <w:szCs w:val="19"/>
          <w:vertAlign w:val="superscript"/>
        </w:rPr>
        <w:t>20</w:t>
      </w:r>
      <w:r w:rsidRPr="00613F8A">
        <w:rPr>
          <w:rFonts w:ascii="Arial" w:eastAsia="Times New Roman" w:hAnsi="Arial" w:cs="Arial"/>
          <w:sz w:val="19"/>
          <w:szCs w:val="19"/>
        </w:rPr>
        <w:t xml:space="preserve"> cm</w:t>
      </w:r>
      <w:r w:rsidRPr="00613F8A">
        <w:rPr>
          <w:rFonts w:ascii="Arial" w:eastAsia="Times New Roman" w:hAnsi="Arial" w:cs="Arial"/>
          <w:sz w:val="19"/>
          <w:szCs w:val="19"/>
          <w:vertAlign w:val="superscript"/>
        </w:rPr>
        <w:t>-3</w:t>
      </w:r>
      <w:r w:rsidRPr="00613F8A">
        <w:rPr>
          <w:rFonts w:ascii="Arial" w:eastAsia="Times New Roman" w:hAnsi="Arial" w:cs="Arial"/>
          <w:sz w:val="19"/>
          <w:szCs w:val="19"/>
        </w:rPr>
        <w:t>). The thickness of the Si substrate is taken to be 100 μm. At the lower end of the laser irradiance, the temperature increase due to the applied bias is very limited. However, this temperature increase becomes significant at higher laser irradiances. We observe, that at a laser irradiance of 150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the peak temperature of the metasurface equals the melting temperature of Au provided that the heat sink temperature can be maintained at 300 K. For the purposes of this discussion, this can be viewed as a theoretical upper bound of the laser irradiance that the metasurface can support under applied voltage, however in practice the melting breakdown would likely be much lower. In the case of no applied bias, the melting temperature of Au is reached at an irradiance of 187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an irradiance level tolerated by the device that is 18% higher than when in active switching conditions based on melting failure criteria. We would like to emphasize that in the cases of both CW illumination and transient illumination with a few ns-long laser pulses, the pre-dominant mode of material damage is related to thermal heating and melting of materials.</w:t>
      </w:r>
      <w:r w:rsidRPr="00613F8A">
        <w:rPr>
          <w:rFonts w:ascii="Arial" w:eastAsia="Times New Roman" w:hAnsi="Arial" w:cs="Arial"/>
          <w:noProof/>
          <w:sz w:val="19"/>
          <w:szCs w:val="19"/>
          <w:vertAlign w:val="superscript"/>
        </w:rPr>
        <w:t>12</w:t>
      </w:r>
      <w:r w:rsidRPr="00613F8A">
        <w:rPr>
          <w:rFonts w:ascii="Arial" w:eastAsia="Times New Roman" w:hAnsi="Arial" w:cs="Arial"/>
          <w:sz w:val="19"/>
          <w:szCs w:val="19"/>
        </w:rPr>
        <w:t xml:space="preserve"> In practice, we expect that active semiconductor-based metasurface devices should exhibit an adequate electronic performance at least for temperatures below 400 K. </w:t>
      </w:r>
      <w:r w:rsidRPr="00613F8A">
        <w:rPr>
          <w:rFonts w:ascii="Arial" w:eastAsia="Times New Roman" w:hAnsi="Arial" w:cs="Arial"/>
          <w:noProof/>
          <w:sz w:val="19"/>
          <w:szCs w:val="19"/>
          <w:vertAlign w:val="superscript"/>
        </w:rPr>
        <w:t>13</w:t>
      </w:r>
      <w:r w:rsidRPr="00613F8A">
        <w:rPr>
          <w:rFonts w:ascii="Arial" w:eastAsia="Times New Roman" w:hAnsi="Arial" w:cs="Arial"/>
          <w:sz w:val="19"/>
          <w:szCs w:val="19"/>
        </w:rPr>
        <w:t xml:space="preserve"> For the substrate thickness of 100 μm, the metasurface temperature of 400 K corresponds to the laser irradiance to 14.6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Note that the ITO metasurface-based LiDAR system attains a detection range of ~100 m at an incoming power of 0.01 kW. The incoming power of 0.01 kW corresponds to an irradiance value of 0.3 kW/cm</w:t>
      </w:r>
      <w:r w:rsidRPr="00613F8A">
        <w:rPr>
          <w:rFonts w:ascii="Arial" w:eastAsia="Times New Roman" w:hAnsi="Arial" w:cs="Arial"/>
          <w:sz w:val="19"/>
          <w:szCs w:val="19"/>
          <w:vertAlign w:val="superscript"/>
        </w:rPr>
        <w:t>2</w:t>
      </w:r>
      <w:r w:rsidRPr="00613F8A">
        <w:rPr>
          <w:rFonts w:ascii="Arial" w:eastAsia="Times New Roman" w:hAnsi="Arial" w:cs="Arial"/>
          <w:sz w:val="19"/>
          <w:szCs w:val="19"/>
        </w:rPr>
        <w:t>, which yields a modest temperature increase at any of the considered substrate thicknesses (Figure S8b). Hence, our ITO-based active metasurface is expected to easily meet LiDAR applications requirements from a laser damage perspective.</w:t>
      </w:r>
    </w:p>
    <w:p w14:paraId="14E78E09" w14:textId="77777777" w:rsidR="005F45B6" w:rsidRPr="00613F8A" w:rsidRDefault="005F45B6" w:rsidP="00DF4577">
      <w:pPr>
        <w:spacing w:after="0"/>
        <w:ind w:firstLine="720"/>
        <w:jc w:val="both"/>
        <w:rPr>
          <w:rFonts w:ascii="Arial" w:eastAsia="Times New Roman" w:hAnsi="Arial" w:cs="Arial"/>
          <w:sz w:val="19"/>
          <w:szCs w:val="19"/>
        </w:rPr>
      </w:pPr>
    </w:p>
    <w:p w14:paraId="12409E1A" w14:textId="77777777" w:rsidR="005F45B6" w:rsidRPr="00613F8A" w:rsidRDefault="005F45B6" w:rsidP="00DF4577">
      <w:pPr>
        <w:spacing w:after="0"/>
        <w:ind w:firstLine="720"/>
        <w:jc w:val="both"/>
        <w:rPr>
          <w:rFonts w:ascii="Arial" w:eastAsia="Times New Roman" w:hAnsi="Arial" w:cs="Arial"/>
          <w:sz w:val="19"/>
          <w:szCs w:val="19"/>
        </w:rPr>
      </w:pPr>
    </w:p>
    <w:p w14:paraId="6BCEE804" w14:textId="77777777" w:rsidR="00613F8A" w:rsidRDefault="00613F8A" w:rsidP="00F32B95">
      <w:pPr>
        <w:jc w:val="both"/>
        <w:rPr>
          <w:rFonts w:ascii="Arial" w:hAnsi="Arial" w:cs="Arial"/>
          <w:b/>
          <w:bCs/>
          <w:sz w:val="19"/>
          <w:szCs w:val="19"/>
          <w:u w:val="single"/>
        </w:rPr>
      </w:pPr>
    </w:p>
    <w:p w14:paraId="53FE1313" w14:textId="12BCB094" w:rsidR="005F45B6" w:rsidRPr="00613F8A" w:rsidRDefault="005F45B6" w:rsidP="00F32B95">
      <w:pPr>
        <w:jc w:val="both"/>
        <w:rPr>
          <w:rFonts w:ascii="Arial" w:hAnsi="Arial" w:cs="Arial"/>
          <w:b/>
          <w:bCs/>
          <w:sz w:val="19"/>
          <w:szCs w:val="19"/>
          <w:u w:val="single"/>
        </w:rPr>
      </w:pPr>
      <w:r w:rsidRPr="00613F8A">
        <w:rPr>
          <w:rFonts w:ascii="Arial" w:hAnsi="Arial" w:cs="Arial"/>
          <w:b/>
          <w:bCs/>
          <w:sz w:val="19"/>
          <w:szCs w:val="19"/>
          <w:u w:val="single"/>
        </w:rPr>
        <w:lastRenderedPageBreak/>
        <w:t>7. Effect of the boundary morphology of the sample on the metasurface temperature</w:t>
      </w:r>
    </w:p>
    <w:p w14:paraId="552EB29E" w14:textId="77777777" w:rsidR="005F45B6" w:rsidRPr="00613F8A" w:rsidRDefault="005F45B6" w:rsidP="008B4193">
      <w:pPr>
        <w:spacing w:after="0"/>
        <w:jc w:val="both"/>
        <w:rPr>
          <w:rFonts w:ascii="Arial" w:hAnsi="Arial" w:cs="Arial"/>
          <w:sz w:val="19"/>
          <w:szCs w:val="19"/>
          <w:shd w:val="clear" w:color="auto" w:fill="FFFFFF"/>
        </w:rPr>
      </w:pPr>
      <w:r w:rsidRPr="00613F8A">
        <w:rPr>
          <w:rFonts w:ascii="Arial" w:hAnsi="Arial" w:cs="Arial"/>
          <w:sz w:val="19"/>
          <w:szCs w:val="19"/>
          <w:shd w:val="clear" w:color="auto" w:fill="FFFFFF"/>
        </w:rPr>
        <w:t>We can also use simple considerations to estimate metasurface temperatures in case of different sample morphologies. The areas of the ITO-based active metasurfaces previously demonstrated by our group were 40 µm × 40 µm.</w:t>
      </w:r>
      <w:r w:rsidRPr="00613F8A">
        <w:rPr>
          <w:rFonts w:ascii="Arial" w:hAnsi="Arial" w:cs="Arial"/>
          <w:noProof/>
          <w:sz w:val="19"/>
          <w:szCs w:val="19"/>
          <w:shd w:val="clear" w:color="auto" w:fill="FFFFFF"/>
          <w:vertAlign w:val="superscript"/>
        </w:rPr>
        <w:t>14-15</w:t>
      </w:r>
      <w:r w:rsidRPr="00613F8A">
        <w:rPr>
          <w:rFonts w:ascii="Arial" w:hAnsi="Arial" w:cs="Arial"/>
          <w:sz w:val="19"/>
          <w:szCs w:val="19"/>
          <w:shd w:val="clear" w:color="auto" w:fill="FFFFFF"/>
        </w:rPr>
        <w:t xml:space="preserve"> The area of the substrate, which is covered by an Au, gate dielectric, and ITO layers, may significantly exceed the area of the metasurface. Since only the metasurface area is optically heated, the heat generated in the metasurface will be conducted to the sides of the chip, resulting in the metasurface cooling. On the other hand, in our optical and thermal simulations, we assume insulating boundary conditions in </w:t>
      </w:r>
      <w:r w:rsidRPr="00613F8A">
        <w:rPr>
          <w:rFonts w:ascii="Arial" w:hAnsi="Arial" w:cs="Arial"/>
          <w:i/>
          <w:iCs/>
          <w:sz w:val="19"/>
          <w:szCs w:val="19"/>
          <w:shd w:val="clear" w:color="auto" w:fill="FFFFFF"/>
        </w:rPr>
        <w:t>x</w:t>
      </w:r>
      <w:r w:rsidRPr="00613F8A">
        <w:rPr>
          <w:rFonts w:ascii="Arial" w:hAnsi="Arial" w:cs="Arial"/>
          <w:sz w:val="19"/>
          <w:szCs w:val="19"/>
          <w:shd w:val="clear" w:color="auto" w:fill="FFFFFF"/>
        </w:rPr>
        <w:t xml:space="preserve"> direction, and the structure is assumed to be infinite in </w:t>
      </w:r>
      <w:r w:rsidRPr="00613F8A">
        <w:rPr>
          <w:rFonts w:ascii="Arial" w:hAnsi="Arial" w:cs="Arial"/>
          <w:i/>
          <w:iCs/>
          <w:sz w:val="19"/>
          <w:szCs w:val="19"/>
          <w:shd w:val="clear" w:color="auto" w:fill="FFFFFF"/>
        </w:rPr>
        <w:t>y</w:t>
      </w:r>
      <w:r w:rsidRPr="00613F8A">
        <w:rPr>
          <w:rFonts w:ascii="Arial" w:hAnsi="Arial" w:cs="Arial"/>
          <w:sz w:val="19"/>
          <w:szCs w:val="19"/>
          <w:shd w:val="clear" w:color="auto" w:fill="FFFFFF"/>
        </w:rPr>
        <w:t xml:space="preserve"> direction. Also, in our simulations, we fix the temperature at the bottom of the substrate to 300 K, assuming that the sample is placed on a thermostat. However, we can estimate the temperature of the metasurface accounting for its final dimensions and assuming that no thermostat is available.</w:t>
      </w:r>
    </w:p>
    <w:p w14:paraId="7B8734C1" w14:textId="30E7DDBD" w:rsidR="005F45B6" w:rsidRDefault="005F45B6" w:rsidP="004B1E9C">
      <w:pPr>
        <w:spacing w:after="0"/>
        <w:ind w:firstLine="720"/>
        <w:jc w:val="both"/>
        <w:rPr>
          <w:rFonts w:ascii="Arial" w:hAnsi="Arial" w:cs="Arial"/>
          <w:sz w:val="19"/>
          <w:szCs w:val="19"/>
        </w:rPr>
      </w:pPr>
      <w:r w:rsidRPr="00613F8A">
        <w:rPr>
          <w:rFonts w:ascii="Arial" w:hAnsi="Arial" w:cs="Arial"/>
          <w:sz w:val="19"/>
          <w:szCs w:val="19"/>
        </w:rPr>
        <w:t>To estimate the temperature of the metasurface on a semi-infinite substrate, we use previously developed methodology.</w:t>
      </w:r>
      <w:r w:rsidRPr="00613F8A">
        <w:rPr>
          <w:rFonts w:ascii="Arial" w:hAnsi="Arial" w:cs="Arial"/>
          <w:noProof/>
          <w:sz w:val="19"/>
          <w:szCs w:val="19"/>
          <w:vertAlign w:val="superscript"/>
        </w:rPr>
        <w:t>9, 16</w:t>
      </w:r>
      <w:r w:rsidRPr="00613F8A">
        <w:rPr>
          <w:rFonts w:ascii="Arial" w:hAnsi="Arial" w:cs="Arial"/>
          <w:sz w:val="19"/>
          <w:szCs w:val="19"/>
        </w:rPr>
        <w:t xml:space="preserve"> The approach assumes that the metasurface is illuminated by a Gaussian beam of a diameter </w:t>
      </w:r>
      <w:r w:rsidRPr="00613F8A">
        <w:rPr>
          <w:rFonts w:ascii="Arial" w:hAnsi="Arial" w:cs="Arial"/>
          <w:i/>
          <w:iCs/>
          <w:sz w:val="19"/>
          <w:szCs w:val="19"/>
        </w:rPr>
        <w:t>D</w:t>
      </w:r>
      <w:r w:rsidRPr="00613F8A">
        <w:rPr>
          <w:rFonts w:ascii="Arial" w:hAnsi="Arial" w:cs="Arial"/>
          <w:sz w:val="19"/>
          <w:szCs w:val="19"/>
        </w:rPr>
        <w:t>, which heats the metasurface locally. We can then describe this scenario as a heated disc, which is placed on an infinite Si substrate</w:t>
      </w:r>
      <w:r w:rsidRPr="00613F8A">
        <w:rPr>
          <w:rFonts w:ascii="Arial" w:hAnsi="Arial" w:cs="Arial"/>
          <w:noProof/>
          <w:sz w:val="19"/>
          <w:szCs w:val="19"/>
          <w:vertAlign w:val="superscript"/>
        </w:rPr>
        <w:t>9</w:t>
      </w:r>
      <w:r w:rsidRPr="00613F8A">
        <w:rPr>
          <w:rFonts w:ascii="Arial" w:hAnsi="Arial" w:cs="Arial"/>
          <w:sz w:val="19"/>
          <w:szCs w:val="19"/>
        </w:rPr>
        <w:t xml:space="preserve">. The temperature increase </w:t>
      </w:r>
      <w:r w:rsidRPr="00613F8A">
        <w:rPr>
          <w:rFonts w:ascii="Arial" w:hAnsi="Arial" w:cs="Arial"/>
          <w:i/>
          <w:iCs/>
          <w:sz w:val="19"/>
          <w:szCs w:val="19"/>
        </w:rPr>
        <w:t>ΔT</w:t>
      </w:r>
      <w:r w:rsidRPr="00613F8A">
        <w:rPr>
          <w:rFonts w:ascii="Arial" w:hAnsi="Arial" w:cs="Arial"/>
          <w:sz w:val="19"/>
          <w:szCs w:val="19"/>
        </w:rPr>
        <w:t xml:space="preserve"> of the metasurface is then related to the generated heat </w:t>
      </w:r>
      <w:r w:rsidRPr="00613F8A">
        <w:rPr>
          <w:rFonts w:ascii="Arial" w:hAnsi="Arial" w:cs="Arial"/>
          <w:i/>
          <w:iCs/>
          <w:sz w:val="19"/>
          <w:szCs w:val="19"/>
        </w:rPr>
        <w:t>q</w:t>
      </w:r>
      <w:r w:rsidRPr="00613F8A">
        <w:rPr>
          <w:rFonts w:ascii="Arial" w:hAnsi="Arial" w:cs="Arial"/>
          <w:sz w:val="19"/>
          <w:szCs w:val="19"/>
        </w:rPr>
        <w:t xml:space="preserve"> according to </w:t>
      </w:r>
      <w:r w:rsidRPr="00613F8A">
        <w:rPr>
          <w:rFonts w:ascii="Arial" w:hAnsi="Arial" w:cs="Arial"/>
          <w:i/>
          <w:iCs/>
          <w:sz w:val="19"/>
          <w:szCs w:val="19"/>
        </w:rPr>
        <w:t>q=S k ΔT</w:t>
      </w:r>
      <w:r w:rsidRPr="00613F8A">
        <w:rPr>
          <w:rFonts w:ascii="Arial" w:hAnsi="Arial" w:cs="Arial"/>
          <w:sz w:val="19"/>
          <w:szCs w:val="19"/>
        </w:rPr>
        <w:t xml:space="preserve">, where </w:t>
      </w:r>
      <w:r w:rsidRPr="00613F8A">
        <w:rPr>
          <w:rFonts w:ascii="Arial" w:hAnsi="Arial" w:cs="Arial"/>
          <w:i/>
          <w:iCs/>
          <w:sz w:val="19"/>
          <w:szCs w:val="19"/>
        </w:rPr>
        <w:t>k</w:t>
      </w:r>
      <w:r w:rsidR="008E0505">
        <w:rPr>
          <w:rFonts w:ascii="Arial" w:hAnsi="Arial" w:cs="Arial"/>
          <w:sz w:val="19"/>
          <w:szCs w:val="19"/>
        </w:rPr>
        <w:t xml:space="preserve"> </w:t>
      </w:r>
      <w:r w:rsidRPr="00613F8A">
        <w:rPr>
          <w:rFonts w:ascii="Arial" w:hAnsi="Arial" w:cs="Arial"/>
          <w:sz w:val="19"/>
          <w:szCs w:val="19"/>
        </w:rPr>
        <w:t xml:space="preserve">is the thermal conductivity of the substrate while </w:t>
      </w:r>
      <w:r w:rsidRPr="00613F8A">
        <w:rPr>
          <w:rFonts w:ascii="Arial" w:hAnsi="Arial" w:cs="Arial"/>
          <w:i/>
          <w:iCs/>
          <w:sz w:val="19"/>
          <w:szCs w:val="19"/>
        </w:rPr>
        <w:t>S=2D</w:t>
      </w:r>
      <w:r w:rsidRPr="00613F8A">
        <w:rPr>
          <w:rFonts w:ascii="Arial" w:hAnsi="Arial" w:cs="Arial"/>
          <w:sz w:val="19"/>
          <w:szCs w:val="19"/>
        </w:rPr>
        <w:t xml:space="preserve"> is the shape factor of the disc with </w:t>
      </w:r>
      <w:r w:rsidRPr="00613F8A">
        <w:rPr>
          <w:rFonts w:ascii="Arial" w:hAnsi="Arial" w:cs="Arial"/>
          <w:i/>
          <w:iCs/>
          <w:sz w:val="19"/>
          <w:szCs w:val="19"/>
        </w:rPr>
        <w:t>D</w:t>
      </w:r>
      <w:r w:rsidRPr="00613F8A">
        <w:rPr>
          <w:rFonts w:ascii="Arial" w:hAnsi="Arial" w:cs="Arial"/>
          <w:sz w:val="19"/>
          <w:szCs w:val="19"/>
        </w:rPr>
        <w:t xml:space="preserve"> being the diameter of the heating beam</w:t>
      </w:r>
      <w:r w:rsidRPr="00613F8A">
        <w:rPr>
          <w:rFonts w:ascii="Arial" w:hAnsi="Arial" w:cs="Arial"/>
          <w:noProof/>
          <w:sz w:val="19"/>
          <w:szCs w:val="19"/>
          <w:vertAlign w:val="superscript"/>
        </w:rPr>
        <w:t>16</w:t>
      </w:r>
      <w:r w:rsidRPr="00613F8A">
        <w:rPr>
          <w:rFonts w:ascii="Arial" w:hAnsi="Arial" w:cs="Arial"/>
          <w:sz w:val="19"/>
          <w:szCs w:val="19"/>
        </w:rPr>
        <w:t>.</w:t>
      </w:r>
      <w:r w:rsidR="008E0505">
        <w:rPr>
          <w:rFonts w:ascii="Arial" w:hAnsi="Arial" w:cs="Arial"/>
          <w:sz w:val="19"/>
          <w:szCs w:val="19"/>
        </w:rPr>
        <w:t xml:space="preserve"> Our experimental sample is fabricated on a Si substrate, which is covered by a </w:t>
      </w:r>
      <w:r w:rsidR="008E0505" w:rsidRPr="00793E85">
        <w:rPr>
          <w:rFonts w:ascii="Arial" w:hAnsi="Arial" w:cs="Arial"/>
          <w:sz w:val="19"/>
          <w:szCs w:val="19"/>
        </w:rPr>
        <w:t xml:space="preserve">1 </w:t>
      </w:r>
      <w:r w:rsidR="008E0505" w:rsidRPr="00793E85">
        <w:rPr>
          <w:rFonts w:ascii="Arial" w:hAnsi="Arial" w:cs="Arial"/>
          <w:sz w:val="19"/>
          <w:szCs w:val="19"/>
        </w:rPr>
        <w:sym w:font="Symbol" w:char="F06D"/>
      </w:r>
      <w:r w:rsidR="008E0505" w:rsidRPr="00793E85">
        <w:rPr>
          <w:rFonts w:ascii="Arial" w:hAnsi="Arial" w:cs="Arial"/>
          <w:sz w:val="19"/>
          <w:szCs w:val="19"/>
        </w:rPr>
        <w:t>m-thick layer of SiO</w:t>
      </w:r>
      <w:r w:rsidR="008E0505" w:rsidRPr="00793E85">
        <w:rPr>
          <w:rFonts w:ascii="Arial" w:hAnsi="Arial" w:cs="Arial"/>
          <w:sz w:val="19"/>
          <w:szCs w:val="19"/>
          <w:vertAlign w:val="subscript"/>
        </w:rPr>
        <w:t>2</w:t>
      </w:r>
      <w:r w:rsidR="008E0505">
        <w:rPr>
          <w:rFonts w:ascii="Arial" w:hAnsi="Arial" w:cs="Arial"/>
          <w:sz w:val="19"/>
          <w:szCs w:val="19"/>
        </w:rPr>
        <w:t>. To derive an upper bound on the temperature attainable by the sample, we first derive temperature estimates for the case when the sample is placed on an SiO</w:t>
      </w:r>
      <w:r w:rsidR="008E0505" w:rsidRPr="007F2943">
        <w:rPr>
          <w:rFonts w:ascii="Arial" w:hAnsi="Arial" w:cs="Arial"/>
          <w:sz w:val="19"/>
          <w:szCs w:val="19"/>
          <w:vertAlign w:val="subscript"/>
        </w:rPr>
        <w:t>2</w:t>
      </w:r>
      <w:r w:rsidR="008E0505">
        <w:rPr>
          <w:rFonts w:ascii="Arial" w:hAnsi="Arial" w:cs="Arial"/>
          <w:sz w:val="19"/>
          <w:szCs w:val="19"/>
        </w:rPr>
        <w:t xml:space="preserve"> substrate (see the insets of Fig. S9). When the metasurface is built on an SiO</w:t>
      </w:r>
      <w:r w:rsidR="008E0505" w:rsidRPr="007F2943">
        <w:rPr>
          <w:rFonts w:ascii="Arial" w:hAnsi="Arial" w:cs="Arial"/>
          <w:sz w:val="19"/>
          <w:szCs w:val="19"/>
          <w:vertAlign w:val="subscript"/>
        </w:rPr>
        <w:t>2</w:t>
      </w:r>
      <w:r w:rsidR="008E0505">
        <w:rPr>
          <w:rFonts w:ascii="Arial" w:hAnsi="Arial" w:cs="Arial"/>
          <w:sz w:val="19"/>
          <w:szCs w:val="19"/>
        </w:rPr>
        <w:t xml:space="preserve"> substrate, </w:t>
      </w:r>
      <w:r w:rsidR="00285632">
        <w:rPr>
          <w:rFonts w:ascii="Arial" w:hAnsi="Arial" w:cs="Arial"/>
          <w:sz w:val="19"/>
          <w:szCs w:val="19"/>
        </w:rPr>
        <w:t>for</w:t>
      </w:r>
      <w:r w:rsidR="008E0505">
        <w:rPr>
          <w:rFonts w:ascii="Arial" w:hAnsi="Arial" w:cs="Arial"/>
          <w:sz w:val="19"/>
          <w:szCs w:val="19"/>
        </w:rPr>
        <w:t xml:space="preserve"> </w:t>
      </w:r>
      <w:r w:rsidR="004F1D1A">
        <w:rPr>
          <w:rFonts w:ascii="Arial" w:hAnsi="Arial" w:cs="Arial"/>
          <w:sz w:val="19"/>
          <w:szCs w:val="19"/>
        </w:rPr>
        <w:t xml:space="preserve">an </w:t>
      </w:r>
      <w:r w:rsidR="004F1D1A" w:rsidRPr="00793E85">
        <w:rPr>
          <w:rFonts w:ascii="Arial" w:hAnsi="Arial" w:cs="Arial"/>
          <w:sz w:val="19"/>
          <w:szCs w:val="19"/>
        </w:rPr>
        <w:t xml:space="preserve">irradiance of </w:t>
      </w:r>
      <w:r w:rsidR="004F1D1A" w:rsidRPr="007F4D17">
        <w:rPr>
          <w:rFonts w:ascii="Arial" w:hAnsi="Arial" w:cs="Arial"/>
          <w:sz w:val="19"/>
          <w:szCs w:val="19"/>
        </w:rPr>
        <w:t>9.1</w:t>
      </w:r>
      <w:r w:rsidR="004F1D1A" w:rsidRPr="00365D17">
        <w:rPr>
          <w:rFonts w:ascii="Arial" w:hAnsi="Arial" w:cs="Arial"/>
          <w:sz w:val="19"/>
          <w:szCs w:val="19"/>
        </w:rPr>
        <w:t xml:space="preserve"> kW/cm</w:t>
      </w:r>
      <w:r w:rsidR="004F1D1A" w:rsidRPr="00365D17">
        <w:rPr>
          <w:rFonts w:ascii="Arial" w:hAnsi="Arial" w:cs="Arial"/>
          <w:sz w:val="19"/>
          <w:szCs w:val="19"/>
          <w:vertAlign w:val="superscript"/>
        </w:rPr>
        <w:t>2</w:t>
      </w:r>
      <w:r w:rsidR="004F1D1A" w:rsidRPr="00365D17">
        <w:rPr>
          <w:rFonts w:ascii="Arial" w:hAnsi="Arial" w:cs="Arial"/>
          <w:sz w:val="19"/>
          <w:szCs w:val="19"/>
        </w:rPr>
        <w:t xml:space="preserve">, </w:t>
      </w:r>
      <w:r w:rsidR="004F1D1A">
        <w:rPr>
          <w:rFonts w:ascii="Arial" w:hAnsi="Arial" w:cs="Arial"/>
          <w:sz w:val="19"/>
          <w:szCs w:val="19"/>
        </w:rPr>
        <w:t xml:space="preserve">an </w:t>
      </w:r>
      <w:r w:rsidR="004F1D1A" w:rsidRPr="00365D17">
        <w:rPr>
          <w:rFonts w:ascii="Arial" w:hAnsi="Arial" w:cs="Arial"/>
          <w:sz w:val="19"/>
          <w:szCs w:val="19"/>
        </w:rPr>
        <w:t xml:space="preserve">absorbance of </w:t>
      </w:r>
      <w:r w:rsidR="004F1D1A" w:rsidRPr="007F4D17">
        <w:rPr>
          <w:rFonts w:ascii="Arial" w:hAnsi="Arial" w:cs="Arial"/>
          <w:sz w:val="19"/>
          <w:szCs w:val="19"/>
        </w:rPr>
        <w:t>99.3</w:t>
      </w:r>
      <w:r w:rsidR="004F1D1A" w:rsidRPr="00365D17">
        <w:rPr>
          <w:rFonts w:ascii="Arial" w:hAnsi="Arial" w:cs="Arial"/>
          <w:sz w:val="19"/>
          <w:szCs w:val="19"/>
        </w:rPr>
        <w:t>%,</w:t>
      </w:r>
      <w:r w:rsidR="004F1D1A" w:rsidRPr="00793E85">
        <w:rPr>
          <w:rFonts w:ascii="Arial" w:hAnsi="Arial" w:cs="Arial"/>
          <w:sz w:val="19"/>
          <w:szCs w:val="19"/>
        </w:rPr>
        <w:t xml:space="preserve"> and a laser spot diameter of 8 μm, </w:t>
      </w:r>
      <w:r w:rsidR="004F1D1A">
        <w:rPr>
          <w:rFonts w:ascii="Arial" w:hAnsi="Arial" w:cs="Arial"/>
          <w:sz w:val="19"/>
          <w:szCs w:val="19"/>
        </w:rPr>
        <w:t xml:space="preserve">we estimate that </w:t>
      </w:r>
      <w:r w:rsidR="004F1D1A" w:rsidRPr="00793E85">
        <w:rPr>
          <w:rFonts w:ascii="Arial" w:hAnsi="Arial" w:cs="Arial"/>
          <w:sz w:val="19"/>
          <w:szCs w:val="19"/>
        </w:rPr>
        <w:t>the temperature increase of the metasurface</w:t>
      </w:r>
      <w:r w:rsidR="004F1D1A">
        <w:rPr>
          <w:rFonts w:ascii="Arial" w:hAnsi="Arial" w:cs="Arial"/>
          <w:sz w:val="19"/>
          <w:szCs w:val="19"/>
        </w:rPr>
        <w:t xml:space="preserve"> </w:t>
      </w:r>
      <w:r w:rsidR="004F1D1A" w:rsidRPr="00793E85">
        <w:rPr>
          <w:rFonts w:ascii="Arial" w:hAnsi="Arial" w:cs="Arial"/>
          <w:sz w:val="19"/>
          <w:szCs w:val="19"/>
        </w:rPr>
        <w:t>is 1</w:t>
      </w:r>
      <w:r w:rsidR="004F1D1A">
        <w:rPr>
          <w:rFonts w:ascii="Arial" w:hAnsi="Arial" w:cs="Arial"/>
          <w:sz w:val="19"/>
          <w:szCs w:val="19"/>
        </w:rPr>
        <w:t>67</w:t>
      </w:r>
      <w:r w:rsidR="004F1D1A" w:rsidRPr="00793E85">
        <w:rPr>
          <w:rFonts w:ascii="Arial" w:hAnsi="Arial" w:cs="Arial"/>
          <w:sz w:val="19"/>
          <w:szCs w:val="19"/>
        </w:rPr>
        <w:t xml:space="preserve"> K.</w:t>
      </w:r>
      <w:r w:rsidR="001F4E38">
        <w:rPr>
          <w:rFonts w:ascii="Arial" w:hAnsi="Arial" w:cs="Arial"/>
          <w:sz w:val="19"/>
          <w:szCs w:val="19"/>
        </w:rPr>
        <w:t xml:space="preserve"> On the other hand, if we consider the case of a Si substrate with a thermal conductivity of </w:t>
      </w:r>
      <w:r w:rsidR="001F4E38" w:rsidRPr="00613F8A">
        <w:rPr>
          <w:rFonts w:ascii="Arial" w:hAnsi="Arial" w:cs="Arial"/>
          <w:i/>
          <w:iCs/>
          <w:sz w:val="19"/>
          <w:szCs w:val="19"/>
        </w:rPr>
        <w:t>k</w:t>
      </w:r>
      <w:r w:rsidR="001F4E38" w:rsidRPr="00613F8A">
        <w:rPr>
          <w:rFonts w:ascii="Arial" w:hAnsi="Arial" w:cs="Arial"/>
          <w:sz w:val="19"/>
          <w:szCs w:val="19"/>
        </w:rPr>
        <w:t>=148 W/(m K)</w:t>
      </w:r>
      <w:r w:rsidR="001F4E38">
        <w:rPr>
          <w:rFonts w:ascii="Arial" w:hAnsi="Arial" w:cs="Arial"/>
          <w:sz w:val="19"/>
          <w:szCs w:val="19"/>
        </w:rPr>
        <w:t>,</w:t>
      </w:r>
      <w:r w:rsidRPr="00613F8A">
        <w:rPr>
          <w:rFonts w:ascii="Arial" w:hAnsi="Arial" w:cs="Arial"/>
          <w:sz w:val="19"/>
          <w:szCs w:val="19"/>
        </w:rPr>
        <w:t xml:space="preserve"> for </w:t>
      </w:r>
      <w:r w:rsidR="001F4E38">
        <w:rPr>
          <w:rFonts w:ascii="Arial" w:hAnsi="Arial" w:cs="Arial"/>
          <w:sz w:val="19"/>
          <w:szCs w:val="19"/>
        </w:rPr>
        <w:t>an</w:t>
      </w:r>
      <w:r w:rsidR="001F4E38" w:rsidRPr="00613F8A">
        <w:rPr>
          <w:rFonts w:ascii="Arial" w:hAnsi="Arial" w:cs="Arial"/>
          <w:sz w:val="19"/>
          <w:szCs w:val="19"/>
        </w:rPr>
        <w:t xml:space="preserve"> </w:t>
      </w:r>
      <w:r w:rsidRPr="00613F8A">
        <w:rPr>
          <w:rFonts w:ascii="Arial" w:hAnsi="Arial" w:cs="Arial"/>
          <w:sz w:val="19"/>
          <w:szCs w:val="19"/>
        </w:rPr>
        <w:t>irradiance of 3.5 kW/cm</w:t>
      </w:r>
      <w:r w:rsidRPr="00613F8A">
        <w:rPr>
          <w:rFonts w:ascii="Arial" w:hAnsi="Arial" w:cs="Arial"/>
          <w:sz w:val="19"/>
          <w:szCs w:val="19"/>
          <w:vertAlign w:val="superscript"/>
        </w:rPr>
        <w:t>2</w:t>
      </w:r>
      <w:r w:rsidRPr="00613F8A">
        <w:rPr>
          <w:rFonts w:ascii="Arial" w:hAnsi="Arial" w:cs="Arial"/>
          <w:sz w:val="19"/>
          <w:szCs w:val="19"/>
        </w:rPr>
        <w:t xml:space="preserve">, </w:t>
      </w:r>
      <w:r w:rsidR="001F4E38">
        <w:rPr>
          <w:rFonts w:ascii="Arial" w:hAnsi="Arial" w:cs="Arial"/>
          <w:sz w:val="19"/>
          <w:szCs w:val="19"/>
        </w:rPr>
        <w:t>an</w:t>
      </w:r>
      <w:r w:rsidR="001F4E38" w:rsidRPr="00613F8A">
        <w:rPr>
          <w:rFonts w:ascii="Arial" w:hAnsi="Arial" w:cs="Arial"/>
          <w:sz w:val="19"/>
          <w:szCs w:val="19"/>
        </w:rPr>
        <w:t xml:space="preserve"> </w:t>
      </w:r>
      <w:r w:rsidRPr="00613F8A">
        <w:rPr>
          <w:rFonts w:ascii="Arial" w:hAnsi="Arial" w:cs="Arial"/>
          <w:sz w:val="19"/>
          <w:szCs w:val="19"/>
        </w:rPr>
        <w:t xml:space="preserve">absorbance of 90%, and the laser spot diameter of 40 μm, the temperature increase of the metasurface is </w:t>
      </w:r>
      <w:r w:rsidR="001F4E38">
        <w:rPr>
          <w:rFonts w:ascii="Arial" w:hAnsi="Arial" w:cs="Arial"/>
          <w:sz w:val="19"/>
          <w:szCs w:val="19"/>
        </w:rPr>
        <w:t xml:space="preserve">only </w:t>
      </w:r>
      <w:r w:rsidRPr="00613F8A">
        <w:rPr>
          <w:rFonts w:ascii="Arial" w:hAnsi="Arial" w:cs="Arial"/>
          <w:sz w:val="19"/>
          <w:szCs w:val="19"/>
        </w:rPr>
        <w:t xml:space="preserve">3.3 K. </w:t>
      </w:r>
      <w:r w:rsidR="001A7F6E">
        <w:rPr>
          <w:rFonts w:ascii="Arial" w:hAnsi="Arial" w:cs="Arial"/>
          <w:sz w:val="19"/>
          <w:szCs w:val="19"/>
        </w:rPr>
        <w:t>This illustrates how the thermal conductivity of the substrate affect</w:t>
      </w:r>
      <w:r w:rsidR="00285632">
        <w:rPr>
          <w:rFonts w:ascii="Arial" w:hAnsi="Arial" w:cs="Arial"/>
          <w:sz w:val="19"/>
          <w:szCs w:val="19"/>
        </w:rPr>
        <w:t>s</w:t>
      </w:r>
      <w:r w:rsidR="001A7F6E">
        <w:rPr>
          <w:rFonts w:ascii="Arial" w:hAnsi="Arial" w:cs="Arial"/>
          <w:sz w:val="19"/>
          <w:szCs w:val="19"/>
        </w:rPr>
        <w:t xml:space="preserve"> the temperature attained by the metasurface.</w:t>
      </w:r>
    </w:p>
    <w:p w14:paraId="0CFFDCC2" w14:textId="265F6C20" w:rsidR="005F45B6" w:rsidRPr="00613F8A" w:rsidRDefault="00DA015B" w:rsidP="00A61D0A">
      <w:pPr>
        <w:spacing w:after="0"/>
        <w:ind w:firstLine="720"/>
        <w:jc w:val="both"/>
        <w:rPr>
          <w:rFonts w:ascii="Arial" w:hAnsi="Arial" w:cs="Arial"/>
          <w:sz w:val="19"/>
          <w:szCs w:val="19"/>
        </w:rPr>
      </w:pPr>
      <w:r>
        <w:rPr>
          <w:rFonts w:ascii="Arial" w:hAnsi="Arial" w:cs="Arial"/>
          <w:sz w:val="19"/>
          <w:szCs w:val="19"/>
        </w:rPr>
        <w:t>I</w:t>
      </w:r>
      <w:r w:rsidR="003F7BC5">
        <w:rPr>
          <w:rFonts w:ascii="Arial" w:hAnsi="Arial" w:cs="Arial"/>
          <w:sz w:val="19"/>
          <w:szCs w:val="19"/>
        </w:rPr>
        <w:t>n</w:t>
      </w:r>
      <w:r>
        <w:rPr>
          <w:rFonts w:ascii="Arial" w:hAnsi="Arial" w:cs="Arial"/>
          <w:sz w:val="19"/>
          <w:szCs w:val="19"/>
        </w:rPr>
        <w:t xml:space="preserve"> what follows, we derive few simple estimates for the temperature increase of the metasurface </w:t>
      </w:r>
      <w:r>
        <w:rPr>
          <w:rFonts w:ascii="Arial" w:hAnsi="Arial" w:cs="Arial"/>
          <w:i/>
          <w:iCs/>
          <w:sz w:val="19"/>
          <w:szCs w:val="19"/>
        </w:rPr>
        <w:t>o</w:t>
      </w:r>
      <w:r w:rsidRPr="007F2943">
        <w:rPr>
          <w:rFonts w:ascii="Arial" w:hAnsi="Arial" w:cs="Arial"/>
          <w:i/>
          <w:iCs/>
          <w:sz w:val="19"/>
          <w:szCs w:val="19"/>
        </w:rPr>
        <w:t>n a Si substrate</w:t>
      </w:r>
      <w:r>
        <w:rPr>
          <w:rFonts w:ascii="Arial" w:hAnsi="Arial" w:cs="Arial"/>
          <w:sz w:val="19"/>
          <w:szCs w:val="19"/>
        </w:rPr>
        <w:t xml:space="preserve"> using the simple </w:t>
      </w:r>
      <w:r w:rsidR="003F7BC5">
        <w:rPr>
          <w:rFonts w:ascii="Arial" w:hAnsi="Arial" w:cs="Arial"/>
          <w:sz w:val="19"/>
          <w:szCs w:val="19"/>
        </w:rPr>
        <w:t xml:space="preserve">model </w:t>
      </w:r>
      <w:r>
        <w:rPr>
          <w:rFonts w:ascii="Arial" w:hAnsi="Arial" w:cs="Arial"/>
          <w:sz w:val="19"/>
          <w:szCs w:val="19"/>
        </w:rPr>
        <w:t>described above.</w:t>
      </w:r>
      <w:r w:rsidR="005F45B6" w:rsidRPr="00613F8A">
        <w:rPr>
          <w:rFonts w:ascii="Arial" w:hAnsi="Arial" w:cs="Arial"/>
          <w:sz w:val="19"/>
          <w:szCs w:val="19"/>
        </w:rPr>
        <w:t xml:space="preserve"> The model projects that at an irradiance of 567 kW/cm</w:t>
      </w:r>
      <w:r w:rsidR="005F45B6" w:rsidRPr="00613F8A">
        <w:rPr>
          <w:rFonts w:ascii="Arial" w:hAnsi="Arial" w:cs="Arial"/>
          <w:sz w:val="19"/>
          <w:szCs w:val="19"/>
          <w:vertAlign w:val="superscript"/>
        </w:rPr>
        <w:t>2</w:t>
      </w:r>
      <w:r w:rsidR="005F45B6" w:rsidRPr="00613F8A">
        <w:rPr>
          <w:rFonts w:ascii="Arial" w:hAnsi="Arial" w:cs="Arial"/>
          <w:sz w:val="19"/>
          <w:szCs w:val="19"/>
        </w:rPr>
        <w:t>, absorbance of 85%, and for a laser spot diameter of 8 μm, the temperature increase of the metasurface is ~102 K. For the high irradiance of 567 kW/cm</w:t>
      </w:r>
      <w:r w:rsidR="005F45B6" w:rsidRPr="00613F8A">
        <w:rPr>
          <w:rFonts w:ascii="Arial" w:hAnsi="Arial" w:cs="Arial"/>
          <w:sz w:val="19"/>
          <w:szCs w:val="19"/>
          <w:vertAlign w:val="superscript"/>
        </w:rPr>
        <w:t>2</w:t>
      </w:r>
      <w:r w:rsidR="005F45B6" w:rsidRPr="00613F8A">
        <w:rPr>
          <w:rFonts w:ascii="Arial" w:hAnsi="Arial" w:cs="Arial"/>
          <w:sz w:val="19"/>
          <w:szCs w:val="19"/>
        </w:rPr>
        <w:t xml:space="preserve">, the temperature increase is limited to only 102 K due to the heat conduction in the lateral (in plane) directions and through the heat sink out of plane. </w:t>
      </w:r>
    </w:p>
    <w:p w14:paraId="6A957331" w14:textId="77777777" w:rsidR="005F45B6" w:rsidRPr="00613F8A" w:rsidRDefault="005F45B6" w:rsidP="00A61D0A">
      <w:pPr>
        <w:spacing w:after="0"/>
        <w:ind w:firstLine="720"/>
        <w:jc w:val="both"/>
        <w:rPr>
          <w:rFonts w:ascii="Arial" w:eastAsia="Times New Roman" w:hAnsi="Arial" w:cs="Arial"/>
          <w:sz w:val="19"/>
          <w:szCs w:val="19"/>
        </w:rPr>
      </w:pPr>
    </w:p>
    <w:p w14:paraId="027100BC" w14:textId="35C3BFAC" w:rsidR="005F45B6" w:rsidRPr="00613F8A" w:rsidRDefault="008E0505" w:rsidP="007F2943">
      <w:pPr>
        <w:spacing w:after="0"/>
        <w:ind w:firstLine="720"/>
        <w:jc w:val="center"/>
        <w:rPr>
          <w:rFonts w:ascii="Arial" w:eastAsia="Times New Roman" w:hAnsi="Arial" w:cs="Arial"/>
          <w:b/>
          <w:bCs/>
          <w:sz w:val="19"/>
          <w:szCs w:val="19"/>
        </w:rPr>
      </w:pPr>
      <w:r>
        <w:rPr>
          <w:noProof/>
        </w:rPr>
        <w:drawing>
          <wp:inline distT="0" distB="0" distL="0" distR="0" wp14:anchorId="20C5EAEA" wp14:editId="2D0658F7">
            <wp:extent cx="5470525" cy="2056130"/>
            <wp:effectExtent l="0" t="0" r="0" b="127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0525" cy="2056130"/>
                    </a:xfrm>
                    <a:prstGeom prst="rect">
                      <a:avLst/>
                    </a:prstGeom>
                    <a:noFill/>
                    <a:ln>
                      <a:noFill/>
                    </a:ln>
                  </pic:spPr>
                </pic:pic>
              </a:graphicData>
            </a:graphic>
          </wp:inline>
        </w:drawing>
      </w:r>
    </w:p>
    <w:p w14:paraId="4435EF48" w14:textId="03492E17" w:rsidR="005F45B6" w:rsidRPr="00613F8A" w:rsidRDefault="005F45B6" w:rsidP="00A61D0A">
      <w:pPr>
        <w:spacing w:after="0"/>
        <w:jc w:val="both"/>
        <w:rPr>
          <w:rFonts w:ascii="Arial" w:eastAsia="Times New Roman" w:hAnsi="Arial" w:cs="Arial"/>
          <w:b/>
          <w:bCs/>
          <w:sz w:val="19"/>
          <w:szCs w:val="19"/>
        </w:rPr>
      </w:pPr>
      <w:r w:rsidRPr="00613F8A">
        <w:rPr>
          <w:rFonts w:ascii="Arial" w:eastAsia="Times New Roman" w:hAnsi="Arial" w:cs="Arial"/>
          <w:b/>
          <w:bCs/>
          <w:sz w:val="19"/>
          <w:szCs w:val="19"/>
        </w:rPr>
        <w:t xml:space="preserve">Figure S9. </w:t>
      </w:r>
      <w:r w:rsidRPr="00613F8A">
        <w:rPr>
          <w:rFonts w:ascii="Arial" w:eastAsia="Times New Roman" w:hAnsi="Arial" w:cs="Arial"/>
          <w:sz w:val="19"/>
          <w:szCs w:val="19"/>
        </w:rPr>
        <w:t>Modelled temperature increase upon small-area CW illumination.</w:t>
      </w:r>
      <w:r w:rsidRPr="00613F8A">
        <w:rPr>
          <w:rFonts w:ascii="Arial" w:eastAsia="Times New Roman" w:hAnsi="Arial" w:cs="Arial"/>
          <w:b/>
          <w:bCs/>
          <w:sz w:val="19"/>
          <w:szCs w:val="19"/>
        </w:rPr>
        <w:t xml:space="preserve"> </w:t>
      </w:r>
      <w:r w:rsidRPr="00613F8A">
        <w:rPr>
          <w:rFonts w:ascii="Arial" w:eastAsia="Times New Roman" w:hAnsi="Arial" w:cs="Arial"/>
          <w:sz w:val="19"/>
          <w:szCs w:val="19"/>
        </w:rPr>
        <w:t>a)</w:t>
      </w:r>
      <w:r w:rsidRPr="00613F8A">
        <w:rPr>
          <w:rFonts w:ascii="Arial" w:eastAsia="Times New Roman" w:hAnsi="Arial" w:cs="Arial"/>
          <w:b/>
          <w:bCs/>
          <w:sz w:val="19"/>
          <w:szCs w:val="19"/>
        </w:rPr>
        <w:t xml:space="preserve"> </w:t>
      </w:r>
      <w:r w:rsidRPr="00613F8A">
        <w:rPr>
          <w:rFonts w:ascii="Arial" w:eastAsia="Times New Roman" w:hAnsi="Arial" w:cs="Arial"/>
          <w:sz w:val="19"/>
          <w:szCs w:val="19"/>
        </w:rPr>
        <w:t xml:space="preserve">Irradiance, which yields a temperature increase of ΔT=102 K, as a function of the laser spot diameter (red curve). The corresponding total output power is plotted in red. In a) and b), we assume that the metasurface illuminated by a focused laser spot can thermally be modelled as a heated disc on an infinite substrate, which is schematically shown in the inset of a). </w:t>
      </w:r>
      <w:r w:rsidR="008E0505">
        <w:rPr>
          <w:rFonts w:ascii="Arial" w:eastAsia="Times New Roman" w:hAnsi="Arial" w:cs="Arial"/>
          <w:sz w:val="19"/>
          <w:szCs w:val="19"/>
        </w:rPr>
        <w:t xml:space="preserve">Schematic of the fabricated metasurface unit cell is also shown in the inset of a). </w:t>
      </w:r>
      <w:r w:rsidRPr="00613F8A">
        <w:rPr>
          <w:rFonts w:ascii="Arial" w:eastAsia="Times New Roman" w:hAnsi="Arial" w:cs="Arial"/>
          <w:sz w:val="19"/>
          <w:szCs w:val="19"/>
        </w:rPr>
        <w:t>b) The calculated temperature increase of a metasurface as a function of the incoming power for different diameters of the heated disk.</w:t>
      </w:r>
    </w:p>
    <w:p w14:paraId="642985D5" w14:textId="4D6EBF45" w:rsidR="005F45B6" w:rsidRDefault="005F45B6" w:rsidP="00A61D0A">
      <w:pPr>
        <w:spacing w:after="0"/>
        <w:jc w:val="both"/>
        <w:rPr>
          <w:rFonts w:ascii="Arial" w:eastAsia="Times New Roman" w:hAnsi="Arial" w:cs="Arial"/>
          <w:sz w:val="19"/>
          <w:szCs w:val="19"/>
        </w:rPr>
      </w:pPr>
    </w:p>
    <w:p w14:paraId="280023B5" w14:textId="01B66F17" w:rsidR="005F45B6" w:rsidRPr="00613F8A" w:rsidRDefault="00613F8A" w:rsidP="00613F8A">
      <w:pPr>
        <w:spacing w:after="0"/>
        <w:jc w:val="both"/>
        <w:rPr>
          <w:rFonts w:ascii="Arial" w:hAnsi="Arial" w:cs="Arial"/>
          <w:sz w:val="19"/>
          <w:szCs w:val="19"/>
        </w:rPr>
      </w:pPr>
      <w:r w:rsidRPr="00613F8A">
        <w:rPr>
          <w:rFonts w:ascii="Arial" w:hAnsi="Arial" w:cs="Arial"/>
          <w:sz w:val="19"/>
          <w:szCs w:val="19"/>
        </w:rPr>
        <w:t xml:space="preserve">Further, we calculate the laser irradiance, which yields the same temperature increase of 102 K at different diameters of the illuminating laser spot size (Figure S9a). While the area of the fabricated metasurface is 40 μm </w:t>
      </w:r>
      <w:r w:rsidRPr="00613F8A">
        <w:rPr>
          <w:rFonts w:ascii="Arial" w:hAnsi="Arial" w:cs="Arial"/>
          <w:sz w:val="19"/>
          <w:szCs w:val="19"/>
        </w:rPr>
        <w:lastRenderedPageBreak/>
        <w:t>× 40 μm, in our model, we also consider the cases of larger metasurfaces and extend the diameter of the laser spot up to 600 μm at fixed irradiance of 567 kW/cm</w:t>
      </w:r>
      <w:r w:rsidRPr="00613F8A">
        <w:rPr>
          <w:rFonts w:ascii="Arial" w:hAnsi="Arial" w:cs="Arial"/>
          <w:sz w:val="19"/>
          <w:szCs w:val="19"/>
          <w:vertAlign w:val="superscript"/>
        </w:rPr>
        <w:t>2</w:t>
      </w:r>
      <w:r w:rsidRPr="00613F8A">
        <w:rPr>
          <w:rFonts w:ascii="Arial" w:hAnsi="Arial" w:cs="Arial"/>
          <w:sz w:val="19"/>
          <w:szCs w:val="19"/>
        </w:rPr>
        <w:t>. As seen in Figure S9a, the irradiance yielding a temperature increase of 102 K decreases with the laser spot diameter. This is because at larger diameters of the heated spot, the lateral conduction of heat is less efficient. On the other hand, the overall incident power increases with the laser diameter exceeding 3W at the laser spot diameter of 600 μm. Using the same simple relation (</w:t>
      </w:r>
      <w:r w:rsidRPr="00613F8A">
        <w:rPr>
          <w:rFonts w:ascii="Arial" w:hAnsi="Arial" w:cs="Arial"/>
          <w:i/>
          <w:iCs/>
          <w:sz w:val="19"/>
          <w:szCs w:val="19"/>
        </w:rPr>
        <w:t>q=S k ΔT</w:t>
      </w:r>
      <w:r w:rsidRPr="00613F8A">
        <w:rPr>
          <w:rFonts w:ascii="Arial" w:hAnsi="Arial" w:cs="Arial"/>
          <w:sz w:val="19"/>
          <w:szCs w:val="19"/>
        </w:rPr>
        <w:t>), we calculate the temperature increase of the metasurface as a function of the incoming power for different laser spot diameters (Figure S9b). The temperature range displayed in Figure S9b is limited to 723 K, which corresponds to the melting temperature of thin Au films.</w:t>
      </w:r>
      <w:r w:rsidRPr="00613F8A">
        <w:rPr>
          <w:rFonts w:ascii="Arial" w:hAnsi="Arial" w:cs="Arial"/>
          <w:noProof/>
          <w:sz w:val="19"/>
          <w:szCs w:val="19"/>
          <w:vertAlign w:val="superscript"/>
        </w:rPr>
        <w:t>17</w:t>
      </w:r>
      <w:r w:rsidRPr="00613F8A">
        <w:rPr>
          <w:rFonts w:ascii="Arial" w:hAnsi="Arial" w:cs="Arial"/>
          <w:sz w:val="19"/>
          <w:szCs w:val="19"/>
        </w:rPr>
        <w:t xml:space="preserve"> As seen in Figure S9b, to achieve a given temperature increase, larger metasurfaces should be illuminated by laser beams of higher power. These higher laser powers would, however, correspond to lower irradiances (Figure S9a).</w:t>
      </w:r>
    </w:p>
    <w:p w14:paraId="28669CBD" w14:textId="77777777" w:rsidR="005F45B6" w:rsidRPr="00613F8A" w:rsidRDefault="005F45B6" w:rsidP="00077E78">
      <w:pPr>
        <w:spacing w:after="0"/>
        <w:ind w:firstLine="720"/>
        <w:jc w:val="both"/>
        <w:rPr>
          <w:rFonts w:ascii="Arial" w:hAnsi="Arial" w:cs="Arial"/>
          <w:sz w:val="19"/>
          <w:szCs w:val="19"/>
        </w:rPr>
      </w:pPr>
      <w:r w:rsidRPr="00613F8A">
        <w:rPr>
          <w:rFonts w:ascii="Arial" w:hAnsi="Arial" w:cs="Arial"/>
          <w:sz w:val="19"/>
          <w:szCs w:val="19"/>
        </w:rPr>
        <w:t>We also used a more elaborate model to estimate the temperature increase in our metasurfaces.</w:t>
      </w:r>
      <w:r w:rsidRPr="00613F8A">
        <w:rPr>
          <w:rFonts w:ascii="Arial" w:hAnsi="Arial" w:cs="Arial"/>
          <w:noProof/>
          <w:sz w:val="19"/>
          <w:szCs w:val="19"/>
          <w:vertAlign w:val="superscript"/>
        </w:rPr>
        <w:t>18</w:t>
      </w:r>
      <w:r w:rsidRPr="00613F8A">
        <w:rPr>
          <w:rFonts w:ascii="Arial" w:hAnsi="Arial" w:cs="Arial"/>
          <w:sz w:val="19"/>
          <w:szCs w:val="19"/>
        </w:rPr>
        <w:t xml:space="preserve"> The developed model describes a situation when a heated disc is placed on a finite substrate (Figure S10). Again, the metasurface acts as a heat source with an assumed irradiance of 3.5 kW/cm</w:t>
      </w:r>
      <w:r w:rsidRPr="00613F8A">
        <w:rPr>
          <w:rFonts w:ascii="Arial" w:hAnsi="Arial" w:cs="Arial"/>
          <w:sz w:val="19"/>
          <w:szCs w:val="19"/>
          <w:vertAlign w:val="superscript"/>
        </w:rPr>
        <w:t>2</w:t>
      </w:r>
      <w:r w:rsidRPr="00613F8A">
        <w:rPr>
          <w:rFonts w:ascii="Arial" w:hAnsi="Arial" w:cs="Arial"/>
          <w:sz w:val="19"/>
          <w:szCs w:val="19"/>
        </w:rPr>
        <w:t xml:space="preserve"> and an assumed absorbance of 90%. We assume that </w:t>
      </w:r>
      <w:r w:rsidRPr="00613F8A">
        <w:rPr>
          <w:rFonts w:ascii="Arial" w:hAnsi="Arial" w:cs="Arial"/>
          <w:i/>
          <w:iCs/>
          <w:sz w:val="19"/>
          <w:szCs w:val="19"/>
        </w:rPr>
        <w:t>S</w:t>
      </w:r>
      <w:r w:rsidRPr="00613F8A">
        <w:rPr>
          <w:rFonts w:ascii="Arial" w:hAnsi="Arial" w:cs="Arial"/>
          <w:i/>
          <w:iCs/>
          <w:sz w:val="19"/>
          <w:szCs w:val="19"/>
          <w:vertAlign w:val="subscript"/>
        </w:rPr>
        <w:t>1</w:t>
      </w:r>
      <w:r w:rsidRPr="00613F8A">
        <w:rPr>
          <w:rFonts w:ascii="Arial" w:hAnsi="Arial" w:cs="Arial"/>
          <w:sz w:val="19"/>
          <w:szCs w:val="19"/>
        </w:rPr>
        <w:t xml:space="preserve">=40 μm, </w:t>
      </w:r>
      <w:r w:rsidRPr="00613F8A">
        <w:rPr>
          <w:rFonts w:ascii="Arial" w:hAnsi="Arial" w:cs="Arial"/>
          <w:i/>
          <w:iCs/>
          <w:sz w:val="19"/>
          <w:szCs w:val="19"/>
        </w:rPr>
        <w:t>t</w:t>
      </w:r>
      <w:r w:rsidRPr="00613F8A">
        <w:rPr>
          <w:rFonts w:ascii="Arial" w:hAnsi="Arial" w:cs="Arial"/>
          <w:sz w:val="19"/>
          <w:szCs w:val="19"/>
        </w:rPr>
        <w:t xml:space="preserve">=2.5 mm, the convective coefficient at the bottom of the substrate is </w:t>
      </w:r>
      <w:r w:rsidRPr="00613F8A">
        <w:rPr>
          <w:rFonts w:ascii="Arial" w:hAnsi="Arial" w:cs="Arial"/>
          <w:i/>
          <w:iCs/>
          <w:sz w:val="19"/>
          <w:szCs w:val="19"/>
        </w:rPr>
        <w:t>h</w:t>
      </w:r>
      <w:r w:rsidRPr="00613F8A">
        <w:rPr>
          <w:rFonts w:ascii="Arial" w:hAnsi="Arial" w:cs="Arial"/>
          <w:sz w:val="19"/>
          <w:szCs w:val="19"/>
        </w:rPr>
        <w:t>=10 W/(m</w:t>
      </w:r>
      <w:r w:rsidRPr="00613F8A">
        <w:rPr>
          <w:rFonts w:ascii="Arial" w:hAnsi="Arial" w:cs="Arial"/>
          <w:sz w:val="19"/>
          <w:szCs w:val="19"/>
          <w:vertAlign w:val="superscript"/>
        </w:rPr>
        <w:t>2</w:t>
      </w:r>
      <w:r w:rsidRPr="00613F8A">
        <w:rPr>
          <w:rFonts w:ascii="Arial" w:hAnsi="Arial" w:cs="Arial"/>
          <w:sz w:val="19"/>
          <w:szCs w:val="19"/>
        </w:rPr>
        <w:t>K), which corresponds to the case of the unforced convection. The thermal conductivity of the Si substrate is k=148 W/(m K). Figure S10c plots the temperature increase of the metasurface as a function of the substrate size S</w:t>
      </w:r>
      <w:r w:rsidRPr="00613F8A">
        <w:rPr>
          <w:rFonts w:ascii="Arial" w:hAnsi="Arial" w:cs="Arial"/>
          <w:sz w:val="19"/>
          <w:szCs w:val="19"/>
          <w:vertAlign w:val="subscript"/>
        </w:rPr>
        <w:t>2</w:t>
      </w:r>
      <w:r w:rsidRPr="00613F8A">
        <w:rPr>
          <w:rFonts w:ascii="Arial" w:hAnsi="Arial" w:cs="Arial"/>
          <w:sz w:val="19"/>
          <w:szCs w:val="19"/>
        </w:rPr>
        <w:t>. As seen in Figure S10c, the temperature of the metasurface decreases with the substrate size. For example, for an 8 cm-wide substrate, the temperature increase is ~ 8K, while for a 10 cm-wide substrate the temperature increase is about 5.5 K. Hence, for reasonably large substrates, the projected temperature increase in our metasurface can be quite modest even without introducing a thermostat. Note that the developed model describes the case when there is no forced convection in the system.</w:t>
      </w:r>
    </w:p>
    <w:p w14:paraId="0397CB2A" w14:textId="77777777" w:rsidR="005F45B6" w:rsidRPr="00613F8A" w:rsidRDefault="005F45B6" w:rsidP="00B815F0">
      <w:pPr>
        <w:spacing w:after="0"/>
        <w:ind w:firstLine="432"/>
        <w:jc w:val="both"/>
        <w:rPr>
          <w:rFonts w:ascii="Arial" w:hAnsi="Arial" w:cs="Arial"/>
          <w:sz w:val="19"/>
          <w:szCs w:val="19"/>
          <w:shd w:val="clear" w:color="auto" w:fill="FFFFFF"/>
        </w:rPr>
      </w:pPr>
      <w:r w:rsidRPr="00613F8A">
        <w:rPr>
          <w:rFonts w:ascii="Arial" w:hAnsi="Arial" w:cs="Arial"/>
          <w:sz w:val="19"/>
          <w:szCs w:val="19"/>
          <w:shd w:val="clear" w:color="auto" w:fill="FFFFFF"/>
        </w:rPr>
        <w:t>The simulation methodology employed in our work has been previously used to accurately reproduce experimental results in the transient illumination regime. We have previously performed transient heat simulations for thin planar films illuminated by ns-long laser pulses.</w:t>
      </w:r>
      <w:r w:rsidRPr="00613F8A">
        <w:rPr>
          <w:rFonts w:ascii="Arial" w:hAnsi="Arial" w:cs="Arial"/>
          <w:noProof/>
          <w:sz w:val="19"/>
          <w:szCs w:val="19"/>
          <w:shd w:val="clear" w:color="auto" w:fill="FFFFFF"/>
          <w:vertAlign w:val="superscript"/>
        </w:rPr>
        <w:t>12</w:t>
      </w:r>
      <w:r w:rsidRPr="00613F8A">
        <w:rPr>
          <w:rFonts w:ascii="Arial" w:hAnsi="Arial" w:cs="Arial"/>
          <w:sz w:val="19"/>
          <w:szCs w:val="19"/>
          <w:shd w:val="clear" w:color="auto" w:fill="FFFFFF"/>
        </w:rPr>
        <w:t xml:space="preserve"> For the experimentally used laser damage fluences, the simulated temperatures of thin Au films were very close to the previously measured melting temperatures of Au films.</w:t>
      </w:r>
      <w:r w:rsidRPr="00613F8A">
        <w:rPr>
          <w:rFonts w:ascii="Arial" w:hAnsi="Arial" w:cs="Arial"/>
          <w:noProof/>
          <w:sz w:val="19"/>
          <w:szCs w:val="19"/>
          <w:shd w:val="clear" w:color="auto" w:fill="FFFFFF"/>
          <w:vertAlign w:val="superscript"/>
        </w:rPr>
        <w:t>17</w:t>
      </w:r>
    </w:p>
    <w:p w14:paraId="7159CF30" w14:textId="77777777" w:rsidR="005F45B6" w:rsidRPr="00613F8A" w:rsidRDefault="005F45B6" w:rsidP="00D7510A">
      <w:pPr>
        <w:spacing w:after="0"/>
        <w:ind w:firstLine="432"/>
        <w:jc w:val="both"/>
        <w:rPr>
          <w:rFonts w:ascii="Arial" w:hAnsi="Arial" w:cs="Arial"/>
          <w:sz w:val="19"/>
          <w:szCs w:val="19"/>
          <w:shd w:val="clear" w:color="auto" w:fill="FFFFFF"/>
        </w:rPr>
      </w:pPr>
      <w:r w:rsidRPr="00613F8A">
        <w:rPr>
          <w:rFonts w:ascii="Arial" w:hAnsi="Arial" w:cs="Arial"/>
          <w:sz w:val="19"/>
          <w:szCs w:val="19"/>
          <w:shd w:val="clear" w:color="auto" w:fill="FFFFFF"/>
        </w:rPr>
        <w:t>Additionally, we simulated the temperature of one, three, and five metasurface elements placed on a planar heterostructure when the temperature at the bottom of the substrate is fixed to T=300 K. Figures S11a, S11b, and S11c correspond to the cases when one, three or five metasurface elements act as a heat source, respectively. Since we fix the irradiance in our optical simulation, the total input power in the performed simulations will be proportional to the number of the metasurface elements. Importantly, we observe that the temperature of the metasurface elements is much lower as compared with the case when the simulation period is set to 400 nm. We also observe that the temperature of the metasurface elements decreases when increasing the simulation width. Both trends are due to the heat conduction in the lateral direction.</w:t>
      </w:r>
    </w:p>
    <w:p w14:paraId="1D6E68D7" w14:textId="77777777" w:rsidR="005F45B6" w:rsidRPr="00613F8A" w:rsidRDefault="005F45B6" w:rsidP="00077E78">
      <w:pPr>
        <w:spacing w:after="0"/>
        <w:jc w:val="center"/>
        <w:rPr>
          <w:rFonts w:ascii="Arial" w:hAnsi="Arial" w:cs="Arial"/>
          <w:sz w:val="19"/>
          <w:szCs w:val="19"/>
        </w:rPr>
      </w:pPr>
      <w:r w:rsidRPr="00613F8A">
        <w:rPr>
          <w:rFonts w:ascii="Arial" w:hAnsi="Arial" w:cs="Arial"/>
          <w:noProof/>
          <w:sz w:val="19"/>
          <w:szCs w:val="19"/>
          <w:lang w:bidi="he-IL"/>
        </w:rPr>
        <w:drawing>
          <wp:inline distT="0" distB="0" distL="0" distR="0" wp14:anchorId="7563F5AA" wp14:editId="16D476D8">
            <wp:extent cx="3335731" cy="302153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2477" cy="3027648"/>
                    </a:xfrm>
                    <a:prstGeom prst="rect">
                      <a:avLst/>
                    </a:prstGeom>
                    <a:noFill/>
                    <a:ln>
                      <a:noFill/>
                    </a:ln>
                  </pic:spPr>
                </pic:pic>
              </a:graphicData>
            </a:graphic>
          </wp:inline>
        </w:drawing>
      </w:r>
    </w:p>
    <w:p w14:paraId="2FB8B215" w14:textId="77777777" w:rsidR="005F45B6" w:rsidRPr="00613F8A" w:rsidRDefault="005F45B6" w:rsidP="00F32B95">
      <w:pPr>
        <w:spacing w:after="0"/>
        <w:jc w:val="both"/>
        <w:rPr>
          <w:rFonts w:ascii="Arial" w:hAnsi="Arial" w:cs="Arial"/>
          <w:sz w:val="19"/>
          <w:szCs w:val="19"/>
        </w:rPr>
      </w:pPr>
      <w:r w:rsidRPr="00613F8A">
        <w:rPr>
          <w:rFonts w:ascii="Arial" w:hAnsi="Arial" w:cs="Arial"/>
          <w:b/>
          <w:bCs/>
          <w:sz w:val="19"/>
          <w:szCs w:val="19"/>
        </w:rPr>
        <w:lastRenderedPageBreak/>
        <w:t>Figure S10.</w:t>
      </w:r>
      <w:r w:rsidRPr="00613F8A">
        <w:rPr>
          <w:rFonts w:ascii="Arial" w:hAnsi="Arial" w:cs="Arial"/>
          <w:sz w:val="19"/>
          <w:szCs w:val="19"/>
        </w:rPr>
        <w:t xml:space="preserve"> Schematic of a heated metasurface on a substrate. a) Side view. b) Top view. c) Calculated temperature increase as a function of the substrate size S</w:t>
      </w:r>
      <w:r w:rsidRPr="00613F8A">
        <w:rPr>
          <w:rFonts w:ascii="Arial" w:hAnsi="Arial" w:cs="Arial"/>
          <w:sz w:val="19"/>
          <w:szCs w:val="19"/>
          <w:vertAlign w:val="subscript"/>
        </w:rPr>
        <w:t>2</w:t>
      </w:r>
      <w:r w:rsidRPr="00613F8A">
        <w:rPr>
          <w:rFonts w:ascii="Arial" w:hAnsi="Arial" w:cs="Arial"/>
          <w:sz w:val="19"/>
          <w:szCs w:val="19"/>
        </w:rPr>
        <w:t xml:space="preserve">. We assume that </w:t>
      </w:r>
      <w:r w:rsidRPr="00613F8A">
        <w:rPr>
          <w:rFonts w:ascii="Arial" w:hAnsi="Arial" w:cs="Arial"/>
          <w:i/>
          <w:iCs/>
          <w:sz w:val="19"/>
          <w:szCs w:val="19"/>
        </w:rPr>
        <w:t>S</w:t>
      </w:r>
      <w:r w:rsidRPr="00613F8A">
        <w:rPr>
          <w:rFonts w:ascii="Arial" w:hAnsi="Arial" w:cs="Arial"/>
          <w:i/>
          <w:iCs/>
          <w:sz w:val="19"/>
          <w:szCs w:val="19"/>
          <w:vertAlign w:val="subscript"/>
        </w:rPr>
        <w:t>1</w:t>
      </w:r>
      <w:r w:rsidRPr="00613F8A">
        <w:rPr>
          <w:rFonts w:ascii="Arial" w:hAnsi="Arial" w:cs="Arial"/>
          <w:sz w:val="19"/>
          <w:szCs w:val="19"/>
        </w:rPr>
        <w:t xml:space="preserve">=40 μm and </w:t>
      </w:r>
      <w:r w:rsidRPr="00613F8A">
        <w:rPr>
          <w:rFonts w:ascii="Arial" w:hAnsi="Arial" w:cs="Arial"/>
          <w:i/>
          <w:iCs/>
          <w:sz w:val="19"/>
          <w:szCs w:val="19"/>
        </w:rPr>
        <w:t>t</w:t>
      </w:r>
      <w:r w:rsidRPr="00613F8A">
        <w:rPr>
          <w:rFonts w:ascii="Arial" w:hAnsi="Arial" w:cs="Arial"/>
          <w:sz w:val="19"/>
          <w:szCs w:val="19"/>
        </w:rPr>
        <w:t>=2.5 mm. The assumed irradiance is 3.5 kW/cm</w:t>
      </w:r>
      <w:r w:rsidRPr="00613F8A">
        <w:rPr>
          <w:rFonts w:ascii="Arial" w:hAnsi="Arial" w:cs="Arial"/>
          <w:sz w:val="19"/>
          <w:szCs w:val="19"/>
          <w:vertAlign w:val="superscript"/>
        </w:rPr>
        <w:t>2</w:t>
      </w:r>
      <w:r w:rsidRPr="00613F8A">
        <w:rPr>
          <w:rFonts w:ascii="Arial" w:hAnsi="Arial" w:cs="Arial"/>
          <w:sz w:val="19"/>
          <w:szCs w:val="19"/>
        </w:rPr>
        <w:t>, and the assumed absorbance is 90%.</w:t>
      </w:r>
    </w:p>
    <w:p w14:paraId="5B94AF63" w14:textId="77777777" w:rsidR="005F45B6" w:rsidRPr="00613F8A" w:rsidRDefault="005F45B6" w:rsidP="00F32B95">
      <w:pPr>
        <w:spacing w:after="0"/>
        <w:jc w:val="both"/>
        <w:rPr>
          <w:rFonts w:ascii="Arial" w:hAnsi="Arial" w:cs="Arial"/>
          <w:sz w:val="19"/>
          <w:szCs w:val="19"/>
        </w:rPr>
      </w:pPr>
    </w:p>
    <w:p w14:paraId="7219480C" w14:textId="77777777" w:rsidR="005F45B6" w:rsidRPr="00613F8A" w:rsidRDefault="005F45B6" w:rsidP="00077E78">
      <w:pPr>
        <w:spacing w:after="0"/>
        <w:jc w:val="both"/>
        <w:rPr>
          <w:rFonts w:ascii="Arial" w:hAnsi="Arial" w:cs="Arial"/>
          <w:sz w:val="19"/>
          <w:szCs w:val="19"/>
        </w:rPr>
      </w:pPr>
    </w:p>
    <w:p w14:paraId="4EEDE174" w14:textId="77777777" w:rsidR="005F45B6" w:rsidRPr="00613F8A" w:rsidRDefault="005F45B6" w:rsidP="00077E78">
      <w:pPr>
        <w:spacing w:after="0"/>
        <w:jc w:val="both"/>
        <w:rPr>
          <w:rFonts w:ascii="Arial" w:hAnsi="Arial" w:cs="Arial"/>
          <w:b/>
          <w:bCs/>
          <w:sz w:val="19"/>
          <w:szCs w:val="19"/>
          <w:shd w:val="clear" w:color="auto" w:fill="FFFFFF"/>
        </w:rPr>
      </w:pPr>
      <w:r w:rsidRPr="00613F8A">
        <w:rPr>
          <w:rFonts w:ascii="Arial" w:hAnsi="Arial" w:cs="Arial"/>
          <w:b/>
          <w:bCs/>
          <w:noProof/>
          <w:sz w:val="19"/>
          <w:szCs w:val="19"/>
          <w:shd w:val="clear" w:color="auto" w:fill="FFFFFF"/>
          <w:lang w:bidi="he-IL"/>
        </w:rPr>
        <w:drawing>
          <wp:inline distT="0" distB="0" distL="0" distR="0" wp14:anchorId="6FDFE826" wp14:editId="7BD9F608">
            <wp:extent cx="5943600" cy="2056130"/>
            <wp:effectExtent l="0" t="0" r="0" b="1270"/>
            <wp:docPr id="10" name="Picture 16">
              <a:extLst xmlns:a="http://schemas.openxmlformats.org/drawingml/2006/main">
                <a:ext uri="{FF2B5EF4-FFF2-40B4-BE49-F238E27FC236}">
                  <a16:creationId xmlns:a16="http://schemas.microsoft.com/office/drawing/2014/main" id="{5246C7D6-AD17-4440-BD7A-24EE17BF5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246C7D6-AD17-4440-BD7A-24EE17BF5589}"/>
                        </a:ext>
                      </a:extLst>
                    </pic:cNvPr>
                    <pic:cNvPicPr>
                      <a:picLocks noChangeAspect="1"/>
                    </pic:cNvPicPr>
                  </pic:nvPicPr>
                  <pic:blipFill>
                    <a:blip r:embed="rId18"/>
                    <a:stretch>
                      <a:fillRect/>
                    </a:stretch>
                  </pic:blipFill>
                  <pic:spPr>
                    <a:xfrm>
                      <a:off x="0" y="0"/>
                      <a:ext cx="5943600" cy="2056130"/>
                    </a:xfrm>
                    <a:prstGeom prst="rect">
                      <a:avLst/>
                    </a:prstGeom>
                  </pic:spPr>
                </pic:pic>
              </a:graphicData>
            </a:graphic>
          </wp:inline>
        </w:drawing>
      </w:r>
    </w:p>
    <w:p w14:paraId="16EF0AF7" w14:textId="77777777" w:rsidR="005F45B6" w:rsidRPr="00613F8A" w:rsidRDefault="005F45B6" w:rsidP="00F32B95">
      <w:pPr>
        <w:spacing w:after="0"/>
        <w:jc w:val="both"/>
        <w:rPr>
          <w:rFonts w:ascii="Arial" w:hAnsi="Arial" w:cs="Arial"/>
          <w:sz w:val="19"/>
          <w:szCs w:val="19"/>
          <w:shd w:val="clear" w:color="auto" w:fill="FFFFFF"/>
        </w:rPr>
      </w:pPr>
      <w:r w:rsidRPr="00613F8A">
        <w:rPr>
          <w:rFonts w:ascii="Arial" w:hAnsi="Arial" w:cs="Arial"/>
          <w:b/>
          <w:bCs/>
          <w:sz w:val="19"/>
          <w:szCs w:val="19"/>
        </w:rPr>
        <w:t>Figure S11.</w:t>
      </w:r>
      <w:r w:rsidRPr="00613F8A">
        <w:rPr>
          <w:rFonts w:ascii="Arial" w:hAnsi="Arial" w:cs="Arial"/>
          <w:sz w:val="19"/>
          <w:szCs w:val="19"/>
        </w:rPr>
        <w:t xml:space="preserve"> The top panels of a), b), and c) show the schematics of the considered structures, which consist of a bottom heterostructure section of the metasurface with either one a), three b) or five c) stripe antennas on top. The bottom panels of a), b), and c) plot the temperature in the ITO layer as a function of the </w:t>
      </w:r>
      <w:r w:rsidRPr="00613F8A">
        <w:rPr>
          <w:rFonts w:ascii="Arial" w:hAnsi="Arial" w:cs="Arial"/>
          <w:i/>
          <w:iCs/>
          <w:sz w:val="19"/>
          <w:szCs w:val="19"/>
        </w:rPr>
        <w:t>x</w:t>
      </w:r>
      <w:r w:rsidRPr="00613F8A">
        <w:rPr>
          <w:rFonts w:ascii="Arial" w:hAnsi="Arial" w:cs="Arial"/>
          <w:sz w:val="19"/>
          <w:szCs w:val="19"/>
        </w:rPr>
        <w:t xml:space="preserve"> coordinate for different periods of thermal simulation. </w:t>
      </w:r>
      <w:r w:rsidRPr="00613F8A">
        <w:rPr>
          <w:rFonts w:ascii="Arial" w:hAnsi="Arial" w:cs="Arial"/>
          <w:sz w:val="19"/>
          <w:szCs w:val="19"/>
          <w:shd w:val="clear" w:color="auto" w:fill="FFFFFF"/>
        </w:rPr>
        <w:t>The utilized absorption density is the same as in Fig. S7b and corresponds to the irradiance of 3.5 kW/cm</w:t>
      </w:r>
      <w:r w:rsidRPr="00613F8A">
        <w:rPr>
          <w:rFonts w:ascii="Arial" w:hAnsi="Arial" w:cs="Arial"/>
          <w:sz w:val="19"/>
          <w:szCs w:val="19"/>
          <w:shd w:val="clear" w:color="auto" w:fill="FFFFFF"/>
          <w:vertAlign w:val="superscript"/>
        </w:rPr>
        <w:t>2</w:t>
      </w:r>
      <w:r w:rsidRPr="00613F8A">
        <w:rPr>
          <w:rFonts w:ascii="Arial" w:hAnsi="Arial" w:cs="Arial"/>
          <w:sz w:val="19"/>
          <w:szCs w:val="19"/>
          <w:shd w:val="clear" w:color="auto" w:fill="FFFFFF"/>
        </w:rPr>
        <w:t>.</w:t>
      </w:r>
    </w:p>
    <w:p w14:paraId="6B8467D1" w14:textId="77777777" w:rsidR="005F45B6" w:rsidRPr="00613F8A" w:rsidRDefault="005F45B6" w:rsidP="00F32B95">
      <w:pPr>
        <w:spacing w:after="0"/>
        <w:jc w:val="both"/>
        <w:rPr>
          <w:rFonts w:ascii="Arial" w:hAnsi="Arial" w:cs="Arial"/>
          <w:sz w:val="19"/>
          <w:szCs w:val="19"/>
          <w:shd w:val="clear" w:color="auto" w:fill="FFFFFF"/>
        </w:rPr>
      </w:pPr>
    </w:p>
    <w:p w14:paraId="518F9EB5" w14:textId="77777777" w:rsidR="005F45B6" w:rsidRPr="00613F8A" w:rsidRDefault="005F45B6" w:rsidP="00077E78">
      <w:pPr>
        <w:spacing w:after="0"/>
        <w:jc w:val="both"/>
        <w:rPr>
          <w:rFonts w:ascii="Arial" w:hAnsi="Arial" w:cs="Arial"/>
          <w:sz w:val="19"/>
          <w:szCs w:val="19"/>
        </w:rPr>
      </w:pPr>
    </w:p>
    <w:p w14:paraId="0DC8613F" w14:textId="77777777" w:rsidR="005F45B6" w:rsidRPr="00613F8A" w:rsidRDefault="005F45B6" w:rsidP="00077E78">
      <w:pPr>
        <w:spacing w:after="0"/>
        <w:ind w:firstLine="720"/>
        <w:jc w:val="both"/>
        <w:rPr>
          <w:rFonts w:ascii="Arial" w:hAnsi="Arial" w:cs="Arial"/>
          <w:sz w:val="19"/>
          <w:szCs w:val="19"/>
          <w:shd w:val="clear" w:color="auto" w:fill="FFFFFF"/>
        </w:rPr>
      </w:pPr>
      <w:r w:rsidRPr="00613F8A">
        <w:rPr>
          <w:rFonts w:ascii="Arial" w:hAnsi="Arial" w:cs="Arial"/>
          <w:sz w:val="19"/>
          <w:szCs w:val="19"/>
          <w:shd w:val="clear" w:color="auto" w:fill="FFFFFF"/>
        </w:rPr>
        <w:t>In summary, the temperature of the metasurface will depend on the details of the thermal packaging (especially in the CW illumination regime), and no universal solution is possible. However, the configuration considered in our work is a canonical example of photothermal heating of electrically tunable active metasurfaces. Importantly, our numerical analysis carefully accounts for the details of the spatial distribution of the absorption density inside the metasurface. We carefully account for the thermal properties of the constituent material layers as well. Thus, our analysis can serve as a foundation for the evaluation of different sample morphologies.</w:t>
      </w:r>
    </w:p>
    <w:p w14:paraId="5B47590B" w14:textId="77777777" w:rsidR="005F45B6" w:rsidRPr="00613F8A" w:rsidRDefault="005F45B6" w:rsidP="00077E78">
      <w:pPr>
        <w:spacing w:after="0"/>
        <w:ind w:firstLine="720"/>
        <w:jc w:val="both"/>
        <w:rPr>
          <w:rFonts w:ascii="Arial" w:hAnsi="Arial" w:cs="Arial"/>
          <w:sz w:val="19"/>
          <w:szCs w:val="19"/>
          <w:shd w:val="clear" w:color="auto" w:fill="FFFFFF"/>
        </w:rPr>
      </w:pPr>
    </w:p>
    <w:p w14:paraId="5B2FECD0" w14:textId="77777777" w:rsidR="005F45B6" w:rsidRPr="00613F8A" w:rsidRDefault="005F45B6" w:rsidP="00E263D2">
      <w:pPr>
        <w:rPr>
          <w:rFonts w:ascii="Arial" w:hAnsi="Arial" w:cs="Arial"/>
          <w:b/>
          <w:bCs/>
          <w:sz w:val="19"/>
          <w:szCs w:val="19"/>
          <w:u w:val="single"/>
        </w:rPr>
      </w:pPr>
      <w:r w:rsidRPr="00613F8A">
        <w:rPr>
          <w:rFonts w:ascii="Arial" w:hAnsi="Arial" w:cs="Arial"/>
          <w:b/>
          <w:bCs/>
          <w:sz w:val="19"/>
          <w:szCs w:val="19"/>
          <w:u w:val="single"/>
        </w:rPr>
        <w:t xml:space="preserve">8. </w:t>
      </w:r>
      <w:bookmarkStart w:id="4" w:name="_Hlk88140452"/>
      <w:r w:rsidRPr="00613F8A">
        <w:rPr>
          <w:rFonts w:ascii="Arial" w:hAnsi="Arial" w:cs="Arial"/>
          <w:b/>
          <w:bCs/>
          <w:sz w:val="19"/>
          <w:szCs w:val="19"/>
          <w:u w:val="single"/>
        </w:rPr>
        <w:t>Temperature-dependent optical properties of ITO and Au films</w:t>
      </w:r>
      <w:bookmarkEnd w:id="4"/>
    </w:p>
    <w:p w14:paraId="589CBE07" w14:textId="77777777" w:rsidR="005F45B6" w:rsidRPr="00613F8A" w:rsidRDefault="005F45B6" w:rsidP="008B4193">
      <w:pPr>
        <w:jc w:val="both"/>
        <w:rPr>
          <w:rFonts w:ascii="Arial" w:hAnsi="Arial" w:cs="Arial"/>
          <w:sz w:val="19"/>
          <w:szCs w:val="19"/>
        </w:rPr>
      </w:pPr>
      <w:r w:rsidRPr="00613F8A">
        <w:rPr>
          <w:rFonts w:ascii="Arial" w:hAnsi="Arial" w:cs="Arial"/>
          <w:sz w:val="19"/>
          <w:szCs w:val="19"/>
        </w:rPr>
        <w:t>We use spectroscopic ellipsometry to measure temperature-dependent optical constants of thin planar material films, which constitute ITO-based active metasurfaces. We measured the following samples:</w:t>
      </w:r>
    </w:p>
    <w:p w14:paraId="103303EA"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a) A Si substrate;</w:t>
      </w:r>
    </w:p>
    <w:p w14:paraId="1029D4AB"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b) An 8.3 nm-thick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film on a Si substrate;</w:t>
      </w:r>
    </w:p>
    <w:p w14:paraId="2FD0617D"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c) An 80 nm-thick Au film on a Si substrate;</w:t>
      </w:r>
    </w:p>
    <w:p w14:paraId="6838C92E"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d) A 16.7 nm-thick ITO film on a Si substrate;</w:t>
      </w:r>
    </w:p>
    <w:p w14:paraId="658AE291"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e) A planar heterostructure Si(substrate)/Au(80 nm)/ITO(16.7 nm)/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(8.3 nm);</w:t>
      </w:r>
    </w:p>
    <w:p w14:paraId="1C22D45B" w14:textId="77777777" w:rsidR="005F45B6" w:rsidRPr="00613F8A" w:rsidRDefault="005F45B6" w:rsidP="00E263D2">
      <w:pPr>
        <w:spacing w:after="0"/>
        <w:jc w:val="both"/>
        <w:rPr>
          <w:rFonts w:ascii="Arial" w:hAnsi="Arial" w:cs="Arial"/>
          <w:sz w:val="19"/>
          <w:szCs w:val="19"/>
        </w:rPr>
      </w:pPr>
    </w:p>
    <w:p w14:paraId="7F396E50" w14:textId="20B278F9" w:rsidR="005F45B6" w:rsidRPr="00613F8A" w:rsidRDefault="005F45B6" w:rsidP="00E263D2">
      <w:pPr>
        <w:spacing w:after="0"/>
        <w:ind w:firstLine="432"/>
        <w:jc w:val="both"/>
        <w:rPr>
          <w:rFonts w:ascii="Arial" w:hAnsi="Arial" w:cs="Arial"/>
          <w:sz w:val="19"/>
          <w:szCs w:val="19"/>
        </w:rPr>
      </w:pPr>
      <w:r w:rsidRPr="00613F8A">
        <w:rPr>
          <w:rFonts w:ascii="Arial" w:hAnsi="Arial" w:cs="Arial"/>
          <w:sz w:val="19"/>
          <w:szCs w:val="19"/>
        </w:rPr>
        <w:t xml:space="preserve">In our samples, ITO films were deposited </w:t>
      </w:r>
      <w:r w:rsidR="00B7149F" w:rsidRPr="00613F8A">
        <w:rPr>
          <w:rFonts w:ascii="Arial" w:hAnsi="Arial" w:cs="Arial"/>
          <w:i/>
          <w:iCs/>
          <w:sz w:val="19"/>
          <w:szCs w:val="19"/>
        </w:rPr>
        <w:t>via</w:t>
      </w:r>
      <w:r w:rsidRPr="00613F8A">
        <w:rPr>
          <w:rFonts w:ascii="Arial" w:hAnsi="Arial" w:cs="Arial"/>
          <w:sz w:val="19"/>
          <w:szCs w:val="19"/>
        </w:rPr>
        <w:t xml:space="preserve"> RF sputtering, Au films – </w:t>
      </w:r>
      <w:r w:rsidR="00B7149F" w:rsidRPr="00613F8A">
        <w:rPr>
          <w:rFonts w:ascii="Arial" w:hAnsi="Arial" w:cs="Arial"/>
          <w:i/>
          <w:iCs/>
          <w:sz w:val="19"/>
          <w:szCs w:val="19"/>
        </w:rPr>
        <w:t>via</w:t>
      </w:r>
      <w:r w:rsidRPr="00613F8A">
        <w:rPr>
          <w:rFonts w:ascii="Arial" w:hAnsi="Arial" w:cs="Arial"/>
          <w:sz w:val="19"/>
          <w:szCs w:val="19"/>
        </w:rPr>
        <w:t xml:space="preserve"> electron beam evaporation, while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layers were deposited </w:t>
      </w:r>
      <w:r w:rsidR="00B7149F" w:rsidRPr="00613F8A">
        <w:rPr>
          <w:rFonts w:ascii="Arial" w:hAnsi="Arial" w:cs="Arial"/>
          <w:i/>
          <w:iCs/>
          <w:sz w:val="19"/>
          <w:szCs w:val="19"/>
        </w:rPr>
        <w:t>via</w:t>
      </w:r>
      <w:r w:rsidRPr="00613F8A">
        <w:rPr>
          <w:rFonts w:ascii="Arial" w:hAnsi="Arial" w:cs="Arial"/>
          <w:sz w:val="19"/>
          <w:szCs w:val="19"/>
        </w:rPr>
        <w:t xml:space="preserve"> atomic layer deposition (ALD). All identical layers were deposited simultaneously.</w:t>
      </w:r>
    </w:p>
    <w:p w14:paraId="5949E94C" w14:textId="77777777" w:rsidR="005F45B6" w:rsidRPr="00613F8A" w:rsidRDefault="005F45B6" w:rsidP="00E263D2">
      <w:pPr>
        <w:spacing w:after="0"/>
        <w:ind w:firstLine="432"/>
        <w:jc w:val="both"/>
        <w:rPr>
          <w:rFonts w:ascii="Arial" w:hAnsi="Arial" w:cs="Arial"/>
          <w:sz w:val="19"/>
          <w:szCs w:val="19"/>
        </w:rPr>
      </w:pPr>
      <w:r w:rsidRPr="00613F8A">
        <w:rPr>
          <w:rFonts w:ascii="Arial" w:hAnsi="Arial" w:cs="Arial"/>
          <w:sz w:val="19"/>
          <w:szCs w:val="19"/>
        </w:rPr>
        <w:t xml:space="preserve">We placed our samples on the Linkam heating stage, which was mounted onto the ellipsometer setup (Woollam-VASE UV-VIS). Our samples were exposed to the ambient during the measurement. We performed two heating cycles for each sample. First, we performed measurements at temperatures of 300 K, 323 K, 373 K, and 423 K. Then we waited until the sample cooled down to room temperature and remeasured it at 300 K, 323 K, 373 K, and 423 K. In what follows, we refer to these two temperature cycles as </w:t>
      </w:r>
      <w:r w:rsidRPr="00613F8A">
        <w:rPr>
          <w:rFonts w:ascii="Arial" w:hAnsi="Arial" w:cs="Arial"/>
          <w:i/>
          <w:iCs/>
          <w:sz w:val="19"/>
          <w:szCs w:val="19"/>
        </w:rPr>
        <w:t>the first temperature cycle</w:t>
      </w:r>
      <w:r w:rsidRPr="00613F8A">
        <w:rPr>
          <w:rFonts w:ascii="Arial" w:hAnsi="Arial" w:cs="Arial"/>
          <w:sz w:val="19"/>
          <w:szCs w:val="19"/>
        </w:rPr>
        <w:t xml:space="preserve"> and </w:t>
      </w:r>
      <w:r w:rsidRPr="00613F8A">
        <w:rPr>
          <w:rFonts w:ascii="Arial" w:hAnsi="Arial" w:cs="Arial"/>
          <w:i/>
          <w:iCs/>
          <w:sz w:val="19"/>
          <w:szCs w:val="19"/>
        </w:rPr>
        <w:t>the second temperature cycle</w:t>
      </w:r>
      <w:r w:rsidRPr="00613F8A">
        <w:rPr>
          <w:rFonts w:ascii="Arial" w:hAnsi="Arial" w:cs="Arial"/>
          <w:sz w:val="19"/>
          <w:szCs w:val="19"/>
        </w:rPr>
        <w:t>.</w:t>
      </w:r>
    </w:p>
    <w:p w14:paraId="0387FABB" w14:textId="77777777" w:rsidR="005F45B6" w:rsidRPr="00613F8A" w:rsidRDefault="005F45B6" w:rsidP="00E263D2">
      <w:pPr>
        <w:spacing w:after="0"/>
        <w:ind w:firstLine="432"/>
        <w:jc w:val="both"/>
        <w:rPr>
          <w:rFonts w:ascii="Arial" w:hAnsi="Arial" w:cs="Arial"/>
          <w:sz w:val="19"/>
          <w:szCs w:val="19"/>
        </w:rPr>
      </w:pPr>
    </w:p>
    <w:p w14:paraId="12AA7D8D" w14:textId="77777777" w:rsidR="005F45B6" w:rsidRPr="00613F8A" w:rsidRDefault="005F45B6" w:rsidP="00E263D2">
      <w:pPr>
        <w:spacing w:after="0"/>
        <w:jc w:val="center"/>
        <w:rPr>
          <w:rFonts w:ascii="Arial" w:hAnsi="Arial" w:cs="Arial"/>
          <w:sz w:val="19"/>
          <w:szCs w:val="19"/>
        </w:rPr>
      </w:pPr>
      <w:r w:rsidRPr="00613F8A">
        <w:rPr>
          <w:rFonts w:ascii="Arial" w:hAnsi="Arial" w:cs="Arial"/>
          <w:noProof/>
          <w:sz w:val="19"/>
          <w:szCs w:val="19"/>
        </w:rPr>
        <w:lastRenderedPageBreak/>
        <w:drawing>
          <wp:inline distT="0" distB="0" distL="0" distR="0" wp14:anchorId="73C09766" wp14:editId="3E7D260E">
            <wp:extent cx="5022376" cy="2170461"/>
            <wp:effectExtent l="0" t="0" r="6985"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393" cy="2173494"/>
                    </a:xfrm>
                    <a:prstGeom prst="rect">
                      <a:avLst/>
                    </a:prstGeom>
                    <a:noFill/>
                    <a:ln>
                      <a:noFill/>
                    </a:ln>
                  </pic:spPr>
                </pic:pic>
              </a:graphicData>
            </a:graphic>
          </wp:inline>
        </w:drawing>
      </w:r>
    </w:p>
    <w:p w14:paraId="319F44BE" w14:textId="77777777" w:rsidR="005F45B6" w:rsidRPr="00613F8A" w:rsidRDefault="005F45B6" w:rsidP="00E263D2">
      <w:pPr>
        <w:jc w:val="both"/>
        <w:rPr>
          <w:rFonts w:ascii="Arial" w:hAnsi="Arial" w:cs="Arial"/>
          <w:sz w:val="19"/>
          <w:szCs w:val="19"/>
        </w:rPr>
      </w:pPr>
      <w:r w:rsidRPr="00613F8A">
        <w:rPr>
          <w:rFonts w:ascii="Arial" w:hAnsi="Arial" w:cs="Arial"/>
          <w:b/>
          <w:bCs/>
          <w:sz w:val="19"/>
          <w:szCs w:val="19"/>
        </w:rPr>
        <w:t xml:space="preserve">Figure S12. </w:t>
      </w:r>
      <w:r w:rsidRPr="00613F8A">
        <w:rPr>
          <w:rFonts w:ascii="Arial" w:hAnsi="Arial" w:cs="Arial"/>
          <w:sz w:val="19"/>
          <w:szCs w:val="19"/>
        </w:rPr>
        <w:t>Ellipsometry measurements of the real (n</w:t>
      </w:r>
      <w:r w:rsidRPr="00613F8A">
        <w:rPr>
          <w:rFonts w:ascii="Arial" w:hAnsi="Arial" w:cs="Arial"/>
          <w:sz w:val="19"/>
          <w:szCs w:val="19"/>
          <w:vertAlign w:val="subscript"/>
        </w:rPr>
        <w:t>Si</w:t>
      </w:r>
      <w:r w:rsidRPr="00613F8A">
        <w:rPr>
          <w:rFonts w:ascii="Arial" w:hAnsi="Arial" w:cs="Arial"/>
          <w:sz w:val="19"/>
          <w:szCs w:val="19"/>
        </w:rPr>
        <w:t>) and imaginary (k</w:t>
      </w:r>
      <w:r w:rsidRPr="00613F8A">
        <w:rPr>
          <w:rFonts w:ascii="Arial" w:hAnsi="Arial" w:cs="Arial"/>
          <w:sz w:val="19"/>
          <w:szCs w:val="19"/>
          <w:vertAlign w:val="subscript"/>
        </w:rPr>
        <w:t>Si</w:t>
      </w:r>
      <w:r w:rsidRPr="00613F8A">
        <w:rPr>
          <w:rFonts w:ascii="Arial" w:hAnsi="Arial" w:cs="Arial"/>
          <w:sz w:val="19"/>
          <w:szCs w:val="19"/>
        </w:rPr>
        <w:t>) parts of the complex refractive index of the Si substrate at different temperatures. a) The first temperature cycle. b) The second temperature cycle.</w:t>
      </w:r>
    </w:p>
    <w:p w14:paraId="461D018B" w14:textId="77777777" w:rsidR="005F45B6" w:rsidRPr="00613F8A" w:rsidRDefault="005F45B6" w:rsidP="00E263D2">
      <w:pPr>
        <w:jc w:val="both"/>
        <w:rPr>
          <w:rFonts w:ascii="Arial" w:hAnsi="Arial" w:cs="Arial"/>
          <w:sz w:val="19"/>
          <w:szCs w:val="19"/>
        </w:rPr>
      </w:pPr>
    </w:p>
    <w:p w14:paraId="61D10723" w14:textId="77777777" w:rsidR="005F45B6" w:rsidRPr="00613F8A" w:rsidRDefault="005F45B6" w:rsidP="00CC6778">
      <w:pPr>
        <w:spacing w:after="0"/>
        <w:ind w:firstLine="432"/>
        <w:jc w:val="both"/>
        <w:rPr>
          <w:rFonts w:ascii="Arial" w:hAnsi="Arial" w:cs="Arial"/>
          <w:sz w:val="19"/>
          <w:szCs w:val="19"/>
        </w:rPr>
      </w:pPr>
      <w:r w:rsidRPr="00613F8A">
        <w:rPr>
          <w:rFonts w:ascii="Arial" w:hAnsi="Arial" w:cs="Arial"/>
          <w:sz w:val="19"/>
          <w:szCs w:val="19"/>
        </w:rPr>
        <w:t>First, we characterize a Si substrate and extract its temperature-dependent complex refractive index. The complex dielectric permittivity of Si is described as a sum of two Lorentz oscillators and one Tauc-Lorentz oscillator. We observe a slight red shift of the real part of the refractive index n</w:t>
      </w:r>
      <w:r w:rsidRPr="00613F8A">
        <w:rPr>
          <w:rFonts w:ascii="Arial" w:hAnsi="Arial" w:cs="Arial"/>
          <w:sz w:val="19"/>
          <w:szCs w:val="19"/>
          <w:vertAlign w:val="subscript"/>
        </w:rPr>
        <w:t xml:space="preserve">Si </w:t>
      </w:r>
      <w:r w:rsidRPr="00613F8A">
        <w:rPr>
          <w:rFonts w:ascii="Arial" w:hAnsi="Arial" w:cs="Arial"/>
          <w:sz w:val="19"/>
          <w:szCs w:val="19"/>
        </w:rPr>
        <w:t>with increased temperature as well as a slight reduction of n</w:t>
      </w:r>
      <w:r w:rsidRPr="00613F8A">
        <w:rPr>
          <w:rFonts w:ascii="Arial" w:hAnsi="Arial" w:cs="Arial"/>
          <w:sz w:val="19"/>
          <w:szCs w:val="19"/>
          <w:vertAlign w:val="subscript"/>
        </w:rPr>
        <w:t>Si</w:t>
      </w:r>
      <w:r w:rsidRPr="00613F8A">
        <w:rPr>
          <w:rFonts w:ascii="Arial" w:hAnsi="Arial" w:cs="Arial"/>
          <w:sz w:val="19"/>
          <w:szCs w:val="19"/>
        </w:rPr>
        <w:t xml:space="preserve"> at wavelengths around 370 nm (Figure S12). However, in the NIR wavelength range, the temperature-dependent variation of the refractive index is not significant. These results are consistent with the previous reports in the literature</w:t>
      </w:r>
      <w:r w:rsidRPr="00613F8A">
        <w:rPr>
          <w:rFonts w:ascii="Arial" w:hAnsi="Arial" w:cs="Arial"/>
          <w:noProof/>
          <w:sz w:val="19"/>
          <w:szCs w:val="19"/>
          <w:vertAlign w:val="superscript"/>
        </w:rPr>
        <w:t>19</w:t>
      </w:r>
      <w:r w:rsidRPr="00613F8A">
        <w:rPr>
          <w:rFonts w:ascii="Arial" w:hAnsi="Arial" w:cs="Arial"/>
          <w:sz w:val="19"/>
          <w:szCs w:val="19"/>
        </w:rPr>
        <w:t>. The amount of the complex refractive index variation observed in both temperature cycles is approximately the same. Importantly, for all following fits, we account for the temperature-dependent dielectric permittivity of Si.</w:t>
      </w:r>
    </w:p>
    <w:p w14:paraId="2B0BBB28"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ab/>
        <w:t>Next, we measured the sample, which is comprised of an 8.3 nm-thick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film on a Si substrate. Our measurements show that the optical properties of the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 xml:space="preserve">3 </w:t>
      </w:r>
      <w:r w:rsidRPr="00613F8A">
        <w:rPr>
          <w:rFonts w:ascii="Arial" w:hAnsi="Arial" w:cs="Arial"/>
          <w:sz w:val="19"/>
          <w:szCs w:val="19"/>
        </w:rPr>
        <w:t>film do not change when increasing the temperature.</w:t>
      </w:r>
    </w:p>
    <w:p w14:paraId="7C17C784" w14:textId="77777777" w:rsidR="005F45B6" w:rsidRPr="00613F8A" w:rsidRDefault="005F45B6" w:rsidP="00CC6778">
      <w:pPr>
        <w:spacing w:after="0"/>
        <w:jc w:val="both"/>
        <w:rPr>
          <w:rFonts w:ascii="Arial" w:hAnsi="Arial" w:cs="Arial"/>
          <w:sz w:val="19"/>
          <w:szCs w:val="19"/>
        </w:rPr>
      </w:pPr>
      <w:r w:rsidRPr="00613F8A">
        <w:rPr>
          <w:rFonts w:ascii="Arial" w:hAnsi="Arial" w:cs="Arial"/>
          <w:sz w:val="19"/>
          <w:szCs w:val="19"/>
        </w:rPr>
        <w:tab/>
        <w:t>The results of the ellipsometry measurements performed on an 80 nm-thick Au film on a Si substrate are summarized in Figure S13. We observe a slight variation of the real part of the dielectric permittivity of Au during the first temperature cycle (Figure S13a). We also observe that the imaginary part of the dielectric permittivity of Au increases during the first temperature cycle (Figure S13b). During the second temperature cycle the variation of the real part of the dielectric permittivity of Au Re(ε</w:t>
      </w:r>
      <w:r w:rsidRPr="00613F8A">
        <w:rPr>
          <w:rFonts w:ascii="Arial" w:hAnsi="Arial" w:cs="Arial"/>
          <w:sz w:val="19"/>
          <w:szCs w:val="19"/>
          <w:vertAlign w:val="subscript"/>
        </w:rPr>
        <w:t>Au</w:t>
      </w:r>
      <w:r w:rsidRPr="00613F8A">
        <w:rPr>
          <w:rFonts w:ascii="Arial" w:hAnsi="Arial" w:cs="Arial"/>
          <w:sz w:val="19"/>
          <w:szCs w:val="19"/>
        </w:rPr>
        <w:t>) somewhat decreases (Figure S13b). Figure S13c shows that also in the second temperature cycle, Im(ε</w:t>
      </w:r>
      <w:r w:rsidRPr="00613F8A">
        <w:rPr>
          <w:rFonts w:ascii="Arial" w:hAnsi="Arial" w:cs="Arial"/>
          <w:sz w:val="19"/>
          <w:szCs w:val="19"/>
          <w:vertAlign w:val="subscript"/>
        </w:rPr>
        <w:t>Au</w:t>
      </w:r>
      <w:r w:rsidRPr="00613F8A">
        <w:rPr>
          <w:rFonts w:ascii="Arial" w:hAnsi="Arial" w:cs="Arial"/>
          <w:sz w:val="19"/>
          <w:szCs w:val="19"/>
        </w:rPr>
        <w:t>) increases with temperature. Similar trends have already been previously observed.</w:t>
      </w:r>
      <w:r w:rsidRPr="00613F8A">
        <w:rPr>
          <w:rFonts w:ascii="Arial" w:hAnsi="Arial" w:cs="Arial"/>
          <w:noProof/>
          <w:sz w:val="19"/>
          <w:szCs w:val="19"/>
          <w:vertAlign w:val="superscript"/>
        </w:rPr>
        <w:t>17</w:t>
      </w:r>
    </w:p>
    <w:p w14:paraId="374E18ED" w14:textId="77777777" w:rsidR="005F45B6" w:rsidRPr="00613F8A" w:rsidRDefault="005F45B6" w:rsidP="00CC6778">
      <w:pPr>
        <w:spacing w:after="0"/>
        <w:jc w:val="both"/>
        <w:rPr>
          <w:rFonts w:ascii="Arial" w:hAnsi="Arial" w:cs="Arial"/>
          <w:sz w:val="19"/>
          <w:szCs w:val="19"/>
        </w:rPr>
      </w:pPr>
      <w:r w:rsidRPr="00613F8A">
        <w:rPr>
          <w:rFonts w:ascii="Arial" w:hAnsi="Arial" w:cs="Arial"/>
          <w:sz w:val="19"/>
          <w:szCs w:val="19"/>
        </w:rPr>
        <w:tab/>
        <w:t>Next, we extract the dielectric permittivity of a 16.7 nm-thick ITO film on a Si substrate (Figure S14). The dielectric permittivity of ITO was described as a sum of a Lorentz oscillator and a Drude oscillator. We observe that the real part of the dielectric permittivity of ITO Re(ε</w:t>
      </w:r>
      <w:r w:rsidRPr="00613F8A">
        <w:rPr>
          <w:rFonts w:ascii="Arial" w:hAnsi="Arial" w:cs="Arial"/>
          <w:sz w:val="19"/>
          <w:szCs w:val="19"/>
          <w:vertAlign w:val="subscript"/>
        </w:rPr>
        <w:t>ITO</w:t>
      </w:r>
      <w:r w:rsidRPr="00613F8A">
        <w:rPr>
          <w:rFonts w:ascii="Arial" w:hAnsi="Arial" w:cs="Arial"/>
          <w:sz w:val="19"/>
          <w:szCs w:val="19"/>
        </w:rPr>
        <w:t>) exhibits a significant variation during the first heating cycle. However, during the second heating cycle, the variation of Re(ε</w:t>
      </w:r>
      <w:r w:rsidRPr="00613F8A">
        <w:rPr>
          <w:rFonts w:ascii="Arial" w:hAnsi="Arial" w:cs="Arial"/>
          <w:sz w:val="19"/>
          <w:szCs w:val="19"/>
          <w:vertAlign w:val="subscript"/>
        </w:rPr>
        <w:t>ITO</w:t>
      </w:r>
      <w:r w:rsidRPr="00613F8A">
        <w:rPr>
          <w:rFonts w:ascii="Arial" w:hAnsi="Arial" w:cs="Arial"/>
          <w:sz w:val="19"/>
          <w:szCs w:val="19"/>
        </w:rPr>
        <w:t>) is modest. Moreover, we observe that in the NIR wavelength range, Re(ε</w:t>
      </w:r>
      <w:r w:rsidRPr="00613F8A">
        <w:rPr>
          <w:rFonts w:ascii="Arial" w:hAnsi="Arial" w:cs="Arial"/>
          <w:sz w:val="19"/>
          <w:szCs w:val="19"/>
          <w:vertAlign w:val="subscript"/>
        </w:rPr>
        <w:t>ITO</w:t>
      </w:r>
      <w:r w:rsidRPr="00613F8A">
        <w:rPr>
          <w:rFonts w:ascii="Arial" w:hAnsi="Arial" w:cs="Arial"/>
          <w:sz w:val="19"/>
          <w:szCs w:val="19"/>
        </w:rPr>
        <w:t>) extracted from the second heating cycle is larger when compared to Re(ε</w:t>
      </w:r>
      <w:r w:rsidRPr="00613F8A">
        <w:rPr>
          <w:rFonts w:ascii="Arial" w:hAnsi="Arial" w:cs="Arial"/>
          <w:sz w:val="19"/>
          <w:szCs w:val="19"/>
          <w:vertAlign w:val="subscript"/>
        </w:rPr>
        <w:t>ITO</w:t>
      </w:r>
      <w:r w:rsidRPr="00613F8A">
        <w:rPr>
          <w:rFonts w:ascii="Arial" w:hAnsi="Arial" w:cs="Arial"/>
          <w:sz w:val="19"/>
          <w:szCs w:val="19"/>
        </w:rPr>
        <w:t>) extracted from the first heating cycle. For example, in the first cycle, at 300 K and at a wavelength of 1550 nm, Re(ε</w:t>
      </w:r>
      <w:r w:rsidRPr="00613F8A">
        <w:rPr>
          <w:rFonts w:ascii="Arial" w:hAnsi="Arial" w:cs="Arial"/>
          <w:sz w:val="19"/>
          <w:szCs w:val="19"/>
          <w:vertAlign w:val="subscript"/>
        </w:rPr>
        <w:t>ITO</w:t>
      </w:r>
      <w:r w:rsidRPr="00613F8A">
        <w:rPr>
          <w:rFonts w:ascii="Arial" w:hAnsi="Arial" w:cs="Arial"/>
          <w:sz w:val="19"/>
          <w:szCs w:val="19"/>
        </w:rPr>
        <w:t>)=1.8. In the second cycle, at 300 K, Re(ε</w:t>
      </w:r>
      <w:r w:rsidRPr="00613F8A">
        <w:rPr>
          <w:rFonts w:ascii="Arial" w:hAnsi="Arial" w:cs="Arial"/>
          <w:sz w:val="19"/>
          <w:szCs w:val="19"/>
          <w:vertAlign w:val="subscript"/>
        </w:rPr>
        <w:t>ITO</w:t>
      </w:r>
      <w:r w:rsidRPr="00613F8A">
        <w:rPr>
          <w:rFonts w:ascii="Arial" w:hAnsi="Arial" w:cs="Arial"/>
          <w:sz w:val="19"/>
          <w:szCs w:val="19"/>
        </w:rPr>
        <w:t>)=2.5. Thus, the ITO film undergoes an irreversible change when heated by ΔT=123 K.</w:t>
      </w:r>
    </w:p>
    <w:p w14:paraId="4A1F0D3F" w14:textId="77777777" w:rsidR="005F45B6" w:rsidRPr="00613F8A" w:rsidRDefault="005F45B6" w:rsidP="00CC6778">
      <w:pPr>
        <w:spacing w:after="0"/>
        <w:jc w:val="both"/>
        <w:rPr>
          <w:rFonts w:ascii="Arial" w:hAnsi="Arial" w:cs="Arial"/>
          <w:sz w:val="19"/>
          <w:szCs w:val="19"/>
        </w:rPr>
      </w:pPr>
    </w:p>
    <w:p w14:paraId="244BF8DD" w14:textId="77777777" w:rsidR="005F45B6" w:rsidRPr="00613F8A" w:rsidRDefault="005F45B6" w:rsidP="00E263D2">
      <w:pPr>
        <w:spacing w:after="0"/>
        <w:jc w:val="both"/>
        <w:rPr>
          <w:rFonts w:ascii="Arial" w:hAnsi="Arial" w:cs="Arial"/>
          <w:sz w:val="19"/>
          <w:szCs w:val="19"/>
        </w:rPr>
      </w:pPr>
    </w:p>
    <w:p w14:paraId="1196FAFF" w14:textId="77777777" w:rsidR="005F45B6" w:rsidRPr="00613F8A" w:rsidRDefault="005F45B6" w:rsidP="00E263D2">
      <w:pPr>
        <w:spacing w:after="0"/>
        <w:jc w:val="center"/>
        <w:rPr>
          <w:rFonts w:ascii="Arial" w:hAnsi="Arial" w:cs="Arial"/>
          <w:sz w:val="19"/>
          <w:szCs w:val="19"/>
        </w:rPr>
      </w:pPr>
      <w:r w:rsidRPr="00613F8A">
        <w:rPr>
          <w:rFonts w:ascii="Arial" w:hAnsi="Arial" w:cs="Arial"/>
          <w:noProof/>
          <w:sz w:val="19"/>
          <w:szCs w:val="19"/>
        </w:rPr>
        <w:lastRenderedPageBreak/>
        <w:drawing>
          <wp:inline distT="0" distB="0" distL="0" distR="0" wp14:anchorId="6229C69E" wp14:editId="77B58BF0">
            <wp:extent cx="4691216" cy="3593592"/>
            <wp:effectExtent l="0" t="0" r="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216" cy="3593592"/>
                    </a:xfrm>
                    <a:prstGeom prst="rect">
                      <a:avLst/>
                    </a:prstGeom>
                    <a:noFill/>
                    <a:ln>
                      <a:noFill/>
                    </a:ln>
                  </pic:spPr>
                </pic:pic>
              </a:graphicData>
            </a:graphic>
          </wp:inline>
        </w:drawing>
      </w:r>
    </w:p>
    <w:p w14:paraId="6827D1C4" w14:textId="77777777" w:rsidR="005F45B6" w:rsidRPr="00613F8A" w:rsidRDefault="005F45B6" w:rsidP="00E263D2">
      <w:pPr>
        <w:jc w:val="both"/>
        <w:rPr>
          <w:rFonts w:ascii="Arial" w:hAnsi="Arial" w:cs="Arial"/>
          <w:sz w:val="19"/>
          <w:szCs w:val="19"/>
        </w:rPr>
      </w:pPr>
      <w:r w:rsidRPr="00613F8A">
        <w:rPr>
          <w:rFonts w:ascii="Arial" w:hAnsi="Arial" w:cs="Arial"/>
          <w:b/>
          <w:bCs/>
          <w:sz w:val="19"/>
          <w:szCs w:val="19"/>
        </w:rPr>
        <w:t xml:space="preserve">Figure S13. </w:t>
      </w:r>
      <w:r w:rsidRPr="00613F8A">
        <w:rPr>
          <w:rFonts w:ascii="Arial" w:hAnsi="Arial" w:cs="Arial"/>
          <w:sz w:val="19"/>
          <w:szCs w:val="19"/>
        </w:rPr>
        <w:t>Measured real (Re(ε</w:t>
      </w:r>
      <w:r w:rsidRPr="00613F8A">
        <w:rPr>
          <w:rFonts w:ascii="Arial" w:hAnsi="Arial" w:cs="Arial"/>
          <w:sz w:val="19"/>
          <w:szCs w:val="19"/>
          <w:vertAlign w:val="subscript"/>
        </w:rPr>
        <w:t>Au</w:t>
      </w:r>
      <w:r w:rsidRPr="00613F8A">
        <w:rPr>
          <w:rFonts w:ascii="Arial" w:hAnsi="Arial" w:cs="Arial"/>
          <w:sz w:val="19"/>
          <w:szCs w:val="19"/>
        </w:rPr>
        <w:t>)) and imaginary (Im(ε</w:t>
      </w:r>
      <w:r w:rsidRPr="00613F8A">
        <w:rPr>
          <w:rFonts w:ascii="Arial" w:hAnsi="Arial" w:cs="Arial"/>
          <w:sz w:val="19"/>
          <w:szCs w:val="19"/>
          <w:vertAlign w:val="subscript"/>
        </w:rPr>
        <w:t>Au</w:t>
      </w:r>
      <w:r w:rsidRPr="00613F8A">
        <w:rPr>
          <w:rFonts w:ascii="Arial" w:hAnsi="Arial" w:cs="Arial"/>
          <w:sz w:val="19"/>
          <w:szCs w:val="19"/>
        </w:rPr>
        <w:t xml:space="preserve">)) parts of the complex dielectric permittivity of an 80 nm-thick Au film at different temperatures. a) and b) correspond to the first temperature cycle while c) and d) correspond to the second temperature cycle. </w:t>
      </w:r>
    </w:p>
    <w:p w14:paraId="5AA730D5" w14:textId="77777777" w:rsidR="005F45B6" w:rsidRPr="00613F8A" w:rsidRDefault="005F45B6" w:rsidP="00E263D2">
      <w:pPr>
        <w:jc w:val="both"/>
        <w:rPr>
          <w:rFonts w:ascii="Arial" w:hAnsi="Arial" w:cs="Arial"/>
          <w:sz w:val="19"/>
          <w:szCs w:val="19"/>
        </w:rPr>
      </w:pPr>
    </w:p>
    <w:tbl>
      <w:tblPr>
        <w:tblStyle w:val="TableGrid"/>
        <w:tblW w:w="0" w:type="auto"/>
        <w:tblLook w:val="04A0" w:firstRow="1" w:lastRow="0" w:firstColumn="1" w:lastColumn="0" w:noHBand="0" w:noVBand="1"/>
      </w:tblPr>
      <w:tblGrid>
        <w:gridCol w:w="2605"/>
        <w:gridCol w:w="2069"/>
        <w:gridCol w:w="2338"/>
        <w:gridCol w:w="2338"/>
      </w:tblGrid>
      <w:tr w:rsidR="00982B9D" w:rsidRPr="00613F8A" w14:paraId="6A09E3CA" w14:textId="77777777" w:rsidTr="002219C1">
        <w:tc>
          <w:tcPr>
            <w:tcW w:w="2605" w:type="dxa"/>
          </w:tcPr>
          <w:p w14:paraId="5B09330B" w14:textId="77777777" w:rsidR="005F45B6" w:rsidRPr="00613F8A" w:rsidRDefault="005F45B6" w:rsidP="002219C1">
            <w:pPr>
              <w:rPr>
                <w:rFonts w:ascii="Arial" w:hAnsi="Arial" w:cs="Arial"/>
                <w:sz w:val="19"/>
                <w:szCs w:val="19"/>
              </w:rPr>
            </w:pPr>
            <w:r w:rsidRPr="00613F8A">
              <w:rPr>
                <w:rFonts w:ascii="Arial" w:hAnsi="Arial" w:cs="Arial"/>
                <w:sz w:val="19"/>
                <w:szCs w:val="19"/>
              </w:rPr>
              <w:t>Sample and the measurement condition</w:t>
            </w:r>
          </w:p>
        </w:tc>
        <w:tc>
          <w:tcPr>
            <w:tcW w:w="2069" w:type="dxa"/>
          </w:tcPr>
          <w:p w14:paraId="0AF81AC5" w14:textId="77777777" w:rsidR="005F45B6" w:rsidRPr="00613F8A" w:rsidRDefault="00000000" w:rsidP="002219C1">
            <w:pPr>
              <w:jc w:val="both"/>
              <w:rPr>
                <w:rFonts w:ascii="Arial" w:hAnsi="Arial" w:cs="Arial"/>
                <w:sz w:val="19"/>
                <w:szCs w:val="19"/>
              </w:rPr>
            </w:pPr>
            <m:oMathPara>
              <m:oMathParaPr>
                <m:jc m:val="left"/>
              </m:oMathParaPr>
              <m:oMath>
                <m:sSub>
                  <m:sSubPr>
                    <m:ctrlPr>
                      <w:rPr>
                        <w:rFonts w:ascii="Cambria Math" w:eastAsia="Cambria Math" w:hAnsi="Cambria Math" w:cs="Arial"/>
                        <w:sz w:val="19"/>
                        <w:szCs w:val="19"/>
                      </w:rPr>
                    </m:ctrlPr>
                  </m:sSubPr>
                  <m:e>
                    <m:r>
                      <w:rPr>
                        <w:rFonts w:ascii="Cambria Math" w:eastAsia="Cambria Math" w:hAnsi="Cambria Math" w:cs="Arial"/>
                        <w:sz w:val="19"/>
                        <w:szCs w:val="19"/>
                      </w:rPr>
                      <m:t>ε</m:t>
                    </m:r>
                  </m:e>
                  <m:sub>
                    <m:r>
                      <w:rPr>
                        <w:rFonts w:ascii="Cambria Math" w:eastAsia="Cambria Math" w:hAnsi="Cambria Math" w:cs="Arial"/>
                        <w:sz w:val="19"/>
                        <w:szCs w:val="19"/>
                      </w:rPr>
                      <m:t>∞</m:t>
                    </m:r>
                  </m:sub>
                </m:sSub>
              </m:oMath>
            </m:oMathPara>
          </w:p>
        </w:tc>
        <w:tc>
          <w:tcPr>
            <w:tcW w:w="2338" w:type="dxa"/>
          </w:tcPr>
          <w:p w14:paraId="6B27AF03" w14:textId="77777777" w:rsidR="005F45B6" w:rsidRPr="00613F8A" w:rsidRDefault="005F45B6" w:rsidP="002219C1">
            <w:pPr>
              <w:jc w:val="both"/>
              <w:rPr>
                <w:rFonts w:ascii="Arial" w:hAnsi="Arial" w:cs="Arial"/>
                <w:i/>
                <w:iCs/>
                <w:sz w:val="19"/>
                <w:szCs w:val="19"/>
              </w:rPr>
            </w:pPr>
            <w:r w:rsidRPr="00613F8A">
              <w:rPr>
                <w:rFonts w:ascii="Arial" w:hAnsi="Arial" w:cs="Arial"/>
                <w:i/>
                <w:iCs/>
                <w:sz w:val="19"/>
                <w:szCs w:val="19"/>
              </w:rPr>
              <w:t xml:space="preserve">N </w:t>
            </w:r>
            <w:r w:rsidRPr="00613F8A">
              <w:rPr>
                <w:rFonts w:ascii="Arial" w:hAnsi="Arial" w:cs="Arial"/>
                <w:sz w:val="19"/>
                <w:szCs w:val="19"/>
              </w:rPr>
              <w:t>(cm</w:t>
            </w:r>
            <w:r w:rsidRPr="00613F8A">
              <w:rPr>
                <w:rFonts w:ascii="Arial" w:hAnsi="Arial" w:cs="Arial"/>
                <w:sz w:val="19"/>
                <w:szCs w:val="19"/>
                <w:vertAlign w:val="superscript"/>
              </w:rPr>
              <w:t>-3</w:t>
            </w:r>
            <w:r w:rsidRPr="00613F8A">
              <w:rPr>
                <w:rFonts w:ascii="Arial" w:hAnsi="Arial" w:cs="Arial"/>
                <w:sz w:val="19"/>
                <w:szCs w:val="19"/>
              </w:rPr>
              <w:t>)</w:t>
            </w:r>
          </w:p>
        </w:tc>
        <w:tc>
          <w:tcPr>
            <w:tcW w:w="2338" w:type="dxa"/>
          </w:tcPr>
          <w:p w14:paraId="6C71EFD0" w14:textId="77777777" w:rsidR="005F45B6" w:rsidRPr="00613F8A" w:rsidRDefault="005F45B6" w:rsidP="002219C1">
            <w:pPr>
              <w:jc w:val="both"/>
              <w:rPr>
                <w:rFonts w:ascii="Arial" w:hAnsi="Arial" w:cs="Arial"/>
                <w:i/>
                <w:iCs/>
                <w:sz w:val="19"/>
                <w:szCs w:val="19"/>
              </w:rPr>
            </w:pPr>
            <w:r w:rsidRPr="00613F8A">
              <w:rPr>
                <w:rFonts w:ascii="Arial" w:hAnsi="Arial" w:cs="Arial"/>
                <w:i/>
                <w:iCs/>
                <w:sz w:val="19"/>
                <w:szCs w:val="19"/>
              </w:rPr>
              <w:t xml:space="preserve">µ </w:t>
            </w:r>
            <w:r w:rsidRPr="00613F8A">
              <w:rPr>
                <w:rFonts w:ascii="Arial" w:hAnsi="Arial" w:cs="Arial"/>
                <w:sz w:val="19"/>
                <w:szCs w:val="19"/>
              </w:rPr>
              <w:t>(cm</w:t>
            </w:r>
            <w:r w:rsidRPr="00613F8A">
              <w:rPr>
                <w:rFonts w:ascii="Arial" w:hAnsi="Arial" w:cs="Arial"/>
                <w:sz w:val="19"/>
                <w:szCs w:val="19"/>
                <w:vertAlign w:val="superscript"/>
              </w:rPr>
              <w:t>2</w:t>
            </w:r>
            <w:r w:rsidRPr="00613F8A">
              <w:rPr>
                <w:rFonts w:ascii="Arial" w:hAnsi="Arial" w:cs="Arial"/>
                <w:sz w:val="19"/>
                <w:szCs w:val="19"/>
              </w:rPr>
              <w:t>/(V</w:t>
            </w:r>
            <w:r w:rsidRPr="00613F8A">
              <w:rPr>
                <w:rFonts w:ascii="Cambria Math" w:hAnsi="Cambria Math" w:cs="Cambria Math"/>
                <w:sz w:val="19"/>
                <w:szCs w:val="19"/>
              </w:rPr>
              <w:t>⋅</w:t>
            </w:r>
            <w:r w:rsidRPr="00613F8A">
              <w:rPr>
                <w:rFonts w:ascii="Arial" w:hAnsi="Arial" w:cs="Arial"/>
                <w:sz w:val="19"/>
                <w:szCs w:val="19"/>
              </w:rPr>
              <w:t>s))</w:t>
            </w:r>
          </w:p>
        </w:tc>
      </w:tr>
      <w:tr w:rsidR="00982B9D" w:rsidRPr="00613F8A" w14:paraId="03BF8183" w14:textId="77777777" w:rsidTr="002219C1">
        <w:tc>
          <w:tcPr>
            <w:tcW w:w="2605" w:type="dxa"/>
          </w:tcPr>
          <w:p w14:paraId="1874A583"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Si/ITO, 300 K, cycle 1</w:t>
            </w:r>
          </w:p>
        </w:tc>
        <w:tc>
          <w:tcPr>
            <w:tcW w:w="2069" w:type="dxa"/>
          </w:tcPr>
          <w:p w14:paraId="4DFE3FFF"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3.97</w:t>
            </w:r>
          </w:p>
        </w:tc>
        <w:tc>
          <w:tcPr>
            <w:tcW w:w="2338" w:type="dxa"/>
          </w:tcPr>
          <w:p w14:paraId="2DE9F653"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3.7×10</w:t>
            </w:r>
            <w:r w:rsidRPr="00613F8A">
              <w:rPr>
                <w:rFonts w:ascii="Arial" w:hAnsi="Arial" w:cs="Arial"/>
                <w:sz w:val="19"/>
                <w:szCs w:val="19"/>
                <w:vertAlign w:val="superscript"/>
              </w:rPr>
              <w:t>20</w:t>
            </w:r>
          </w:p>
        </w:tc>
        <w:tc>
          <w:tcPr>
            <w:tcW w:w="2338" w:type="dxa"/>
          </w:tcPr>
          <w:p w14:paraId="039B9C15"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19.4</w:t>
            </w:r>
          </w:p>
        </w:tc>
      </w:tr>
      <w:tr w:rsidR="00982B9D" w:rsidRPr="00613F8A" w14:paraId="3B97777E" w14:textId="77777777" w:rsidTr="002219C1">
        <w:tc>
          <w:tcPr>
            <w:tcW w:w="2605" w:type="dxa"/>
          </w:tcPr>
          <w:p w14:paraId="64D834B0"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Si/ITO, 423 K, cycle 1</w:t>
            </w:r>
          </w:p>
        </w:tc>
        <w:tc>
          <w:tcPr>
            <w:tcW w:w="2069" w:type="dxa"/>
          </w:tcPr>
          <w:p w14:paraId="556A2352"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3.78</w:t>
            </w:r>
          </w:p>
        </w:tc>
        <w:tc>
          <w:tcPr>
            <w:tcW w:w="2338" w:type="dxa"/>
          </w:tcPr>
          <w:p w14:paraId="63D9E365"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2.8×10</w:t>
            </w:r>
            <w:r w:rsidRPr="00613F8A">
              <w:rPr>
                <w:rFonts w:ascii="Arial" w:hAnsi="Arial" w:cs="Arial"/>
                <w:sz w:val="19"/>
                <w:szCs w:val="19"/>
                <w:vertAlign w:val="superscript"/>
              </w:rPr>
              <w:t>20</w:t>
            </w:r>
          </w:p>
        </w:tc>
        <w:tc>
          <w:tcPr>
            <w:tcW w:w="2338" w:type="dxa"/>
          </w:tcPr>
          <w:p w14:paraId="38F57508"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17.5</w:t>
            </w:r>
          </w:p>
        </w:tc>
      </w:tr>
      <w:tr w:rsidR="00982B9D" w:rsidRPr="00613F8A" w14:paraId="2CF0D39E" w14:textId="77777777" w:rsidTr="002219C1">
        <w:tc>
          <w:tcPr>
            <w:tcW w:w="2605" w:type="dxa"/>
          </w:tcPr>
          <w:p w14:paraId="3CCFF078"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Si/ITO, 423 K, cycle 2</w:t>
            </w:r>
          </w:p>
        </w:tc>
        <w:tc>
          <w:tcPr>
            <w:tcW w:w="2069" w:type="dxa"/>
          </w:tcPr>
          <w:p w14:paraId="10490151"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3.94</w:t>
            </w:r>
          </w:p>
        </w:tc>
        <w:tc>
          <w:tcPr>
            <w:tcW w:w="2338" w:type="dxa"/>
          </w:tcPr>
          <w:p w14:paraId="5BC42C1C"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2.6×10</w:t>
            </w:r>
            <w:r w:rsidRPr="00613F8A">
              <w:rPr>
                <w:rFonts w:ascii="Arial" w:hAnsi="Arial" w:cs="Arial"/>
                <w:sz w:val="19"/>
                <w:szCs w:val="19"/>
                <w:vertAlign w:val="superscript"/>
              </w:rPr>
              <w:t>20</w:t>
            </w:r>
          </w:p>
        </w:tc>
        <w:tc>
          <w:tcPr>
            <w:tcW w:w="2338" w:type="dxa"/>
          </w:tcPr>
          <w:p w14:paraId="0FDD040B"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12.7</w:t>
            </w:r>
          </w:p>
        </w:tc>
      </w:tr>
      <w:tr w:rsidR="005F45B6" w:rsidRPr="00613F8A" w14:paraId="4ECED599" w14:textId="77777777" w:rsidTr="002219C1">
        <w:tc>
          <w:tcPr>
            <w:tcW w:w="2605" w:type="dxa"/>
          </w:tcPr>
          <w:p w14:paraId="2DF32207" w14:textId="77777777" w:rsidR="005F45B6" w:rsidRPr="00613F8A" w:rsidRDefault="005F45B6" w:rsidP="002219C1">
            <w:pPr>
              <w:jc w:val="both"/>
              <w:rPr>
                <w:rFonts w:ascii="Arial" w:hAnsi="Arial" w:cs="Arial"/>
                <w:sz w:val="19"/>
                <w:szCs w:val="19"/>
                <w:vertAlign w:val="subscript"/>
              </w:rPr>
            </w:pPr>
            <w:r w:rsidRPr="00613F8A">
              <w:rPr>
                <w:rFonts w:ascii="Arial" w:hAnsi="Arial" w:cs="Arial"/>
                <w:sz w:val="19"/>
                <w:szCs w:val="19"/>
              </w:rPr>
              <w:t>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p>
          <w:p w14:paraId="636D20E9"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300 K, cycle 1</w:t>
            </w:r>
          </w:p>
        </w:tc>
        <w:tc>
          <w:tcPr>
            <w:tcW w:w="2069" w:type="dxa"/>
          </w:tcPr>
          <w:p w14:paraId="6C947796"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4</w:t>
            </w:r>
          </w:p>
        </w:tc>
        <w:tc>
          <w:tcPr>
            <w:tcW w:w="2338" w:type="dxa"/>
          </w:tcPr>
          <w:p w14:paraId="16BCB9BE"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4.9×10</w:t>
            </w:r>
            <w:r w:rsidRPr="00613F8A">
              <w:rPr>
                <w:rFonts w:ascii="Arial" w:hAnsi="Arial" w:cs="Arial"/>
                <w:sz w:val="19"/>
                <w:szCs w:val="19"/>
                <w:vertAlign w:val="superscript"/>
              </w:rPr>
              <w:t>20</w:t>
            </w:r>
          </w:p>
        </w:tc>
        <w:tc>
          <w:tcPr>
            <w:tcW w:w="2338" w:type="dxa"/>
          </w:tcPr>
          <w:p w14:paraId="612E786D" w14:textId="77777777" w:rsidR="005F45B6" w:rsidRPr="00613F8A" w:rsidRDefault="005F45B6" w:rsidP="002219C1">
            <w:pPr>
              <w:jc w:val="both"/>
              <w:rPr>
                <w:rFonts w:ascii="Arial" w:hAnsi="Arial" w:cs="Arial"/>
                <w:sz w:val="19"/>
                <w:szCs w:val="19"/>
              </w:rPr>
            </w:pPr>
            <w:r w:rsidRPr="00613F8A">
              <w:rPr>
                <w:rFonts w:ascii="Arial" w:hAnsi="Arial" w:cs="Arial"/>
                <w:sz w:val="19"/>
                <w:szCs w:val="19"/>
              </w:rPr>
              <w:t>18.5</w:t>
            </w:r>
          </w:p>
        </w:tc>
      </w:tr>
    </w:tbl>
    <w:p w14:paraId="6FE52CEA" w14:textId="77777777" w:rsidR="005F45B6" w:rsidRPr="00613F8A" w:rsidRDefault="005F45B6" w:rsidP="00E263D2">
      <w:pPr>
        <w:spacing w:after="0"/>
        <w:jc w:val="both"/>
        <w:rPr>
          <w:rFonts w:ascii="Arial" w:hAnsi="Arial" w:cs="Arial"/>
          <w:sz w:val="19"/>
          <w:szCs w:val="19"/>
        </w:rPr>
      </w:pPr>
    </w:p>
    <w:p w14:paraId="45F90126" w14:textId="4ED07F93" w:rsidR="005F45B6" w:rsidRDefault="005F45B6" w:rsidP="00E263D2">
      <w:pPr>
        <w:spacing w:after="0"/>
        <w:jc w:val="both"/>
        <w:rPr>
          <w:rFonts w:ascii="Arial" w:hAnsi="Arial" w:cs="Arial"/>
          <w:sz w:val="19"/>
          <w:szCs w:val="19"/>
        </w:rPr>
      </w:pPr>
      <w:r w:rsidRPr="00613F8A">
        <w:rPr>
          <w:rFonts w:ascii="Arial" w:hAnsi="Arial" w:cs="Arial"/>
          <w:sz w:val="19"/>
          <w:szCs w:val="19"/>
        </w:rPr>
        <w:t xml:space="preserve">Table S2. Summary of the material parameters extracted from the ellipsometry fit. When performing the ellipsometry fit we used the high-frequency permittivity </w:t>
      </w:r>
      <m:oMath>
        <m:sSub>
          <m:sSubPr>
            <m:ctrlPr>
              <w:rPr>
                <w:rFonts w:ascii="Cambria Math" w:eastAsia="Cambria Math" w:hAnsi="Cambria Math" w:cs="Arial"/>
                <w:sz w:val="19"/>
                <w:szCs w:val="19"/>
              </w:rPr>
            </m:ctrlPr>
          </m:sSubPr>
          <m:e>
            <m:r>
              <w:rPr>
                <w:rFonts w:ascii="Cambria Math" w:eastAsia="Cambria Math" w:hAnsi="Cambria Math" w:cs="Arial"/>
                <w:sz w:val="19"/>
                <w:szCs w:val="19"/>
              </w:rPr>
              <m:t>ε</m:t>
            </m:r>
          </m:e>
          <m:sub>
            <m:r>
              <w:rPr>
                <w:rFonts w:ascii="Cambria Math" w:eastAsia="Cambria Math" w:hAnsi="Cambria Math" w:cs="Arial"/>
                <w:sz w:val="19"/>
                <w:szCs w:val="19"/>
              </w:rPr>
              <m:t>∞</m:t>
            </m:r>
          </m:sub>
        </m:sSub>
      </m:oMath>
      <w:r w:rsidRPr="00613F8A">
        <w:rPr>
          <w:rFonts w:ascii="Arial" w:eastAsia="Cambria Math" w:hAnsi="Arial" w:cs="Arial"/>
          <w:sz w:val="19"/>
          <w:szCs w:val="19"/>
        </w:rPr>
        <w:t xml:space="preserve">, </w:t>
      </w:r>
      <w:r w:rsidRPr="00613F8A">
        <w:rPr>
          <w:rFonts w:ascii="Arial" w:hAnsi="Arial" w:cs="Arial"/>
          <w:sz w:val="19"/>
          <w:szCs w:val="19"/>
        </w:rPr>
        <w:t xml:space="preserve">the electron density </w:t>
      </w:r>
      <w:r w:rsidRPr="00613F8A">
        <w:rPr>
          <w:rFonts w:ascii="Arial" w:hAnsi="Arial" w:cs="Arial"/>
          <w:i/>
          <w:iCs/>
          <w:sz w:val="19"/>
          <w:szCs w:val="19"/>
        </w:rPr>
        <w:t>N</w:t>
      </w:r>
      <w:r w:rsidRPr="00613F8A">
        <w:rPr>
          <w:rFonts w:ascii="Arial" w:hAnsi="Arial" w:cs="Arial"/>
          <w:sz w:val="19"/>
          <w:szCs w:val="19"/>
        </w:rPr>
        <w:t xml:space="preserve">, and the electron mobility </w:t>
      </w:r>
      <w:r w:rsidRPr="00613F8A">
        <w:rPr>
          <w:rFonts w:ascii="Arial" w:hAnsi="Arial" w:cs="Arial"/>
          <w:i/>
          <w:iCs/>
          <w:sz w:val="19"/>
          <w:szCs w:val="19"/>
        </w:rPr>
        <w:t xml:space="preserve">µ </w:t>
      </w:r>
      <w:r w:rsidRPr="00613F8A">
        <w:rPr>
          <w:rFonts w:ascii="Arial" w:hAnsi="Arial" w:cs="Arial"/>
          <w:sz w:val="19"/>
          <w:szCs w:val="19"/>
        </w:rPr>
        <w:t>as fitting parameters.</w:t>
      </w:r>
    </w:p>
    <w:p w14:paraId="2FBB096A" w14:textId="3564FE47" w:rsidR="00613F8A" w:rsidRDefault="00613F8A" w:rsidP="00E263D2">
      <w:pPr>
        <w:spacing w:after="0"/>
        <w:jc w:val="both"/>
        <w:rPr>
          <w:rFonts w:ascii="Arial" w:hAnsi="Arial" w:cs="Arial"/>
          <w:sz w:val="19"/>
          <w:szCs w:val="19"/>
        </w:rPr>
      </w:pPr>
    </w:p>
    <w:p w14:paraId="7E7BAA4E" w14:textId="69415B3C" w:rsidR="00613F8A" w:rsidRDefault="00613F8A" w:rsidP="00E263D2">
      <w:pPr>
        <w:spacing w:after="0"/>
        <w:jc w:val="both"/>
        <w:rPr>
          <w:rFonts w:ascii="Arial" w:hAnsi="Arial" w:cs="Arial"/>
          <w:sz w:val="19"/>
          <w:szCs w:val="19"/>
        </w:rPr>
      </w:pPr>
    </w:p>
    <w:p w14:paraId="0B55F207" w14:textId="77777777" w:rsidR="00613F8A" w:rsidRPr="00613F8A" w:rsidRDefault="00613F8A" w:rsidP="00E263D2">
      <w:pPr>
        <w:spacing w:after="0"/>
        <w:jc w:val="both"/>
        <w:rPr>
          <w:rFonts w:ascii="Arial" w:hAnsi="Arial" w:cs="Arial"/>
          <w:sz w:val="19"/>
          <w:szCs w:val="19"/>
        </w:rPr>
      </w:pPr>
    </w:p>
    <w:p w14:paraId="7CADD742" w14:textId="77777777" w:rsidR="005F45B6" w:rsidRPr="00613F8A" w:rsidRDefault="005F45B6" w:rsidP="00E263D2">
      <w:pPr>
        <w:spacing w:after="0"/>
        <w:jc w:val="both"/>
        <w:rPr>
          <w:rFonts w:ascii="Arial" w:hAnsi="Arial" w:cs="Arial"/>
          <w:sz w:val="19"/>
          <w:szCs w:val="19"/>
        </w:rPr>
      </w:pPr>
      <w:r w:rsidRPr="00613F8A">
        <w:rPr>
          <w:rFonts w:ascii="Arial" w:hAnsi="Arial" w:cs="Arial"/>
          <w:sz w:val="19"/>
          <w:szCs w:val="19"/>
        </w:rPr>
        <w:t xml:space="preserve"> </w:t>
      </w:r>
    </w:p>
    <w:p w14:paraId="3427F19E" w14:textId="77777777" w:rsidR="005F45B6" w:rsidRPr="00613F8A" w:rsidRDefault="005F45B6" w:rsidP="00E263D2">
      <w:pPr>
        <w:jc w:val="center"/>
        <w:rPr>
          <w:rFonts w:ascii="Arial" w:hAnsi="Arial" w:cs="Arial"/>
          <w:sz w:val="19"/>
          <w:szCs w:val="19"/>
        </w:rPr>
      </w:pPr>
      <w:r w:rsidRPr="00613F8A">
        <w:rPr>
          <w:rFonts w:ascii="Arial" w:hAnsi="Arial" w:cs="Arial"/>
          <w:noProof/>
          <w:sz w:val="19"/>
          <w:szCs w:val="19"/>
        </w:rPr>
        <w:lastRenderedPageBreak/>
        <w:drawing>
          <wp:inline distT="0" distB="0" distL="0" distR="0" wp14:anchorId="0AC66FA6" wp14:editId="79B5F7B6">
            <wp:extent cx="4993860" cy="1847088"/>
            <wp:effectExtent l="0" t="0" r="0" b="127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3860" cy="1847088"/>
                    </a:xfrm>
                    <a:prstGeom prst="rect">
                      <a:avLst/>
                    </a:prstGeom>
                    <a:noFill/>
                    <a:ln>
                      <a:noFill/>
                    </a:ln>
                  </pic:spPr>
                </pic:pic>
              </a:graphicData>
            </a:graphic>
          </wp:inline>
        </w:drawing>
      </w:r>
    </w:p>
    <w:p w14:paraId="7B6D10F0" w14:textId="77777777" w:rsidR="005F45B6" w:rsidRPr="00613F8A" w:rsidRDefault="005F45B6" w:rsidP="00727479">
      <w:pPr>
        <w:jc w:val="both"/>
        <w:rPr>
          <w:rFonts w:ascii="Arial" w:hAnsi="Arial" w:cs="Arial"/>
          <w:sz w:val="19"/>
          <w:szCs w:val="19"/>
        </w:rPr>
      </w:pPr>
      <w:r w:rsidRPr="00613F8A">
        <w:rPr>
          <w:rFonts w:ascii="Arial" w:hAnsi="Arial" w:cs="Arial"/>
          <w:b/>
          <w:bCs/>
          <w:sz w:val="19"/>
          <w:szCs w:val="19"/>
        </w:rPr>
        <w:t xml:space="preserve">Figure S14. </w:t>
      </w:r>
      <w:r w:rsidRPr="00613F8A">
        <w:rPr>
          <w:rFonts w:ascii="Arial" w:hAnsi="Arial" w:cs="Arial"/>
          <w:sz w:val="19"/>
          <w:szCs w:val="19"/>
        </w:rPr>
        <w:t>Ellipsometrically measured real (Re(ε</w:t>
      </w:r>
      <w:r w:rsidRPr="00613F8A">
        <w:rPr>
          <w:rFonts w:ascii="Arial" w:hAnsi="Arial" w:cs="Arial"/>
          <w:sz w:val="19"/>
          <w:szCs w:val="19"/>
          <w:vertAlign w:val="subscript"/>
        </w:rPr>
        <w:t>ITO</w:t>
      </w:r>
      <w:r w:rsidRPr="00613F8A">
        <w:rPr>
          <w:rFonts w:ascii="Arial" w:hAnsi="Arial" w:cs="Arial"/>
          <w:sz w:val="19"/>
          <w:szCs w:val="19"/>
        </w:rPr>
        <w:t>)) and imaginary (Im(ε</w:t>
      </w:r>
      <w:r w:rsidRPr="00613F8A">
        <w:rPr>
          <w:rFonts w:ascii="Arial" w:hAnsi="Arial" w:cs="Arial"/>
          <w:sz w:val="19"/>
          <w:szCs w:val="19"/>
          <w:vertAlign w:val="subscript"/>
        </w:rPr>
        <w:t>ITO</w:t>
      </w:r>
      <w:r w:rsidRPr="00613F8A">
        <w:rPr>
          <w:rFonts w:ascii="Arial" w:hAnsi="Arial" w:cs="Arial"/>
          <w:sz w:val="19"/>
          <w:szCs w:val="19"/>
        </w:rPr>
        <w:t>)) parts of the complex dielectric permittivity of a 16.7 nm-thick ITO film on a Si substrate. The ellipsometric measurements were taken at different temperatures indicated in the legends of a) and b). a) corresponds to the first temperature cycle while b) corresponds to the second temperature cycle.</w:t>
      </w:r>
    </w:p>
    <w:p w14:paraId="222FBF86" w14:textId="77777777" w:rsidR="005F45B6" w:rsidRPr="00613F8A" w:rsidRDefault="005F45B6" w:rsidP="00727479">
      <w:pPr>
        <w:jc w:val="both"/>
        <w:rPr>
          <w:rFonts w:ascii="Arial" w:hAnsi="Arial" w:cs="Arial"/>
          <w:sz w:val="19"/>
          <w:szCs w:val="19"/>
        </w:rPr>
      </w:pPr>
    </w:p>
    <w:p w14:paraId="1CD346BB" w14:textId="77777777" w:rsidR="005F45B6" w:rsidRPr="00613F8A" w:rsidRDefault="005F45B6" w:rsidP="00727479">
      <w:pPr>
        <w:jc w:val="center"/>
        <w:rPr>
          <w:rFonts w:ascii="Arial" w:hAnsi="Arial" w:cs="Arial"/>
          <w:sz w:val="19"/>
          <w:szCs w:val="19"/>
        </w:rPr>
      </w:pPr>
      <w:r w:rsidRPr="00613F8A">
        <w:rPr>
          <w:rFonts w:ascii="Arial" w:hAnsi="Arial" w:cs="Arial"/>
          <w:noProof/>
          <w:sz w:val="19"/>
          <w:szCs w:val="19"/>
        </w:rPr>
        <w:drawing>
          <wp:inline distT="0" distB="0" distL="0" distR="0" wp14:anchorId="54ECFB19" wp14:editId="2269E332">
            <wp:extent cx="4861690" cy="2011680"/>
            <wp:effectExtent l="0" t="0" r="0" b="762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690" cy="2011680"/>
                    </a:xfrm>
                    <a:prstGeom prst="rect">
                      <a:avLst/>
                    </a:prstGeom>
                    <a:noFill/>
                    <a:ln>
                      <a:noFill/>
                    </a:ln>
                  </pic:spPr>
                </pic:pic>
              </a:graphicData>
            </a:graphic>
          </wp:inline>
        </w:drawing>
      </w:r>
    </w:p>
    <w:p w14:paraId="704D3F9C" w14:textId="77777777" w:rsidR="005F45B6" w:rsidRPr="00613F8A" w:rsidRDefault="005F45B6" w:rsidP="00E263D2">
      <w:pPr>
        <w:jc w:val="both"/>
        <w:rPr>
          <w:rFonts w:ascii="Arial" w:hAnsi="Arial" w:cs="Arial"/>
          <w:sz w:val="19"/>
          <w:szCs w:val="19"/>
        </w:rPr>
      </w:pPr>
      <w:r w:rsidRPr="00613F8A">
        <w:rPr>
          <w:rFonts w:ascii="Arial" w:hAnsi="Arial" w:cs="Arial"/>
          <w:b/>
          <w:bCs/>
          <w:sz w:val="19"/>
          <w:szCs w:val="19"/>
        </w:rPr>
        <w:t xml:space="preserve">Figure S15. </w:t>
      </w:r>
      <w:r w:rsidRPr="00613F8A">
        <w:rPr>
          <w:rFonts w:ascii="Arial" w:hAnsi="Arial" w:cs="Arial"/>
          <w:sz w:val="19"/>
          <w:szCs w:val="19"/>
        </w:rPr>
        <w:t>Ellipsometrically measured real (Re(ε</w:t>
      </w:r>
      <w:r w:rsidRPr="00613F8A">
        <w:rPr>
          <w:rFonts w:ascii="Arial" w:hAnsi="Arial" w:cs="Arial"/>
          <w:sz w:val="19"/>
          <w:szCs w:val="19"/>
          <w:vertAlign w:val="subscript"/>
        </w:rPr>
        <w:t>ITO</w:t>
      </w:r>
      <w:r w:rsidRPr="00613F8A">
        <w:rPr>
          <w:rFonts w:ascii="Arial" w:hAnsi="Arial" w:cs="Arial"/>
          <w:sz w:val="19"/>
          <w:szCs w:val="19"/>
        </w:rPr>
        <w:t>)) and imaginary (Im(ε</w:t>
      </w:r>
      <w:r w:rsidRPr="00613F8A">
        <w:rPr>
          <w:rFonts w:ascii="Arial" w:hAnsi="Arial" w:cs="Arial"/>
          <w:sz w:val="19"/>
          <w:szCs w:val="19"/>
          <w:vertAlign w:val="subscript"/>
        </w:rPr>
        <w:t>ITO</w:t>
      </w:r>
      <w:r w:rsidRPr="00613F8A">
        <w:rPr>
          <w:rFonts w:ascii="Arial" w:hAnsi="Arial" w:cs="Arial"/>
          <w:sz w:val="19"/>
          <w:szCs w:val="19"/>
        </w:rPr>
        <w:t>)) parts of the complex dielectric permittivity of a 16.7 nm-thick ITO film extracted from measuring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 xml:space="preserve">3 </w:t>
      </w:r>
      <w:r w:rsidRPr="00613F8A">
        <w:rPr>
          <w:rFonts w:ascii="Arial" w:hAnsi="Arial" w:cs="Arial"/>
          <w:sz w:val="19"/>
          <w:szCs w:val="19"/>
        </w:rPr>
        <w:t>heterostructure. The thicknesses of the layer in the heterostructure are as follows: Au – 80 nm, ITO – 16.7 nm,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 8.3 nm.</w:t>
      </w:r>
      <w:r w:rsidRPr="00613F8A">
        <w:rPr>
          <w:rFonts w:ascii="Arial" w:hAnsi="Arial" w:cs="Arial"/>
          <w:sz w:val="19"/>
          <w:szCs w:val="19"/>
          <w:vertAlign w:val="subscript"/>
        </w:rPr>
        <w:t xml:space="preserve"> </w:t>
      </w:r>
      <w:r w:rsidRPr="00613F8A">
        <w:rPr>
          <w:rFonts w:ascii="Arial" w:hAnsi="Arial" w:cs="Arial"/>
          <w:sz w:val="19"/>
          <w:szCs w:val="19"/>
        </w:rPr>
        <w:t>The ellipsometric measurements were taken at different temperatures indicated in the legends of a) and b). a) corresponds to the first temperature cycle while b) corresponds to the second temperature cycle.</w:t>
      </w:r>
    </w:p>
    <w:p w14:paraId="5E8E2F0B" w14:textId="77777777" w:rsidR="005F45B6" w:rsidRPr="00613F8A" w:rsidRDefault="005F45B6" w:rsidP="00315C2C">
      <w:pPr>
        <w:spacing w:after="0"/>
        <w:ind w:firstLine="432"/>
        <w:jc w:val="both"/>
        <w:rPr>
          <w:rFonts w:ascii="Arial" w:hAnsi="Arial" w:cs="Arial"/>
          <w:sz w:val="19"/>
          <w:szCs w:val="19"/>
        </w:rPr>
      </w:pPr>
      <w:r w:rsidRPr="00613F8A">
        <w:rPr>
          <w:rFonts w:ascii="Arial" w:hAnsi="Arial" w:cs="Arial"/>
          <w:sz w:val="19"/>
          <w:szCs w:val="19"/>
        </w:rPr>
        <w:t>The observed trends are different when the ITO film is integrated into the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 xml:space="preserve">3 </w:t>
      </w:r>
      <w:r w:rsidRPr="00613F8A">
        <w:rPr>
          <w:rFonts w:ascii="Arial" w:hAnsi="Arial" w:cs="Arial"/>
          <w:sz w:val="19"/>
          <w:szCs w:val="19"/>
        </w:rPr>
        <w:t>heterostructure (Figure S14). In this case of the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sample, ε</w:t>
      </w:r>
      <w:r w:rsidRPr="00613F8A">
        <w:rPr>
          <w:rFonts w:ascii="Arial" w:hAnsi="Arial" w:cs="Arial"/>
          <w:sz w:val="19"/>
          <w:szCs w:val="19"/>
          <w:vertAlign w:val="subscript"/>
        </w:rPr>
        <w:t>ITO</w:t>
      </w:r>
      <w:r w:rsidRPr="00613F8A">
        <w:rPr>
          <w:rFonts w:ascii="Arial" w:hAnsi="Arial" w:cs="Arial"/>
          <w:sz w:val="19"/>
          <w:szCs w:val="19"/>
        </w:rPr>
        <w:t xml:space="preserve"> does not vary noticeably with</w:t>
      </w:r>
    </w:p>
    <w:p w14:paraId="0FAF9E14" w14:textId="77777777" w:rsidR="005F45B6" w:rsidRPr="00613F8A" w:rsidRDefault="005F45B6" w:rsidP="00315C2C">
      <w:pPr>
        <w:spacing w:after="0"/>
        <w:jc w:val="both"/>
        <w:rPr>
          <w:rFonts w:ascii="Arial" w:hAnsi="Arial" w:cs="Arial"/>
          <w:sz w:val="19"/>
          <w:szCs w:val="19"/>
        </w:rPr>
      </w:pPr>
      <w:r w:rsidRPr="00613F8A">
        <w:rPr>
          <w:rFonts w:ascii="Arial" w:hAnsi="Arial" w:cs="Arial"/>
          <w:sz w:val="19"/>
          <w:szCs w:val="19"/>
        </w:rPr>
        <w:t>increased temperature. We attribute the stark difference in the behavior of the sample d) (Si/ITO) and sample e)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to the presence of the capping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layer in the sample e). To gain physical intuition, we fit the ellipsometry data only in the wavelength range 1000-1700 nm and use a single Drude model to describe the dielectric permittivity of ITO.  The obtained fitting parameters are summarized in Table 2. The assumed effective electron mass is </w:t>
      </w:r>
      <w:r w:rsidRPr="00613F8A">
        <w:rPr>
          <w:rFonts w:ascii="Arial" w:eastAsia="Times New Roman" w:hAnsi="Arial" w:cs="Arial"/>
          <w:i/>
          <w:sz w:val="19"/>
          <w:szCs w:val="19"/>
        </w:rPr>
        <w:t>m*</w:t>
      </w:r>
      <w:r w:rsidRPr="00613F8A">
        <w:rPr>
          <w:rFonts w:ascii="Arial" w:eastAsia="Times New Roman" w:hAnsi="Arial" w:cs="Arial"/>
          <w:sz w:val="19"/>
          <w:szCs w:val="19"/>
        </w:rPr>
        <w:t xml:space="preserve"> = 0.35 </w:t>
      </w:r>
      <w:r w:rsidRPr="00613F8A">
        <w:rPr>
          <w:rFonts w:ascii="Arial" w:eastAsia="Times New Roman" w:hAnsi="Arial" w:cs="Arial"/>
          <w:i/>
          <w:sz w:val="19"/>
          <w:szCs w:val="19"/>
        </w:rPr>
        <w:t>m</w:t>
      </w:r>
      <w:r w:rsidRPr="00613F8A">
        <w:rPr>
          <w:rFonts w:ascii="Arial" w:eastAsia="Times New Roman" w:hAnsi="Arial" w:cs="Arial"/>
          <w:i/>
          <w:sz w:val="19"/>
          <w:szCs w:val="19"/>
          <w:vertAlign w:val="subscript"/>
        </w:rPr>
        <w:t>e</w:t>
      </w:r>
      <w:r w:rsidRPr="00613F8A">
        <w:rPr>
          <w:rFonts w:ascii="Arial" w:eastAsia="Times New Roman" w:hAnsi="Arial" w:cs="Arial"/>
          <w:sz w:val="19"/>
          <w:szCs w:val="19"/>
        </w:rPr>
        <w:t>.</w:t>
      </w:r>
      <w:r w:rsidRPr="00613F8A">
        <w:rPr>
          <w:rFonts w:ascii="Arial" w:hAnsi="Arial" w:cs="Arial"/>
          <w:sz w:val="19"/>
          <w:szCs w:val="19"/>
        </w:rPr>
        <w:t xml:space="preserve"> In case of the Si/ITO sample, Re(ε</w:t>
      </w:r>
      <w:r w:rsidRPr="00613F8A">
        <w:rPr>
          <w:rFonts w:ascii="Arial" w:hAnsi="Arial" w:cs="Arial"/>
          <w:sz w:val="19"/>
          <w:szCs w:val="19"/>
          <w:vertAlign w:val="subscript"/>
        </w:rPr>
        <w:t>ITO</w:t>
      </w:r>
      <w:r w:rsidRPr="00613F8A">
        <w:rPr>
          <w:rFonts w:ascii="Arial" w:hAnsi="Arial" w:cs="Arial"/>
          <w:sz w:val="19"/>
          <w:szCs w:val="19"/>
        </w:rPr>
        <w:t>) increases with temperature due to the decreased carrier density. Prior research has also shown that annealing ITO samples reduces the ITO carrier density.</w:t>
      </w:r>
      <w:r w:rsidRPr="00613F8A">
        <w:rPr>
          <w:rFonts w:ascii="Arial" w:hAnsi="Arial" w:cs="Arial"/>
          <w:noProof/>
          <w:sz w:val="19"/>
          <w:szCs w:val="19"/>
          <w:vertAlign w:val="superscript"/>
        </w:rPr>
        <w:t>20</w:t>
      </w:r>
      <w:r w:rsidRPr="00613F8A">
        <w:rPr>
          <w:rFonts w:ascii="Arial" w:hAnsi="Arial" w:cs="Arial"/>
          <w:sz w:val="19"/>
          <w:szCs w:val="19"/>
        </w:rPr>
        <w:t xml:space="preserve"> Additionally, we observe that the electron mobility reduces with increased temperature that is consistent with previous literature reports.</w:t>
      </w:r>
      <w:r w:rsidRPr="00613F8A">
        <w:rPr>
          <w:rFonts w:ascii="Arial" w:hAnsi="Arial" w:cs="Arial"/>
          <w:noProof/>
          <w:sz w:val="19"/>
          <w:szCs w:val="19"/>
          <w:vertAlign w:val="superscript"/>
        </w:rPr>
        <w:t>21</w:t>
      </w:r>
      <w:r w:rsidRPr="00613F8A">
        <w:rPr>
          <w:rFonts w:ascii="Arial" w:hAnsi="Arial" w:cs="Arial"/>
          <w:sz w:val="19"/>
          <w:szCs w:val="19"/>
        </w:rPr>
        <w:t xml:space="preserve"> Moreover, the electron mobility extracted from the measurements performed during the second temperature cycle is lower as compared with the values extracted during the first temperature cycle. This could be due to the defects introduced into ITO during the heating process.</w:t>
      </w:r>
    </w:p>
    <w:p w14:paraId="5F501A03" w14:textId="77777777" w:rsidR="005F45B6" w:rsidRPr="00613F8A" w:rsidRDefault="005F45B6" w:rsidP="00315C2C">
      <w:pPr>
        <w:jc w:val="both"/>
        <w:rPr>
          <w:rFonts w:ascii="Arial" w:hAnsi="Arial" w:cs="Arial"/>
          <w:sz w:val="19"/>
          <w:szCs w:val="19"/>
        </w:rPr>
      </w:pPr>
      <w:r w:rsidRPr="00613F8A">
        <w:rPr>
          <w:rFonts w:ascii="Arial" w:hAnsi="Arial" w:cs="Arial"/>
          <w:sz w:val="19"/>
          <w:szCs w:val="19"/>
        </w:rPr>
        <w:tab/>
        <w:t>Next, we discuss the properties of the ITO layer incorporated in the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heterostructure (Figure S15). We observe that the extracted carrier density of the ITO is significantly higher as compared with that in the case when ITO has no capping layer (the Si/ITO sample). The observed increased carrier density is </w:t>
      </w:r>
      <w:r w:rsidRPr="00613F8A">
        <w:rPr>
          <w:rFonts w:ascii="Arial" w:hAnsi="Arial" w:cs="Arial"/>
          <w:sz w:val="19"/>
          <w:szCs w:val="19"/>
        </w:rPr>
        <w:lastRenderedPageBreak/>
        <w:t>due to the oxygen leakage from the ITO layer during the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 xml:space="preserve">3 </w:t>
      </w:r>
      <w:r w:rsidRPr="00613F8A">
        <w:rPr>
          <w:rFonts w:ascii="Arial" w:hAnsi="Arial" w:cs="Arial"/>
          <w:sz w:val="19"/>
          <w:szCs w:val="19"/>
        </w:rPr>
        <w:t>ALD process. This result is consistent with previous literature reports</w:t>
      </w:r>
      <w:r w:rsidRPr="00613F8A">
        <w:rPr>
          <w:rFonts w:ascii="Arial" w:hAnsi="Arial" w:cs="Arial"/>
          <w:noProof/>
          <w:sz w:val="19"/>
          <w:szCs w:val="19"/>
          <w:vertAlign w:val="superscript"/>
        </w:rPr>
        <w:t>22</w:t>
      </w:r>
      <w:r w:rsidRPr="00613F8A">
        <w:rPr>
          <w:rFonts w:ascii="Arial" w:hAnsi="Arial" w:cs="Arial"/>
          <w:sz w:val="19"/>
          <w:szCs w:val="19"/>
        </w:rPr>
        <w:t>. It is also worth mentioning that during the ALD process the ITO film is effectively undergoing the annealing process since it is being heated to 423 K. The presence of the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capping layer precludes the interaction of ITO with the ambient during the heating process. This explains the optical properties of the ITO layer in the Si/Au/ITO/Al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heterostructure do not vary with increased temperature.</w:t>
      </w:r>
    </w:p>
    <w:p w14:paraId="07791DC4" w14:textId="77777777" w:rsidR="005F45B6" w:rsidRPr="00613F8A" w:rsidRDefault="005F45B6" w:rsidP="00E263D2">
      <w:pPr>
        <w:jc w:val="both"/>
        <w:rPr>
          <w:rFonts w:ascii="Arial" w:hAnsi="Arial" w:cs="Arial"/>
          <w:sz w:val="19"/>
          <w:szCs w:val="19"/>
        </w:rPr>
      </w:pPr>
    </w:p>
    <w:p w14:paraId="73C5EA6F" w14:textId="77777777" w:rsidR="005F45B6" w:rsidRPr="00613F8A" w:rsidRDefault="005F45B6" w:rsidP="00896F45">
      <w:pPr>
        <w:jc w:val="both"/>
        <w:rPr>
          <w:rFonts w:ascii="Arial" w:hAnsi="Arial" w:cs="Arial"/>
          <w:b/>
          <w:bCs/>
          <w:sz w:val="19"/>
          <w:szCs w:val="19"/>
        </w:rPr>
      </w:pPr>
      <w:r w:rsidRPr="00613F8A">
        <w:rPr>
          <w:rFonts w:ascii="Arial" w:hAnsi="Arial" w:cs="Arial"/>
          <w:b/>
          <w:bCs/>
          <w:sz w:val="19"/>
          <w:szCs w:val="19"/>
          <w:u w:val="single"/>
        </w:rPr>
        <w:t xml:space="preserve">9. </w:t>
      </w:r>
      <w:bookmarkStart w:id="5" w:name="_Hlk88140474"/>
      <w:r w:rsidRPr="00613F8A">
        <w:rPr>
          <w:rFonts w:ascii="Arial" w:hAnsi="Arial" w:cs="Arial"/>
          <w:b/>
          <w:bCs/>
          <w:sz w:val="19"/>
          <w:szCs w:val="19"/>
          <w:u w:val="single"/>
        </w:rPr>
        <w:t>Phase shift and reflectance modulation by CdO-based active metasurfaces</w:t>
      </w:r>
      <w:bookmarkEnd w:id="5"/>
    </w:p>
    <w:p w14:paraId="0ABF9C5D" w14:textId="1BB49473" w:rsidR="005F45B6" w:rsidRPr="00613F8A" w:rsidRDefault="007A42F4" w:rsidP="00896F45">
      <w:pPr>
        <w:jc w:val="center"/>
        <w:rPr>
          <w:rFonts w:ascii="Arial" w:hAnsi="Arial" w:cs="Arial"/>
          <w:sz w:val="19"/>
          <w:szCs w:val="19"/>
        </w:rPr>
      </w:pPr>
      <w:r>
        <w:rPr>
          <w:noProof/>
        </w:rPr>
        <w:drawing>
          <wp:inline distT="0" distB="0" distL="0" distR="0" wp14:anchorId="79AFCDA1" wp14:editId="227A1DC7">
            <wp:extent cx="4701654" cy="5705899"/>
            <wp:effectExtent l="0" t="0" r="381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9122" cy="5727098"/>
                    </a:xfrm>
                    <a:prstGeom prst="rect">
                      <a:avLst/>
                    </a:prstGeom>
                    <a:noFill/>
                    <a:ln>
                      <a:noFill/>
                    </a:ln>
                  </pic:spPr>
                </pic:pic>
              </a:graphicData>
            </a:graphic>
          </wp:inline>
        </w:drawing>
      </w:r>
      <w:r w:rsidRPr="007A42F4">
        <w:t xml:space="preserve"> </w:t>
      </w:r>
    </w:p>
    <w:p w14:paraId="73DE4EF5" w14:textId="77777777" w:rsidR="005F45B6" w:rsidRPr="00613F8A" w:rsidRDefault="005F45B6" w:rsidP="00896F45">
      <w:pPr>
        <w:jc w:val="both"/>
        <w:rPr>
          <w:rFonts w:ascii="Arial" w:hAnsi="Arial" w:cs="Arial"/>
          <w:sz w:val="19"/>
          <w:szCs w:val="19"/>
        </w:rPr>
      </w:pPr>
      <w:r w:rsidRPr="00613F8A">
        <w:rPr>
          <w:rFonts w:ascii="Arial" w:hAnsi="Arial" w:cs="Arial"/>
          <w:b/>
          <w:bCs/>
          <w:sz w:val="19"/>
          <w:szCs w:val="19"/>
        </w:rPr>
        <w:t>Figure S16.</w:t>
      </w:r>
      <w:r w:rsidRPr="00613F8A">
        <w:rPr>
          <w:rFonts w:ascii="Arial" w:hAnsi="Arial" w:cs="Arial"/>
          <w:sz w:val="19"/>
          <w:szCs w:val="19"/>
        </w:rPr>
        <w:t xml:space="preserve"> Electrically tunable optical response of the CdO-based gate-tunable metasurface. The geometrical parameters of our CdO-based gate-tunable metasurface are the same as the geometrical parameters of the ITO-based metasurface shown in Figure 1. The only difference between the ITO- and CdO-based metasurfaces is that we replaced the ITO layer in Figure 1a with a CdO layer. We plot the phase shift and the reflectance as a function of the carrier density of the active ITO layer for different fixed values of the operating wavelength. Legends indicate the values of the operating wavelengths in each case.</w:t>
      </w:r>
    </w:p>
    <w:p w14:paraId="3EA06FB4" w14:textId="77777777" w:rsidR="005F45B6" w:rsidRPr="00613F8A" w:rsidRDefault="005F45B6" w:rsidP="00896F45">
      <w:pPr>
        <w:rPr>
          <w:rFonts w:ascii="Arial" w:hAnsi="Arial" w:cs="Arial"/>
          <w:b/>
          <w:bCs/>
          <w:sz w:val="19"/>
          <w:szCs w:val="19"/>
          <w:u w:val="single"/>
        </w:rPr>
      </w:pPr>
      <w:r w:rsidRPr="00613F8A">
        <w:rPr>
          <w:rFonts w:ascii="Arial" w:hAnsi="Arial" w:cs="Arial"/>
          <w:b/>
          <w:bCs/>
          <w:sz w:val="19"/>
          <w:szCs w:val="19"/>
          <w:u w:val="single"/>
        </w:rPr>
        <w:lastRenderedPageBreak/>
        <w:t xml:space="preserve">10. </w:t>
      </w:r>
      <w:bookmarkStart w:id="6" w:name="_Hlk88140492"/>
      <w:r w:rsidRPr="00613F8A">
        <w:rPr>
          <w:rFonts w:ascii="Arial" w:hAnsi="Arial" w:cs="Arial"/>
          <w:b/>
          <w:bCs/>
          <w:sz w:val="19"/>
          <w:szCs w:val="19"/>
          <w:u w:val="single"/>
        </w:rPr>
        <w:t>Absorbance in the CdO-based active metasurfaces</w:t>
      </w:r>
      <w:bookmarkEnd w:id="6"/>
    </w:p>
    <w:p w14:paraId="2BEA1ED0" w14:textId="77777777" w:rsidR="005F45B6" w:rsidRPr="00613F8A" w:rsidRDefault="005F45B6" w:rsidP="00896F45">
      <w:pPr>
        <w:jc w:val="center"/>
        <w:rPr>
          <w:rFonts w:ascii="Arial" w:hAnsi="Arial" w:cs="Arial"/>
          <w:sz w:val="19"/>
          <w:szCs w:val="19"/>
        </w:rPr>
      </w:pPr>
      <w:r w:rsidRPr="00613F8A">
        <w:rPr>
          <w:rFonts w:ascii="Arial" w:hAnsi="Arial" w:cs="Arial"/>
          <w:noProof/>
          <w:sz w:val="19"/>
          <w:szCs w:val="19"/>
        </w:rPr>
        <w:drawing>
          <wp:inline distT="0" distB="0" distL="0" distR="0" wp14:anchorId="2E748D05" wp14:editId="4852B4AF">
            <wp:extent cx="5943600" cy="4702810"/>
            <wp:effectExtent l="0" t="0" r="0" b="2540"/>
            <wp:docPr id="22" name="Picture 22"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PowerPoi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02810"/>
                    </a:xfrm>
                    <a:prstGeom prst="rect">
                      <a:avLst/>
                    </a:prstGeom>
                    <a:noFill/>
                    <a:ln>
                      <a:noFill/>
                    </a:ln>
                  </pic:spPr>
                </pic:pic>
              </a:graphicData>
            </a:graphic>
          </wp:inline>
        </w:drawing>
      </w:r>
    </w:p>
    <w:p w14:paraId="4FACE3E8" w14:textId="77777777" w:rsidR="005F45B6" w:rsidRPr="00613F8A" w:rsidRDefault="005F45B6" w:rsidP="00FD55CC">
      <w:pPr>
        <w:jc w:val="both"/>
        <w:rPr>
          <w:rFonts w:ascii="Arial" w:hAnsi="Arial" w:cs="Arial"/>
          <w:sz w:val="19"/>
          <w:szCs w:val="19"/>
        </w:rPr>
      </w:pPr>
      <w:r w:rsidRPr="00613F8A">
        <w:rPr>
          <w:rFonts w:ascii="Arial" w:hAnsi="Arial" w:cs="Arial"/>
          <w:b/>
          <w:bCs/>
          <w:sz w:val="19"/>
          <w:szCs w:val="19"/>
        </w:rPr>
        <w:t xml:space="preserve">Figure S17.  </w:t>
      </w:r>
      <w:r w:rsidRPr="00613F8A">
        <w:rPr>
          <w:rFonts w:ascii="Arial" w:hAnsi="Arial" w:cs="Arial"/>
          <w:sz w:val="19"/>
          <w:szCs w:val="19"/>
        </w:rPr>
        <w:t>Absorbance in different constituent layers of the CdO-based active metasurface as a function of wavelength and carrier density in the active CdO layer. a) Absorbance in the Au wire. b) Absorbance in Au back plane. c) Absorbance in the 4 nm-thick non-modulated CdO layer. d) Absorbance in the 1 nm-thick active CdO layer.</w:t>
      </w:r>
    </w:p>
    <w:p w14:paraId="36B02D06" w14:textId="77777777" w:rsidR="005F45B6" w:rsidRPr="00613F8A" w:rsidRDefault="005F45B6" w:rsidP="00FD55CC">
      <w:pPr>
        <w:jc w:val="both"/>
        <w:rPr>
          <w:rFonts w:ascii="Arial" w:hAnsi="Arial" w:cs="Arial"/>
          <w:sz w:val="19"/>
          <w:szCs w:val="19"/>
        </w:rPr>
      </w:pPr>
    </w:p>
    <w:p w14:paraId="1FBC0EAE" w14:textId="77777777" w:rsidR="005F45B6" w:rsidRPr="00613F8A" w:rsidRDefault="005F45B6" w:rsidP="00FD55CC">
      <w:pPr>
        <w:jc w:val="both"/>
        <w:rPr>
          <w:rFonts w:ascii="Arial" w:hAnsi="Arial" w:cs="Arial"/>
          <w:sz w:val="19"/>
          <w:szCs w:val="19"/>
        </w:rPr>
      </w:pPr>
    </w:p>
    <w:p w14:paraId="0C8BF857" w14:textId="77777777" w:rsidR="005F45B6" w:rsidRPr="00613F8A" w:rsidRDefault="005F45B6" w:rsidP="00FD55CC">
      <w:pPr>
        <w:jc w:val="both"/>
        <w:rPr>
          <w:rFonts w:ascii="Arial" w:hAnsi="Arial" w:cs="Arial"/>
          <w:sz w:val="19"/>
          <w:szCs w:val="19"/>
        </w:rPr>
      </w:pPr>
    </w:p>
    <w:p w14:paraId="70C2CDE3" w14:textId="77777777" w:rsidR="005F45B6" w:rsidRPr="00613F8A" w:rsidRDefault="005F45B6" w:rsidP="00FD55CC">
      <w:pPr>
        <w:jc w:val="both"/>
        <w:rPr>
          <w:rFonts w:ascii="Arial" w:hAnsi="Arial" w:cs="Arial"/>
          <w:sz w:val="19"/>
          <w:szCs w:val="19"/>
        </w:rPr>
      </w:pPr>
    </w:p>
    <w:p w14:paraId="7C6164B6" w14:textId="77777777" w:rsidR="005F45B6" w:rsidRPr="00613F8A" w:rsidRDefault="005F45B6" w:rsidP="00FD55CC">
      <w:pPr>
        <w:jc w:val="both"/>
        <w:rPr>
          <w:rFonts w:ascii="Arial" w:hAnsi="Arial" w:cs="Arial"/>
          <w:sz w:val="19"/>
          <w:szCs w:val="19"/>
        </w:rPr>
      </w:pPr>
    </w:p>
    <w:p w14:paraId="3F61A602" w14:textId="77777777" w:rsidR="005F45B6" w:rsidRPr="00613F8A" w:rsidRDefault="005F45B6" w:rsidP="00FD55CC">
      <w:pPr>
        <w:jc w:val="both"/>
        <w:rPr>
          <w:rFonts w:ascii="Arial" w:hAnsi="Arial" w:cs="Arial"/>
          <w:sz w:val="19"/>
          <w:szCs w:val="19"/>
        </w:rPr>
      </w:pPr>
    </w:p>
    <w:p w14:paraId="202A795D" w14:textId="77777777" w:rsidR="005F45B6" w:rsidRPr="00613F8A" w:rsidRDefault="005F45B6" w:rsidP="00FD55CC">
      <w:pPr>
        <w:jc w:val="both"/>
        <w:rPr>
          <w:rFonts w:ascii="Arial" w:hAnsi="Arial" w:cs="Arial"/>
          <w:sz w:val="19"/>
          <w:szCs w:val="19"/>
        </w:rPr>
      </w:pPr>
    </w:p>
    <w:p w14:paraId="187EA813" w14:textId="7B32B93A" w:rsidR="005F45B6" w:rsidRDefault="005F45B6" w:rsidP="00FD55CC">
      <w:pPr>
        <w:jc w:val="both"/>
        <w:rPr>
          <w:rFonts w:ascii="Arial" w:hAnsi="Arial" w:cs="Arial"/>
          <w:sz w:val="19"/>
          <w:szCs w:val="19"/>
        </w:rPr>
      </w:pPr>
    </w:p>
    <w:p w14:paraId="63F8D93C" w14:textId="5CB2B3AD" w:rsidR="00613F8A" w:rsidRDefault="00613F8A" w:rsidP="00FD55CC">
      <w:pPr>
        <w:jc w:val="both"/>
        <w:rPr>
          <w:rFonts w:ascii="Arial" w:hAnsi="Arial" w:cs="Arial"/>
          <w:sz w:val="19"/>
          <w:szCs w:val="19"/>
        </w:rPr>
      </w:pPr>
    </w:p>
    <w:p w14:paraId="4EA3EEBB" w14:textId="77777777" w:rsidR="00613F8A" w:rsidRPr="00613F8A" w:rsidRDefault="00613F8A" w:rsidP="00FD55CC">
      <w:pPr>
        <w:jc w:val="both"/>
        <w:rPr>
          <w:rFonts w:ascii="Arial" w:hAnsi="Arial" w:cs="Arial"/>
          <w:sz w:val="19"/>
          <w:szCs w:val="19"/>
        </w:rPr>
      </w:pPr>
    </w:p>
    <w:p w14:paraId="4E0298B9" w14:textId="77777777" w:rsidR="005F45B6" w:rsidRPr="00613F8A" w:rsidRDefault="005F45B6" w:rsidP="001B5E03">
      <w:pPr>
        <w:rPr>
          <w:rFonts w:ascii="Arial" w:hAnsi="Arial" w:cs="Arial"/>
          <w:b/>
          <w:bCs/>
          <w:sz w:val="19"/>
          <w:szCs w:val="19"/>
          <w:u w:val="single"/>
        </w:rPr>
      </w:pPr>
      <w:r w:rsidRPr="00613F8A">
        <w:rPr>
          <w:rFonts w:ascii="Arial" w:hAnsi="Arial" w:cs="Arial"/>
          <w:b/>
          <w:bCs/>
          <w:sz w:val="19"/>
          <w:szCs w:val="19"/>
          <w:u w:val="single"/>
        </w:rPr>
        <w:lastRenderedPageBreak/>
        <w:t xml:space="preserve">11. </w:t>
      </w:r>
      <w:bookmarkStart w:id="7" w:name="_Hlk89786377"/>
      <w:r w:rsidRPr="00613F8A">
        <w:rPr>
          <w:rFonts w:ascii="Arial" w:hAnsi="Arial" w:cs="Arial"/>
          <w:b/>
          <w:bCs/>
          <w:sz w:val="19"/>
          <w:szCs w:val="19"/>
          <w:u w:val="single"/>
        </w:rPr>
        <w:t>CdO-based active metasurfaces</w:t>
      </w:r>
      <w:bookmarkEnd w:id="7"/>
      <w:r w:rsidRPr="00613F8A">
        <w:rPr>
          <w:rFonts w:ascii="Arial" w:hAnsi="Arial" w:cs="Arial"/>
          <w:b/>
          <w:bCs/>
          <w:sz w:val="19"/>
          <w:szCs w:val="19"/>
          <w:u w:val="single"/>
        </w:rPr>
        <w:t xml:space="preserve"> upon pulsed illumination and toxicity concerns</w:t>
      </w:r>
    </w:p>
    <w:p w14:paraId="54A9D769" w14:textId="77777777" w:rsidR="005F45B6" w:rsidRPr="00613F8A" w:rsidRDefault="005F45B6" w:rsidP="00FD55CC">
      <w:pPr>
        <w:jc w:val="both"/>
        <w:rPr>
          <w:rFonts w:ascii="Arial" w:hAnsi="Arial" w:cs="Arial"/>
          <w:sz w:val="19"/>
          <w:szCs w:val="19"/>
        </w:rPr>
      </w:pPr>
    </w:p>
    <w:p w14:paraId="12B9A7B2" w14:textId="77777777" w:rsidR="005F45B6" w:rsidRPr="00613F8A" w:rsidRDefault="005F45B6" w:rsidP="00937B37">
      <w:pPr>
        <w:jc w:val="center"/>
        <w:rPr>
          <w:rFonts w:ascii="Arial" w:hAnsi="Arial" w:cs="Arial"/>
          <w:sz w:val="19"/>
          <w:szCs w:val="19"/>
        </w:rPr>
      </w:pPr>
      <w:r w:rsidRPr="00613F8A">
        <w:rPr>
          <w:rFonts w:ascii="Arial" w:hAnsi="Arial" w:cs="Arial"/>
          <w:noProof/>
          <w:sz w:val="19"/>
          <w:szCs w:val="19"/>
        </w:rPr>
        <w:drawing>
          <wp:inline distT="0" distB="0" distL="0" distR="0" wp14:anchorId="27EA7C6F" wp14:editId="69B48683">
            <wp:extent cx="3100605" cy="2545080"/>
            <wp:effectExtent l="0" t="0" r="5080" b="762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2875" cy="2555152"/>
                    </a:xfrm>
                    <a:prstGeom prst="rect">
                      <a:avLst/>
                    </a:prstGeom>
                    <a:noFill/>
                    <a:ln>
                      <a:noFill/>
                    </a:ln>
                  </pic:spPr>
                </pic:pic>
              </a:graphicData>
            </a:graphic>
          </wp:inline>
        </w:drawing>
      </w:r>
    </w:p>
    <w:p w14:paraId="77631541" w14:textId="77777777" w:rsidR="005F45B6" w:rsidRPr="00613F8A" w:rsidRDefault="005F45B6" w:rsidP="001A6BA9">
      <w:pPr>
        <w:jc w:val="both"/>
        <w:rPr>
          <w:rFonts w:ascii="Arial" w:hAnsi="Arial" w:cs="Arial"/>
          <w:b/>
          <w:bCs/>
          <w:sz w:val="19"/>
          <w:szCs w:val="19"/>
        </w:rPr>
      </w:pPr>
      <w:r w:rsidRPr="00613F8A">
        <w:rPr>
          <w:rFonts w:ascii="Arial" w:hAnsi="Arial" w:cs="Arial"/>
          <w:b/>
          <w:bCs/>
          <w:sz w:val="19"/>
          <w:szCs w:val="19"/>
        </w:rPr>
        <w:t xml:space="preserve">Figure S18. </w:t>
      </w:r>
      <w:r w:rsidRPr="00613F8A">
        <w:rPr>
          <w:rFonts w:ascii="Arial" w:hAnsi="Arial" w:cs="Arial"/>
          <w:sz w:val="19"/>
          <w:szCs w:val="19"/>
        </w:rPr>
        <w:t xml:space="preserve">Temperature inside the metasurface element as a function of </w:t>
      </w:r>
      <w:r w:rsidRPr="00613F8A">
        <w:rPr>
          <w:rFonts w:ascii="Arial" w:hAnsi="Arial" w:cs="Arial"/>
          <w:i/>
          <w:sz w:val="19"/>
          <w:szCs w:val="19"/>
        </w:rPr>
        <w:t>z</w:t>
      </w:r>
      <w:r w:rsidRPr="00613F8A">
        <w:rPr>
          <w:rFonts w:ascii="Arial" w:hAnsi="Arial" w:cs="Arial"/>
          <w:sz w:val="19"/>
          <w:szCs w:val="19"/>
        </w:rPr>
        <w:t xml:space="preserve"> coordinate at </w:t>
      </w:r>
      <w:r w:rsidRPr="00613F8A">
        <w:rPr>
          <w:rFonts w:ascii="Arial" w:hAnsi="Arial" w:cs="Arial"/>
          <w:i/>
          <w:sz w:val="19"/>
          <w:szCs w:val="19"/>
        </w:rPr>
        <w:t>x</w:t>
      </w:r>
      <w:r w:rsidRPr="00613F8A">
        <w:rPr>
          <w:rFonts w:ascii="Arial" w:hAnsi="Arial" w:cs="Arial"/>
          <w:sz w:val="19"/>
          <w:szCs w:val="19"/>
        </w:rPr>
        <w:t xml:space="preserve"> =100 nm. Red and black curves correspond to the temperature distributions 3.3 ns and 6.6 ns after turning on the laser pulse, respectively. Dashed lines correspond to the case of no applied bias while solid lines correspond to the case when the CdO accumulation layer is in the ENZ regime (</w:t>
      </w:r>
      <w:r w:rsidRPr="00613F8A">
        <w:rPr>
          <w:rFonts w:ascii="Arial" w:eastAsiaTheme="minorEastAsia" w:hAnsi="Arial" w:cs="Arial"/>
          <w:i/>
          <w:sz w:val="19"/>
          <w:szCs w:val="19"/>
        </w:rPr>
        <w:t>N</w:t>
      </w:r>
      <w:r w:rsidRPr="00613F8A">
        <w:rPr>
          <w:rFonts w:ascii="Arial" w:eastAsiaTheme="minorEastAsia" w:hAnsi="Arial" w:cs="Arial"/>
          <w:i/>
          <w:sz w:val="19"/>
          <w:szCs w:val="19"/>
          <w:vertAlign w:val="subscript"/>
        </w:rPr>
        <w:t>acc</w:t>
      </w:r>
      <w:r w:rsidRPr="00613F8A">
        <w:rPr>
          <w:rFonts w:ascii="Arial" w:eastAsiaTheme="minorEastAsia" w:hAnsi="Arial" w:cs="Arial"/>
          <w:sz w:val="19"/>
          <w:szCs w:val="19"/>
        </w:rPr>
        <w:t>=5.4×10</w:t>
      </w:r>
      <w:r w:rsidRPr="00613F8A">
        <w:rPr>
          <w:rFonts w:ascii="Arial" w:eastAsiaTheme="minorEastAsia" w:hAnsi="Arial" w:cs="Arial"/>
          <w:sz w:val="19"/>
          <w:szCs w:val="19"/>
          <w:vertAlign w:val="superscript"/>
        </w:rPr>
        <w:t xml:space="preserve">20 </w:t>
      </w:r>
      <w:r w:rsidRPr="00613F8A">
        <w:rPr>
          <w:rFonts w:ascii="Arial" w:eastAsiaTheme="minorEastAsia" w:hAnsi="Arial" w:cs="Arial"/>
          <w:sz w:val="19"/>
          <w:szCs w:val="19"/>
        </w:rPr>
        <w:t>cm</w:t>
      </w:r>
      <w:r w:rsidRPr="00613F8A">
        <w:rPr>
          <w:rFonts w:ascii="Arial" w:eastAsiaTheme="minorEastAsia" w:hAnsi="Arial" w:cs="Arial"/>
          <w:sz w:val="19"/>
          <w:szCs w:val="19"/>
          <w:vertAlign w:val="superscript"/>
        </w:rPr>
        <w:t>-3</w:t>
      </w:r>
      <w:r w:rsidRPr="00613F8A">
        <w:rPr>
          <w:rFonts w:ascii="Arial" w:eastAsiaTheme="minorEastAsia" w:hAnsi="Arial" w:cs="Arial"/>
          <w:sz w:val="19"/>
          <w:szCs w:val="19"/>
        </w:rPr>
        <w:t>). In case of the CdO- and ITO-based active metasurfaces, the illumination wavelengths are taken to be 1559 nm and 1550 nm, respectively.</w:t>
      </w:r>
    </w:p>
    <w:p w14:paraId="2F33444B" w14:textId="77777777" w:rsidR="005F45B6" w:rsidRPr="00613F8A" w:rsidRDefault="005F45B6" w:rsidP="00FD55CC">
      <w:pPr>
        <w:jc w:val="both"/>
        <w:rPr>
          <w:rFonts w:ascii="Arial" w:hAnsi="Arial" w:cs="Arial"/>
          <w:sz w:val="19"/>
          <w:szCs w:val="19"/>
        </w:rPr>
      </w:pPr>
    </w:p>
    <w:p w14:paraId="5CCFB774" w14:textId="77777777" w:rsidR="005F45B6" w:rsidRPr="00613F8A" w:rsidRDefault="005F45B6" w:rsidP="007C3CFD">
      <w:pPr>
        <w:spacing w:after="0"/>
        <w:ind w:firstLine="432"/>
        <w:jc w:val="both"/>
        <w:rPr>
          <w:rFonts w:ascii="Arial" w:hAnsi="Arial" w:cs="Arial"/>
          <w:sz w:val="19"/>
          <w:szCs w:val="19"/>
        </w:rPr>
      </w:pPr>
      <w:r w:rsidRPr="00613F8A">
        <w:rPr>
          <w:rFonts w:ascii="Arial" w:hAnsi="Arial" w:cs="Arial"/>
          <w:sz w:val="19"/>
          <w:szCs w:val="19"/>
        </w:rPr>
        <w:t>We investigate the thermal performance of CdO-based gate-tunable metasurfaces in the case of pulsed laser illumination. The laser pulse shape and peak laser irradiance values are defined in Figure 5a and are the same as in the case of ITO-based metasurfaces. In the case of pulsed laser illumination, thermal performance of CdO-based metasurfaces exhibits multiple distinct features. When there is zero applied bias, compared with the Au wire temperature, we observe a visible temperature drop across both SiO</w:t>
      </w:r>
      <w:r w:rsidRPr="00613F8A">
        <w:rPr>
          <w:rFonts w:ascii="Arial" w:hAnsi="Arial" w:cs="Arial"/>
          <w:sz w:val="19"/>
          <w:szCs w:val="19"/>
          <w:vertAlign w:val="subscript"/>
        </w:rPr>
        <w:t>2</w:t>
      </w:r>
      <w:r w:rsidRPr="00613F8A">
        <w:rPr>
          <w:rFonts w:ascii="Arial" w:hAnsi="Arial" w:cs="Arial"/>
          <w:sz w:val="19"/>
          <w:szCs w:val="19"/>
        </w:rPr>
        <w:t xml:space="preserve"> and HAOL layers (Figure S18). When the CdO accumulation layer is in the ENZ regime, the temperature of the HAOL layer is equal or is slightly higher than the temperature of the Au wire. On the other hand, for ITO-based gate-tunable metasurfaces, we observed no temperature drop across the HAOL layer (Figure 4b). To understand why this temperature variation is observed, we re-examine resonant absorption in different layers of the CdO-based metasurface (Supporting Information, Part 10). Our calculations show that, with no applied bias, 38% of the incoming light is absorbed in the wire, 30% of the incoming light is absorbed in the back reflector, and only 9% of the incoming light is absorbed in the CdO. This contrasts significantly with the ITO-based gate-tunable metasurfaces for which the absorbance at resonant wavelengths is almost equally split between the back reflector, the ITO layer, and the Au wire </w:t>
      </w:r>
      <w:r w:rsidRPr="00613F8A">
        <w:rPr>
          <w:rFonts w:ascii="Arial" w:hAnsi="Arial" w:cs="Arial"/>
          <w:sz w:val="19"/>
          <w:szCs w:val="19"/>
        </w:rPr>
        <w:br/>
        <w:t>(Figure 1c). The high absorbance observed in the Au wire of the CdO-based metasurface results in a significantly elevated temperature of the Au wire when there is zero applied bias. In the ENZ regime, however, the CdO layer absorbs over 60% of the light, and the Au wire absorbs less than 10% of the light. Consequently, in the ENZ regime, CdO becomes the hottest layer of the metasurface at the beginning of the pulsed illumination (see Figure 5d, the plot corresponding to 3.3 ns). However, at later times (see Figure 5d, the plot corresponding to 6.6 ns), the ITO layer is almost at the same temperature as the Au wire. When comparing the overall thermal response of the ITO-based with the CdO-based metasurfaces in the transient illumination regime, we observe that the peak temperature attained in the ITO-based metasurfaces is higher (T</w:t>
      </w:r>
      <w:r w:rsidRPr="00613F8A">
        <w:rPr>
          <w:rFonts w:ascii="Arial" w:hAnsi="Arial" w:cs="Arial"/>
          <w:sz w:val="19"/>
          <w:szCs w:val="19"/>
          <w:vertAlign w:val="subscript"/>
        </w:rPr>
        <w:t>max</w:t>
      </w:r>
      <w:r w:rsidRPr="00613F8A">
        <w:rPr>
          <w:rFonts w:ascii="Arial" w:hAnsi="Arial" w:cs="Arial"/>
          <w:sz w:val="19"/>
          <w:szCs w:val="19"/>
        </w:rPr>
        <w:t>=400 K) than the peak temperature attained in the CdO-based metasurfaces (T</w:t>
      </w:r>
      <w:r w:rsidRPr="00613F8A">
        <w:rPr>
          <w:rFonts w:ascii="Arial" w:hAnsi="Arial" w:cs="Arial"/>
          <w:sz w:val="19"/>
          <w:szCs w:val="19"/>
          <w:vertAlign w:val="subscript"/>
        </w:rPr>
        <w:t>max</w:t>
      </w:r>
      <w:r w:rsidRPr="00613F8A">
        <w:rPr>
          <w:rFonts w:ascii="Arial" w:hAnsi="Arial" w:cs="Arial"/>
          <w:sz w:val="19"/>
          <w:szCs w:val="19"/>
        </w:rPr>
        <w:t>=380 K). Thus, as in the case of CW illumination, for a given illumination level, the CdO-based gate-tunable metasurface attains lower peak temperature than our ITO-based gate-tunable metasurface. The observed trends also indicate that unlike the case of steady-state illumination, in the pulsed illumination regime, the observed spatial temperature profile may significantly vary depending on the spatial distribution of absorption.</w:t>
      </w:r>
    </w:p>
    <w:p w14:paraId="27BDBE8D" w14:textId="77777777" w:rsidR="005F45B6" w:rsidRPr="00613F8A" w:rsidRDefault="005F45B6" w:rsidP="00D732B2">
      <w:pPr>
        <w:spacing w:after="0"/>
        <w:ind w:firstLine="720"/>
        <w:jc w:val="both"/>
        <w:rPr>
          <w:rFonts w:ascii="Arial" w:eastAsiaTheme="minorEastAsia" w:hAnsi="Arial" w:cs="Arial"/>
          <w:sz w:val="19"/>
          <w:szCs w:val="19"/>
        </w:rPr>
      </w:pPr>
      <w:r w:rsidRPr="00613F8A">
        <w:rPr>
          <w:rFonts w:ascii="Arial" w:hAnsi="Arial" w:cs="Arial"/>
          <w:sz w:val="19"/>
          <w:szCs w:val="19"/>
        </w:rPr>
        <w:lastRenderedPageBreak/>
        <w:t xml:space="preserve">We use the described thermal analysis to estimate the performance of the CdO metasurface-based LiDAR and free space optical communications systems. </w:t>
      </w:r>
      <w:bookmarkStart w:id="8" w:name="_Hlk65747768"/>
      <w:r w:rsidRPr="00613F8A">
        <w:rPr>
          <w:rFonts w:ascii="Arial" w:hAnsi="Arial" w:cs="Arial"/>
          <w:sz w:val="19"/>
          <w:szCs w:val="19"/>
        </w:rPr>
        <w:t xml:space="preserve">The beam steering efficiency of the CdO-based active metasurface is ~22% because at a considered wavelength of 1559 nm the minimal reflectance of the metasurface is 22% (Figure 5b). </w:t>
      </w:r>
      <w:bookmarkEnd w:id="8"/>
      <w:r w:rsidRPr="00613F8A">
        <w:rPr>
          <w:rFonts w:ascii="Arial" w:hAnsi="Arial" w:cs="Arial"/>
          <w:sz w:val="19"/>
          <w:szCs w:val="19"/>
        </w:rPr>
        <w:t xml:space="preserve">Since Figure S1 assumes a beam steering efficiency of 22%, it can be used to evaluate the performance of the CdO metasurface-based LiDAR and free space optical communication systems. Note that for </w:t>
      </w:r>
      <w:r w:rsidRPr="00613F8A">
        <w:rPr>
          <w:rFonts w:ascii="Arial" w:eastAsiaTheme="minorEastAsia" w:hAnsi="Arial" w:cs="Arial"/>
          <w:sz w:val="19"/>
          <w:szCs w:val="19"/>
        </w:rPr>
        <w:t xml:space="preserve">the assumed beam diameter of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D</m:t>
            </m:r>
          </m:e>
          <m:sub>
            <m:r>
              <w:rPr>
                <w:rFonts w:ascii="Cambria Math" w:eastAsiaTheme="minorEastAsia" w:hAnsi="Cambria Math" w:cs="Arial"/>
                <w:sz w:val="19"/>
                <w:szCs w:val="19"/>
              </w:rPr>
              <m:t>beam</m:t>
            </m:r>
          </m:sub>
        </m:sSub>
        <m:r>
          <w:rPr>
            <w:rFonts w:ascii="Cambria Math" w:eastAsiaTheme="minorEastAsia" w:hAnsi="Cambria Math" w:cs="Arial"/>
            <w:sz w:val="19"/>
            <w:szCs w:val="19"/>
          </w:rPr>
          <m:t xml:space="preserve">=0.2 </m:t>
        </m:r>
      </m:oMath>
      <w:r w:rsidRPr="00613F8A">
        <w:rPr>
          <w:rFonts w:ascii="Arial" w:eastAsiaTheme="minorEastAsia" w:hAnsi="Arial" w:cs="Arial"/>
          <w:sz w:val="19"/>
          <w:szCs w:val="19"/>
        </w:rPr>
        <w:t xml:space="preserve"> cm, the incoming power of 0.1 kW corresponds to an irradiance of 3.2 kW/cm</w:t>
      </w:r>
      <w:r w:rsidRPr="00613F8A">
        <w:rPr>
          <w:rFonts w:ascii="Arial" w:eastAsiaTheme="minorEastAsia" w:hAnsi="Arial" w:cs="Arial"/>
          <w:sz w:val="19"/>
          <w:szCs w:val="19"/>
          <w:vertAlign w:val="superscript"/>
        </w:rPr>
        <w:t>2</w:t>
      </w:r>
      <w:r w:rsidRPr="00613F8A">
        <w:rPr>
          <w:rFonts w:ascii="Arial" w:eastAsiaTheme="minorEastAsia" w:hAnsi="Arial" w:cs="Arial"/>
          <w:sz w:val="19"/>
          <w:szCs w:val="19"/>
        </w:rPr>
        <w:t>. Our analysis shows that the irradiance of 3.2 kW/cm</w:t>
      </w:r>
      <w:r w:rsidRPr="00613F8A">
        <w:rPr>
          <w:rFonts w:ascii="Arial" w:eastAsiaTheme="minorEastAsia" w:hAnsi="Arial" w:cs="Arial"/>
          <w:sz w:val="19"/>
          <w:szCs w:val="19"/>
          <w:vertAlign w:val="superscript"/>
        </w:rPr>
        <w:t>2</w:t>
      </w:r>
      <w:r w:rsidRPr="00613F8A">
        <w:rPr>
          <w:rFonts w:ascii="Arial" w:eastAsiaTheme="minorEastAsia" w:hAnsi="Arial" w:cs="Arial"/>
          <w:sz w:val="19"/>
          <w:szCs w:val="19"/>
        </w:rPr>
        <w:t xml:space="preserve"> yields a temperature increase of 16 K when a 100 µm-thick Si substrate is assumed (Figure 5c). As seen in Figures S1c and S1e, in the case of incoming power of 0.1 kW, the LiDAR range of 220 m and optical communication distance of 100 km is attained. If the incoming CW power is 1 kW, the LiDAR range of 360 m and optical communication distance of 460 km can be attained but the temperature increase in the metasurface will be around 160 K. In case of the pulsed laser illumination, f</w:t>
      </w:r>
      <w:r w:rsidRPr="00613F8A">
        <w:rPr>
          <w:rFonts w:ascii="Arial" w:hAnsi="Arial" w:cs="Arial"/>
          <w:sz w:val="19"/>
          <w:szCs w:val="19"/>
        </w:rPr>
        <w:t xml:space="preserve">or </w:t>
      </w:r>
      <w:r w:rsidRPr="00613F8A">
        <w:rPr>
          <w:rFonts w:ascii="Arial" w:eastAsiaTheme="minorEastAsia" w:hAnsi="Arial" w:cs="Arial"/>
          <w:sz w:val="19"/>
          <w:szCs w:val="19"/>
        </w:rPr>
        <w:t xml:space="preserve">the assumed beam diameter of </w:t>
      </w:r>
      <m:oMath>
        <m:sSub>
          <m:sSubPr>
            <m:ctrlPr>
              <w:rPr>
                <w:rFonts w:ascii="Cambria Math" w:eastAsiaTheme="minorEastAsia" w:hAnsi="Cambria Math" w:cs="Arial"/>
                <w:i/>
                <w:sz w:val="19"/>
                <w:szCs w:val="19"/>
              </w:rPr>
            </m:ctrlPr>
          </m:sSubPr>
          <m:e>
            <m:r>
              <w:rPr>
                <w:rFonts w:ascii="Cambria Math" w:eastAsiaTheme="minorEastAsia" w:hAnsi="Cambria Math" w:cs="Arial"/>
                <w:sz w:val="19"/>
                <w:szCs w:val="19"/>
              </w:rPr>
              <m:t>D</m:t>
            </m:r>
          </m:e>
          <m:sub>
            <m:r>
              <w:rPr>
                <w:rFonts w:ascii="Cambria Math" w:eastAsiaTheme="minorEastAsia" w:hAnsi="Cambria Math" w:cs="Arial"/>
                <w:sz w:val="19"/>
                <w:szCs w:val="19"/>
              </w:rPr>
              <m:t>beam</m:t>
            </m:r>
          </m:sub>
        </m:sSub>
        <m:r>
          <w:rPr>
            <w:rFonts w:ascii="Cambria Math" w:eastAsiaTheme="minorEastAsia" w:hAnsi="Cambria Math" w:cs="Arial"/>
            <w:sz w:val="19"/>
            <w:szCs w:val="19"/>
          </w:rPr>
          <m:t>=0.2</m:t>
        </m:r>
      </m:oMath>
      <w:r w:rsidRPr="00613F8A">
        <w:rPr>
          <w:rFonts w:ascii="Arial" w:eastAsiaTheme="minorEastAsia" w:hAnsi="Arial" w:cs="Arial"/>
          <w:sz w:val="19"/>
          <w:szCs w:val="19"/>
        </w:rPr>
        <w:t xml:space="preserve"> cm, the pulse energy of 0.1 mJ corresponds to the laser fluence of 3.2 mJ/cm</w:t>
      </w:r>
      <w:r w:rsidRPr="00613F8A">
        <w:rPr>
          <w:rFonts w:ascii="Arial" w:eastAsiaTheme="minorEastAsia" w:hAnsi="Arial" w:cs="Arial"/>
          <w:sz w:val="19"/>
          <w:szCs w:val="19"/>
          <w:vertAlign w:val="superscript"/>
        </w:rPr>
        <w:t>2</w:t>
      </w:r>
      <w:r w:rsidRPr="00613F8A">
        <w:rPr>
          <w:rFonts w:ascii="Arial" w:eastAsiaTheme="minorEastAsia" w:hAnsi="Arial" w:cs="Arial"/>
          <w:sz w:val="19"/>
          <w:szCs w:val="19"/>
        </w:rPr>
        <w:t>, which yields a maximal temperature increase slightly below 80 K. For the laser pulse energy of 0.1 mJ, the LiDAR range of 1 km and the optical communication distance of 8900 km is attained. These large communication distances and LiDAR ranges indicate that our CdO-based active metasurface is suitable for practical applications.</w:t>
      </w:r>
    </w:p>
    <w:p w14:paraId="3543DFCB" w14:textId="77777777" w:rsidR="005F45B6" w:rsidRPr="00613F8A" w:rsidRDefault="005F45B6" w:rsidP="009F64E5">
      <w:pPr>
        <w:spacing w:after="0"/>
        <w:ind w:firstLine="432"/>
        <w:jc w:val="both"/>
        <w:rPr>
          <w:rFonts w:ascii="Arial" w:hAnsi="Arial" w:cs="Arial"/>
          <w:sz w:val="19"/>
          <w:szCs w:val="19"/>
        </w:rPr>
      </w:pPr>
      <w:r w:rsidRPr="00613F8A">
        <w:rPr>
          <w:rFonts w:ascii="Arial" w:hAnsi="Arial" w:cs="Arial"/>
          <w:sz w:val="19"/>
          <w:szCs w:val="19"/>
          <w:shd w:val="clear" w:color="auto" w:fill="FFFFFF"/>
        </w:rPr>
        <w:t>Finally, we would like to address a common concern regarding the toxicity of cadmium.</w:t>
      </w:r>
      <w:r w:rsidRPr="00613F8A">
        <w:rPr>
          <w:rFonts w:ascii="Arial" w:hAnsi="Arial" w:cs="Arial"/>
          <w:sz w:val="19"/>
          <w:szCs w:val="19"/>
        </w:rPr>
        <w:t xml:space="preserve"> Indeed, cadmium is a toxic heavy metal, and its usage is increasingly regulated. However, the use of cadmium is still permissible and manageable with proper controls, especially if it may offer a distinct advantage over alternatives. For example, HgCdTe amplified photodetectors can be purchased from Thorlabs since they are sensitive to light in the mid-infrared wavelength range. Analogously, even though arsenic is toxic, it is still used in photodetectors or solar cells powering aircrafts or spacecrafts. Thus, we conclude that even though cadmium is toxic, it can still be used in applications such as beam steering units for free space optical communications, for example.</w:t>
      </w:r>
    </w:p>
    <w:p w14:paraId="07ED4DE9" w14:textId="77777777" w:rsidR="005F45B6" w:rsidRPr="00613F8A" w:rsidRDefault="005F45B6" w:rsidP="009F64E5">
      <w:pPr>
        <w:spacing w:after="0"/>
        <w:ind w:firstLine="432"/>
        <w:jc w:val="both"/>
        <w:rPr>
          <w:rFonts w:ascii="Arial" w:hAnsi="Arial" w:cs="Arial"/>
          <w:sz w:val="19"/>
          <w:szCs w:val="19"/>
        </w:rPr>
      </w:pPr>
      <w:r w:rsidRPr="00613F8A">
        <w:rPr>
          <w:rFonts w:ascii="Arial" w:hAnsi="Arial" w:cs="Arial"/>
          <w:sz w:val="19"/>
          <w:szCs w:val="19"/>
        </w:rPr>
        <w:t>Interestingly, cadmium is still widely used in the consumer products. European commission has practically banned the usage of cadmium in electrical and electronic products since it poses health and environmental risks when these electronic products are recycled.</w:t>
      </w:r>
      <w:r w:rsidRPr="00613F8A">
        <w:rPr>
          <w:rFonts w:ascii="Arial" w:hAnsi="Arial" w:cs="Arial"/>
          <w:noProof/>
          <w:sz w:val="19"/>
          <w:szCs w:val="19"/>
          <w:vertAlign w:val="superscript"/>
        </w:rPr>
        <w:t>23</w:t>
      </w:r>
      <w:r w:rsidRPr="00613F8A">
        <w:rPr>
          <w:rFonts w:ascii="Arial" w:hAnsi="Arial" w:cs="Arial"/>
          <w:sz w:val="19"/>
          <w:szCs w:val="19"/>
        </w:rPr>
        <w:t xml:space="preserve"> The corresponding directive of the European Union still provides a list of exceptions.</w:t>
      </w:r>
      <w:r w:rsidRPr="00613F8A">
        <w:rPr>
          <w:rFonts w:ascii="Arial" w:hAnsi="Arial" w:cs="Arial"/>
          <w:noProof/>
          <w:sz w:val="19"/>
          <w:szCs w:val="19"/>
          <w:vertAlign w:val="superscript"/>
        </w:rPr>
        <w:t>23</w:t>
      </w:r>
      <w:r w:rsidRPr="00613F8A">
        <w:rPr>
          <w:rFonts w:ascii="Arial" w:hAnsi="Arial" w:cs="Arial"/>
          <w:sz w:val="19"/>
          <w:szCs w:val="19"/>
        </w:rPr>
        <w:t xml:space="preserve"> Despite this, in the European union, new Ni-Cd batteries are still permitted but only in certain applications</w:t>
      </w:r>
      <w:r w:rsidRPr="00613F8A">
        <w:rPr>
          <w:rFonts w:ascii="Arial" w:hAnsi="Arial" w:cs="Arial"/>
          <w:noProof/>
          <w:sz w:val="19"/>
          <w:szCs w:val="19"/>
          <w:vertAlign w:val="superscript"/>
        </w:rPr>
        <w:t>24</w:t>
      </w:r>
      <w:r w:rsidRPr="00613F8A">
        <w:rPr>
          <w:rFonts w:ascii="Arial" w:hAnsi="Arial" w:cs="Arial"/>
          <w:sz w:val="19"/>
          <w:szCs w:val="19"/>
        </w:rPr>
        <w:t>. On the other hand, both in Europe and the United States, Ni-Cd batteries can readily be purchased in Amazon. Moreover, quite surprisingly, cadmium is widely used in brightly colored enameled drinking glasses as well as in decorated ceramic objects.</w:t>
      </w:r>
      <w:r w:rsidRPr="00613F8A">
        <w:rPr>
          <w:rFonts w:ascii="Arial" w:hAnsi="Arial" w:cs="Arial"/>
          <w:noProof/>
          <w:sz w:val="19"/>
          <w:szCs w:val="19"/>
          <w:vertAlign w:val="superscript"/>
        </w:rPr>
        <w:t>24</w:t>
      </w:r>
      <w:r w:rsidRPr="00613F8A">
        <w:rPr>
          <w:rFonts w:ascii="Arial" w:hAnsi="Arial" w:cs="Arial"/>
          <w:sz w:val="19"/>
          <w:szCs w:val="19"/>
        </w:rPr>
        <w:t xml:space="preserve"> Moreover, the thickness of cadmium layer in the proposed metasurface is only 5 nm, and it is covered by an additional HAOL layer. The final device will be coated by an additional protective layer further limiting the probability of cadmium exposure while handling the final device. </w:t>
      </w:r>
    </w:p>
    <w:p w14:paraId="35D28AFC" w14:textId="77777777" w:rsidR="005F45B6" w:rsidRPr="00613F8A" w:rsidRDefault="005F45B6" w:rsidP="00D732B2">
      <w:pPr>
        <w:spacing w:after="0"/>
        <w:ind w:firstLine="720"/>
        <w:jc w:val="both"/>
        <w:rPr>
          <w:rFonts w:ascii="Arial" w:eastAsiaTheme="minorEastAsia" w:hAnsi="Arial" w:cs="Arial"/>
          <w:sz w:val="19"/>
          <w:szCs w:val="19"/>
        </w:rPr>
      </w:pPr>
    </w:p>
    <w:p w14:paraId="692AA6E2" w14:textId="77777777" w:rsidR="005F45B6" w:rsidRPr="00613F8A" w:rsidRDefault="005F45B6">
      <w:pPr>
        <w:jc w:val="both"/>
        <w:rPr>
          <w:rFonts w:ascii="Arial" w:hAnsi="Arial" w:cs="Arial"/>
          <w:sz w:val="19"/>
          <w:szCs w:val="19"/>
        </w:rPr>
      </w:pPr>
    </w:p>
    <w:p w14:paraId="245114EE" w14:textId="77777777" w:rsidR="005F45B6" w:rsidRPr="00613F8A" w:rsidRDefault="005F45B6">
      <w:pPr>
        <w:jc w:val="both"/>
        <w:rPr>
          <w:rFonts w:ascii="Arial" w:hAnsi="Arial" w:cs="Arial"/>
          <w:sz w:val="19"/>
          <w:szCs w:val="19"/>
        </w:rPr>
      </w:pPr>
    </w:p>
    <w:p w14:paraId="559CA65B" w14:textId="77777777" w:rsidR="005F45B6" w:rsidRPr="00613F8A" w:rsidRDefault="005F45B6">
      <w:pPr>
        <w:jc w:val="both"/>
        <w:rPr>
          <w:rFonts w:ascii="Arial" w:hAnsi="Arial" w:cs="Arial"/>
          <w:sz w:val="19"/>
          <w:szCs w:val="19"/>
        </w:rPr>
      </w:pPr>
    </w:p>
    <w:p w14:paraId="75A6DE3A" w14:textId="77777777" w:rsidR="005F45B6" w:rsidRPr="00613F8A" w:rsidRDefault="005F45B6" w:rsidP="00D03467">
      <w:pPr>
        <w:jc w:val="both"/>
        <w:rPr>
          <w:rFonts w:ascii="Arial" w:hAnsi="Arial" w:cs="Arial"/>
          <w:b/>
          <w:bCs/>
          <w:sz w:val="19"/>
          <w:szCs w:val="19"/>
          <w:u w:val="single"/>
        </w:rPr>
      </w:pPr>
      <w:r w:rsidRPr="00613F8A">
        <w:rPr>
          <w:rFonts w:ascii="Arial" w:hAnsi="Arial" w:cs="Arial"/>
          <w:b/>
          <w:bCs/>
          <w:sz w:val="19"/>
          <w:szCs w:val="19"/>
          <w:u w:val="single"/>
        </w:rPr>
        <w:t xml:space="preserve">12. </w:t>
      </w:r>
      <w:bookmarkStart w:id="9" w:name="_Hlk88140507"/>
      <w:r w:rsidRPr="00613F8A">
        <w:rPr>
          <w:rFonts w:ascii="Arial" w:hAnsi="Arial" w:cs="Arial"/>
          <w:b/>
          <w:bCs/>
          <w:sz w:val="19"/>
          <w:szCs w:val="19"/>
          <w:u w:val="single"/>
        </w:rPr>
        <w:t>Properties of the constituent materials</w:t>
      </w:r>
      <w:bookmarkEnd w:id="9"/>
    </w:p>
    <w:tbl>
      <w:tblPr>
        <w:tblStyle w:val="TableGrid"/>
        <w:tblW w:w="9925" w:type="dxa"/>
        <w:tblLook w:val="04A0" w:firstRow="1" w:lastRow="0" w:firstColumn="1" w:lastColumn="0" w:noHBand="0" w:noVBand="1"/>
      </w:tblPr>
      <w:tblGrid>
        <w:gridCol w:w="1165"/>
        <w:gridCol w:w="1685"/>
        <w:gridCol w:w="2450"/>
        <w:gridCol w:w="2282"/>
        <w:gridCol w:w="2343"/>
      </w:tblGrid>
      <w:tr w:rsidR="00982B9D" w:rsidRPr="00613F8A" w14:paraId="6808126E" w14:textId="77777777" w:rsidTr="00D811F9">
        <w:trPr>
          <w:trHeight w:val="277"/>
        </w:trPr>
        <w:tc>
          <w:tcPr>
            <w:tcW w:w="1165" w:type="dxa"/>
          </w:tcPr>
          <w:p w14:paraId="1DA849DD" w14:textId="77777777" w:rsidR="005F45B6" w:rsidRPr="00613F8A" w:rsidRDefault="005F45B6" w:rsidP="00D811F9">
            <w:pPr>
              <w:jc w:val="both"/>
              <w:rPr>
                <w:rFonts w:ascii="Arial" w:hAnsi="Arial" w:cs="Arial"/>
                <w:sz w:val="19"/>
                <w:szCs w:val="19"/>
                <w:shd w:val="clear" w:color="auto" w:fill="FFFFFF"/>
              </w:rPr>
            </w:pPr>
          </w:p>
        </w:tc>
        <w:tc>
          <w:tcPr>
            <w:tcW w:w="1685" w:type="dxa"/>
          </w:tcPr>
          <w:p w14:paraId="5C266140"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Density (kg/m</w:t>
            </w:r>
            <w:r w:rsidRPr="00613F8A">
              <w:rPr>
                <w:rFonts w:ascii="Arial" w:hAnsi="Arial" w:cs="Arial"/>
                <w:sz w:val="19"/>
                <w:szCs w:val="19"/>
                <w:shd w:val="clear" w:color="auto" w:fill="FFFFFF"/>
                <w:vertAlign w:val="superscript"/>
              </w:rPr>
              <w:t>3</w:t>
            </w:r>
            <w:r w:rsidRPr="00613F8A">
              <w:rPr>
                <w:rFonts w:ascii="Arial" w:hAnsi="Arial" w:cs="Arial"/>
                <w:sz w:val="19"/>
                <w:szCs w:val="19"/>
                <w:shd w:val="clear" w:color="auto" w:fill="FFFFFF"/>
              </w:rPr>
              <w:t>)</w:t>
            </w:r>
          </w:p>
        </w:tc>
        <w:tc>
          <w:tcPr>
            <w:tcW w:w="2450" w:type="dxa"/>
          </w:tcPr>
          <w:p w14:paraId="476DB668"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Specific heat (J/(kg×K))</w:t>
            </w:r>
          </w:p>
        </w:tc>
        <w:tc>
          <w:tcPr>
            <w:tcW w:w="2282" w:type="dxa"/>
          </w:tcPr>
          <w:p w14:paraId="56FB8BAC"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Thermal conductivity (W/(m×K))</w:t>
            </w:r>
          </w:p>
        </w:tc>
        <w:tc>
          <w:tcPr>
            <w:tcW w:w="2343" w:type="dxa"/>
          </w:tcPr>
          <w:p w14:paraId="0B2A21CD"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Electrical conductivity</w:t>
            </w:r>
          </w:p>
          <w:p w14:paraId="6A5F608E"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 xml:space="preserve"> (S/m)</w:t>
            </w:r>
          </w:p>
        </w:tc>
      </w:tr>
      <w:tr w:rsidR="00982B9D" w:rsidRPr="00613F8A" w14:paraId="12CB1EF4" w14:textId="77777777" w:rsidTr="00D811F9">
        <w:trPr>
          <w:trHeight w:val="289"/>
        </w:trPr>
        <w:tc>
          <w:tcPr>
            <w:tcW w:w="1165" w:type="dxa"/>
          </w:tcPr>
          <w:p w14:paraId="18B806EA"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Au</w:t>
            </w:r>
            <w:r w:rsidRPr="00613F8A">
              <w:rPr>
                <w:rFonts w:ascii="Arial" w:hAnsi="Arial" w:cs="Arial"/>
                <w:noProof/>
                <w:sz w:val="19"/>
                <w:szCs w:val="19"/>
                <w:vertAlign w:val="superscript"/>
              </w:rPr>
              <w:t>25</w:t>
            </w:r>
          </w:p>
        </w:tc>
        <w:tc>
          <w:tcPr>
            <w:tcW w:w="1685" w:type="dxa"/>
          </w:tcPr>
          <w:p w14:paraId="66EE09A2"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8933</w:t>
            </w:r>
          </w:p>
        </w:tc>
        <w:tc>
          <w:tcPr>
            <w:tcW w:w="2450" w:type="dxa"/>
          </w:tcPr>
          <w:p w14:paraId="54F488C2"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385</w:t>
            </w:r>
          </w:p>
        </w:tc>
        <w:tc>
          <w:tcPr>
            <w:tcW w:w="2282" w:type="dxa"/>
          </w:tcPr>
          <w:p w14:paraId="442F4C73"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100</w:t>
            </w:r>
          </w:p>
        </w:tc>
        <w:tc>
          <w:tcPr>
            <w:tcW w:w="2343" w:type="dxa"/>
          </w:tcPr>
          <w:p w14:paraId="6594A6AD"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4.005 ×10</w:t>
            </w:r>
            <w:r w:rsidRPr="00613F8A">
              <w:rPr>
                <w:rFonts w:ascii="Arial" w:hAnsi="Arial" w:cs="Arial"/>
                <w:sz w:val="19"/>
                <w:szCs w:val="19"/>
                <w:shd w:val="clear" w:color="auto" w:fill="FFFFFF"/>
                <w:vertAlign w:val="superscript"/>
              </w:rPr>
              <w:t>7</w:t>
            </w:r>
          </w:p>
        </w:tc>
      </w:tr>
      <w:tr w:rsidR="00982B9D" w:rsidRPr="00613F8A" w14:paraId="6001E298" w14:textId="77777777" w:rsidTr="00D811F9">
        <w:trPr>
          <w:trHeight w:val="277"/>
        </w:trPr>
        <w:tc>
          <w:tcPr>
            <w:tcW w:w="1165" w:type="dxa"/>
          </w:tcPr>
          <w:p w14:paraId="156F43E5"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Si</w:t>
            </w:r>
            <w:r w:rsidRPr="00613F8A">
              <w:rPr>
                <w:rFonts w:ascii="Arial" w:hAnsi="Arial" w:cs="Arial"/>
                <w:noProof/>
                <w:sz w:val="19"/>
                <w:szCs w:val="19"/>
                <w:vertAlign w:val="superscript"/>
              </w:rPr>
              <w:t>26</w:t>
            </w:r>
          </w:p>
        </w:tc>
        <w:tc>
          <w:tcPr>
            <w:tcW w:w="1685" w:type="dxa"/>
          </w:tcPr>
          <w:p w14:paraId="688C6614"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2330</w:t>
            </w:r>
          </w:p>
        </w:tc>
        <w:tc>
          <w:tcPr>
            <w:tcW w:w="2450" w:type="dxa"/>
          </w:tcPr>
          <w:p w14:paraId="6D350ED0"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711</w:t>
            </w:r>
          </w:p>
        </w:tc>
        <w:tc>
          <w:tcPr>
            <w:tcW w:w="2282" w:type="dxa"/>
          </w:tcPr>
          <w:p w14:paraId="278643F1"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148</w:t>
            </w:r>
          </w:p>
        </w:tc>
        <w:tc>
          <w:tcPr>
            <w:tcW w:w="2343" w:type="dxa"/>
          </w:tcPr>
          <w:p w14:paraId="64E92A1F"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0.000311</w:t>
            </w:r>
          </w:p>
        </w:tc>
      </w:tr>
      <w:tr w:rsidR="00982B9D" w:rsidRPr="00613F8A" w14:paraId="6CA188D3" w14:textId="77777777" w:rsidTr="00D811F9">
        <w:trPr>
          <w:trHeight w:val="277"/>
        </w:trPr>
        <w:tc>
          <w:tcPr>
            <w:tcW w:w="1165" w:type="dxa"/>
          </w:tcPr>
          <w:p w14:paraId="435EBA4F"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SiO</w:t>
            </w:r>
            <w:r w:rsidRPr="00613F8A">
              <w:rPr>
                <w:rFonts w:ascii="Arial" w:hAnsi="Arial" w:cs="Arial"/>
                <w:sz w:val="19"/>
                <w:szCs w:val="19"/>
                <w:shd w:val="clear" w:color="auto" w:fill="FFFFFF"/>
                <w:vertAlign w:val="subscript"/>
              </w:rPr>
              <w:t>2</w:t>
            </w:r>
            <w:r w:rsidRPr="00613F8A">
              <w:rPr>
                <w:rFonts w:ascii="Arial" w:hAnsi="Arial" w:cs="Arial"/>
                <w:noProof/>
                <w:sz w:val="19"/>
                <w:szCs w:val="19"/>
                <w:vertAlign w:val="superscript"/>
              </w:rPr>
              <w:t>27</w:t>
            </w:r>
          </w:p>
        </w:tc>
        <w:tc>
          <w:tcPr>
            <w:tcW w:w="1685" w:type="dxa"/>
          </w:tcPr>
          <w:p w14:paraId="241E416B"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2203</w:t>
            </w:r>
          </w:p>
        </w:tc>
        <w:tc>
          <w:tcPr>
            <w:tcW w:w="2450" w:type="dxa"/>
          </w:tcPr>
          <w:p w14:paraId="37C05BBF"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709</w:t>
            </w:r>
          </w:p>
        </w:tc>
        <w:tc>
          <w:tcPr>
            <w:tcW w:w="2282" w:type="dxa"/>
          </w:tcPr>
          <w:p w14:paraId="698C78DD"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0.8</w:t>
            </w:r>
          </w:p>
        </w:tc>
        <w:tc>
          <w:tcPr>
            <w:tcW w:w="2343" w:type="dxa"/>
          </w:tcPr>
          <w:p w14:paraId="4D05A541"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0</w:t>
            </w:r>
          </w:p>
        </w:tc>
      </w:tr>
      <w:tr w:rsidR="00982B9D" w:rsidRPr="00613F8A" w14:paraId="48C433B7" w14:textId="77777777" w:rsidTr="00D811F9">
        <w:trPr>
          <w:trHeight w:val="289"/>
        </w:trPr>
        <w:tc>
          <w:tcPr>
            <w:tcW w:w="1165" w:type="dxa"/>
          </w:tcPr>
          <w:p w14:paraId="0C0AFB2B"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HAOL</w:t>
            </w:r>
            <w:r w:rsidRPr="00613F8A">
              <w:rPr>
                <w:rFonts w:ascii="Arial" w:hAnsi="Arial" w:cs="Arial"/>
                <w:noProof/>
                <w:sz w:val="19"/>
                <w:szCs w:val="19"/>
                <w:vertAlign w:val="superscript"/>
              </w:rPr>
              <w:t>28</w:t>
            </w:r>
          </w:p>
        </w:tc>
        <w:tc>
          <w:tcPr>
            <w:tcW w:w="1685" w:type="dxa"/>
          </w:tcPr>
          <w:p w14:paraId="1C52657C"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9680</w:t>
            </w:r>
          </w:p>
        </w:tc>
        <w:tc>
          <w:tcPr>
            <w:tcW w:w="2450" w:type="dxa"/>
          </w:tcPr>
          <w:p w14:paraId="200BF6C1"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261.28</w:t>
            </w:r>
          </w:p>
        </w:tc>
        <w:tc>
          <w:tcPr>
            <w:tcW w:w="2282" w:type="dxa"/>
          </w:tcPr>
          <w:p w14:paraId="06060024"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1</w:t>
            </w:r>
          </w:p>
        </w:tc>
        <w:tc>
          <w:tcPr>
            <w:tcW w:w="2343" w:type="dxa"/>
          </w:tcPr>
          <w:p w14:paraId="2F401722"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0</w:t>
            </w:r>
          </w:p>
        </w:tc>
      </w:tr>
      <w:tr w:rsidR="00982B9D" w:rsidRPr="00613F8A" w14:paraId="749C2D83" w14:textId="77777777" w:rsidTr="00D811F9">
        <w:trPr>
          <w:trHeight w:val="277"/>
        </w:trPr>
        <w:tc>
          <w:tcPr>
            <w:tcW w:w="1165" w:type="dxa"/>
          </w:tcPr>
          <w:p w14:paraId="2A00CE72"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CdO</w:t>
            </w:r>
            <w:r w:rsidRPr="00613F8A">
              <w:rPr>
                <w:rFonts w:ascii="Arial" w:hAnsi="Arial" w:cs="Arial"/>
                <w:noProof/>
                <w:sz w:val="19"/>
                <w:szCs w:val="19"/>
                <w:vertAlign w:val="superscript"/>
              </w:rPr>
              <w:t>29-30</w:t>
            </w:r>
          </w:p>
        </w:tc>
        <w:tc>
          <w:tcPr>
            <w:tcW w:w="1685" w:type="dxa"/>
          </w:tcPr>
          <w:p w14:paraId="7BFCB285"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8150</w:t>
            </w:r>
          </w:p>
        </w:tc>
        <w:tc>
          <w:tcPr>
            <w:tcW w:w="2450" w:type="dxa"/>
          </w:tcPr>
          <w:p w14:paraId="2859809E"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347.6</w:t>
            </w:r>
          </w:p>
        </w:tc>
        <w:tc>
          <w:tcPr>
            <w:tcW w:w="2282" w:type="dxa"/>
          </w:tcPr>
          <w:p w14:paraId="0CA8013F"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10</w:t>
            </w:r>
          </w:p>
        </w:tc>
        <w:tc>
          <w:tcPr>
            <w:tcW w:w="2343" w:type="dxa"/>
          </w:tcPr>
          <w:p w14:paraId="24448B2E"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78700</w:t>
            </w:r>
          </w:p>
        </w:tc>
      </w:tr>
      <w:tr w:rsidR="00982B9D" w:rsidRPr="00613F8A" w14:paraId="73FFF9F5" w14:textId="77777777" w:rsidTr="00D811F9">
        <w:trPr>
          <w:trHeight w:val="277"/>
        </w:trPr>
        <w:tc>
          <w:tcPr>
            <w:tcW w:w="1165" w:type="dxa"/>
          </w:tcPr>
          <w:p w14:paraId="268AF792"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ITO</w:t>
            </w:r>
            <w:r w:rsidRPr="00613F8A">
              <w:rPr>
                <w:rFonts w:ascii="Arial" w:hAnsi="Arial" w:cs="Arial"/>
                <w:noProof/>
                <w:sz w:val="19"/>
                <w:szCs w:val="19"/>
                <w:vertAlign w:val="superscript"/>
              </w:rPr>
              <w:t>31</w:t>
            </w:r>
          </w:p>
        </w:tc>
        <w:tc>
          <w:tcPr>
            <w:tcW w:w="1685" w:type="dxa"/>
          </w:tcPr>
          <w:p w14:paraId="3C4874FB"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7120</w:t>
            </w:r>
          </w:p>
        </w:tc>
        <w:tc>
          <w:tcPr>
            <w:tcW w:w="2450" w:type="dxa"/>
          </w:tcPr>
          <w:p w14:paraId="42BC8BF6"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362.5</w:t>
            </w:r>
          </w:p>
        </w:tc>
        <w:tc>
          <w:tcPr>
            <w:tcW w:w="2282" w:type="dxa"/>
          </w:tcPr>
          <w:p w14:paraId="565240D8"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4</w:t>
            </w:r>
          </w:p>
        </w:tc>
        <w:tc>
          <w:tcPr>
            <w:tcW w:w="2343" w:type="dxa"/>
          </w:tcPr>
          <w:p w14:paraId="2C8E8E90" w14:textId="77777777" w:rsidR="005F45B6" w:rsidRPr="00613F8A" w:rsidRDefault="005F45B6" w:rsidP="00D811F9">
            <w:pPr>
              <w:jc w:val="both"/>
              <w:rPr>
                <w:rFonts w:ascii="Arial" w:hAnsi="Arial" w:cs="Arial"/>
                <w:sz w:val="19"/>
                <w:szCs w:val="19"/>
                <w:shd w:val="clear" w:color="auto" w:fill="FFFFFF"/>
              </w:rPr>
            </w:pPr>
            <w:r w:rsidRPr="00613F8A">
              <w:rPr>
                <w:rFonts w:ascii="Arial" w:hAnsi="Arial" w:cs="Arial"/>
                <w:sz w:val="19"/>
                <w:szCs w:val="19"/>
                <w:shd w:val="clear" w:color="auto" w:fill="FFFFFF"/>
              </w:rPr>
              <w:t>39000</w:t>
            </w:r>
          </w:p>
        </w:tc>
      </w:tr>
    </w:tbl>
    <w:p w14:paraId="3E252F6E" w14:textId="77777777" w:rsidR="005F45B6" w:rsidRPr="00613F8A" w:rsidRDefault="005F45B6" w:rsidP="00D03467">
      <w:pPr>
        <w:jc w:val="both"/>
        <w:rPr>
          <w:rFonts w:ascii="Arial" w:hAnsi="Arial" w:cs="Arial"/>
          <w:sz w:val="19"/>
          <w:szCs w:val="19"/>
        </w:rPr>
      </w:pPr>
      <w:bookmarkStart w:id="10" w:name="_Hlk75264713"/>
      <w:r w:rsidRPr="00613F8A">
        <w:rPr>
          <w:rFonts w:ascii="Arial" w:hAnsi="Arial" w:cs="Arial"/>
          <w:sz w:val="19"/>
          <w:szCs w:val="19"/>
        </w:rPr>
        <w:t>Table S2. Summary of the material parameters in our thermal simulations.</w:t>
      </w:r>
    </w:p>
    <w:p w14:paraId="33995984" w14:textId="77777777" w:rsidR="005F45B6" w:rsidRPr="00613F8A" w:rsidRDefault="005F45B6" w:rsidP="00D03467">
      <w:pPr>
        <w:jc w:val="both"/>
        <w:rPr>
          <w:rFonts w:ascii="Arial" w:hAnsi="Arial" w:cs="Arial"/>
          <w:sz w:val="19"/>
          <w:szCs w:val="19"/>
          <w:u w:val="single"/>
        </w:rPr>
      </w:pPr>
      <w:r w:rsidRPr="00613F8A">
        <w:rPr>
          <w:rFonts w:ascii="Arial" w:eastAsia="Times New Roman" w:hAnsi="Arial" w:cs="Arial"/>
          <w:sz w:val="19"/>
          <w:szCs w:val="19"/>
        </w:rPr>
        <w:t>The thermal properties of the HAOL films are assumed to be the same as the thermal properties of HfO</w:t>
      </w:r>
      <w:r w:rsidRPr="00613F8A">
        <w:rPr>
          <w:rFonts w:ascii="Arial" w:eastAsia="Times New Roman" w:hAnsi="Arial" w:cs="Arial"/>
          <w:sz w:val="19"/>
          <w:szCs w:val="19"/>
          <w:vertAlign w:val="subscript"/>
        </w:rPr>
        <w:t>2</w:t>
      </w:r>
      <w:r w:rsidRPr="00613F8A">
        <w:rPr>
          <w:rFonts w:ascii="Arial" w:eastAsia="Times New Roman" w:hAnsi="Arial" w:cs="Arial"/>
          <w:sz w:val="19"/>
          <w:szCs w:val="19"/>
        </w:rPr>
        <w:t xml:space="preserve"> films.</w:t>
      </w:r>
      <w:r w:rsidRPr="00613F8A">
        <w:rPr>
          <w:rFonts w:ascii="Arial" w:hAnsi="Arial" w:cs="Arial"/>
          <w:noProof/>
          <w:sz w:val="19"/>
          <w:szCs w:val="19"/>
          <w:vertAlign w:val="superscript"/>
        </w:rPr>
        <w:t>28</w:t>
      </w:r>
      <w:r w:rsidRPr="00613F8A">
        <w:rPr>
          <w:rFonts w:ascii="Arial" w:hAnsi="Arial" w:cs="Arial"/>
          <w:sz w:val="19"/>
          <w:szCs w:val="19"/>
        </w:rPr>
        <w:t xml:space="preserve"> In our optical simulations, HAOL and Al</w:t>
      </w:r>
      <w:r w:rsidRPr="00613F8A">
        <w:rPr>
          <w:rFonts w:ascii="Arial" w:hAnsi="Arial" w:cs="Arial"/>
          <w:sz w:val="19"/>
          <w:szCs w:val="19"/>
          <w:vertAlign w:val="subscript"/>
        </w:rPr>
        <w:t>2</w:t>
      </w:r>
      <w:r w:rsidRPr="00613F8A">
        <w:rPr>
          <w:rFonts w:ascii="Arial" w:hAnsi="Arial" w:cs="Arial"/>
          <w:sz w:val="19"/>
          <w:szCs w:val="19"/>
        </w:rPr>
        <w:t>O</w:t>
      </w:r>
      <w:r w:rsidRPr="00613F8A">
        <w:rPr>
          <w:rFonts w:ascii="Arial" w:hAnsi="Arial" w:cs="Arial"/>
          <w:sz w:val="19"/>
          <w:szCs w:val="19"/>
          <w:vertAlign w:val="subscript"/>
        </w:rPr>
        <w:t>3</w:t>
      </w:r>
      <w:r w:rsidRPr="00613F8A">
        <w:rPr>
          <w:rFonts w:ascii="Arial" w:hAnsi="Arial" w:cs="Arial"/>
          <w:sz w:val="19"/>
          <w:szCs w:val="19"/>
        </w:rPr>
        <w:t xml:space="preserve"> are modelled as non-dispersive materials with refractive indices of 2.07 and 1.745, respectively. Au was modelled by using the tabulated data by Palik.</w:t>
      </w:r>
      <w:r w:rsidRPr="00613F8A">
        <w:rPr>
          <w:rFonts w:ascii="Arial" w:hAnsi="Arial" w:cs="Arial"/>
          <w:noProof/>
          <w:sz w:val="19"/>
          <w:szCs w:val="19"/>
          <w:vertAlign w:val="superscript"/>
        </w:rPr>
        <w:t>32</w:t>
      </w:r>
    </w:p>
    <w:bookmarkEnd w:id="10"/>
    <w:p w14:paraId="75882D81" w14:textId="77777777" w:rsidR="004D2331" w:rsidRPr="00613F8A" w:rsidRDefault="004D2331" w:rsidP="004D2331">
      <w:pPr>
        <w:pStyle w:val="FACorrespondingAuthorFootnote"/>
        <w:spacing w:after="0" w:line="259" w:lineRule="auto"/>
        <w:rPr>
          <w:rFonts w:ascii="Arial" w:hAnsi="Arial" w:cs="Arial"/>
          <w:b/>
          <w:bCs/>
          <w:sz w:val="19"/>
          <w:szCs w:val="19"/>
          <w:u w:val="single"/>
        </w:rPr>
      </w:pPr>
    </w:p>
    <w:p w14:paraId="2C805D99" w14:textId="77777777" w:rsidR="00E20975" w:rsidRPr="00613F8A" w:rsidRDefault="00E20975" w:rsidP="00E20975">
      <w:pPr>
        <w:pStyle w:val="FACorrespondingAuthorFootnote"/>
        <w:spacing w:after="0" w:line="259" w:lineRule="auto"/>
        <w:rPr>
          <w:rFonts w:ascii="Arial" w:hAnsi="Arial" w:cs="Arial"/>
          <w:b/>
          <w:bCs/>
          <w:sz w:val="19"/>
          <w:szCs w:val="19"/>
          <w:u w:val="single"/>
        </w:rPr>
      </w:pPr>
      <w:r w:rsidRPr="00613F8A">
        <w:rPr>
          <w:rFonts w:ascii="Arial" w:hAnsi="Arial" w:cs="Arial"/>
          <w:b/>
          <w:bCs/>
          <w:sz w:val="19"/>
          <w:szCs w:val="19"/>
          <w:u w:val="single"/>
        </w:rPr>
        <w:t xml:space="preserve">13. </w:t>
      </w:r>
      <w:bookmarkStart w:id="11" w:name="_Hlk122007365"/>
      <w:bookmarkStart w:id="12" w:name="_Hlk103967598"/>
      <w:r w:rsidRPr="00613F8A">
        <w:rPr>
          <w:rFonts w:ascii="Arial" w:hAnsi="Arial" w:cs="Arial"/>
          <w:b/>
          <w:bCs/>
          <w:sz w:val="19"/>
          <w:szCs w:val="19"/>
          <w:u w:val="single"/>
        </w:rPr>
        <w:t>The role of the thermal conductivity the thin SiO</w:t>
      </w:r>
      <w:r w:rsidRPr="00613F8A">
        <w:rPr>
          <w:rFonts w:ascii="Arial" w:hAnsi="Arial" w:cs="Arial"/>
          <w:b/>
          <w:bCs/>
          <w:sz w:val="19"/>
          <w:szCs w:val="19"/>
          <w:u w:val="single"/>
          <w:vertAlign w:val="subscript"/>
        </w:rPr>
        <w:t>2</w:t>
      </w:r>
      <w:r w:rsidRPr="00613F8A">
        <w:rPr>
          <w:rFonts w:ascii="Arial" w:hAnsi="Arial" w:cs="Arial"/>
          <w:b/>
          <w:bCs/>
          <w:sz w:val="19"/>
          <w:szCs w:val="19"/>
          <w:u w:val="single"/>
        </w:rPr>
        <w:t xml:space="preserve"> layer on the metasurface temperature: CW regime</w:t>
      </w:r>
      <w:bookmarkEnd w:id="11"/>
    </w:p>
    <w:bookmarkEnd w:id="12"/>
    <w:p w14:paraId="53937106" w14:textId="77777777" w:rsidR="00E20975" w:rsidRPr="00613F8A" w:rsidRDefault="00E20975" w:rsidP="00E20975">
      <w:pPr>
        <w:pStyle w:val="FACorrespondingAuthorFootnote"/>
        <w:spacing w:after="0" w:line="259" w:lineRule="auto"/>
        <w:rPr>
          <w:rFonts w:ascii="Arial" w:hAnsi="Arial" w:cs="Arial"/>
          <w:sz w:val="19"/>
          <w:szCs w:val="19"/>
        </w:rPr>
      </w:pPr>
      <w:r w:rsidRPr="00613F8A">
        <w:rPr>
          <w:rFonts w:ascii="Arial" w:hAnsi="Arial" w:cs="Arial"/>
          <w:sz w:val="19"/>
          <w:szCs w:val="19"/>
        </w:rPr>
        <w:t>Here, we study how thermal conductivity of the SiO</w:t>
      </w:r>
      <w:r w:rsidRPr="00613F8A">
        <w:rPr>
          <w:rFonts w:ascii="Arial" w:hAnsi="Arial" w:cs="Arial"/>
          <w:sz w:val="19"/>
          <w:szCs w:val="19"/>
          <w:vertAlign w:val="subscript"/>
        </w:rPr>
        <w:t>2</w:t>
      </w:r>
      <w:r w:rsidRPr="00613F8A">
        <w:rPr>
          <w:rFonts w:ascii="Arial" w:hAnsi="Arial" w:cs="Arial"/>
          <w:sz w:val="19"/>
          <w:szCs w:val="19"/>
        </w:rPr>
        <w:t xml:space="preserve"> spacer layer between the Au back plane and the ITO layer affects the temperature of the metasurface. Let us consider the case of an infinite metasurface upon plane wave illumination. Consider the metasurface design shown in Figure 1, and replace the SiO</w:t>
      </w:r>
      <w:r w:rsidRPr="00613F8A">
        <w:rPr>
          <w:rFonts w:ascii="Arial" w:hAnsi="Arial" w:cs="Arial"/>
          <w:sz w:val="19"/>
          <w:szCs w:val="19"/>
          <w:vertAlign w:val="subscript"/>
        </w:rPr>
        <w:t>2</w:t>
      </w:r>
      <w:r w:rsidRPr="00613F8A">
        <w:rPr>
          <w:rFonts w:ascii="Arial" w:hAnsi="Arial" w:cs="Arial"/>
          <w:sz w:val="19"/>
          <w:szCs w:val="19"/>
        </w:rPr>
        <w:t xml:space="preserve"> with an imaginary material, which has the same refractive index as SiO</w:t>
      </w:r>
      <w:r w:rsidRPr="00613F8A">
        <w:rPr>
          <w:rFonts w:ascii="Arial" w:hAnsi="Arial" w:cs="Arial"/>
          <w:sz w:val="19"/>
          <w:szCs w:val="19"/>
          <w:vertAlign w:val="subscript"/>
        </w:rPr>
        <w:t>2</w:t>
      </w:r>
      <w:r w:rsidRPr="00613F8A">
        <w:rPr>
          <w:rFonts w:ascii="Arial" w:hAnsi="Arial" w:cs="Arial"/>
          <w:sz w:val="19"/>
          <w:szCs w:val="19"/>
        </w:rPr>
        <w:t>, but its thermal properties are identical to those of Au. This thought experiment allows us to understand the role of the thermal conductivities of the constituent materials without considering the variation in absorption density, which would occur if we changed the optical design of the metasurface. Assuming that the active ITO layer is in the ENZ regime, we then fix the value of the x coordinate to x = 100 nm and plot the temperature as a function of z coordinate (for definitions, see Figure 1a). Figure S18a corresponds to the case when thermal parameters of SiO</w:t>
      </w:r>
      <w:r w:rsidRPr="00613F8A">
        <w:rPr>
          <w:rFonts w:ascii="Arial" w:hAnsi="Arial" w:cs="Arial"/>
          <w:sz w:val="19"/>
          <w:szCs w:val="19"/>
          <w:vertAlign w:val="subscript"/>
        </w:rPr>
        <w:t>2</w:t>
      </w:r>
      <w:r w:rsidRPr="00613F8A">
        <w:rPr>
          <w:rFonts w:ascii="Arial" w:hAnsi="Arial" w:cs="Arial"/>
          <w:sz w:val="19"/>
          <w:szCs w:val="19"/>
        </w:rPr>
        <w:t xml:space="preserve"> are defined accurately, while in Figure S18b, thermal properties of SiO</w:t>
      </w:r>
      <w:r w:rsidRPr="00613F8A">
        <w:rPr>
          <w:rFonts w:ascii="Arial" w:hAnsi="Arial" w:cs="Arial"/>
          <w:sz w:val="19"/>
          <w:szCs w:val="19"/>
          <w:vertAlign w:val="subscript"/>
        </w:rPr>
        <w:t>2</w:t>
      </w:r>
      <w:r w:rsidRPr="00613F8A">
        <w:rPr>
          <w:rFonts w:ascii="Arial" w:hAnsi="Arial" w:cs="Arial"/>
          <w:sz w:val="19"/>
          <w:szCs w:val="19"/>
        </w:rPr>
        <w:t xml:space="preserve"> are identical to that of Au. As in Figure S18, the temperature values attained in both cases are very similar while the local temperature variation in Figure S18b is slightly more modest. We attribute the lack of dramatic differences between both cases (Figure S18b vs. Figure S18a) to the fact that the SiO</w:t>
      </w:r>
      <w:r w:rsidRPr="00613F8A">
        <w:rPr>
          <w:rFonts w:ascii="Arial" w:hAnsi="Arial" w:cs="Arial"/>
          <w:sz w:val="19"/>
          <w:szCs w:val="19"/>
          <w:vertAlign w:val="subscript"/>
        </w:rPr>
        <w:t>2</w:t>
      </w:r>
      <w:r w:rsidRPr="00613F8A">
        <w:rPr>
          <w:rFonts w:ascii="Arial" w:hAnsi="Arial" w:cs="Arial"/>
          <w:sz w:val="19"/>
          <w:szCs w:val="19"/>
        </w:rPr>
        <w:t xml:space="preserve"> layer is very thin, and, hence, despite low thermal conductivity, its thermal resistance is also quite modest.</w:t>
      </w:r>
    </w:p>
    <w:p w14:paraId="5A63E718" w14:textId="77777777" w:rsidR="00E20975" w:rsidRPr="00613F8A" w:rsidRDefault="00E20975" w:rsidP="00E20975">
      <w:pPr>
        <w:pStyle w:val="FACorrespondingAuthorFootnote"/>
        <w:spacing w:after="0" w:line="259" w:lineRule="auto"/>
        <w:rPr>
          <w:rFonts w:ascii="Arial" w:hAnsi="Arial" w:cs="Arial"/>
          <w:sz w:val="19"/>
          <w:szCs w:val="19"/>
        </w:rPr>
      </w:pPr>
    </w:p>
    <w:p w14:paraId="45A55D7C" w14:textId="77777777" w:rsidR="00E20975" w:rsidRPr="00613F8A" w:rsidRDefault="00E20975" w:rsidP="00E20975">
      <w:pPr>
        <w:pStyle w:val="FACorrespondingAuthorFootnote"/>
        <w:spacing w:after="0" w:line="259" w:lineRule="auto"/>
        <w:rPr>
          <w:rFonts w:ascii="Arial" w:hAnsi="Arial" w:cs="Arial"/>
          <w:sz w:val="19"/>
          <w:szCs w:val="19"/>
        </w:rPr>
      </w:pPr>
    </w:p>
    <w:p w14:paraId="740028BF" w14:textId="6DC00D2F" w:rsidR="00E20975" w:rsidRPr="00A468CF" w:rsidRDefault="00E20975" w:rsidP="00E20975">
      <w:pPr>
        <w:pStyle w:val="FACorrespondingAuthorFootnote"/>
        <w:spacing w:after="0" w:line="259" w:lineRule="auto"/>
        <w:rPr>
          <w:rFonts w:ascii="Arial" w:hAnsi="Arial" w:cs="Arial"/>
          <w:sz w:val="19"/>
          <w:szCs w:val="19"/>
        </w:rPr>
      </w:pPr>
      <w:r w:rsidRPr="00613F8A">
        <w:rPr>
          <w:rFonts w:ascii="Arial" w:hAnsi="Arial" w:cs="Arial"/>
          <w:noProof/>
          <w:sz w:val="19"/>
          <w:szCs w:val="19"/>
        </w:rPr>
        <w:drawing>
          <wp:inline distT="0" distB="0" distL="0" distR="0" wp14:anchorId="45282B43" wp14:editId="31107731">
            <wp:extent cx="5943600" cy="2546350"/>
            <wp:effectExtent l="0" t="0" r="0" b="6350"/>
            <wp:docPr id="18" name="Picture 1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 waterfall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46350"/>
                    </a:xfrm>
                    <a:prstGeom prst="rect">
                      <a:avLst/>
                    </a:prstGeom>
                    <a:noFill/>
                    <a:ln>
                      <a:noFill/>
                    </a:ln>
                  </pic:spPr>
                </pic:pic>
              </a:graphicData>
            </a:graphic>
          </wp:inline>
        </w:drawing>
      </w:r>
      <w:r w:rsidRPr="007F2943">
        <w:rPr>
          <w:rFonts w:ascii="Arial" w:hAnsi="Arial" w:cs="Arial"/>
          <w:b/>
          <w:bCs/>
          <w:sz w:val="19"/>
          <w:szCs w:val="19"/>
        </w:rPr>
        <w:t>Figure S1</w:t>
      </w:r>
      <w:r w:rsidR="000D7A57" w:rsidRPr="007F2943">
        <w:rPr>
          <w:rFonts w:ascii="Arial" w:hAnsi="Arial" w:cs="Arial"/>
          <w:b/>
          <w:bCs/>
          <w:sz w:val="19"/>
          <w:szCs w:val="19"/>
        </w:rPr>
        <w:t>9</w:t>
      </w:r>
      <w:r w:rsidRPr="007F2943">
        <w:rPr>
          <w:rFonts w:ascii="Arial" w:hAnsi="Arial" w:cs="Arial"/>
          <w:b/>
          <w:bCs/>
          <w:sz w:val="19"/>
          <w:szCs w:val="19"/>
        </w:rPr>
        <w:t>.</w:t>
      </w:r>
      <w:r w:rsidRPr="00613F8A">
        <w:rPr>
          <w:rFonts w:ascii="Arial" w:hAnsi="Arial" w:cs="Arial"/>
          <w:sz w:val="19"/>
          <w:szCs w:val="19"/>
        </w:rPr>
        <w:t xml:space="preserve">  Temperature distribution inside the metasurface unit cell (see Figure 1a) when </w:t>
      </w:r>
      <w:r w:rsidRPr="00613F8A">
        <w:rPr>
          <w:rFonts w:ascii="Arial" w:hAnsi="Arial" w:cs="Arial"/>
          <w:i/>
          <w:sz w:val="19"/>
          <w:szCs w:val="19"/>
        </w:rPr>
        <w:t>x</w:t>
      </w:r>
      <w:r w:rsidRPr="00613F8A">
        <w:rPr>
          <w:rFonts w:ascii="Arial" w:hAnsi="Arial" w:cs="Arial"/>
          <w:sz w:val="19"/>
          <w:szCs w:val="19"/>
        </w:rPr>
        <w:t xml:space="preserve"> is fixed as </w:t>
      </w:r>
      <w:r w:rsidRPr="00613F8A">
        <w:rPr>
          <w:rFonts w:ascii="Arial" w:hAnsi="Arial" w:cs="Arial"/>
          <w:i/>
          <w:sz w:val="19"/>
          <w:szCs w:val="19"/>
        </w:rPr>
        <w:t>x</w:t>
      </w:r>
      <w:r w:rsidRPr="00613F8A">
        <w:rPr>
          <w:rFonts w:ascii="Arial" w:hAnsi="Arial" w:cs="Arial"/>
          <w:sz w:val="19"/>
          <w:szCs w:val="19"/>
        </w:rPr>
        <w:t xml:space="preserve">=100 </w:t>
      </w:r>
      <w:r w:rsidRPr="00A468CF">
        <w:rPr>
          <w:rFonts w:ascii="Arial" w:hAnsi="Arial" w:cs="Arial"/>
          <w:sz w:val="19"/>
          <w:szCs w:val="19"/>
        </w:rPr>
        <w:t>nm (dark green layer indicating the 1-nm–thick active accumulation layer). a) Thermal properties of SiO</w:t>
      </w:r>
      <w:r w:rsidRPr="00A468CF">
        <w:rPr>
          <w:rFonts w:ascii="Arial" w:hAnsi="Arial" w:cs="Arial"/>
          <w:sz w:val="19"/>
          <w:szCs w:val="19"/>
          <w:vertAlign w:val="subscript"/>
        </w:rPr>
        <w:t>2</w:t>
      </w:r>
      <w:r w:rsidRPr="00A468CF">
        <w:rPr>
          <w:rFonts w:ascii="Arial" w:hAnsi="Arial" w:cs="Arial"/>
          <w:sz w:val="19"/>
          <w:szCs w:val="19"/>
        </w:rPr>
        <w:t xml:space="preserve"> are taken into account accurately. b) Thermal properties of the SiO</w:t>
      </w:r>
      <w:r w:rsidRPr="00A468CF">
        <w:rPr>
          <w:rFonts w:ascii="Arial" w:hAnsi="Arial" w:cs="Arial"/>
          <w:sz w:val="19"/>
          <w:szCs w:val="19"/>
          <w:vertAlign w:val="subscript"/>
        </w:rPr>
        <w:t>2</w:t>
      </w:r>
      <w:r w:rsidRPr="00A468CF">
        <w:rPr>
          <w:rFonts w:ascii="Arial" w:hAnsi="Arial" w:cs="Arial"/>
          <w:sz w:val="19"/>
          <w:szCs w:val="19"/>
        </w:rPr>
        <w:t xml:space="preserve"> layer are replaced with those of Au. The substrate thickness is taken to be 250 μm, and we assume that the active ITO layer is in the ENZ regime. We also assume that we have a large metasurface shown in Figure 1a and use periodic boundary conditions.</w:t>
      </w:r>
    </w:p>
    <w:p w14:paraId="34D331AD" w14:textId="70571D08" w:rsidR="005C3739" w:rsidRPr="000D7A57" w:rsidRDefault="005C3739" w:rsidP="005C3739">
      <w:pPr>
        <w:rPr>
          <w:rFonts w:ascii="Arial" w:hAnsi="Arial" w:cs="Arial"/>
          <w:sz w:val="19"/>
          <w:szCs w:val="19"/>
        </w:rPr>
      </w:pPr>
    </w:p>
    <w:p w14:paraId="6A1E6D49" w14:textId="3B874AFD" w:rsidR="005C3739" w:rsidRPr="000D7A57" w:rsidRDefault="005C3739" w:rsidP="005C3739">
      <w:pPr>
        <w:spacing w:after="0"/>
        <w:jc w:val="both"/>
        <w:rPr>
          <w:rFonts w:ascii="Arial" w:hAnsi="Arial" w:cs="Arial"/>
          <w:sz w:val="19"/>
          <w:szCs w:val="19"/>
          <w:u w:val="single"/>
        </w:rPr>
      </w:pPr>
      <w:r w:rsidRPr="007F2943">
        <w:rPr>
          <w:rFonts w:ascii="Arial" w:hAnsi="Arial" w:cs="Arial"/>
          <w:b/>
          <w:bCs/>
          <w:sz w:val="19"/>
          <w:szCs w:val="19"/>
          <w:u w:val="single"/>
        </w:rPr>
        <w:t>14</w:t>
      </w:r>
      <w:r w:rsidRPr="00C018D1">
        <w:rPr>
          <w:rFonts w:ascii="Arial" w:hAnsi="Arial" w:cs="Arial"/>
          <w:b/>
          <w:bCs/>
          <w:sz w:val="19"/>
          <w:szCs w:val="19"/>
          <w:u w:val="single"/>
        </w:rPr>
        <w:t xml:space="preserve">. </w:t>
      </w:r>
      <w:bookmarkStart w:id="13" w:name="_Hlk122007384"/>
      <w:r w:rsidRPr="00C018D1">
        <w:rPr>
          <w:rFonts w:ascii="Arial" w:hAnsi="Arial" w:cs="Arial"/>
          <w:b/>
          <w:bCs/>
          <w:sz w:val="19"/>
          <w:szCs w:val="19"/>
          <w:u w:val="single"/>
        </w:rPr>
        <w:t>C</w:t>
      </w:r>
      <w:r w:rsidRPr="000D7A57">
        <w:rPr>
          <w:rFonts w:ascii="Arial" w:hAnsi="Arial" w:cs="Arial"/>
          <w:b/>
          <w:bCs/>
          <w:sz w:val="19"/>
          <w:szCs w:val="19"/>
          <w:u w:val="single"/>
        </w:rPr>
        <w:t>haracteristic time scales during pulsed laser illumination</w:t>
      </w:r>
      <w:bookmarkEnd w:id="13"/>
    </w:p>
    <w:p w14:paraId="68DC09E5" w14:textId="694729E0" w:rsidR="005C3739" w:rsidRPr="000D7A57" w:rsidRDefault="005C3739" w:rsidP="005C3739">
      <w:pPr>
        <w:spacing w:after="0"/>
        <w:jc w:val="both"/>
        <w:rPr>
          <w:rFonts w:ascii="Arial" w:hAnsi="Arial" w:cs="Arial"/>
          <w:sz w:val="19"/>
          <w:szCs w:val="19"/>
          <w:shd w:val="clear" w:color="auto" w:fill="FFFFFF"/>
        </w:rPr>
      </w:pPr>
      <w:r w:rsidRPr="000D7A57">
        <w:rPr>
          <w:rFonts w:ascii="Arial" w:hAnsi="Arial" w:cs="Arial"/>
          <w:sz w:val="19"/>
          <w:szCs w:val="19"/>
        </w:rPr>
        <w:t xml:space="preserve"> </w:t>
      </w:r>
      <w:r w:rsidRPr="000D7A57">
        <w:rPr>
          <w:rFonts w:ascii="Arial" w:hAnsi="Arial" w:cs="Arial"/>
          <w:sz w:val="19"/>
          <w:szCs w:val="19"/>
          <w:shd w:val="clear" w:color="auto" w:fill="FFFFFF"/>
        </w:rPr>
        <w:t>Next, we identify time scales over which our metasurface cools after being illuminated by a laser pulse (see Figure 2). The metasurface design and the specifics of the considered pulse are the same as in Figure 2 of the main manuscript. Thus, we extend our simulation time and calculate the evolution of the metasurface temperature over the time range from 0 to 3000 ns. Our simulation results are summarized in Figure S9. Figure S9 plots the maximal temperature of the metasurface during the pulsed laser illumination and after the pulse has been turned off. Note that the laser pulse is switched off at t=8.7 ns, which is marked by a vertical dashed line in Figure S9.  We observe that 31 ns after the laser pulse has been turned off, the temperature increase of the metasurface is reduced by a factor of e</w:t>
      </w:r>
      <w:r w:rsidRPr="000D7A57">
        <w:rPr>
          <w:rFonts w:ascii="Arial" w:hAnsi="Arial" w:cs="Arial"/>
          <w:sz w:val="19"/>
          <w:szCs w:val="19"/>
          <w:shd w:val="clear" w:color="auto" w:fill="FFFFFF"/>
          <w:vertAlign w:val="superscript"/>
        </w:rPr>
        <w:t>2</w:t>
      </w:r>
      <w:r w:rsidRPr="000D7A57">
        <w:rPr>
          <w:rFonts w:ascii="Arial" w:hAnsi="Arial" w:cs="Arial"/>
          <w:sz w:val="19"/>
          <w:szCs w:val="19"/>
          <w:shd w:val="clear" w:color="auto" w:fill="FFFFFF"/>
        </w:rPr>
        <w:t>. Our simulations also show that 150 ns after the laser pulse has been turned on (or [150-8.7] ns after the laser pulse has been turned off), the temperature of the metasurface is reduced by a factor of e</w:t>
      </w:r>
      <w:r w:rsidRPr="000D7A57">
        <w:rPr>
          <w:rFonts w:ascii="Arial" w:hAnsi="Arial" w:cs="Arial"/>
          <w:sz w:val="19"/>
          <w:szCs w:val="19"/>
          <w:shd w:val="clear" w:color="auto" w:fill="FFFFFF"/>
          <w:vertAlign w:val="superscript"/>
        </w:rPr>
        <w:t>3</w:t>
      </w:r>
      <w:r w:rsidRPr="000D7A57">
        <w:rPr>
          <w:rFonts w:ascii="Arial" w:hAnsi="Arial" w:cs="Arial"/>
          <w:sz w:val="19"/>
          <w:szCs w:val="19"/>
          <w:shd w:val="clear" w:color="auto" w:fill="FFFFFF"/>
        </w:rPr>
        <w:t xml:space="preserve">. This indicates that the repetition rate of the pulsed laser used for illuminating metasurface can be ~6.7 MHz. </w:t>
      </w:r>
    </w:p>
    <w:p w14:paraId="7C845759" w14:textId="77777777" w:rsidR="005C3739" w:rsidRPr="000D7A57" w:rsidRDefault="005C3739" w:rsidP="005C3739">
      <w:pPr>
        <w:spacing w:after="0"/>
        <w:ind w:firstLine="720"/>
        <w:jc w:val="both"/>
        <w:rPr>
          <w:rFonts w:ascii="Arial" w:hAnsi="Arial" w:cs="Arial"/>
          <w:sz w:val="19"/>
          <w:szCs w:val="19"/>
          <w:shd w:val="clear" w:color="auto" w:fill="FFFFFF"/>
        </w:rPr>
      </w:pPr>
    </w:p>
    <w:p w14:paraId="7C17E671" w14:textId="77777777" w:rsidR="005C3739" w:rsidRPr="000D7A57" w:rsidRDefault="005C3739" w:rsidP="005C3739">
      <w:pPr>
        <w:jc w:val="center"/>
        <w:rPr>
          <w:rFonts w:ascii="Arial" w:hAnsi="Arial" w:cs="Arial"/>
          <w:sz w:val="19"/>
          <w:szCs w:val="19"/>
        </w:rPr>
      </w:pPr>
      <w:r w:rsidRPr="000D7A57">
        <w:rPr>
          <w:rFonts w:ascii="Arial" w:hAnsi="Arial" w:cs="Arial"/>
          <w:noProof/>
          <w:sz w:val="19"/>
          <w:szCs w:val="19"/>
        </w:rPr>
        <w:lastRenderedPageBreak/>
        <w:drawing>
          <wp:inline distT="0" distB="0" distL="0" distR="0" wp14:anchorId="1377FE92" wp14:editId="7D6DE706">
            <wp:extent cx="2936837" cy="2355925"/>
            <wp:effectExtent l="0" t="0" r="0" b="6350"/>
            <wp:docPr id="21" name="Picture 5" descr="Chart, box and whisker chart&#10;&#10;Description automatically generated">
              <a:extLst xmlns:a="http://schemas.openxmlformats.org/drawingml/2006/main">
                <a:ext uri="{FF2B5EF4-FFF2-40B4-BE49-F238E27FC236}">
                  <a16:creationId xmlns:a16="http://schemas.microsoft.com/office/drawing/2014/main" id="{C624714A-3B0D-00B2-6504-2DF3FFCA7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box and whisker chart&#10;&#10;Description automatically generated">
                      <a:extLst>
                        <a:ext uri="{FF2B5EF4-FFF2-40B4-BE49-F238E27FC236}">
                          <a16:creationId xmlns:a16="http://schemas.microsoft.com/office/drawing/2014/main" id="{C624714A-3B0D-00B2-6504-2DF3FFCA73B8}"/>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3055" t="22379" r="34818" b="31817"/>
                    <a:stretch/>
                  </pic:blipFill>
                  <pic:spPr>
                    <a:xfrm>
                      <a:off x="0" y="0"/>
                      <a:ext cx="2936837" cy="2355925"/>
                    </a:xfrm>
                    <a:prstGeom prst="rect">
                      <a:avLst/>
                    </a:prstGeom>
                  </pic:spPr>
                </pic:pic>
              </a:graphicData>
            </a:graphic>
          </wp:inline>
        </w:drawing>
      </w:r>
    </w:p>
    <w:p w14:paraId="5901AA6D" w14:textId="5CA2EDA5" w:rsidR="005C3739" w:rsidRPr="000D7A57" w:rsidRDefault="005C3739" w:rsidP="005C3739">
      <w:pPr>
        <w:rPr>
          <w:rFonts w:ascii="Arial" w:hAnsi="Arial" w:cs="Arial"/>
          <w:sz w:val="19"/>
          <w:szCs w:val="19"/>
        </w:rPr>
      </w:pPr>
      <w:r w:rsidRPr="007F2943">
        <w:rPr>
          <w:rFonts w:ascii="Arial" w:hAnsi="Arial" w:cs="Arial"/>
          <w:b/>
          <w:bCs/>
          <w:sz w:val="19"/>
          <w:szCs w:val="19"/>
        </w:rPr>
        <w:t>Figure S</w:t>
      </w:r>
      <w:r w:rsidR="000D7A57" w:rsidRPr="007F2943">
        <w:rPr>
          <w:rFonts w:ascii="Arial" w:hAnsi="Arial" w:cs="Arial"/>
          <w:b/>
          <w:bCs/>
          <w:sz w:val="19"/>
          <w:szCs w:val="19"/>
        </w:rPr>
        <w:t>20</w:t>
      </w:r>
      <w:r w:rsidRPr="007F2943">
        <w:rPr>
          <w:rFonts w:ascii="Arial" w:hAnsi="Arial" w:cs="Arial"/>
          <w:b/>
          <w:bCs/>
          <w:sz w:val="19"/>
          <w:szCs w:val="19"/>
        </w:rPr>
        <w:t>.</w:t>
      </w:r>
      <w:r w:rsidRPr="000D7A57">
        <w:rPr>
          <w:rFonts w:ascii="Arial" w:hAnsi="Arial" w:cs="Arial"/>
          <w:sz w:val="19"/>
          <w:szCs w:val="19"/>
        </w:rPr>
        <w:t xml:space="preserve"> Maximal temperature of the metasurface under pulsed laser illumination as a function of time. The considered conditions are the same as in Figure 2 of the manuscript. The vertical dashed line marks the point in time when the pulse has been turned off.</w:t>
      </w:r>
    </w:p>
    <w:p w14:paraId="14F39F05" w14:textId="77777777" w:rsidR="00D96DF8" w:rsidRPr="00D96DF8" w:rsidRDefault="00D96DF8" w:rsidP="005C3739">
      <w:pPr>
        <w:rPr>
          <w:rFonts w:ascii="Arial" w:hAnsi="Arial" w:cs="Arial"/>
          <w:color w:val="FF0000"/>
          <w:sz w:val="6"/>
          <w:szCs w:val="6"/>
        </w:rPr>
      </w:pPr>
    </w:p>
    <w:p w14:paraId="560A5314" w14:textId="19DE36FA" w:rsidR="005D544D" w:rsidRPr="000D7A57" w:rsidRDefault="005D544D" w:rsidP="005D544D">
      <w:pPr>
        <w:spacing w:after="0"/>
        <w:jc w:val="both"/>
        <w:rPr>
          <w:rFonts w:ascii="Arial" w:hAnsi="Arial" w:cs="Arial"/>
          <w:b/>
          <w:bCs/>
          <w:sz w:val="19"/>
          <w:szCs w:val="19"/>
          <w:u w:val="single"/>
        </w:rPr>
      </w:pPr>
      <w:r w:rsidRPr="007F2943">
        <w:rPr>
          <w:rFonts w:ascii="Arial" w:hAnsi="Arial" w:cs="Arial"/>
          <w:b/>
          <w:bCs/>
          <w:sz w:val="19"/>
          <w:szCs w:val="19"/>
          <w:u w:val="single"/>
        </w:rPr>
        <w:t>15</w:t>
      </w:r>
      <w:r w:rsidRPr="00C018D1">
        <w:rPr>
          <w:rFonts w:ascii="Arial" w:hAnsi="Arial" w:cs="Arial"/>
          <w:b/>
          <w:bCs/>
          <w:sz w:val="19"/>
          <w:szCs w:val="19"/>
          <w:u w:val="single"/>
        </w:rPr>
        <w:t>.</w:t>
      </w:r>
      <w:r w:rsidRPr="000D7A57">
        <w:rPr>
          <w:rFonts w:ascii="Arial" w:hAnsi="Arial" w:cs="Arial"/>
          <w:b/>
          <w:bCs/>
          <w:sz w:val="19"/>
          <w:szCs w:val="19"/>
          <w:u w:val="single"/>
        </w:rPr>
        <w:t xml:space="preserve"> </w:t>
      </w:r>
      <w:bookmarkStart w:id="14" w:name="_Hlk122007406"/>
      <w:r w:rsidR="00030054" w:rsidRPr="000D7A57">
        <w:rPr>
          <w:rFonts w:ascii="Arial" w:hAnsi="Arial" w:cs="Arial"/>
          <w:b/>
          <w:bCs/>
          <w:sz w:val="19"/>
          <w:szCs w:val="19"/>
          <w:u w:val="single"/>
        </w:rPr>
        <w:t>High-irradiance cycling and dynamic beam switching experiments</w:t>
      </w:r>
      <w:bookmarkEnd w:id="14"/>
    </w:p>
    <w:p w14:paraId="7CEFC944" w14:textId="23144199" w:rsidR="00030054" w:rsidRPr="007F2943" w:rsidRDefault="00030054" w:rsidP="005D544D">
      <w:pPr>
        <w:spacing w:after="0"/>
        <w:jc w:val="both"/>
        <w:rPr>
          <w:rFonts w:ascii="Arial" w:hAnsi="Arial" w:cs="Arial"/>
          <w:sz w:val="19"/>
          <w:szCs w:val="19"/>
        </w:rPr>
      </w:pPr>
      <w:r w:rsidRPr="007F2943">
        <w:rPr>
          <w:rFonts w:ascii="Arial" w:hAnsi="Arial" w:cs="Arial"/>
          <w:sz w:val="19"/>
          <w:szCs w:val="19"/>
        </w:rPr>
        <w:t>Ideally</w:t>
      </w:r>
      <w:r w:rsidRPr="00A468CF">
        <w:rPr>
          <w:rFonts w:ascii="Arial" w:hAnsi="Arial" w:cs="Arial"/>
          <w:sz w:val="19"/>
          <w:szCs w:val="19"/>
        </w:rPr>
        <w:t xml:space="preserve">, we </w:t>
      </w:r>
      <w:r w:rsidR="00E47691" w:rsidRPr="00A468CF">
        <w:rPr>
          <w:rFonts w:ascii="Arial" w:hAnsi="Arial" w:cs="Arial"/>
          <w:sz w:val="19"/>
          <w:szCs w:val="19"/>
        </w:rPr>
        <w:t>would like to perform dynamic beam switching experiments upon high irradiance illumination.</w:t>
      </w:r>
    </w:p>
    <w:p w14:paraId="72B9E2B8" w14:textId="6F41F617" w:rsidR="00030054" w:rsidRPr="00A468CF" w:rsidRDefault="00E47691" w:rsidP="00E47691">
      <w:pPr>
        <w:spacing w:after="0"/>
        <w:contextualSpacing/>
        <w:jc w:val="both"/>
        <w:rPr>
          <w:rFonts w:ascii="Arial" w:hAnsi="Arial" w:cs="Arial"/>
          <w:sz w:val="19"/>
          <w:szCs w:val="19"/>
        </w:rPr>
      </w:pPr>
      <w:r w:rsidRPr="00A468CF">
        <w:rPr>
          <w:rFonts w:ascii="Arial" w:hAnsi="Arial" w:cs="Arial"/>
          <w:sz w:val="19"/>
          <w:szCs w:val="19"/>
        </w:rPr>
        <w:t>However,</w:t>
      </w:r>
      <w:r w:rsidR="00030054" w:rsidRPr="00A468CF">
        <w:rPr>
          <w:rFonts w:ascii="Arial" w:hAnsi="Arial" w:cs="Arial"/>
          <w:sz w:val="19"/>
          <w:szCs w:val="19"/>
        </w:rPr>
        <w:t xml:space="preserve"> for beam steering and phase measurements, a large area of the metasurface needs to be illuminated. Due to limited optical power at the output of the erbium doped fiber amplifier (EDFA), we are not able to perform direct beam steering and phase measurements upon high irradiance illumination. On the other hand, when performing reflectance measurements, we have been able to achieve high irradiances due to focusing of laser light down to the spot of 7 µm in diameter onto the sample.</w:t>
      </w:r>
    </w:p>
    <w:p w14:paraId="68D2A07D" w14:textId="6B126A27" w:rsidR="00030054" w:rsidRPr="00A468CF" w:rsidRDefault="00030054" w:rsidP="00E47691">
      <w:pPr>
        <w:spacing w:after="0"/>
        <w:ind w:firstLine="720"/>
        <w:contextualSpacing/>
        <w:jc w:val="both"/>
        <w:rPr>
          <w:rFonts w:ascii="Arial" w:hAnsi="Arial" w:cs="Arial"/>
          <w:sz w:val="19"/>
          <w:szCs w:val="19"/>
        </w:rPr>
      </w:pPr>
      <w:r w:rsidRPr="00A468CF">
        <w:rPr>
          <w:rFonts w:ascii="Arial" w:hAnsi="Arial" w:cs="Arial"/>
          <w:sz w:val="19"/>
          <w:szCs w:val="19"/>
        </w:rPr>
        <w:t>Indeed, to perform beam switching experiments, we illuminate at least ten grating periods. In our current samples, 12 metasurface elements are electrically connected via a single electrode. Thus, for a two-level grating, the minimal grating period is 2 x 12 x 0.4 μm=9.6 μm (where 0.4 μm is the period of our metasurface). To observe switchable diffraction, we illuminate at least 10 grating periods, and, hence, our spot size is 100 μm in diameter. Because of th</w:t>
      </w:r>
      <w:r w:rsidR="003F7BC5">
        <w:rPr>
          <w:rFonts w:ascii="Arial" w:hAnsi="Arial" w:cs="Arial"/>
          <w:sz w:val="19"/>
          <w:szCs w:val="19"/>
        </w:rPr>
        <w:t>is</w:t>
      </w:r>
      <w:r w:rsidRPr="00A468CF">
        <w:rPr>
          <w:rFonts w:ascii="Arial" w:hAnsi="Arial" w:cs="Arial"/>
          <w:sz w:val="19"/>
          <w:szCs w:val="19"/>
        </w:rPr>
        <w:t xml:space="preserve"> large required spot, we are not able to achieve high irradiances. Similarly, our phase shift measurement procedure requires illuminating the sample with a collimated beam and using the light reflected from the Au back plane as a reference to measure the shift of interference fringes. Thus, performing phase shift measurements upon focused light illumination is not optimal.</w:t>
      </w:r>
    </w:p>
    <w:p w14:paraId="6A40D76B" w14:textId="77777777" w:rsidR="00D96DF8" w:rsidRPr="00D96DF8" w:rsidRDefault="00D96DF8" w:rsidP="00030054">
      <w:pPr>
        <w:jc w:val="both"/>
        <w:rPr>
          <w:rFonts w:ascii="Arial" w:hAnsi="Arial" w:cs="Arial"/>
          <w:sz w:val="6"/>
          <w:szCs w:val="6"/>
        </w:rPr>
      </w:pPr>
    </w:p>
    <w:p w14:paraId="564F25D7" w14:textId="70117EF8" w:rsidR="00030054" w:rsidRPr="00A468CF" w:rsidRDefault="00030054" w:rsidP="00030054">
      <w:pPr>
        <w:jc w:val="both"/>
        <w:rPr>
          <w:rFonts w:ascii="Arial" w:hAnsi="Arial" w:cs="Arial"/>
          <w:sz w:val="19"/>
          <w:szCs w:val="19"/>
        </w:rPr>
      </w:pPr>
      <w:r w:rsidRPr="00A468CF">
        <w:rPr>
          <w:rFonts w:ascii="Arial" w:hAnsi="Arial" w:cs="Arial"/>
          <w:sz w:val="19"/>
          <w:szCs w:val="19"/>
        </w:rPr>
        <w:t>In summary, we performed the following measurements on the sample:</w:t>
      </w:r>
    </w:p>
    <w:p w14:paraId="356B83B2" w14:textId="1488AC4F" w:rsidR="00030054" w:rsidRPr="00A468CF" w:rsidRDefault="00030054" w:rsidP="00030054">
      <w:pPr>
        <w:pStyle w:val="ListParagraph"/>
        <w:numPr>
          <w:ilvl w:val="0"/>
          <w:numId w:val="4"/>
        </w:numPr>
        <w:jc w:val="both"/>
        <w:rPr>
          <w:rFonts w:ascii="Arial" w:hAnsi="Arial" w:cs="Arial"/>
          <w:sz w:val="19"/>
          <w:szCs w:val="19"/>
        </w:rPr>
      </w:pPr>
      <w:r w:rsidRPr="00A468CF">
        <w:rPr>
          <w:rFonts w:ascii="Arial" w:hAnsi="Arial" w:cs="Arial"/>
          <w:sz w:val="19"/>
          <w:szCs w:val="19"/>
        </w:rPr>
        <w:t>First, we performed reflectance, phase shift, and diffractive switching measurements upon low irradiance illumination when no amplification was applied</w:t>
      </w:r>
      <w:r w:rsidR="00E47691" w:rsidRPr="00A468CF">
        <w:rPr>
          <w:rFonts w:ascii="Arial" w:hAnsi="Arial" w:cs="Arial"/>
          <w:sz w:val="19"/>
          <w:szCs w:val="19"/>
        </w:rPr>
        <w:t>.</w:t>
      </w:r>
      <w:r w:rsidRPr="00A468CF">
        <w:rPr>
          <w:rFonts w:ascii="Arial" w:hAnsi="Arial" w:cs="Arial"/>
          <w:sz w:val="19"/>
          <w:szCs w:val="19"/>
        </w:rPr>
        <w:t xml:space="preserve"> (Fig</w:t>
      </w:r>
      <w:r w:rsidR="005A001A" w:rsidRPr="00A468CF">
        <w:rPr>
          <w:rFonts w:ascii="Arial" w:hAnsi="Arial" w:cs="Arial"/>
          <w:sz w:val="19"/>
          <w:szCs w:val="19"/>
        </w:rPr>
        <w:t>ures</w:t>
      </w:r>
      <w:r w:rsidRPr="00A468CF">
        <w:rPr>
          <w:rFonts w:ascii="Arial" w:hAnsi="Arial" w:cs="Arial"/>
          <w:sz w:val="19"/>
          <w:szCs w:val="19"/>
        </w:rPr>
        <w:t xml:space="preserve"> </w:t>
      </w:r>
      <w:r w:rsidR="00E47691" w:rsidRPr="00A468CF">
        <w:rPr>
          <w:rFonts w:ascii="Arial" w:hAnsi="Arial" w:cs="Arial"/>
          <w:sz w:val="19"/>
          <w:szCs w:val="19"/>
        </w:rPr>
        <w:t>5c</w:t>
      </w:r>
      <w:r w:rsidRPr="00A468CF">
        <w:rPr>
          <w:rFonts w:ascii="Arial" w:hAnsi="Arial" w:cs="Arial"/>
          <w:sz w:val="19"/>
          <w:szCs w:val="19"/>
        </w:rPr>
        <w:t xml:space="preserve"> and </w:t>
      </w:r>
      <w:r w:rsidR="00241B8B" w:rsidRPr="00A468CF">
        <w:rPr>
          <w:rFonts w:ascii="Arial" w:hAnsi="Arial" w:cs="Arial"/>
          <w:sz w:val="19"/>
          <w:szCs w:val="19"/>
        </w:rPr>
        <w:t>S2</w:t>
      </w:r>
      <w:r w:rsidR="00463F10">
        <w:rPr>
          <w:rFonts w:ascii="Arial" w:hAnsi="Arial" w:cs="Arial"/>
          <w:sz w:val="19"/>
          <w:szCs w:val="19"/>
        </w:rPr>
        <w:t>1</w:t>
      </w:r>
      <w:r w:rsidR="00241B8B" w:rsidRPr="00A468CF">
        <w:rPr>
          <w:rFonts w:ascii="Arial" w:hAnsi="Arial" w:cs="Arial"/>
          <w:sz w:val="19"/>
          <w:szCs w:val="19"/>
        </w:rPr>
        <w:t>a, S2</w:t>
      </w:r>
      <w:r w:rsidR="00463F10">
        <w:rPr>
          <w:rFonts w:ascii="Arial" w:hAnsi="Arial" w:cs="Arial"/>
          <w:sz w:val="19"/>
          <w:szCs w:val="19"/>
        </w:rPr>
        <w:t>1</w:t>
      </w:r>
      <w:r w:rsidR="00241B8B" w:rsidRPr="00A468CF">
        <w:rPr>
          <w:rFonts w:ascii="Arial" w:hAnsi="Arial" w:cs="Arial"/>
          <w:sz w:val="19"/>
          <w:szCs w:val="19"/>
        </w:rPr>
        <w:t>b</w:t>
      </w:r>
      <w:r w:rsidRPr="00A468CF">
        <w:rPr>
          <w:rFonts w:ascii="Arial" w:hAnsi="Arial" w:cs="Arial"/>
          <w:sz w:val="19"/>
          <w:szCs w:val="19"/>
        </w:rPr>
        <w:t>).</w:t>
      </w:r>
    </w:p>
    <w:p w14:paraId="78A80E4A" w14:textId="66872FA0" w:rsidR="00030054" w:rsidRPr="00A468CF" w:rsidRDefault="00030054" w:rsidP="00030054">
      <w:pPr>
        <w:pStyle w:val="ListParagraph"/>
        <w:numPr>
          <w:ilvl w:val="0"/>
          <w:numId w:val="4"/>
        </w:numPr>
        <w:jc w:val="both"/>
        <w:rPr>
          <w:rFonts w:ascii="Arial" w:hAnsi="Arial" w:cs="Arial"/>
          <w:sz w:val="19"/>
          <w:szCs w:val="19"/>
        </w:rPr>
      </w:pPr>
      <w:r w:rsidRPr="00A468CF">
        <w:rPr>
          <w:rFonts w:ascii="Arial" w:hAnsi="Arial" w:cs="Arial"/>
          <w:sz w:val="19"/>
          <w:szCs w:val="19"/>
        </w:rPr>
        <w:t>Then we focused light down to a diameter of 7 µm and measured reflectance as a function of voltage at irradiance values of 1.6 kW/cm</w:t>
      </w:r>
      <w:r w:rsidRPr="00A468CF">
        <w:rPr>
          <w:rFonts w:ascii="Arial" w:hAnsi="Arial" w:cs="Arial"/>
          <w:sz w:val="19"/>
          <w:szCs w:val="19"/>
          <w:vertAlign w:val="superscript"/>
        </w:rPr>
        <w:t>2</w:t>
      </w:r>
      <w:r w:rsidRPr="00A468CF">
        <w:rPr>
          <w:rFonts w:ascii="Arial" w:hAnsi="Arial" w:cs="Arial"/>
          <w:sz w:val="19"/>
          <w:szCs w:val="19"/>
        </w:rPr>
        <w:t>, 4.9 kW/cm</w:t>
      </w:r>
      <w:r w:rsidRPr="00A468CF">
        <w:rPr>
          <w:rFonts w:ascii="Arial" w:hAnsi="Arial" w:cs="Arial"/>
          <w:sz w:val="19"/>
          <w:szCs w:val="19"/>
          <w:vertAlign w:val="superscript"/>
        </w:rPr>
        <w:t>2</w:t>
      </w:r>
      <w:r w:rsidRPr="00A468CF">
        <w:rPr>
          <w:rFonts w:ascii="Arial" w:hAnsi="Arial" w:cs="Arial"/>
          <w:sz w:val="19"/>
          <w:szCs w:val="19"/>
        </w:rPr>
        <w:t>, and 9.1 kW/cm</w:t>
      </w:r>
      <w:r w:rsidRPr="00A468CF">
        <w:rPr>
          <w:rFonts w:ascii="Arial" w:hAnsi="Arial" w:cs="Arial"/>
          <w:sz w:val="19"/>
          <w:szCs w:val="19"/>
          <w:vertAlign w:val="superscript"/>
        </w:rPr>
        <w:t>2</w:t>
      </w:r>
      <w:r w:rsidRPr="00A468CF">
        <w:rPr>
          <w:rFonts w:ascii="Arial" w:hAnsi="Arial" w:cs="Arial"/>
          <w:sz w:val="19"/>
          <w:szCs w:val="19"/>
        </w:rPr>
        <w:t xml:space="preserve"> (Fig</w:t>
      </w:r>
      <w:r w:rsidR="005A001A" w:rsidRPr="00A468CF">
        <w:rPr>
          <w:rFonts w:ascii="Arial" w:hAnsi="Arial" w:cs="Arial"/>
          <w:sz w:val="19"/>
          <w:szCs w:val="19"/>
        </w:rPr>
        <w:t>ure</w:t>
      </w:r>
      <w:r w:rsidRPr="00A468CF">
        <w:rPr>
          <w:rFonts w:ascii="Arial" w:hAnsi="Arial" w:cs="Arial"/>
          <w:sz w:val="19"/>
          <w:szCs w:val="19"/>
        </w:rPr>
        <w:t xml:space="preserve"> </w:t>
      </w:r>
      <w:r w:rsidR="00241B8B" w:rsidRPr="00A468CF">
        <w:rPr>
          <w:rFonts w:ascii="Arial" w:hAnsi="Arial" w:cs="Arial"/>
          <w:sz w:val="19"/>
          <w:szCs w:val="19"/>
        </w:rPr>
        <w:t>5d</w:t>
      </w:r>
      <w:r w:rsidRPr="00A468CF">
        <w:rPr>
          <w:rFonts w:ascii="Arial" w:hAnsi="Arial" w:cs="Arial"/>
          <w:sz w:val="19"/>
          <w:szCs w:val="19"/>
        </w:rPr>
        <w:t>).</w:t>
      </w:r>
    </w:p>
    <w:p w14:paraId="623929C9" w14:textId="5A4700EE" w:rsidR="00030054" w:rsidRPr="00A468CF" w:rsidRDefault="00030054" w:rsidP="00030054">
      <w:pPr>
        <w:pStyle w:val="ListParagraph"/>
        <w:numPr>
          <w:ilvl w:val="0"/>
          <w:numId w:val="4"/>
        </w:numPr>
        <w:jc w:val="both"/>
        <w:rPr>
          <w:rFonts w:ascii="Arial" w:hAnsi="Arial" w:cs="Arial"/>
          <w:sz w:val="19"/>
          <w:szCs w:val="19"/>
        </w:rPr>
      </w:pPr>
      <w:r w:rsidRPr="00A468CF">
        <w:rPr>
          <w:rFonts w:ascii="Arial" w:hAnsi="Arial" w:cs="Arial"/>
          <w:sz w:val="19"/>
          <w:szCs w:val="19"/>
        </w:rPr>
        <w:t>We repeated phase shift and switchable diffraction measurements (Fig</w:t>
      </w:r>
      <w:r w:rsidR="005A001A" w:rsidRPr="00A468CF">
        <w:rPr>
          <w:rFonts w:ascii="Arial" w:hAnsi="Arial" w:cs="Arial"/>
          <w:sz w:val="19"/>
          <w:szCs w:val="19"/>
        </w:rPr>
        <w:t>ure</w:t>
      </w:r>
      <w:r w:rsidRPr="00A468CF">
        <w:rPr>
          <w:rFonts w:ascii="Arial" w:hAnsi="Arial" w:cs="Arial"/>
          <w:sz w:val="19"/>
          <w:szCs w:val="19"/>
        </w:rPr>
        <w:t xml:space="preserve"> </w:t>
      </w:r>
      <w:r w:rsidR="00C54C37" w:rsidRPr="00A468CF">
        <w:rPr>
          <w:rFonts w:ascii="Arial" w:hAnsi="Arial" w:cs="Arial"/>
          <w:sz w:val="19"/>
          <w:szCs w:val="19"/>
        </w:rPr>
        <w:t>S2</w:t>
      </w:r>
      <w:r w:rsidR="00463F10">
        <w:rPr>
          <w:rFonts w:ascii="Arial" w:hAnsi="Arial" w:cs="Arial"/>
          <w:sz w:val="19"/>
          <w:szCs w:val="19"/>
        </w:rPr>
        <w:t>2</w:t>
      </w:r>
      <w:r w:rsidRPr="00A468CF">
        <w:rPr>
          <w:rFonts w:ascii="Arial" w:hAnsi="Arial" w:cs="Arial"/>
          <w:sz w:val="19"/>
          <w:szCs w:val="19"/>
        </w:rPr>
        <w:t>).</w:t>
      </w:r>
    </w:p>
    <w:p w14:paraId="4604FC6E" w14:textId="77777777" w:rsidR="00030054" w:rsidRPr="00A468CF" w:rsidRDefault="00030054" w:rsidP="00030054">
      <w:pPr>
        <w:pStyle w:val="ListParagraph"/>
        <w:numPr>
          <w:ilvl w:val="0"/>
          <w:numId w:val="4"/>
        </w:numPr>
        <w:jc w:val="both"/>
        <w:rPr>
          <w:rFonts w:ascii="Arial" w:hAnsi="Arial" w:cs="Arial"/>
          <w:sz w:val="19"/>
          <w:szCs w:val="19"/>
        </w:rPr>
      </w:pPr>
      <w:r w:rsidRPr="00A468CF">
        <w:rPr>
          <w:rFonts w:ascii="Arial" w:hAnsi="Arial" w:cs="Arial"/>
          <w:sz w:val="19"/>
          <w:szCs w:val="19"/>
        </w:rPr>
        <w:t>We performed high-power cycling. In our cycling experiments, we select three distinct spots on the metasurface. We focused light onto each of the selected metasurface areas down to the spot of 7 µm in diameter and illuminated each spot with a laser beam, which has an irradiance of 9.1 kW/cm</w:t>
      </w:r>
      <w:r w:rsidRPr="00A468CF">
        <w:rPr>
          <w:rFonts w:ascii="Arial" w:hAnsi="Arial" w:cs="Arial"/>
          <w:sz w:val="19"/>
          <w:szCs w:val="19"/>
          <w:vertAlign w:val="superscript"/>
        </w:rPr>
        <w:t>2</w:t>
      </w:r>
      <w:r w:rsidRPr="00A468CF">
        <w:rPr>
          <w:rFonts w:ascii="Arial" w:hAnsi="Arial" w:cs="Arial"/>
          <w:sz w:val="19"/>
          <w:szCs w:val="19"/>
        </w:rPr>
        <w:t>. At each of the selected metasurface spots, we kept the focused light on for 10 s after which it was switched off for 10 s, and this sequence was repeated 20 times.</w:t>
      </w:r>
    </w:p>
    <w:p w14:paraId="4854DDD4" w14:textId="70FB8712" w:rsidR="00030054" w:rsidRPr="00A468CF" w:rsidRDefault="00030054" w:rsidP="00030054">
      <w:pPr>
        <w:pStyle w:val="ListParagraph"/>
        <w:numPr>
          <w:ilvl w:val="0"/>
          <w:numId w:val="4"/>
        </w:numPr>
        <w:jc w:val="both"/>
        <w:rPr>
          <w:rFonts w:ascii="Arial" w:hAnsi="Arial" w:cs="Arial"/>
          <w:sz w:val="19"/>
          <w:szCs w:val="19"/>
        </w:rPr>
      </w:pPr>
      <w:r w:rsidRPr="00A468CF">
        <w:rPr>
          <w:rFonts w:ascii="Arial" w:hAnsi="Arial" w:cs="Arial"/>
          <w:sz w:val="19"/>
          <w:szCs w:val="19"/>
        </w:rPr>
        <w:t>After performing high-power cycling, we remeasured the switchable diffraction upon low power illumination (~0.1 mW) (Fig</w:t>
      </w:r>
      <w:r w:rsidR="005A001A" w:rsidRPr="00A468CF">
        <w:rPr>
          <w:rFonts w:ascii="Arial" w:hAnsi="Arial" w:cs="Arial"/>
          <w:sz w:val="19"/>
          <w:szCs w:val="19"/>
        </w:rPr>
        <w:t>ure</w:t>
      </w:r>
      <w:r w:rsidRPr="00A468CF">
        <w:rPr>
          <w:rFonts w:ascii="Arial" w:hAnsi="Arial" w:cs="Arial"/>
          <w:sz w:val="19"/>
          <w:szCs w:val="19"/>
        </w:rPr>
        <w:t xml:space="preserve"> </w:t>
      </w:r>
      <w:r w:rsidR="00C54C37" w:rsidRPr="00A468CF">
        <w:rPr>
          <w:rFonts w:ascii="Arial" w:hAnsi="Arial" w:cs="Arial"/>
          <w:sz w:val="19"/>
          <w:szCs w:val="19"/>
        </w:rPr>
        <w:t>S2</w:t>
      </w:r>
      <w:r w:rsidR="00463F10">
        <w:rPr>
          <w:rFonts w:ascii="Arial" w:hAnsi="Arial" w:cs="Arial"/>
          <w:sz w:val="19"/>
          <w:szCs w:val="19"/>
        </w:rPr>
        <w:t>3</w:t>
      </w:r>
      <w:r w:rsidRPr="00A468CF">
        <w:rPr>
          <w:rFonts w:ascii="Arial" w:hAnsi="Arial" w:cs="Arial"/>
          <w:sz w:val="19"/>
          <w:szCs w:val="19"/>
        </w:rPr>
        <w:t>).</w:t>
      </w:r>
    </w:p>
    <w:p w14:paraId="4D4D8B94" w14:textId="7495AC42" w:rsidR="00030054" w:rsidRPr="00A468CF" w:rsidRDefault="00030054" w:rsidP="00D96DF8">
      <w:pPr>
        <w:jc w:val="center"/>
        <w:rPr>
          <w:rFonts w:ascii="Arial" w:hAnsi="Arial" w:cs="Arial"/>
          <w:sz w:val="19"/>
          <w:szCs w:val="19"/>
        </w:rPr>
      </w:pPr>
      <w:r w:rsidRPr="00A468CF">
        <w:rPr>
          <w:rFonts w:ascii="Arial" w:hAnsi="Arial" w:cs="Arial"/>
          <w:noProof/>
          <w:sz w:val="19"/>
          <w:szCs w:val="19"/>
        </w:rPr>
        <w:lastRenderedPageBreak/>
        <w:drawing>
          <wp:inline distT="0" distB="0" distL="0" distR="0" wp14:anchorId="23A9DCC3" wp14:editId="5BCD93E1">
            <wp:extent cx="5609645" cy="2530933"/>
            <wp:effectExtent l="0" t="0" r="0" b="3175"/>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7927" cy="2534670"/>
                    </a:xfrm>
                    <a:prstGeom prst="rect">
                      <a:avLst/>
                    </a:prstGeom>
                    <a:noFill/>
                    <a:ln>
                      <a:noFill/>
                    </a:ln>
                  </pic:spPr>
                </pic:pic>
              </a:graphicData>
            </a:graphic>
          </wp:inline>
        </w:drawing>
      </w:r>
    </w:p>
    <w:p w14:paraId="32F0919F" w14:textId="0D0E61ED" w:rsidR="00030054" w:rsidRPr="00A468CF" w:rsidRDefault="00030054" w:rsidP="00030054">
      <w:pPr>
        <w:jc w:val="both"/>
        <w:rPr>
          <w:rFonts w:ascii="Arial" w:hAnsi="Arial" w:cs="Arial"/>
          <w:sz w:val="19"/>
          <w:szCs w:val="19"/>
        </w:rPr>
      </w:pPr>
      <w:r w:rsidRPr="007F2943">
        <w:rPr>
          <w:rFonts w:ascii="Arial" w:hAnsi="Arial" w:cs="Arial"/>
          <w:b/>
          <w:bCs/>
          <w:sz w:val="19"/>
          <w:szCs w:val="19"/>
        </w:rPr>
        <w:t>Fig</w:t>
      </w:r>
      <w:r w:rsidR="00A468CF" w:rsidRPr="007F2943">
        <w:rPr>
          <w:rFonts w:ascii="Arial" w:hAnsi="Arial" w:cs="Arial"/>
          <w:b/>
          <w:bCs/>
          <w:sz w:val="19"/>
          <w:szCs w:val="19"/>
        </w:rPr>
        <w:t>ure</w:t>
      </w:r>
      <w:r w:rsidRPr="007F2943">
        <w:rPr>
          <w:rFonts w:ascii="Arial" w:hAnsi="Arial" w:cs="Arial"/>
          <w:b/>
          <w:bCs/>
          <w:sz w:val="19"/>
          <w:szCs w:val="19"/>
        </w:rPr>
        <w:t xml:space="preserve"> </w:t>
      </w:r>
      <w:r w:rsidR="00463F10" w:rsidRPr="007F2943">
        <w:rPr>
          <w:rFonts w:ascii="Arial" w:hAnsi="Arial" w:cs="Arial"/>
          <w:b/>
          <w:bCs/>
          <w:sz w:val="19"/>
          <w:szCs w:val="19"/>
        </w:rPr>
        <w:t>S21</w:t>
      </w:r>
      <w:r w:rsidRPr="00A468CF">
        <w:rPr>
          <w:rFonts w:ascii="Arial" w:hAnsi="Arial" w:cs="Arial"/>
          <w:sz w:val="19"/>
          <w:szCs w:val="19"/>
        </w:rPr>
        <w:t>. a) Measured phase as a function of voltage at low-irradiance illumination. b) Intensity of the electric field in the far field as a function of the steering angle. At no applied bias, a normally incident beam is specularly reflected (not shown here). When we apply 3 V to every other group of electrically connected metasurface elements and -3 V to adjacent electrically connected metasurface elements (see Figure 5a), we observe switchable diffraction. Both phase shift and switchable diffraction measurements are performed at multiple operating wavelengths specified in the legends of a) and b) (λ=1550 nm, λ=1555 nm, λ=1560 nm, λ=1565 nm). The measured values of the phase shift are as follows: 220</w:t>
      </w:r>
      <w:r w:rsidR="001C4A4A" w:rsidRPr="00A468CF">
        <w:rPr>
          <w:rFonts w:ascii="Arial" w:hAnsi="Arial" w:cs="Arial"/>
          <w:sz w:val="19"/>
          <w:szCs w:val="19"/>
        </w:rPr>
        <w:t xml:space="preserve">° </w:t>
      </w:r>
      <w:r w:rsidRPr="00A468CF">
        <w:rPr>
          <w:rFonts w:ascii="Arial" w:hAnsi="Arial" w:cs="Arial"/>
          <w:sz w:val="19"/>
          <w:szCs w:val="19"/>
        </w:rPr>
        <w:t>at λ=1550 nm, 181° at λ=1555 nm, 140° at λ=1560 nm, 144° at λ=1565 nm.</w:t>
      </w:r>
    </w:p>
    <w:p w14:paraId="321F742A" w14:textId="3921B960" w:rsidR="00030054" w:rsidRPr="00A468CF" w:rsidRDefault="00030054" w:rsidP="00241B8B">
      <w:pPr>
        <w:jc w:val="center"/>
        <w:rPr>
          <w:rFonts w:ascii="Arial" w:hAnsi="Arial" w:cs="Arial"/>
          <w:sz w:val="19"/>
          <w:szCs w:val="19"/>
        </w:rPr>
      </w:pPr>
      <w:r w:rsidRPr="00A468CF">
        <w:rPr>
          <w:rFonts w:ascii="Arial" w:hAnsi="Arial" w:cs="Arial"/>
          <w:noProof/>
          <w:sz w:val="19"/>
          <w:szCs w:val="19"/>
        </w:rPr>
        <w:t xml:space="preserve"> </w:t>
      </w:r>
    </w:p>
    <w:p w14:paraId="7BB838AF" w14:textId="77777777" w:rsidR="00030054" w:rsidRPr="00A468CF" w:rsidRDefault="00030054" w:rsidP="00D96DF8">
      <w:pPr>
        <w:jc w:val="center"/>
        <w:rPr>
          <w:rFonts w:ascii="Arial" w:hAnsi="Arial" w:cs="Arial"/>
          <w:sz w:val="19"/>
          <w:szCs w:val="19"/>
        </w:rPr>
      </w:pPr>
      <w:r w:rsidRPr="00A468CF">
        <w:rPr>
          <w:rFonts w:ascii="Arial" w:hAnsi="Arial" w:cs="Arial"/>
          <w:noProof/>
          <w:sz w:val="19"/>
          <w:szCs w:val="19"/>
        </w:rPr>
        <w:drawing>
          <wp:inline distT="0" distB="0" distL="0" distR="0" wp14:anchorId="4AADF6C0" wp14:editId="627A910D">
            <wp:extent cx="5503560" cy="2287270"/>
            <wp:effectExtent l="0" t="0" r="1905"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2511" cy="2290990"/>
                    </a:xfrm>
                    <a:prstGeom prst="rect">
                      <a:avLst/>
                    </a:prstGeom>
                    <a:noFill/>
                    <a:ln>
                      <a:noFill/>
                    </a:ln>
                  </pic:spPr>
                </pic:pic>
              </a:graphicData>
            </a:graphic>
          </wp:inline>
        </w:drawing>
      </w:r>
    </w:p>
    <w:p w14:paraId="65639213" w14:textId="07387F43" w:rsidR="00030054" w:rsidRPr="00A468CF" w:rsidRDefault="00030054" w:rsidP="00030054">
      <w:pPr>
        <w:jc w:val="both"/>
        <w:rPr>
          <w:rFonts w:ascii="Arial" w:hAnsi="Arial" w:cs="Arial"/>
          <w:sz w:val="19"/>
          <w:szCs w:val="19"/>
        </w:rPr>
      </w:pPr>
      <w:r w:rsidRPr="007F2943">
        <w:rPr>
          <w:rFonts w:ascii="Arial" w:hAnsi="Arial" w:cs="Arial"/>
          <w:b/>
          <w:bCs/>
          <w:sz w:val="19"/>
          <w:szCs w:val="19"/>
        </w:rPr>
        <w:t>Fig</w:t>
      </w:r>
      <w:r w:rsidR="00A468CF" w:rsidRPr="007F2943">
        <w:rPr>
          <w:rFonts w:ascii="Arial" w:hAnsi="Arial" w:cs="Arial"/>
          <w:b/>
          <w:bCs/>
          <w:sz w:val="19"/>
          <w:szCs w:val="19"/>
        </w:rPr>
        <w:t>ure</w:t>
      </w:r>
      <w:r w:rsidRPr="007F2943">
        <w:rPr>
          <w:rFonts w:ascii="Arial" w:hAnsi="Arial" w:cs="Arial"/>
          <w:b/>
          <w:bCs/>
          <w:sz w:val="19"/>
          <w:szCs w:val="19"/>
        </w:rPr>
        <w:t xml:space="preserve"> </w:t>
      </w:r>
      <w:r w:rsidR="00463F10" w:rsidRPr="007F2943">
        <w:rPr>
          <w:rFonts w:ascii="Arial" w:hAnsi="Arial" w:cs="Arial"/>
          <w:b/>
          <w:bCs/>
          <w:sz w:val="19"/>
          <w:szCs w:val="19"/>
        </w:rPr>
        <w:t>S22</w:t>
      </w:r>
      <w:r w:rsidRPr="007F2943">
        <w:rPr>
          <w:rFonts w:ascii="Arial" w:hAnsi="Arial" w:cs="Arial"/>
          <w:b/>
          <w:bCs/>
          <w:sz w:val="19"/>
          <w:szCs w:val="19"/>
        </w:rPr>
        <w:t>.</w:t>
      </w:r>
      <w:r w:rsidRPr="00A468CF">
        <w:rPr>
          <w:rFonts w:ascii="Arial" w:hAnsi="Arial" w:cs="Arial"/>
          <w:sz w:val="19"/>
          <w:szCs w:val="19"/>
        </w:rPr>
        <w:t xml:space="preserve"> Measured phase a) and diffractive switching performance b) after high-irradiance measurements at one spot of the metasurface (see Fig. </w:t>
      </w:r>
      <w:r w:rsidR="00463F10">
        <w:rPr>
          <w:rFonts w:ascii="Arial" w:hAnsi="Arial" w:cs="Arial"/>
          <w:sz w:val="19"/>
          <w:szCs w:val="19"/>
        </w:rPr>
        <w:t>5d</w:t>
      </w:r>
      <w:r w:rsidRPr="00A468CF">
        <w:rPr>
          <w:rFonts w:ascii="Arial" w:hAnsi="Arial" w:cs="Arial"/>
          <w:sz w:val="19"/>
          <w:szCs w:val="19"/>
        </w:rPr>
        <w:t>). These experiments have been performed upon low irradiance (no amplification has been applied). b) Intensity of the electric field in the far field as a function of the steering angle. At no applied bias, a normally incident beam is specularly reflected (not shown here). When we apply 3 V to every other group of electrically connected metasurface elements and -3 V to adjacent electrically connected metasurface elements (see Figure 5a), we observe switchable diffraction. Both phase shift and switchable diffraction measurements are performed at multiple operating wavelengths specifies in the legends of a) and b) (λ=1550 nm, λ=1555 nm, λ=1560 nm, λ=1565 nm). In a), the measured values of the phase shift are as follows: 175° at λ=1550 nm, 169° at λ=1555 nm, 136° at λ=1560 nm, 123° at λ=1565 nm.</w:t>
      </w:r>
    </w:p>
    <w:p w14:paraId="1E13F13B" w14:textId="3055CBD7" w:rsidR="00030054" w:rsidRPr="00A468CF" w:rsidRDefault="00030054" w:rsidP="00030054">
      <w:pPr>
        <w:jc w:val="center"/>
        <w:rPr>
          <w:rFonts w:ascii="Arial" w:hAnsi="Arial" w:cs="Arial"/>
          <w:sz w:val="19"/>
          <w:szCs w:val="19"/>
        </w:rPr>
      </w:pPr>
      <w:r w:rsidRPr="00A468CF">
        <w:rPr>
          <w:rFonts w:ascii="Arial" w:hAnsi="Arial" w:cs="Arial"/>
          <w:noProof/>
          <w:sz w:val="19"/>
          <w:szCs w:val="19"/>
        </w:rPr>
        <w:lastRenderedPageBreak/>
        <w:drawing>
          <wp:inline distT="0" distB="0" distL="0" distR="0" wp14:anchorId="40FF47D0" wp14:editId="1C72D7D2">
            <wp:extent cx="3053080" cy="2528570"/>
            <wp:effectExtent l="0" t="0" r="0" b="5080"/>
            <wp:docPr id="27" name="Picture 2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3080" cy="2528570"/>
                    </a:xfrm>
                    <a:prstGeom prst="rect">
                      <a:avLst/>
                    </a:prstGeom>
                    <a:noFill/>
                    <a:ln>
                      <a:noFill/>
                    </a:ln>
                  </pic:spPr>
                </pic:pic>
              </a:graphicData>
            </a:graphic>
          </wp:inline>
        </w:drawing>
      </w:r>
    </w:p>
    <w:p w14:paraId="7E1A3833" w14:textId="30ED6AC6" w:rsidR="00030054" w:rsidRPr="00A468CF" w:rsidRDefault="00030054" w:rsidP="00030054">
      <w:pPr>
        <w:jc w:val="both"/>
        <w:rPr>
          <w:rFonts w:ascii="Arial" w:hAnsi="Arial" w:cs="Arial"/>
          <w:sz w:val="19"/>
          <w:szCs w:val="19"/>
        </w:rPr>
      </w:pPr>
      <w:r w:rsidRPr="007F2943">
        <w:rPr>
          <w:rFonts w:ascii="Arial" w:hAnsi="Arial" w:cs="Arial"/>
          <w:b/>
          <w:bCs/>
          <w:sz w:val="19"/>
          <w:szCs w:val="19"/>
        </w:rPr>
        <w:t>Fig</w:t>
      </w:r>
      <w:r w:rsidR="00A468CF" w:rsidRPr="007F2943">
        <w:rPr>
          <w:rFonts w:ascii="Arial" w:hAnsi="Arial" w:cs="Arial"/>
          <w:b/>
          <w:bCs/>
          <w:sz w:val="19"/>
          <w:szCs w:val="19"/>
        </w:rPr>
        <w:t>ure</w:t>
      </w:r>
      <w:r w:rsidRPr="007F2943">
        <w:rPr>
          <w:rFonts w:ascii="Arial" w:hAnsi="Arial" w:cs="Arial"/>
          <w:b/>
          <w:bCs/>
          <w:sz w:val="19"/>
          <w:szCs w:val="19"/>
        </w:rPr>
        <w:t xml:space="preserve"> </w:t>
      </w:r>
      <w:r w:rsidR="00463F10" w:rsidRPr="007F2943">
        <w:rPr>
          <w:rFonts w:ascii="Arial" w:hAnsi="Arial" w:cs="Arial"/>
          <w:b/>
          <w:bCs/>
          <w:sz w:val="19"/>
          <w:szCs w:val="19"/>
        </w:rPr>
        <w:t>S23</w:t>
      </w:r>
      <w:r w:rsidRPr="007F2943">
        <w:rPr>
          <w:rFonts w:ascii="Arial" w:hAnsi="Arial" w:cs="Arial"/>
          <w:b/>
          <w:bCs/>
          <w:sz w:val="19"/>
          <w:szCs w:val="19"/>
        </w:rPr>
        <w:t>.</w:t>
      </w:r>
      <w:r w:rsidRPr="00A468CF">
        <w:rPr>
          <w:rFonts w:ascii="Arial" w:hAnsi="Arial" w:cs="Arial"/>
          <w:sz w:val="19"/>
          <w:szCs w:val="19"/>
        </w:rPr>
        <w:t xml:space="preserve">  Intensity of the electric field in the far field as a function of the steering angle at an operating wavelength of λ=1555 nm. Blue curve has been measured before the sample has been subject to high-irradiance illumination. Red curve corresponds to the measurement taken after one spot on the metasurface has been illuminated with a high-irradiance beam and the measurement shown in Fig. 3 was taken. Yellow curve corresponds to the measurement taken after thermal cycling.</w:t>
      </w:r>
    </w:p>
    <w:p w14:paraId="285B9EC5" w14:textId="77777777" w:rsidR="00030054" w:rsidRPr="00A468CF" w:rsidRDefault="00030054" w:rsidP="00030054">
      <w:pPr>
        <w:jc w:val="both"/>
        <w:rPr>
          <w:rFonts w:ascii="Arial" w:hAnsi="Arial" w:cs="Arial"/>
          <w:sz w:val="19"/>
          <w:szCs w:val="19"/>
        </w:rPr>
      </w:pPr>
    </w:p>
    <w:p w14:paraId="73F194D8" w14:textId="0FFEA6CD" w:rsidR="00030054" w:rsidRPr="00A468CF" w:rsidRDefault="00030054" w:rsidP="00C54C37">
      <w:pPr>
        <w:spacing w:after="0"/>
        <w:ind w:firstLine="720"/>
        <w:jc w:val="both"/>
        <w:rPr>
          <w:rFonts w:ascii="Arial" w:hAnsi="Arial" w:cs="Arial"/>
          <w:sz w:val="19"/>
          <w:szCs w:val="19"/>
        </w:rPr>
      </w:pPr>
      <w:r w:rsidRPr="00A468CF">
        <w:rPr>
          <w:rFonts w:ascii="Arial" w:hAnsi="Arial" w:cs="Arial"/>
          <w:sz w:val="19"/>
          <w:szCs w:val="19"/>
        </w:rPr>
        <w:t>We observe that our metasurface exhibits a reflectance minimum at a wavelength of λ=1580 nm (Fig</w:t>
      </w:r>
      <w:r w:rsidR="00781865">
        <w:rPr>
          <w:rFonts w:ascii="Arial" w:hAnsi="Arial" w:cs="Arial"/>
          <w:sz w:val="19"/>
          <w:szCs w:val="19"/>
        </w:rPr>
        <w:t>ure</w:t>
      </w:r>
      <w:r w:rsidRPr="00A468CF">
        <w:rPr>
          <w:rFonts w:ascii="Arial" w:hAnsi="Arial" w:cs="Arial"/>
          <w:sz w:val="19"/>
          <w:szCs w:val="19"/>
        </w:rPr>
        <w:t xml:space="preserve"> </w:t>
      </w:r>
      <w:r w:rsidR="00C54C37" w:rsidRPr="00A468CF">
        <w:rPr>
          <w:rFonts w:ascii="Arial" w:hAnsi="Arial" w:cs="Arial"/>
          <w:sz w:val="19"/>
          <w:szCs w:val="19"/>
        </w:rPr>
        <w:t>5c</w:t>
      </w:r>
      <w:r w:rsidRPr="00A468CF">
        <w:rPr>
          <w:rFonts w:ascii="Arial" w:hAnsi="Arial" w:cs="Arial"/>
          <w:sz w:val="19"/>
          <w:szCs w:val="19"/>
        </w:rPr>
        <w:t>). In our phase measurements, we observe that the largest phase shift (200</w:t>
      </w:r>
      <w:r w:rsidR="00C54C37" w:rsidRPr="00A468CF">
        <w:rPr>
          <w:rFonts w:ascii="Arial" w:hAnsi="Arial" w:cs="Arial"/>
          <w:sz w:val="19"/>
          <w:szCs w:val="19"/>
        </w:rPr>
        <w:t>°</w:t>
      </w:r>
      <w:r w:rsidRPr="00A468CF">
        <w:rPr>
          <w:rFonts w:ascii="Arial" w:hAnsi="Arial" w:cs="Arial"/>
          <w:sz w:val="19"/>
          <w:szCs w:val="19"/>
        </w:rPr>
        <w:t>) is observed at a wavelength of λ=1550 nm (Fig</w:t>
      </w:r>
      <w:r w:rsidR="00781865">
        <w:rPr>
          <w:rFonts w:ascii="Arial" w:hAnsi="Arial" w:cs="Arial"/>
          <w:sz w:val="19"/>
          <w:szCs w:val="19"/>
        </w:rPr>
        <w:t>ure</w:t>
      </w:r>
      <w:r w:rsidRPr="00A468CF">
        <w:rPr>
          <w:rFonts w:ascii="Arial" w:hAnsi="Arial" w:cs="Arial"/>
          <w:sz w:val="19"/>
          <w:szCs w:val="19"/>
        </w:rPr>
        <w:t xml:space="preserve"> </w:t>
      </w:r>
      <w:r w:rsidR="00C54C37" w:rsidRPr="00A468CF">
        <w:rPr>
          <w:rFonts w:ascii="Arial" w:hAnsi="Arial" w:cs="Arial"/>
          <w:sz w:val="19"/>
          <w:szCs w:val="19"/>
        </w:rPr>
        <w:t>S</w:t>
      </w:r>
      <w:r w:rsidRPr="00A468CF">
        <w:rPr>
          <w:rFonts w:ascii="Arial" w:hAnsi="Arial" w:cs="Arial"/>
          <w:sz w:val="19"/>
          <w:szCs w:val="19"/>
        </w:rPr>
        <w:t>2</w:t>
      </w:r>
      <w:r w:rsidR="00463F10">
        <w:rPr>
          <w:rFonts w:ascii="Arial" w:hAnsi="Arial" w:cs="Arial"/>
          <w:sz w:val="19"/>
          <w:szCs w:val="19"/>
        </w:rPr>
        <w:t>1</w:t>
      </w:r>
      <w:r w:rsidRPr="00A468CF">
        <w:rPr>
          <w:rFonts w:ascii="Arial" w:hAnsi="Arial" w:cs="Arial"/>
          <w:sz w:val="19"/>
          <w:szCs w:val="19"/>
        </w:rPr>
        <w:t xml:space="preserve">a). To assess how high-irradiance illumination affects the optical response of the metasurface, we focused the CW laser beam onto the metasurface so that the diameter of the laser spot was 7 μm and measured the reflectance as a function of applied voltage (Figure </w:t>
      </w:r>
      <w:r w:rsidR="00C54C37" w:rsidRPr="00A468CF">
        <w:rPr>
          <w:rFonts w:ascii="Arial" w:hAnsi="Arial" w:cs="Arial"/>
          <w:sz w:val="19"/>
          <w:szCs w:val="19"/>
        </w:rPr>
        <w:t>5d</w:t>
      </w:r>
      <w:r w:rsidRPr="00A468CF">
        <w:rPr>
          <w:rFonts w:ascii="Arial" w:hAnsi="Arial" w:cs="Arial"/>
          <w:sz w:val="19"/>
          <w:szCs w:val="19"/>
        </w:rPr>
        <w:t xml:space="preserve">). </w:t>
      </w:r>
      <w:hyperlink w:anchor="_ENREF_46" w:tooltip="Rogez, 2021 #60" w:history="1"/>
      <w:r w:rsidRPr="00A468CF">
        <w:rPr>
          <w:rFonts w:ascii="Arial" w:hAnsi="Arial" w:cs="Arial"/>
          <w:sz w:val="19"/>
          <w:szCs w:val="19"/>
        </w:rPr>
        <w:t>After performing high-irradiance reflectance measurements, we re-measured gate-tunable phase shift and performed switchable diffraction measurements</w:t>
      </w:r>
      <w:r w:rsidR="00C54C37" w:rsidRPr="00A468CF">
        <w:rPr>
          <w:rFonts w:ascii="Arial" w:hAnsi="Arial" w:cs="Arial"/>
          <w:sz w:val="19"/>
          <w:szCs w:val="19"/>
        </w:rPr>
        <w:t xml:space="preserve"> (Fig</w:t>
      </w:r>
      <w:r w:rsidR="00781865">
        <w:rPr>
          <w:rFonts w:ascii="Arial" w:hAnsi="Arial" w:cs="Arial"/>
          <w:sz w:val="19"/>
          <w:szCs w:val="19"/>
        </w:rPr>
        <w:t>ure</w:t>
      </w:r>
      <w:r w:rsidR="00C54C37" w:rsidRPr="00A468CF">
        <w:rPr>
          <w:rFonts w:ascii="Arial" w:hAnsi="Arial" w:cs="Arial"/>
          <w:sz w:val="19"/>
          <w:szCs w:val="19"/>
        </w:rPr>
        <w:t xml:space="preserve"> S2</w:t>
      </w:r>
      <w:r w:rsidR="00463F10">
        <w:rPr>
          <w:rFonts w:ascii="Arial" w:hAnsi="Arial" w:cs="Arial"/>
          <w:sz w:val="19"/>
          <w:szCs w:val="19"/>
        </w:rPr>
        <w:t>2</w:t>
      </w:r>
      <w:r w:rsidR="00C54C37" w:rsidRPr="00A468CF">
        <w:rPr>
          <w:rFonts w:ascii="Arial" w:hAnsi="Arial" w:cs="Arial"/>
          <w:sz w:val="19"/>
          <w:szCs w:val="19"/>
        </w:rPr>
        <w:t>)</w:t>
      </w:r>
      <w:r w:rsidRPr="00A468CF">
        <w:rPr>
          <w:rFonts w:ascii="Arial" w:hAnsi="Arial" w:cs="Arial"/>
          <w:sz w:val="19"/>
          <w:szCs w:val="19"/>
        </w:rPr>
        <w:t>. We observed that the maximum achievable phase shift had been reduced (Fig</w:t>
      </w:r>
      <w:r w:rsidR="00781865">
        <w:rPr>
          <w:rFonts w:ascii="Arial" w:hAnsi="Arial" w:cs="Arial"/>
          <w:sz w:val="19"/>
          <w:szCs w:val="19"/>
        </w:rPr>
        <w:t>ure</w:t>
      </w:r>
      <w:r w:rsidRPr="00A468CF">
        <w:rPr>
          <w:rFonts w:ascii="Arial" w:hAnsi="Arial" w:cs="Arial"/>
          <w:sz w:val="19"/>
          <w:szCs w:val="19"/>
        </w:rPr>
        <w:t xml:space="preserve"> </w:t>
      </w:r>
      <w:r w:rsidR="00C54C37" w:rsidRPr="00A468CF">
        <w:rPr>
          <w:rFonts w:ascii="Arial" w:hAnsi="Arial" w:cs="Arial"/>
          <w:sz w:val="19"/>
          <w:szCs w:val="19"/>
        </w:rPr>
        <w:t>S2</w:t>
      </w:r>
      <w:r w:rsidR="00463F10">
        <w:rPr>
          <w:rFonts w:ascii="Arial" w:hAnsi="Arial" w:cs="Arial"/>
          <w:sz w:val="19"/>
          <w:szCs w:val="19"/>
        </w:rPr>
        <w:t>2</w:t>
      </w:r>
      <w:r w:rsidR="00C54C37" w:rsidRPr="00A468CF">
        <w:rPr>
          <w:rFonts w:ascii="Arial" w:hAnsi="Arial" w:cs="Arial"/>
          <w:sz w:val="19"/>
          <w:szCs w:val="19"/>
        </w:rPr>
        <w:t>a</w:t>
      </w:r>
      <w:r w:rsidRPr="00A468CF">
        <w:rPr>
          <w:rFonts w:ascii="Arial" w:hAnsi="Arial" w:cs="Arial"/>
          <w:sz w:val="19"/>
          <w:szCs w:val="19"/>
        </w:rPr>
        <w:t>). The switchable diffraction pattern, on the other hand, did not noticeably change</w:t>
      </w:r>
      <w:r w:rsidR="00C54C37" w:rsidRPr="00A468CF">
        <w:rPr>
          <w:rFonts w:ascii="Arial" w:hAnsi="Arial" w:cs="Arial"/>
          <w:sz w:val="19"/>
          <w:szCs w:val="19"/>
        </w:rPr>
        <w:t xml:space="preserve"> (Fig</w:t>
      </w:r>
      <w:r w:rsidR="00781865">
        <w:rPr>
          <w:rFonts w:ascii="Arial" w:hAnsi="Arial" w:cs="Arial"/>
          <w:sz w:val="19"/>
          <w:szCs w:val="19"/>
        </w:rPr>
        <w:t>ure</w:t>
      </w:r>
      <w:r w:rsidR="00C54C37" w:rsidRPr="00A468CF">
        <w:rPr>
          <w:rFonts w:ascii="Arial" w:hAnsi="Arial" w:cs="Arial"/>
          <w:sz w:val="19"/>
          <w:szCs w:val="19"/>
        </w:rPr>
        <w:t xml:space="preserve"> S2</w:t>
      </w:r>
      <w:r w:rsidR="00463F10">
        <w:rPr>
          <w:rFonts w:ascii="Arial" w:hAnsi="Arial" w:cs="Arial"/>
          <w:sz w:val="19"/>
          <w:szCs w:val="19"/>
        </w:rPr>
        <w:t>2</w:t>
      </w:r>
      <w:r w:rsidR="00C54C37" w:rsidRPr="00A468CF">
        <w:rPr>
          <w:rFonts w:ascii="Arial" w:hAnsi="Arial" w:cs="Arial"/>
          <w:sz w:val="19"/>
          <w:szCs w:val="19"/>
        </w:rPr>
        <w:t>b).</w:t>
      </w:r>
      <w:r w:rsidRPr="00A468CF">
        <w:rPr>
          <w:rFonts w:ascii="Arial" w:hAnsi="Arial" w:cs="Arial"/>
          <w:sz w:val="19"/>
          <w:szCs w:val="19"/>
        </w:rPr>
        <w:t xml:space="preserve"> We have previously observed the reduction of the maximal achievable phase shift at each consecutive measurement that was reported in the Supplementary Information of our prior work </w:t>
      </w:r>
      <w:r w:rsidRPr="00A468CF">
        <w:rPr>
          <w:rFonts w:ascii="Arial" w:hAnsi="Arial" w:cs="Arial"/>
          <w:sz w:val="19"/>
          <w:szCs w:val="19"/>
        </w:rPr>
        <w:fldChar w:fldCharType="begin"/>
      </w:r>
      <w:r w:rsidRPr="00A468CF">
        <w:rPr>
          <w:rFonts w:ascii="Arial" w:hAnsi="Arial" w:cs="Arial"/>
          <w:sz w:val="19"/>
          <w:szCs w:val="19"/>
        </w:rPr>
        <w:instrText xml:space="preserve"> ADDIN EN.CITE &lt;EndNote&gt;&lt;Cite&gt;&lt;Author&gt;Thureja&lt;/Author&gt;&lt;Year&gt;2020&lt;/Year&gt;&lt;RecNum&gt;3&lt;/RecNum&gt;&lt;DisplayText&gt;&lt;style face="superscript"&gt;1&lt;/style&gt;&lt;/DisplayText&gt;&lt;record&gt;&lt;rec-number&gt;3&lt;/rec-number&gt;&lt;foreign-keys&gt;&lt;key app="EN" db-id="5fstvsvwlsw9xrevztg5wtwxepvrterae0pe" timestamp="1613505458"&gt;3&lt;/key&gt;&lt;/foreign-keys&gt;&lt;ref-type name="Journal Article"&gt;17&lt;/ref-type&gt;&lt;contributors&gt;&lt;authors&gt;&lt;author&gt;Thureja, Prachi&lt;/author&gt;&lt;author&gt;Shirmanesh, Ghazaleh Kafaie&lt;/author&gt;&lt;author&gt;Fountaine, Katherine T.&lt;/author&gt;&lt;author&gt;Sokhoyan, Ruzan&lt;/author&gt;&lt;author&gt;Grajower, Meir&lt;/author&gt;&lt;author&gt;Atwater, Harry A.&lt;/author&gt;&lt;/authors&gt;&lt;/contributors&gt;&lt;titles&gt;&lt;title&gt;Array-Level Inverse Design of Beam Steering Active Metasurfaces&lt;/title&gt;&lt;secondary-title&gt;ACS Nano&lt;/secondary-title&gt;&lt;/titles&gt;&lt;periodical&gt;&lt;full-title&gt;ACS Nano&lt;/full-title&gt;&lt;/periodical&gt;&lt;pages&gt;15042-15055&lt;/pages&gt;&lt;volume&gt;14&lt;/volume&gt;&lt;number&gt;11&lt;/number&gt;&lt;dates&gt;&lt;year&gt;2020&lt;/year&gt;&lt;pub-dates&gt;&lt;date&gt;2020/11/24&lt;/date&gt;&lt;/pub-dates&gt;&lt;/dates&gt;&lt;publisher&gt;American Chemical Society&lt;/publisher&gt;&lt;isbn&gt;1936-0851&lt;/isbn&gt;&lt;urls&gt;&lt;related-urls&gt;&lt;url&gt;https://doi.org/10.1021/acsnano.0c05026&lt;/url&gt;&lt;/related-urls&gt;&lt;/urls&gt;&lt;electronic-resource-num&gt;10.1021/acsnano.0c05026&lt;/electronic-resource-num&gt;&lt;/record&gt;&lt;/Cite&gt;&lt;/EndNote&gt;</w:instrText>
      </w:r>
      <w:r w:rsidRPr="00A468CF">
        <w:rPr>
          <w:rFonts w:ascii="Arial" w:hAnsi="Arial" w:cs="Arial"/>
          <w:sz w:val="19"/>
          <w:szCs w:val="19"/>
        </w:rPr>
        <w:fldChar w:fldCharType="separate"/>
      </w:r>
      <w:r w:rsidRPr="00A468CF">
        <w:rPr>
          <w:rFonts w:ascii="Arial" w:hAnsi="Arial" w:cs="Arial"/>
          <w:noProof/>
          <w:sz w:val="19"/>
          <w:szCs w:val="19"/>
          <w:vertAlign w:val="superscript"/>
        </w:rPr>
        <w:t>1</w:t>
      </w:r>
      <w:r w:rsidRPr="00A468CF">
        <w:rPr>
          <w:rFonts w:ascii="Arial" w:hAnsi="Arial" w:cs="Arial"/>
          <w:sz w:val="19"/>
          <w:szCs w:val="19"/>
        </w:rPr>
        <w:fldChar w:fldCharType="end"/>
      </w:r>
      <w:r w:rsidRPr="00A468CF">
        <w:rPr>
          <w:rFonts w:ascii="Arial" w:hAnsi="Arial" w:cs="Arial"/>
          <w:sz w:val="19"/>
          <w:szCs w:val="19"/>
        </w:rPr>
        <w:t xml:space="preserve">. We hypothesized that applying bias to the metasurface degrades the gate dielectric giving rise to the pinholes. Based on this, we conclude that it is highly unlikely that the observed reduction of the phase shift is a result of the high irradiance illumination of the metasurface. </w:t>
      </w:r>
    </w:p>
    <w:p w14:paraId="77B69660" w14:textId="3751C4E4" w:rsidR="00D96DF8" w:rsidRDefault="00030054" w:rsidP="00783295">
      <w:pPr>
        <w:spacing w:after="0"/>
        <w:ind w:firstLine="720"/>
        <w:jc w:val="both"/>
        <w:rPr>
          <w:rFonts w:ascii="Arial" w:hAnsi="Arial" w:cs="Arial"/>
          <w:sz w:val="19"/>
          <w:szCs w:val="19"/>
          <w:shd w:val="clear" w:color="auto" w:fill="FFFFFF"/>
        </w:rPr>
      </w:pPr>
      <w:r w:rsidRPr="00A468CF">
        <w:rPr>
          <w:rFonts w:ascii="Arial" w:hAnsi="Arial" w:cs="Arial"/>
          <w:sz w:val="19"/>
          <w:szCs w:val="19"/>
        </w:rPr>
        <w:t xml:space="preserve">Next, we performed high-irradiance cycling on the metasurface. </w:t>
      </w:r>
      <w:r w:rsidRPr="00A468CF">
        <w:rPr>
          <w:rFonts w:ascii="Arial" w:hAnsi="Arial" w:cs="Arial"/>
          <w:sz w:val="19"/>
          <w:szCs w:val="19"/>
          <w:shd w:val="clear" w:color="auto" w:fill="FFFFFF"/>
        </w:rPr>
        <w:t>We selected three distinct areas on the metasurface and illuminated these areas with a focused laser beam with a maximal irradiance of 9.1 kW/cm</w:t>
      </w:r>
      <w:r w:rsidRPr="00A468CF">
        <w:rPr>
          <w:rFonts w:ascii="Arial" w:hAnsi="Arial" w:cs="Arial"/>
          <w:sz w:val="19"/>
          <w:szCs w:val="19"/>
          <w:shd w:val="clear" w:color="auto" w:fill="FFFFFF"/>
          <w:vertAlign w:val="superscript"/>
        </w:rPr>
        <w:t>2</w:t>
      </w:r>
      <w:r w:rsidRPr="00A468CF">
        <w:rPr>
          <w:rFonts w:ascii="Arial" w:hAnsi="Arial" w:cs="Arial"/>
          <w:sz w:val="19"/>
          <w:szCs w:val="19"/>
          <w:shd w:val="clear" w:color="auto" w:fill="FFFFFF"/>
        </w:rPr>
        <w:t xml:space="preserve">. Then we blocked (for 10 s) and unblocked (for 10 s) the light path with an opaque object 20 times, thus performing 20 heat/cool cycles at each of the selected areas. Next, we used the metasurface sample to demonstrate switchable diffraction by using a two-level phase grating approach at an operating wavelength of </w:t>
      </w:r>
      <w:r w:rsidRPr="00A468CF">
        <w:rPr>
          <w:rFonts w:ascii="Arial" w:hAnsi="Arial" w:cs="Arial"/>
          <w:sz w:val="19"/>
          <w:szCs w:val="19"/>
        </w:rPr>
        <w:t>λ=1555 nm</w:t>
      </w:r>
      <w:r w:rsidRPr="00A468CF">
        <w:rPr>
          <w:rFonts w:ascii="Arial" w:hAnsi="Arial" w:cs="Arial"/>
          <w:sz w:val="19"/>
          <w:szCs w:val="19"/>
          <w:shd w:val="clear" w:color="auto" w:fill="FFFFFF"/>
        </w:rPr>
        <w:t xml:space="preserve"> and at low irradiance when no amplification has been applied (Fig</w:t>
      </w:r>
      <w:r w:rsidR="00D96DF8">
        <w:rPr>
          <w:rFonts w:ascii="Arial" w:hAnsi="Arial" w:cs="Arial"/>
          <w:sz w:val="19"/>
          <w:szCs w:val="19"/>
          <w:shd w:val="clear" w:color="auto" w:fill="FFFFFF"/>
        </w:rPr>
        <w:t>ure</w:t>
      </w:r>
      <w:r w:rsidRPr="00A468CF">
        <w:rPr>
          <w:rFonts w:ascii="Arial" w:hAnsi="Arial" w:cs="Arial"/>
          <w:sz w:val="19"/>
          <w:szCs w:val="19"/>
          <w:shd w:val="clear" w:color="auto" w:fill="FFFFFF"/>
        </w:rPr>
        <w:t xml:space="preserve"> </w:t>
      </w:r>
      <w:r w:rsidR="005A001A" w:rsidRPr="00A468CF">
        <w:rPr>
          <w:rFonts w:ascii="Arial" w:hAnsi="Arial" w:cs="Arial"/>
          <w:sz w:val="19"/>
          <w:szCs w:val="19"/>
          <w:shd w:val="clear" w:color="auto" w:fill="FFFFFF"/>
        </w:rPr>
        <w:t>S2</w:t>
      </w:r>
      <w:r w:rsidR="00463F10">
        <w:rPr>
          <w:rFonts w:ascii="Arial" w:hAnsi="Arial" w:cs="Arial"/>
          <w:sz w:val="19"/>
          <w:szCs w:val="19"/>
          <w:shd w:val="clear" w:color="auto" w:fill="FFFFFF"/>
        </w:rPr>
        <w:t>3</w:t>
      </w:r>
      <w:r w:rsidRPr="00A468CF">
        <w:rPr>
          <w:rFonts w:ascii="Arial" w:hAnsi="Arial" w:cs="Arial"/>
          <w:sz w:val="19"/>
          <w:szCs w:val="19"/>
          <w:shd w:val="clear" w:color="auto" w:fill="FFFFFF"/>
        </w:rPr>
        <w:t>). We observed that thermal cycling did not noticeably affect the diffraction pattern indicating that our metasurface is robust with respect to high-irradiance illumination.</w:t>
      </w:r>
    </w:p>
    <w:p w14:paraId="37F88C02" w14:textId="7378B71B" w:rsidR="000011B2" w:rsidRPr="00A468CF" w:rsidRDefault="000D4A2C" w:rsidP="00783295">
      <w:pPr>
        <w:spacing w:after="0"/>
        <w:ind w:firstLine="720"/>
        <w:jc w:val="both"/>
        <w:rPr>
          <w:rFonts w:ascii="Arial" w:hAnsi="Arial" w:cs="Arial"/>
          <w:sz w:val="19"/>
          <w:szCs w:val="19"/>
          <w:shd w:val="clear" w:color="auto" w:fill="FFFFFF"/>
        </w:rPr>
      </w:pPr>
      <w:r>
        <w:rPr>
          <w:rFonts w:ascii="Arial" w:hAnsi="Arial" w:cs="Arial"/>
          <w:sz w:val="19"/>
          <w:szCs w:val="19"/>
          <w:shd w:val="clear" w:color="auto" w:fill="FFFFFF"/>
        </w:rPr>
        <w:t>W</w:t>
      </w:r>
      <w:r w:rsidR="000011B2" w:rsidRPr="00A468CF">
        <w:rPr>
          <w:rFonts w:ascii="Arial" w:hAnsi="Arial" w:cs="Arial"/>
          <w:sz w:val="19"/>
          <w:szCs w:val="19"/>
          <w:shd w:val="clear" w:color="auto" w:fill="FFFFFF"/>
        </w:rPr>
        <w:t>e have also acquired scanning electron microscopy (SEM) images after the metasurface has been illuminated (details of high-irradiance cycling are described in our response to question 1). We observe no visible signs of damage in the SEM images (Fig</w:t>
      </w:r>
      <w:r w:rsidR="00974436">
        <w:rPr>
          <w:rFonts w:ascii="Arial" w:hAnsi="Arial" w:cs="Arial"/>
          <w:sz w:val="19"/>
          <w:szCs w:val="19"/>
          <w:shd w:val="clear" w:color="auto" w:fill="FFFFFF"/>
        </w:rPr>
        <w:t>ures</w:t>
      </w:r>
      <w:r w:rsidR="000011B2" w:rsidRPr="00A468CF">
        <w:rPr>
          <w:rFonts w:ascii="Arial" w:hAnsi="Arial" w:cs="Arial"/>
          <w:sz w:val="19"/>
          <w:szCs w:val="19"/>
          <w:shd w:val="clear" w:color="auto" w:fill="FFFFFF"/>
        </w:rPr>
        <w:t xml:space="preserve"> </w:t>
      </w:r>
      <w:r w:rsidR="00974436">
        <w:rPr>
          <w:rFonts w:ascii="Arial" w:hAnsi="Arial" w:cs="Arial"/>
          <w:sz w:val="19"/>
          <w:szCs w:val="19"/>
          <w:shd w:val="clear" w:color="auto" w:fill="FFFFFF"/>
        </w:rPr>
        <w:t>S2</w:t>
      </w:r>
      <w:r w:rsidR="00463F10">
        <w:rPr>
          <w:rFonts w:ascii="Arial" w:hAnsi="Arial" w:cs="Arial"/>
          <w:sz w:val="19"/>
          <w:szCs w:val="19"/>
          <w:shd w:val="clear" w:color="auto" w:fill="FFFFFF"/>
        </w:rPr>
        <w:t>4</w:t>
      </w:r>
      <w:r w:rsidR="000011B2" w:rsidRPr="00A468CF">
        <w:rPr>
          <w:rFonts w:ascii="Arial" w:hAnsi="Arial" w:cs="Arial"/>
          <w:sz w:val="19"/>
          <w:szCs w:val="19"/>
          <w:shd w:val="clear" w:color="auto" w:fill="FFFFFF"/>
        </w:rPr>
        <w:t xml:space="preserve"> and </w:t>
      </w:r>
      <w:r w:rsidR="00974436">
        <w:rPr>
          <w:rFonts w:ascii="Arial" w:hAnsi="Arial" w:cs="Arial"/>
          <w:sz w:val="19"/>
          <w:szCs w:val="19"/>
          <w:shd w:val="clear" w:color="auto" w:fill="FFFFFF"/>
        </w:rPr>
        <w:t>S2</w:t>
      </w:r>
      <w:r w:rsidR="00463F10">
        <w:rPr>
          <w:rFonts w:ascii="Arial" w:hAnsi="Arial" w:cs="Arial"/>
          <w:sz w:val="19"/>
          <w:szCs w:val="19"/>
          <w:shd w:val="clear" w:color="auto" w:fill="FFFFFF"/>
        </w:rPr>
        <w:t>5</w:t>
      </w:r>
      <w:r w:rsidR="000011B2" w:rsidRPr="00A468CF">
        <w:rPr>
          <w:rFonts w:ascii="Arial" w:hAnsi="Arial" w:cs="Arial"/>
          <w:sz w:val="19"/>
          <w:szCs w:val="19"/>
          <w:shd w:val="clear" w:color="auto" w:fill="FFFFFF"/>
        </w:rPr>
        <w:t xml:space="preserve">). When acquiring SEM images, we took closer look at the metasurface areas, which were used for gate-tunable reflectance and high-irradiance cycling measurements. We observed no detectable damage to the metasurface in none of these areas </w:t>
      </w:r>
      <w:r w:rsidR="00974436" w:rsidRPr="00A468CF">
        <w:rPr>
          <w:rFonts w:ascii="Arial" w:hAnsi="Arial" w:cs="Arial"/>
          <w:sz w:val="19"/>
          <w:szCs w:val="19"/>
          <w:shd w:val="clear" w:color="auto" w:fill="FFFFFF"/>
        </w:rPr>
        <w:t>(Fig</w:t>
      </w:r>
      <w:r w:rsidR="00974436">
        <w:rPr>
          <w:rFonts w:ascii="Arial" w:hAnsi="Arial" w:cs="Arial"/>
          <w:sz w:val="19"/>
          <w:szCs w:val="19"/>
          <w:shd w:val="clear" w:color="auto" w:fill="FFFFFF"/>
        </w:rPr>
        <w:t>ures</w:t>
      </w:r>
      <w:r w:rsidR="00974436" w:rsidRPr="00A468CF">
        <w:rPr>
          <w:rFonts w:ascii="Arial" w:hAnsi="Arial" w:cs="Arial"/>
          <w:sz w:val="19"/>
          <w:szCs w:val="19"/>
          <w:shd w:val="clear" w:color="auto" w:fill="FFFFFF"/>
        </w:rPr>
        <w:t xml:space="preserve"> </w:t>
      </w:r>
      <w:r w:rsidR="00974436">
        <w:rPr>
          <w:rFonts w:ascii="Arial" w:hAnsi="Arial" w:cs="Arial"/>
          <w:sz w:val="19"/>
          <w:szCs w:val="19"/>
          <w:shd w:val="clear" w:color="auto" w:fill="FFFFFF"/>
        </w:rPr>
        <w:t>S2</w:t>
      </w:r>
      <w:r w:rsidR="00463F10">
        <w:rPr>
          <w:rFonts w:ascii="Arial" w:hAnsi="Arial" w:cs="Arial"/>
          <w:sz w:val="19"/>
          <w:szCs w:val="19"/>
          <w:shd w:val="clear" w:color="auto" w:fill="FFFFFF"/>
        </w:rPr>
        <w:t>4</w:t>
      </w:r>
      <w:r w:rsidR="00974436" w:rsidRPr="00A468CF">
        <w:rPr>
          <w:rFonts w:ascii="Arial" w:hAnsi="Arial" w:cs="Arial"/>
          <w:sz w:val="19"/>
          <w:szCs w:val="19"/>
          <w:shd w:val="clear" w:color="auto" w:fill="FFFFFF"/>
        </w:rPr>
        <w:t xml:space="preserve"> and </w:t>
      </w:r>
      <w:r w:rsidR="00974436">
        <w:rPr>
          <w:rFonts w:ascii="Arial" w:hAnsi="Arial" w:cs="Arial"/>
          <w:sz w:val="19"/>
          <w:szCs w:val="19"/>
          <w:shd w:val="clear" w:color="auto" w:fill="FFFFFF"/>
        </w:rPr>
        <w:t>S2</w:t>
      </w:r>
      <w:r w:rsidR="00463F10">
        <w:rPr>
          <w:rFonts w:ascii="Arial" w:hAnsi="Arial" w:cs="Arial"/>
          <w:sz w:val="19"/>
          <w:szCs w:val="19"/>
          <w:shd w:val="clear" w:color="auto" w:fill="FFFFFF"/>
        </w:rPr>
        <w:t>5</w:t>
      </w:r>
      <w:r w:rsidR="00974436" w:rsidRPr="00A468CF">
        <w:rPr>
          <w:rFonts w:ascii="Arial" w:hAnsi="Arial" w:cs="Arial"/>
          <w:sz w:val="19"/>
          <w:szCs w:val="19"/>
          <w:shd w:val="clear" w:color="auto" w:fill="FFFFFF"/>
        </w:rPr>
        <w:t>).</w:t>
      </w:r>
    </w:p>
    <w:p w14:paraId="551FFA3F" w14:textId="77777777" w:rsidR="000011B2" w:rsidRPr="00A468CF" w:rsidRDefault="000011B2" w:rsidP="000011B2">
      <w:pPr>
        <w:jc w:val="both"/>
        <w:rPr>
          <w:rFonts w:ascii="Arial" w:hAnsi="Arial" w:cs="Arial"/>
          <w:sz w:val="19"/>
          <w:szCs w:val="19"/>
          <w:shd w:val="clear" w:color="auto" w:fill="FFFFFF"/>
        </w:rPr>
      </w:pPr>
    </w:p>
    <w:p w14:paraId="46D034B4" w14:textId="77777777" w:rsidR="000011B2" w:rsidRPr="00A468CF" w:rsidRDefault="000011B2" w:rsidP="000011B2">
      <w:pPr>
        <w:jc w:val="center"/>
        <w:rPr>
          <w:rFonts w:ascii="Arial" w:hAnsi="Arial" w:cs="Arial"/>
          <w:sz w:val="19"/>
          <w:szCs w:val="19"/>
          <w:shd w:val="clear" w:color="auto" w:fill="FFFFFF"/>
        </w:rPr>
      </w:pPr>
      <w:r w:rsidRPr="00A468CF">
        <w:rPr>
          <w:rFonts w:ascii="Arial" w:hAnsi="Arial" w:cs="Arial"/>
          <w:noProof/>
          <w:sz w:val="19"/>
          <w:szCs w:val="19"/>
          <w:shd w:val="clear" w:color="auto" w:fill="FFFFFF"/>
        </w:rPr>
        <w:lastRenderedPageBreak/>
        <w:drawing>
          <wp:inline distT="0" distB="0" distL="0" distR="0" wp14:anchorId="015EC744" wp14:editId="2C0F27D6">
            <wp:extent cx="3584759" cy="2633700"/>
            <wp:effectExtent l="0" t="0" r="0" b="0"/>
            <wp:docPr id="28" name="Picture 51">
              <a:extLst xmlns:a="http://schemas.openxmlformats.org/drawingml/2006/main">
                <a:ext uri="{FF2B5EF4-FFF2-40B4-BE49-F238E27FC236}">
                  <a16:creationId xmlns:a16="http://schemas.microsoft.com/office/drawing/2014/main" id="{D2BE1402-5B75-82A0-C16B-1F8B601F6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D2BE1402-5B75-82A0-C16B-1F8B601F6591}"/>
                        </a:ext>
                      </a:extLst>
                    </pic:cNvPr>
                    <pic:cNvPicPr>
                      <a:picLocks noChangeAspect="1"/>
                    </pic:cNvPicPr>
                  </pic:nvPicPr>
                  <pic:blipFill>
                    <a:blip r:embed="rId31"/>
                    <a:stretch>
                      <a:fillRect/>
                    </a:stretch>
                  </pic:blipFill>
                  <pic:spPr>
                    <a:xfrm>
                      <a:off x="0" y="0"/>
                      <a:ext cx="3584759" cy="2633700"/>
                    </a:xfrm>
                    <a:prstGeom prst="rect">
                      <a:avLst/>
                    </a:prstGeom>
                  </pic:spPr>
                </pic:pic>
              </a:graphicData>
            </a:graphic>
          </wp:inline>
        </w:drawing>
      </w:r>
    </w:p>
    <w:p w14:paraId="3C82B3DC" w14:textId="3F2595D9" w:rsidR="000011B2" w:rsidRPr="00A468CF" w:rsidRDefault="000011B2" w:rsidP="000011B2">
      <w:pPr>
        <w:jc w:val="both"/>
        <w:rPr>
          <w:rFonts w:ascii="Arial" w:hAnsi="Arial" w:cs="Arial"/>
          <w:sz w:val="19"/>
          <w:szCs w:val="19"/>
          <w:shd w:val="clear" w:color="auto" w:fill="FFFFFF"/>
        </w:rPr>
      </w:pPr>
      <w:r w:rsidRPr="007F2943">
        <w:rPr>
          <w:rFonts w:ascii="Arial" w:hAnsi="Arial" w:cs="Arial"/>
          <w:b/>
          <w:bCs/>
          <w:sz w:val="19"/>
          <w:szCs w:val="19"/>
          <w:shd w:val="clear" w:color="auto" w:fill="FFFFFF"/>
        </w:rPr>
        <w:t>Fig</w:t>
      </w:r>
      <w:r w:rsidR="00A468CF" w:rsidRPr="007F2943">
        <w:rPr>
          <w:rFonts w:ascii="Arial" w:hAnsi="Arial" w:cs="Arial"/>
          <w:b/>
          <w:bCs/>
          <w:sz w:val="19"/>
          <w:szCs w:val="19"/>
          <w:shd w:val="clear" w:color="auto" w:fill="FFFFFF"/>
        </w:rPr>
        <w:t>ure</w:t>
      </w:r>
      <w:r w:rsidRPr="007F2943">
        <w:rPr>
          <w:rFonts w:ascii="Arial" w:hAnsi="Arial" w:cs="Arial"/>
          <w:b/>
          <w:bCs/>
          <w:sz w:val="19"/>
          <w:szCs w:val="19"/>
          <w:shd w:val="clear" w:color="auto" w:fill="FFFFFF"/>
        </w:rPr>
        <w:t xml:space="preserve"> </w:t>
      </w:r>
      <w:r w:rsidR="00E47691" w:rsidRPr="007F2943">
        <w:rPr>
          <w:rFonts w:ascii="Arial" w:hAnsi="Arial" w:cs="Arial"/>
          <w:b/>
          <w:bCs/>
          <w:sz w:val="19"/>
          <w:szCs w:val="19"/>
          <w:shd w:val="clear" w:color="auto" w:fill="FFFFFF"/>
        </w:rPr>
        <w:t>S2</w:t>
      </w:r>
      <w:r w:rsidR="00463F10" w:rsidRPr="007F2943">
        <w:rPr>
          <w:rFonts w:ascii="Arial" w:hAnsi="Arial" w:cs="Arial"/>
          <w:b/>
          <w:bCs/>
          <w:sz w:val="19"/>
          <w:szCs w:val="19"/>
          <w:shd w:val="clear" w:color="auto" w:fill="FFFFFF"/>
        </w:rPr>
        <w:t>4</w:t>
      </w:r>
      <w:r w:rsidRPr="00A468CF">
        <w:rPr>
          <w:rFonts w:ascii="Arial" w:hAnsi="Arial" w:cs="Arial"/>
          <w:sz w:val="19"/>
          <w:szCs w:val="19"/>
          <w:shd w:val="clear" w:color="auto" w:fill="FFFFFF"/>
        </w:rPr>
        <w:t>. SEM image of the metasurface. Scale bar is 50 µm. We observe no visible damage on the metasurface.</w:t>
      </w:r>
    </w:p>
    <w:p w14:paraId="7D3AC9EC" w14:textId="77777777" w:rsidR="000011B2" w:rsidRPr="00A468CF" w:rsidRDefault="000011B2" w:rsidP="000011B2">
      <w:pPr>
        <w:jc w:val="center"/>
        <w:rPr>
          <w:rFonts w:ascii="Arial" w:hAnsi="Arial" w:cs="Arial"/>
          <w:sz w:val="19"/>
          <w:szCs w:val="19"/>
          <w:shd w:val="clear" w:color="auto" w:fill="FFFFFF"/>
        </w:rPr>
      </w:pPr>
      <w:r w:rsidRPr="00A468CF">
        <w:rPr>
          <w:rFonts w:ascii="Arial" w:hAnsi="Arial" w:cs="Arial"/>
          <w:noProof/>
          <w:sz w:val="19"/>
          <w:szCs w:val="19"/>
          <w:shd w:val="clear" w:color="auto" w:fill="FFFFFF"/>
        </w:rPr>
        <w:drawing>
          <wp:inline distT="0" distB="0" distL="0" distR="0" wp14:anchorId="5C78160E" wp14:editId="0EDD4C1A">
            <wp:extent cx="5705617" cy="2743200"/>
            <wp:effectExtent l="0" t="0" r="9525" b="0"/>
            <wp:docPr id="29" name="Content Placeholder 4" descr="Graphical user interface, text, application&#10;&#10;Description automatically generated">
              <a:extLst xmlns:a="http://schemas.openxmlformats.org/drawingml/2006/main">
                <a:ext uri="{FF2B5EF4-FFF2-40B4-BE49-F238E27FC236}">
                  <a16:creationId xmlns:a16="http://schemas.microsoft.com/office/drawing/2014/main" id="{6F68FC89-1222-ACF7-D1A9-DFA0E699AD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Graphical user interface, text, application&#10;&#10;Description automatically generated">
                      <a:extLst>
                        <a:ext uri="{FF2B5EF4-FFF2-40B4-BE49-F238E27FC236}">
                          <a16:creationId xmlns:a16="http://schemas.microsoft.com/office/drawing/2014/main" id="{6F68FC89-1222-ACF7-D1A9-DFA0E699ADF4}"/>
                        </a:ext>
                      </a:extLst>
                    </pic:cNvPr>
                    <pic:cNvPicPr>
                      <a:picLocks noGrp="1" noChangeAspect="1"/>
                    </pic:cNvPicPr>
                  </pic:nvPicPr>
                  <pic:blipFill rotWithShape="1">
                    <a:blip r:embed="rId32"/>
                    <a:srcRect b="9453"/>
                    <a:stretch/>
                  </pic:blipFill>
                  <pic:spPr bwMode="auto">
                    <a:xfrm>
                      <a:off x="0" y="0"/>
                      <a:ext cx="5706351" cy="2743553"/>
                    </a:xfrm>
                    <a:prstGeom prst="rect">
                      <a:avLst/>
                    </a:prstGeom>
                    <a:ln>
                      <a:noFill/>
                    </a:ln>
                    <a:extLst>
                      <a:ext uri="{53640926-AAD7-44D8-BBD7-CCE9431645EC}">
                        <a14:shadowObscured xmlns:a14="http://schemas.microsoft.com/office/drawing/2010/main"/>
                      </a:ext>
                    </a:extLst>
                  </pic:spPr>
                </pic:pic>
              </a:graphicData>
            </a:graphic>
          </wp:inline>
        </w:drawing>
      </w:r>
    </w:p>
    <w:p w14:paraId="53615C1E" w14:textId="76146065" w:rsidR="000011B2" w:rsidRPr="00A468CF" w:rsidRDefault="000011B2" w:rsidP="000011B2">
      <w:pPr>
        <w:jc w:val="both"/>
        <w:rPr>
          <w:rFonts w:ascii="Arial" w:hAnsi="Arial" w:cs="Arial"/>
          <w:sz w:val="19"/>
          <w:szCs w:val="19"/>
          <w:shd w:val="clear" w:color="auto" w:fill="FFFFFF"/>
        </w:rPr>
      </w:pPr>
      <w:r w:rsidRPr="007F2943">
        <w:rPr>
          <w:rFonts w:ascii="Arial" w:hAnsi="Arial" w:cs="Arial"/>
          <w:b/>
          <w:bCs/>
          <w:sz w:val="19"/>
          <w:szCs w:val="19"/>
          <w:shd w:val="clear" w:color="auto" w:fill="FFFFFF"/>
        </w:rPr>
        <w:t>Fig</w:t>
      </w:r>
      <w:r w:rsidR="00A468CF" w:rsidRPr="007F2943">
        <w:rPr>
          <w:rFonts w:ascii="Arial" w:hAnsi="Arial" w:cs="Arial"/>
          <w:b/>
          <w:bCs/>
          <w:sz w:val="19"/>
          <w:szCs w:val="19"/>
          <w:shd w:val="clear" w:color="auto" w:fill="FFFFFF"/>
        </w:rPr>
        <w:t>ure</w:t>
      </w:r>
      <w:r w:rsidRPr="007F2943">
        <w:rPr>
          <w:rFonts w:ascii="Arial" w:hAnsi="Arial" w:cs="Arial"/>
          <w:b/>
          <w:bCs/>
          <w:sz w:val="19"/>
          <w:szCs w:val="19"/>
          <w:shd w:val="clear" w:color="auto" w:fill="FFFFFF"/>
        </w:rPr>
        <w:t xml:space="preserve"> </w:t>
      </w:r>
      <w:r w:rsidR="00E47691" w:rsidRPr="007F2943">
        <w:rPr>
          <w:rFonts w:ascii="Arial" w:hAnsi="Arial" w:cs="Arial"/>
          <w:b/>
          <w:bCs/>
          <w:sz w:val="19"/>
          <w:szCs w:val="19"/>
          <w:shd w:val="clear" w:color="auto" w:fill="FFFFFF"/>
        </w:rPr>
        <w:t>S2</w:t>
      </w:r>
      <w:r w:rsidR="00463F10" w:rsidRPr="007F2943">
        <w:rPr>
          <w:rFonts w:ascii="Arial" w:hAnsi="Arial" w:cs="Arial"/>
          <w:b/>
          <w:bCs/>
          <w:sz w:val="19"/>
          <w:szCs w:val="19"/>
          <w:shd w:val="clear" w:color="auto" w:fill="FFFFFF"/>
        </w:rPr>
        <w:t>5</w:t>
      </w:r>
      <w:r w:rsidRPr="00A468CF">
        <w:rPr>
          <w:rFonts w:ascii="Arial" w:hAnsi="Arial" w:cs="Arial"/>
          <w:sz w:val="19"/>
          <w:szCs w:val="19"/>
          <w:shd w:val="clear" w:color="auto" w:fill="FFFFFF"/>
        </w:rPr>
        <w:t>. SEM images of the metasurface. In a), the scale bar is 20 µm. In b), the scale bar is 3 µm. We observe no visible damage on the metasurface.</w:t>
      </w:r>
    </w:p>
    <w:p w14:paraId="5917CEA0" w14:textId="77777777" w:rsidR="000011B2" w:rsidRPr="00A468CF" w:rsidRDefault="000011B2" w:rsidP="000011B2">
      <w:pPr>
        <w:jc w:val="both"/>
        <w:rPr>
          <w:rFonts w:ascii="Arial" w:hAnsi="Arial" w:cs="Arial"/>
          <w:sz w:val="19"/>
          <w:szCs w:val="19"/>
          <w:shd w:val="clear" w:color="auto" w:fill="FFFFFF"/>
        </w:rPr>
      </w:pPr>
    </w:p>
    <w:p w14:paraId="270FC835" w14:textId="77777777" w:rsidR="000011B2" w:rsidRPr="00A468CF" w:rsidRDefault="000011B2" w:rsidP="00030054">
      <w:pPr>
        <w:ind w:firstLine="720"/>
        <w:jc w:val="both"/>
        <w:rPr>
          <w:rFonts w:ascii="Arial" w:hAnsi="Arial" w:cs="Arial"/>
          <w:sz w:val="19"/>
          <w:szCs w:val="19"/>
          <w:shd w:val="clear" w:color="auto" w:fill="FFFFFF"/>
        </w:rPr>
      </w:pPr>
    </w:p>
    <w:p w14:paraId="1EC8FCA2" w14:textId="77777777" w:rsidR="00030054" w:rsidRPr="00A468CF" w:rsidRDefault="00030054" w:rsidP="005D544D">
      <w:pPr>
        <w:spacing w:after="0"/>
        <w:jc w:val="both"/>
        <w:rPr>
          <w:rFonts w:ascii="Arial" w:hAnsi="Arial" w:cs="Arial"/>
          <w:sz w:val="19"/>
          <w:szCs w:val="19"/>
        </w:rPr>
      </w:pPr>
    </w:p>
    <w:p w14:paraId="6026ECD2" w14:textId="77777777" w:rsidR="005D544D" w:rsidRPr="00A468CF" w:rsidRDefault="005D544D" w:rsidP="005C3739">
      <w:pPr>
        <w:rPr>
          <w:rFonts w:ascii="Arial" w:hAnsi="Arial" w:cs="Arial"/>
          <w:sz w:val="19"/>
          <w:szCs w:val="19"/>
        </w:rPr>
      </w:pPr>
    </w:p>
    <w:p w14:paraId="021DC662" w14:textId="34977C79" w:rsidR="005C3739" w:rsidRDefault="005C3739" w:rsidP="005C3739">
      <w:pPr>
        <w:rPr>
          <w:rFonts w:ascii="Arial" w:hAnsi="Arial" w:cs="Arial"/>
          <w:sz w:val="19"/>
          <w:szCs w:val="19"/>
        </w:rPr>
      </w:pPr>
    </w:p>
    <w:p w14:paraId="328EFE35" w14:textId="40EDE050" w:rsidR="000D7A57" w:rsidRPr="00A468CF" w:rsidRDefault="000D7A57" w:rsidP="005C3739">
      <w:pPr>
        <w:rPr>
          <w:rFonts w:ascii="Arial" w:hAnsi="Arial" w:cs="Arial"/>
          <w:sz w:val="19"/>
          <w:szCs w:val="19"/>
        </w:rPr>
      </w:pPr>
      <w:r>
        <w:rPr>
          <w:rFonts w:ascii="Arial" w:hAnsi="Arial" w:cs="Arial"/>
          <w:sz w:val="19"/>
          <w:szCs w:val="19"/>
        </w:rPr>
        <w:br/>
      </w:r>
    </w:p>
    <w:p w14:paraId="5C05B295" w14:textId="61A0EF6B" w:rsidR="004D2331" w:rsidRPr="00A468CF" w:rsidRDefault="004D2331" w:rsidP="004D2331">
      <w:pPr>
        <w:rPr>
          <w:rFonts w:ascii="Arial" w:hAnsi="Arial" w:cs="Arial"/>
          <w:sz w:val="19"/>
          <w:szCs w:val="19"/>
        </w:rPr>
      </w:pPr>
    </w:p>
    <w:p w14:paraId="1D0BEC88" w14:textId="47461880" w:rsidR="005F45B6" w:rsidRPr="00A468CF" w:rsidRDefault="005F45B6" w:rsidP="00153A3E">
      <w:pPr>
        <w:pStyle w:val="FACorrespondingAuthorFootnote"/>
        <w:spacing w:after="0"/>
        <w:jc w:val="left"/>
        <w:rPr>
          <w:rFonts w:ascii="Arial" w:hAnsi="Arial" w:cs="Arial"/>
          <w:sz w:val="19"/>
          <w:szCs w:val="19"/>
        </w:rPr>
      </w:pPr>
      <w:r w:rsidRPr="00A468CF">
        <w:rPr>
          <w:rFonts w:ascii="Arial" w:hAnsi="Arial" w:cs="Arial"/>
          <w:sz w:val="19"/>
          <w:szCs w:val="19"/>
        </w:rPr>
        <w:lastRenderedPageBreak/>
        <w:t>AUTHOR INFORMATION</w:t>
      </w:r>
    </w:p>
    <w:p w14:paraId="6D7DCD22" w14:textId="77777777" w:rsidR="005F45B6" w:rsidRPr="00A468CF" w:rsidRDefault="005F45B6" w:rsidP="00153A3E">
      <w:pPr>
        <w:pStyle w:val="FAAuthorInfoSubtitle"/>
        <w:rPr>
          <w:rFonts w:ascii="Arial" w:hAnsi="Arial" w:cs="Arial"/>
          <w:sz w:val="19"/>
          <w:szCs w:val="19"/>
        </w:rPr>
      </w:pPr>
      <w:r w:rsidRPr="00A468CF">
        <w:rPr>
          <w:rFonts w:ascii="Arial" w:hAnsi="Arial" w:cs="Arial"/>
          <w:sz w:val="19"/>
          <w:szCs w:val="19"/>
        </w:rPr>
        <w:t>Corresponding Author:</w:t>
      </w:r>
    </w:p>
    <w:p w14:paraId="0E33863E" w14:textId="77777777" w:rsidR="005F45B6" w:rsidRPr="00A468CF" w:rsidRDefault="005F45B6" w:rsidP="00153A3E">
      <w:pPr>
        <w:pStyle w:val="FAAuthorInfoSubtitle"/>
        <w:rPr>
          <w:rFonts w:ascii="Arial" w:hAnsi="Arial" w:cs="Arial"/>
          <w:sz w:val="19"/>
          <w:szCs w:val="19"/>
        </w:rPr>
      </w:pPr>
      <w:r w:rsidRPr="00A468CF">
        <w:rPr>
          <w:rFonts w:ascii="Arial" w:hAnsi="Arial" w:cs="Arial"/>
          <w:sz w:val="19"/>
          <w:szCs w:val="19"/>
        </w:rPr>
        <w:t>Harry A. Atwater</w:t>
      </w:r>
    </w:p>
    <w:p w14:paraId="69B1B9C9" w14:textId="77777777" w:rsidR="005F45B6" w:rsidRPr="00A468CF" w:rsidRDefault="005F45B6" w:rsidP="00153A3E">
      <w:pPr>
        <w:spacing w:afterLines="120" w:after="288"/>
        <w:rPr>
          <w:rFonts w:ascii="Arial" w:eastAsiaTheme="minorEastAsia" w:hAnsi="Arial" w:cs="Arial"/>
          <w:bCs/>
          <w:sz w:val="19"/>
          <w:szCs w:val="19"/>
        </w:rPr>
      </w:pPr>
      <w:r w:rsidRPr="00A468CF">
        <w:rPr>
          <w:rFonts w:ascii="Arial" w:hAnsi="Arial" w:cs="Arial"/>
          <w:bCs/>
          <w:sz w:val="19"/>
          <w:szCs w:val="19"/>
          <w:vertAlign w:val="superscript"/>
        </w:rPr>
        <w:t>*</w:t>
      </w:r>
      <w:r w:rsidRPr="00A468CF">
        <w:rPr>
          <w:rFonts w:ascii="Arial" w:hAnsi="Arial" w:cs="Arial"/>
          <w:bCs/>
          <w:sz w:val="19"/>
          <w:szCs w:val="19"/>
        </w:rPr>
        <w:t>E-mail</w:t>
      </w:r>
      <w:r w:rsidRPr="00A468CF">
        <w:rPr>
          <w:rFonts w:ascii="Arial" w:eastAsiaTheme="minorEastAsia" w:hAnsi="Arial" w:cs="Arial"/>
          <w:bCs/>
          <w:sz w:val="19"/>
          <w:szCs w:val="19"/>
        </w:rPr>
        <w:t xml:space="preserve">: </w:t>
      </w:r>
      <w:hyperlink r:id="rId33" w:history="1">
        <w:r w:rsidRPr="00A468CF">
          <w:rPr>
            <w:rStyle w:val="Hyperlink"/>
            <w:rFonts w:ascii="Arial" w:hAnsi="Arial" w:cs="Arial"/>
            <w:color w:val="auto"/>
            <w:sz w:val="19"/>
            <w:szCs w:val="19"/>
          </w:rPr>
          <w:t>haa@caltech.edu</w:t>
        </w:r>
      </w:hyperlink>
    </w:p>
    <w:p w14:paraId="623135E0" w14:textId="77777777" w:rsidR="005F45B6" w:rsidRPr="00A468CF" w:rsidRDefault="005F45B6" w:rsidP="00153A3E">
      <w:pPr>
        <w:pStyle w:val="FAAuthorInfoSubtitle"/>
        <w:rPr>
          <w:rFonts w:ascii="Arial" w:hAnsi="Arial" w:cs="Arial"/>
          <w:sz w:val="19"/>
          <w:szCs w:val="19"/>
        </w:rPr>
      </w:pPr>
      <w:r w:rsidRPr="00A468CF">
        <w:rPr>
          <w:rFonts w:ascii="Arial" w:hAnsi="Arial" w:cs="Arial"/>
          <w:sz w:val="19"/>
          <w:szCs w:val="19"/>
        </w:rPr>
        <w:t>Present Address</w:t>
      </w:r>
    </w:p>
    <w:p w14:paraId="14ECB4C2" w14:textId="77777777" w:rsidR="005F45B6" w:rsidRPr="00A468CF" w:rsidRDefault="005F45B6" w:rsidP="00153A3E">
      <w:pPr>
        <w:pStyle w:val="StyleFACorrespondingAuthorFootnote7pt"/>
        <w:spacing w:after="240" w:line="480" w:lineRule="auto"/>
        <w:rPr>
          <w:rFonts w:ascii="Arial" w:hAnsi="Arial" w:cs="Arial"/>
          <w:kern w:val="0"/>
          <w:sz w:val="19"/>
          <w:szCs w:val="19"/>
        </w:rPr>
      </w:pPr>
      <w:bookmarkStart w:id="15" w:name="_Hlk65063993"/>
      <w:r w:rsidRPr="00A468CF">
        <w:rPr>
          <w:rFonts w:ascii="Arial" w:hAnsi="Arial" w:cs="Arial"/>
          <w:kern w:val="0"/>
          <w:sz w:val="19"/>
          <w:szCs w:val="19"/>
        </w:rPr>
        <w:t>†</w:t>
      </w:r>
      <w:bookmarkEnd w:id="15"/>
      <w:r w:rsidRPr="00A468CF">
        <w:rPr>
          <w:rFonts w:ascii="Arial" w:hAnsi="Arial" w:cs="Arial"/>
          <w:kern w:val="0"/>
          <w:sz w:val="19"/>
          <w:szCs w:val="19"/>
        </w:rPr>
        <w:t>Seurat Technologies, Inc., 265 Ballardvale St, Wilmington, MA 01887, USA</w:t>
      </w:r>
    </w:p>
    <w:p w14:paraId="57DF3CE8" w14:textId="77777777" w:rsidR="005F45B6" w:rsidRPr="00A468CF" w:rsidRDefault="005F45B6" w:rsidP="00C74CBE">
      <w:pPr>
        <w:rPr>
          <w:rFonts w:ascii="Arial" w:hAnsi="Arial" w:cs="Arial"/>
          <w:b/>
          <w:bCs/>
          <w:sz w:val="19"/>
          <w:szCs w:val="19"/>
        </w:rPr>
      </w:pPr>
      <w:r w:rsidRPr="00A468CF">
        <w:rPr>
          <w:rFonts w:ascii="Arial" w:hAnsi="Arial" w:cs="Arial"/>
          <w:b/>
          <w:bCs/>
          <w:sz w:val="19"/>
          <w:szCs w:val="19"/>
        </w:rPr>
        <w:t>References</w:t>
      </w:r>
    </w:p>
    <w:p w14:paraId="2A308698" w14:textId="77777777"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1.</w:t>
      </w:r>
      <w:r w:rsidRPr="00A468CF">
        <w:rPr>
          <w:rFonts w:ascii="Arial" w:hAnsi="Arial" w:cs="Arial"/>
          <w:sz w:val="19"/>
          <w:szCs w:val="19"/>
        </w:rPr>
        <w:tab/>
        <w:t xml:space="preserve">McManamon, P., </w:t>
      </w:r>
      <w:r w:rsidRPr="00A468CF">
        <w:rPr>
          <w:rFonts w:ascii="Arial" w:hAnsi="Arial" w:cs="Arial"/>
          <w:i/>
          <w:sz w:val="19"/>
          <w:szCs w:val="19"/>
        </w:rPr>
        <w:t>Lidar Range Equation</w:t>
      </w:r>
      <w:r w:rsidRPr="00A468CF">
        <w:rPr>
          <w:rFonts w:ascii="Arial" w:hAnsi="Arial" w:cs="Arial"/>
          <w:sz w:val="19"/>
          <w:szCs w:val="19"/>
        </w:rPr>
        <w:t>. Springer: 2015.</w:t>
      </w:r>
    </w:p>
    <w:p w14:paraId="22A847CB" w14:textId="77777777"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2.</w:t>
      </w:r>
      <w:r w:rsidRPr="00A468CF">
        <w:rPr>
          <w:rFonts w:ascii="Arial" w:hAnsi="Arial" w:cs="Arial"/>
          <w:sz w:val="19"/>
          <w:szCs w:val="19"/>
        </w:rPr>
        <w:tab/>
        <w:t xml:space="preserve">Clymer, D. R.; Cagan, J.; Beuth, J., Power–Velocity Process Design Charts for Powder Bed Additive Manufacturing. </w:t>
      </w:r>
      <w:r w:rsidRPr="00A468CF">
        <w:rPr>
          <w:rFonts w:ascii="Arial" w:hAnsi="Arial" w:cs="Arial"/>
          <w:i/>
          <w:sz w:val="19"/>
          <w:szCs w:val="19"/>
        </w:rPr>
        <w:t xml:space="preserve">Journal of Mechanical Design </w:t>
      </w:r>
      <w:r w:rsidRPr="00A468CF">
        <w:rPr>
          <w:rFonts w:ascii="Arial" w:hAnsi="Arial" w:cs="Arial"/>
          <w:b/>
          <w:sz w:val="19"/>
          <w:szCs w:val="19"/>
        </w:rPr>
        <w:t>2017,</w:t>
      </w:r>
      <w:r w:rsidRPr="00A468CF">
        <w:rPr>
          <w:rFonts w:ascii="Arial" w:hAnsi="Arial" w:cs="Arial"/>
          <w:sz w:val="19"/>
          <w:szCs w:val="19"/>
        </w:rPr>
        <w:t xml:space="preserve"> </w:t>
      </w:r>
      <w:r w:rsidRPr="00A468CF">
        <w:rPr>
          <w:rFonts w:ascii="Arial" w:hAnsi="Arial" w:cs="Arial"/>
          <w:i/>
          <w:sz w:val="19"/>
          <w:szCs w:val="19"/>
        </w:rPr>
        <w:t>139</w:t>
      </w:r>
      <w:r w:rsidRPr="00A468CF">
        <w:rPr>
          <w:rFonts w:ascii="Arial" w:hAnsi="Arial" w:cs="Arial"/>
          <w:sz w:val="19"/>
          <w:szCs w:val="19"/>
        </w:rPr>
        <w:t xml:space="preserve"> (10).</w:t>
      </w:r>
    </w:p>
    <w:p w14:paraId="2CD6F0AB" w14:textId="154AC0BD"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3.</w:t>
      </w:r>
      <w:r w:rsidRPr="00A468CF">
        <w:rPr>
          <w:rFonts w:ascii="Arial" w:hAnsi="Arial" w:cs="Arial"/>
          <w:sz w:val="19"/>
          <w:szCs w:val="19"/>
        </w:rPr>
        <w:tab/>
        <w:t xml:space="preserve">Amin, R.; Maiti, R.; Gui, Y.; Miscuglio, M.; Heidari, E.; Chen, R. T.; Dalir, H.; Sorger, V. J. In </w:t>
      </w:r>
      <w:r w:rsidRPr="00A468CF">
        <w:rPr>
          <w:rFonts w:ascii="Arial" w:hAnsi="Arial" w:cs="Arial"/>
          <w:i/>
          <w:sz w:val="19"/>
          <w:szCs w:val="19"/>
        </w:rPr>
        <w:t>Broadband GHz ITO-</w:t>
      </w:r>
      <w:r w:rsidR="00A25812" w:rsidRPr="00A468CF">
        <w:rPr>
          <w:rFonts w:ascii="Arial" w:hAnsi="Arial" w:cs="Arial"/>
          <w:i/>
          <w:sz w:val="19"/>
          <w:szCs w:val="19"/>
        </w:rPr>
        <w:t>B</w:t>
      </w:r>
      <w:r w:rsidRPr="00A468CF">
        <w:rPr>
          <w:rFonts w:ascii="Arial" w:hAnsi="Arial" w:cs="Arial"/>
          <w:i/>
          <w:sz w:val="19"/>
          <w:szCs w:val="19"/>
        </w:rPr>
        <w:t>ased Plasmon MZI Modulator on Silicon Photonics</w:t>
      </w:r>
      <w:r w:rsidRPr="00A468CF">
        <w:rPr>
          <w:rFonts w:ascii="Arial" w:hAnsi="Arial" w:cs="Arial"/>
          <w:sz w:val="19"/>
          <w:szCs w:val="19"/>
        </w:rPr>
        <w:t>, Conference on Lasers and Electro-Optics, Washington, DC, 2020/05/10; Optical Society of America: Washington, DC, 2020; p FM2R.2.</w:t>
      </w:r>
    </w:p>
    <w:p w14:paraId="4CDB9342" w14:textId="0FCB7F79"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4.</w:t>
      </w:r>
      <w:r w:rsidRPr="00A468CF">
        <w:rPr>
          <w:rFonts w:ascii="Arial" w:hAnsi="Arial" w:cs="Arial"/>
          <w:sz w:val="19"/>
          <w:szCs w:val="19"/>
        </w:rPr>
        <w:tab/>
        <w:t xml:space="preserve">Kafaie Shirmanesh, G.; Sokhoyan, R.; Pala, R. A.; Atwater, H. A., Dual-Gated Active Metasurface at 1550 nm with Wide (&gt;300 </w:t>
      </w:r>
      <w:r w:rsidR="00A25812" w:rsidRPr="00A468CF">
        <w:rPr>
          <w:rFonts w:ascii="Arial" w:hAnsi="Arial" w:cs="Arial"/>
          <w:sz w:val="19"/>
          <w:szCs w:val="19"/>
        </w:rPr>
        <w:t>D</w:t>
      </w:r>
      <w:r w:rsidRPr="00A468CF">
        <w:rPr>
          <w:rFonts w:ascii="Arial" w:hAnsi="Arial" w:cs="Arial"/>
          <w:sz w:val="19"/>
          <w:szCs w:val="19"/>
        </w:rPr>
        <w:t xml:space="preserve">egrees) Phase Tunability. </w:t>
      </w:r>
      <w:r w:rsidRPr="00A468CF">
        <w:rPr>
          <w:rFonts w:ascii="Arial" w:hAnsi="Arial" w:cs="Arial"/>
          <w:i/>
          <w:sz w:val="19"/>
          <w:szCs w:val="19"/>
        </w:rPr>
        <w:t xml:space="preserve">Nano Lett </w:t>
      </w:r>
      <w:r w:rsidRPr="00A468CF">
        <w:rPr>
          <w:rFonts w:ascii="Arial" w:hAnsi="Arial" w:cs="Arial"/>
          <w:b/>
          <w:sz w:val="19"/>
          <w:szCs w:val="19"/>
        </w:rPr>
        <w:t>2018,</w:t>
      </w:r>
      <w:r w:rsidRPr="00A468CF">
        <w:rPr>
          <w:rFonts w:ascii="Arial" w:hAnsi="Arial" w:cs="Arial"/>
          <w:sz w:val="19"/>
          <w:szCs w:val="19"/>
        </w:rPr>
        <w:t xml:space="preserve"> </w:t>
      </w:r>
      <w:r w:rsidRPr="00A468CF">
        <w:rPr>
          <w:rFonts w:ascii="Arial" w:hAnsi="Arial" w:cs="Arial"/>
          <w:i/>
          <w:sz w:val="19"/>
          <w:szCs w:val="19"/>
        </w:rPr>
        <w:t>18</w:t>
      </w:r>
      <w:r w:rsidRPr="00A468CF">
        <w:rPr>
          <w:rFonts w:ascii="Arial" w:hAnsi="Arial" w:cs="Arial"/>
          <w:sz w:val="19"/>
          <w:szCs w:val="19"/>
        </w:rPr>
        <w:t xml:space="preserve"> (5), 2957-2963.</w:t>
      </w:r>
    </w:p>
    <w:p w14:paraId="1EAD1B3A" w14:textId="77777777"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5.</w:t>
      </w:r>
      <w:r w:rsidRPr="00A468CF">
        <w:rPr>
          <w:rFonts w:ascii="Arial" w:hAnsi="Arial" w:cs="Arial"/>
          <w:sz w:val="19"/>
          <w:szCs w:val="19"/>
        </w:rPr>
        <w:tab/>
        <w:t xml:space="preserve">Huang, Y. W.; Lee, H. W.; Sokhoyan, R.; Pala, R. A.; Thyagarajan, K.; Han, S.; Tsai, D. P.; Atwater, H. A., Gate-Tunable Conducting Oxide Metasurfaces. </w:t>
      </w:r>
      <w:r w:rsidRPr="00A468CF">
        <w:rPr>
          <w:rFonts w:ascii="Arial" w:hAnsi="Arial" w:cs="Arial"/>
          <w:i/>
          <w:sz w:val="19"/>
          <w:szCs w:val="19"/>
        </w:rPr>
        <w:t xml:space="preserve">Nano Lett </w:t>
      </w:r>
      <w:r w:rsidRPr="00A468CF">
        <w:rPr>
          <w:rFonts w:ascii="Arial" w:hAnsi="Arial" w:cs="Arial"/>
          <w:b/>
          <w:sz w:val="19"/>
          <w:szCs w:val="19"/>
        </w:rPr>
        <w:t>2016,</w:t>
      </w:r>
      <w:r w:rsidRPr="00A468CF">
        <w:rPr>
          <w:rFonts w:ascii="Arial" w:hAnsi="Arial" w:cs="Arial"/>
          <w:sz w:val="19"/>
          <w:szCs w:val="19"/>
        </w:rPr>
        <w:t xml:space="preserve"> </w:t>
      </w:r>
      <w:r w:rsidRPr="00A468CF">
        <w:rPr>
          <w:rFonts w:ascii="Arial" w:hAnsi="Arial" w:cs="Arial"/>
          <w:i/>
          <w:sz w:val="19"/>
          <w:szCs w:val="19"/>
        </w:rPr>
        <w:t>16</w:t>
      </w:r>
      <w:r w:rsidRPr="00A468CF">
        <w:rPr>
          <w:rFonts w:ascii="Arial" w:hAnsi="Arial" w:cs="Arial"/>
          <w:sz w:val="19"/>
          <w:szCs w:val="19"/>
        </w:rPr>
        <w:t xml:space="preserve"> (9), 5319-25.</w:t>
      </w:r>
    </w:p>
    <w:p w14:paraId="71FA4826" w14:textId="7696379F"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6.</w:t>
      </w:r>
      <w:r w:rsidRPr="00A468CF">
        <w:rPr>
          <w:rFonts w:ascii="Arial" w:hAnsi="Arial" w:cs="Arial"/>
          <w:sz w:val="19"/>
          <w:szCs w:val="19"/>
        </w:rPr>
        <w:tab/>
        <w:t xml:space="preserve">Reines, I. C.; Wood, M. G.; Luk, T. S.; Serkland, D. K.; Campione, S., Compact </w:t>
      </w:r>
      <w:r w:rsidR="00310D63" w:rsidRPr="00A468CF">
        <w:rPr>
          <w:rFonts w:ascii="Arial" w:hAnsi="Arial" w:cs="Arial"/>
          <w:sz w:val="19"/>
          <w:szCs w:val="19"/>
        </w:rPr>
        <w:t>E</w:t>
      </w:r>
      <w:r w:rsidRPr="00A468CF">
        <w:rPr>
          <w:rFonts w:ascii="Arial" w:hAnsi="Arial" w:cs="Arial"/>
          <w:sz w:val="19"/>
          <w:szCs w:val="19"/>
        </w:rPr>
        <w:t>psilon-</w:t>
      </w:r>
      <w:r w:rsidR="00310D63" w:rsidRPr="00A468CF">
        <w:rPr>
          <w:rFonts w:ascii="Arial" w:hAnsi="Arial" w:cs="Arial"/>
          <w:sz w:val="19"/>
          <w:szCs w:val="19"/>
        </w:rPr>
        <w:t>N</w:t>
      </w:r>
      <w:r w:rsidRPr="00A468CF">
        <w:rPr>
          <w:rFonts w:ascii="Arial" w:hAnsi="Arial" w:cs="Arial"/>
          <w:sz w:val="19"/>
          <w:szCs w:val="19"/>
        </w:rPr>
        <w:t>ear-</w:t>
      </w:r>
      <w:r w:rsidR="00310D63" w:rsidRPr="00A468CF">
        <w:rPr>
          <w:rFonts w:ascii="Arial" w:hAnsi="Arial" w:cs="Arial"/>
          <w:sz w:val="19"/>
          <w:szCs w:val="19"/>
        </w:rPr>
        <w:t>Z</w:t>
      </w:r>
      <w:r w:rsidRPr="00A468CF">
        <w:rPr>
          <w:rFonts w:ascii="Arial" w:hAnsi="Arial" w:cs="Arial"/>
          <w:sz w:val="19"/>
          <w:szCs w:val="19"/>
        </w:rPr>
        <w:t xml:space="preserve">ero </w:t>
      </w:r>
      <w:r w:rsidR="00310D63" w:rsidRPr="00A468CF">
        <w:rPr>
          <w:rFonts w:ascii="Arial" w:hAnsi="Arial" w:cs="Arial"/>
          <w:sz w:val="19"/>
          <w:szCs w:val="19"/>
        </w:rPr>
        <w:t>S</w:t>
      </w:r>
      <w:r w:rsidRPr="00A468CF">
        <w:rPr>
          <w:rFonts w:ascii="Arial" w:hAnsi="Arial" w:cs="Arial"/>
          <w:sz w:val="19"/>
          <w:szCs w:val="19"/>
        </w:rPr>
        <w:t xml:space="preserve">ilicon </w:t>
      </w:r>
      <w:r w:rsidR="00310D63" w:rsidRPr="00A468CF">
        <w:rPr>
          <w:rFonts w:ascii="Arial" w:hAnsi="Arial" w:cs="Arial"/>
          <w:sz w:val="19"/>
          <w:szCs w:val="19"/>
        </w:rPr>
        <w:t>P</w:t>
      </w:r>
      <w:r w:rsidRPr="00A468CF">
        <w:rPr>
          <w:rFonts w:ascii="Arial" w:hAnsi="Arial" w:cs="Arial"/>
          <w:sz w:val="19"/>
          <w:szCs w:val="19"/>
        </w:rPr>
        <w:t xml:space="preserve">hotonic </w:t>
      </w:r>
      <w:r w:rsidR="00310D63" w:rsidRPr="00A468CF">
        <w:rPr>
          <w:rFonts w:ascii="Arial" w:hAnsi="Arial" w:cs="Arial"/>
          <w:sz w:val="19"/>
          <w:szCs w:val="19"/>
        </w:rPr>
        <w:t>P</w:t>
      </w:r>
      <w:r w:rsidRPr="00A468CF">
        <w:rPr>
          <w:rFonts w:ascii="Arial" w:hAnsi="Arial" w:cs="Arial"/>
          <w:sz w:val="19"/>
          <w:szCs w:val="19"/>
        </w:rPr>
        <w:t xml:space="preserve">hase </w:t>
      </w:r>
      <w:r w:rsidR="00310D63" w:rsidRPr="00A468CF">
        <w:rPr>
          <w:rFonts w:ascii="Arial" w:hAnsi="Arial" w:cs="Arial"/>
          <w:sz w:val="19"/>
          <w:szCs w:val="19"/>
        </w:rPr>
        <w:t>M</w:t>
      </w:r>
      <w:r w:rsidRPr="00A468CF">
        <w:rPr>
          <w:rFonts w:ascii="Arial" w:hAnsi="Arial" w:cs="Arial"/>
          <w:sz w:val="19"/>
          <w:szCs w:val="19"/>
        </w:rPr>
        <w:t xml:space="preserve">odulators. </w:t>
      </w:r>
      <w:r w:rsidRPr="00A468CF">
        <w:rPr>
          <w:rFonts w:ascii="Arial" w:hAnsi="Arial" w:cs="Arial"/>
          <w:i/>
          <w:sz w:val="19"/>
          <w:szCs w:val="19"/>
        </w:rPr>
        <w:t xml:space="preserve">Opt Express </w:t>
      </w:r>
      <w:r w:rsidRPr="00A468CF">
        <w:rPr>
          <w:rFonts w:ascii="Arial" w:hAnsi="Arial" w:cs="Arial"/>
          <w:b/>
          <w:sz w:val="19"/>
          <w:szCs w:val="19"/>
        </w:rPr>
        <w:t>2018,</w:t>
      </w:r>
      <w:r w:rsidRPr="00A468CF">
        <w:rPr>
          <w:rFonts w:ascii="Arial" w:hAnsi="Arial" w:cs="Arial"/>
          <w:sz w:val="19"/>
          <w:szCs w:val="19"/>
        </w:rPr>
        <w:t xml:space="preserve"> </w:t>
      </w:r>
      <w:r w:rsidRPr="00A468CF">
        <w:rPr>
          <w:rFonts w:ascii="Arial" w:hAnsi="Arial" w:cs="Arial"/>
          <w:i/>
          <w:sz w:val="19"/>
          <w:szCs w:val="19"/>
        </w:rPr>
        <w:t>26</w:t>
      </w:r>
      <w:r w:rsidRPr="00A468CF">
        <w:rPr>
          <w:rFonts w:ascii="Arial" w:hAnsi="Arial" w:cs="Arial"/>
          <w:sz w:val="19"/>
          <w:szCs w:val="19"/>
        </w:rPr>
        <w:t xml:space="preserve"> (17), 21594-21605.</w:t>
      </w:r>
    </w:p>
    <w:p w14:paraId="29AECFF8" w14:textId="7CF930AC"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7.</w:t>
      </w:r>
      <w:r w:rsidRPr="00A468CF">
        <w:rPr>
          <w:rFonts w:ascii="Arial" w:hAnsi="Arial" w:cs="Arial"/>
          <w:sz w:val="19"/>
          <w:szCs w:val="19"/>
        </w:rPr>
        <w:tab/>
        <w:t xml:space="preserve">Vermeersch, B.; De Mey, G., Influence of </w:t>
      </w:r>
      <w:r w:rsidR="00AE74AD" w:rsidRPr="00A468CF">
        <w:rPr>
          <w:rFonts w:ascii="Arial" w:hAnsi="Arial" w:cs="Arial"/>
          <w:sz w:val="19"/>
          <w:szCs w:val="19"/>
        </w:rPr>
        <w:t>S</w:t>
      </w:r>
      <w:r w:rsidRPr="00A468CF">
        <w:rPr>
          <w:rFonts w:ascii="Arial" w:hAnsi="Arial" w:cs="Arial"/>
          <w:sz w:val="19"/>
          <w:szCs w:val="19"/>
        </w:rPr>
        <w:t xml:space="preserve">ubstrate </w:t>
      </w:r>
      <w:r w:rsidR="00AE74AD" w:rsidRPr="00A468CF">
        <w:rPr>
          <w:rFonts w:ascii="Arial" w:hAnsi="Arial" w:cs="Arial"/>
          <w:sz w:val="19"/>
          <w:szCs w:val="19"/>
        </w:rPr>
        <w:t>T</w:t>
      </w:r>
      <w:r w:rsidRPr="00A468CF">
        <w:rPr>
          <w:rFonts w:ascii="Arial" w:hAnsi="Arial" w:cs="Arial"/>
          <w:sz w:val="19"/>
          <w:szCs w:val="19"/>
        </w:rPr>
        <w:t xml:space="preserve">hickness on </w:t>
      </w:r>
      <w:r w:rsidR="00AE74AD" w:rsidRPr="00A468CF">
        <w:rPr>
          <w:rFonts w:ascii="Arial" w:hAnsi="Arial" w:cs="Arial"/>
          <w:sz w:val="19"/>
          <w:szCs w:val="19"/>
        </w:rPr>
        <w:t>T</w:t>
      </w:r>
      <w:r w:rsidRPr="00A468CF">
        <w:rPr>
          <w:rFonts w:ascii="Arial" w:hAnsi="Arial" w:cs="Arial"/>
          <w:sz w:val="19"/>
          <w:szCs w:val="19"/>
        </w:rPr>
        <w:t xml:space="preserve">hermal </w:t>
      </w:r>
      <w:r w:rsidR="00AE74AD" w:rsidRPr="00A468CF">
        <w:rPr>
          <w:rFonts w:ascii="Arial" w:hAnsi="Arial" w:cs="Arial"/>
          <w:sz w:val="19"/>
          <w:szCs w:val="19"/>
        </w:rPr>
        <w:t>I</w:t>
      </w:r>
      <w:r w:rsidRPr="00A468CF">
        <w:rPr>
          <w:rFonts w:ascii="Arial" w:hAnsi="Arial" w:cs="Arial"/>
          <w:sz w:val="19"/>
          <w:szCs w:val="19"/>
        </w:rPr>
        <w:t xml:space="preserve">mpedance of </w:t>
      </w:r>
      <w:r w:rsidR="00AE74AD" w:rsidRPr="00A468CF">
        <w:rPr>
          <w:rFonts w:ascii="Arial" w:hAnsi="Arial" w:cs="Arial"/>
          <w:sz w:val="19"/>
          <w:szCs w:val="19"/>
        </w:rPr>
        <w:t>M</w:t>
      </w:r>
      <w:r w:rsidRPr="00A468CF">
        <w:rPr>
          <w:rFonts w:ascii="Arial" w:hAnsi="Arial" w:cs="Arial"/>
          <w:sz w:val="19"/>
          <w:szCs w:val="19"/>
        </w:rPr>
        <w:t xml:space="preserve">icroelectronic </w:t>
      </w:r>
      <w:r w:rsidR="00AE74AD" w:rsidRPr="00A468CF">
        <w:rPr>
          <w:rFonts w:ascii="Arial" w:hAnsi="Arial" w:cs="Arial"/>
          <w:sz w:val="19"/>
          <w:szCs w:val="19"/>
        </w:rPr>
        <w:t>S</w:t>
      </w:r>
      <w:r w:rsidRPr="00A468CF">
        <w:rPr>
          <w:rFonts w:ascii="Arial" w:hAnsi="Arial" w:cs="Arial"/>
          <w:sz w:val="19"/>
          <w:szCs w:val="19"/>
        </w:rPr>
        <w:t xml:space="preserve">tructures. </w:t>
      </w:r>
      <w:r w:rsidRPr="00A468CF">
        <w:rPr>
          <w:rFonts w:ascii="Arial" w:hAnsi="Arial" w:cs="Arial"/>
          <w:i/>
          <w:sz w:val="19"/>
          <w:szCs w:val="19"/>
        </w:rPr>
        <w:t xml:space="preserve">Microelectronics Reliability </w:t>
      </w:r>
      <w:r w:rsidRPr="00A468CF">
        <w:rPr>
          <w:rFonts w:ascii="Arial" w:hAnsi="Arial" w:cs="Arial"/>
          <w:b/>
          <w:sz w:val="19"/>
          <w:szCs w:val="19"/>
        </w:rPr>
        <w:t>2007,</w:t>
      </w:r>
      <w:r w:rsidRPr="00A468CF">
        <w:rPr>
          <w:rFonts w:ascii="Arial" w:hAnsi="Arial" w:cs="Arial"/>
          <w:sz w:val="19"/>
          <w:szCs w:val="19"/>
        </w:rPr>
        <w:t xml:space="preserve"> </w:t>
      </w:r>
      <w:r w:rsidRPr="00A468CF">
        <w:rPr>
          <w:rFonts w:ascii="Arial" w:hAnsi="Arial" w:cs="Arial"/>
          <w:i/>
          <w:sz w:val="19"/>
          <w:szCs w:val="19"/>
        </w:rPr>
        <w:t>47</w:t>
      </w:r>
      <w:r w:rsidRPr="00A468CF">
        <w:rPr>
          <w:rFonts w:ascii="Arial" w:hAnsi="Arial" w:cs="Arial"/>
          <w:sz w:val="19"/>
          <w:szCs w:val="19"/>
        </w:rPr>
        <w:t xml:space="preserve"> (2), 437-443.</w:t>
      </w:r>
    </w:p>
    <w:p w14:paraId="326D21CE" w14:textId="77777777"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8.</w:t>
      </w:r>
      <w:r w:rsidRPr="00A468CF">
        <w:rPr>
          <w:rFonts w:ascii="Arial" w:hAnsi="Arial" w:cs="Arial"/>
          <w:sz w:val="19"/>
          <w:szCs w:val="19"/>
        </w:rPr>
        <w:tab/>
        <w:t xml:space="preserve">Darwish, A. M.; Hung, H. A.; Bayba, A. J.; El-Kinawi, K., Accurate Calculation of Junction Temperature of HBTs. </w:t>
      </w:r>
      <w:r w:rsidRPr="00A468CF">
        <w:rPr>
          <w:rFonts w:ascii="Arial" w:hAnsi="Arial" w:cs="Arial"/>
          <w:i/>
          <w:sz w:val="19"/>
          <w:szCs w:val="19"/>
        </w:rPr>
        <w:t xml:space="preserve">IEEE Transactions on Microwave Theory and Techniques </w:t>
      </w:r>
      <w:r w:rsidRPr="00A468CF">
        <w:rPr>
          <w:rFonts w:ascii="Arial" w:hAnsi="Arial" w:cs="Arial"/>
          <w:b/>
          <w:sz w:val="19"/>
          <w:szCs w:val="19"/>
        </w:rPr>
        <w:t>2011,</w:t>
      </w:r>
      <w:r w:rsidRPr="00A468CF">
        <w:rPr>
          <w:rFonts w:ascii="Arial" w:hAnsi="Arial" w:cs="Arial"/>
          <w:sz w:val="19"/>
          <w:szCs w:val="19"/>
        </w:rPr>
        <w:t xml:space="preserve"> </w:t>
      </w:r>
      <w:r w:rsidRPr="00A468CF">
        <w:rPr>
          <w:rFonts w:ascii="Arial" w:hAnsi="Arial" w:cs="Arial"/>
          <w:i/>
          <w:sz w:val="19"/>
          <w:szCs w:val="19"/>
        </w:rPr>
        <w:t>59</w:t>
      </w:r>
      <w:r w:rsidRPr="00A468CF">
        <w:rPr>
          <w:rFonts w:ascii="Arial" w:hAnsi="Arial" w:cs="Arial"/>
          <w:sz w:val="19"/>
          <w:szCs w:val="19"/>
        </w:rPr>
        <w:t xml:space="preserve"> (3), 652-659.</w:t>
      </w:r>
    </w:p>
    <w:p w14:paraId="1FB6A4F8" w14:textId="77777777" w:rsidR="005F45B6" w:rsidRPr="00A468CF" w:rsidRDefault="005F45B6" w:rsidP="009F64E5">
      <w:pPr>
        <w:pStyle w:val="EndNoteBibliography"/>
        <w:spacing w:after="0"/>
        <w:rPr>
          <w:rFonts w:ascii="Arial" w:hAnsi="Arial" w:cs="Arial"/>
          <w:sz w:val="19"/>
          <w:szCs w:val="19"/>
        </w:rPr>
      </w:pPr>
      <w:r w:rsidRPr="00A468CF">
        <w:rPr>
          <w:rFonts w:ascii="Arial" w:hAnsi="Arial" w:cs="Arial"/>
          <w:sz w:val="19"/>
          <w:szCs w:val="19"/>
        </w:rPr>
        <w:t>9.</w:t>
      </w:r>
      <w:r w:rsidRPr="00A468CF">
        <w:rPr>
          <w:rFonts w:ascii="Arial" w:hAnsi="Arial" w:cs="Arial"/>
          <w:sz w:val="19"/>
          <w:szCs w:val="19"/>
        </w:rPr>
        <w:tab/>
        <w:t xml:space="preserve">Coppens, Z. J.; Li, W.; Walker, D. G.; Valentine, J. G., Probing and Controlling Photothermal Heat Generation in Plasmonic Nanostructures. </w:t>
      </w:r>
      <w:r w:rsidRPr="00A468CF">
        <w:rPr>
          <w:rFonts w:ascii="Arial" w:hAnsi="Arial" w:cs="Arial"/>
          <w:i/>
          <w:sz w:val="19"/>
          <w:szCs w:val="19"/>
        </w:rPr>
        <w:t xml:space="preserve">Nano Letters </w:t>
      </w:r>
      <w:r w:rsidRPr="00A468CF">
        <w:rPr>
          <w:rFonts w:ascii="Arial" w:hAnsi="Arial" w:cs="Arial"/>
          <w:b/>
          <w:sz w:val="19"/>
          <w:szCs w:val="19"/>
        </w:rPr>
        <w:t>2013,</w:t>
      </w:r>
      <w:r w:rsidRPr="00A468CF">
        <w:rPr>
          <w:rFonts w:ascii="Arial" w:hAnsi="Arial" w:cs="Arial"/>
          <w:sz w:val="19"/>
          <w:szCs w:val="19"/>
        </w:rPr>
        <w:t xml:space="preserve"> </w:t>
      </w:r>
      <w:r w:rsidRPr="00A468CF">
        <w:rPr>
          <w:rFonts w:ascii="Arial" w:hAnsi="Arial" w:cs="Arial"/>
          <w:i/>
          <w:sz w:val="19"/>
          <w:szCs w:val="19"/>
        </w:rPr>
        <w:t>13</w:t>
      </w:r>
      <w:r w:rsidRPr="00A468CF">
        <w:rPr>
          <w:rFonts w:ascii="Arial" w:hAnsi="Arial" w:cs="Arial"/>
          <w:sz w:val="19"/>
          <w:szCs w:val="19"/>
        </w:rPr>
        <w:t xml:space="preserve"> (3), 1023-1028.</w:t>
      </w:r>
    </w:p>
    <w:p w14:paraId="3CE37C5C" w14:textId="77777777" w:rsidR="005F45B6" w:rsidRPr="00613F8A" w:rsidRDefault="005F45B6" w:rsidP="009F64E5">
      <w:pPr>
        <w:pStyle w:val="EndNoteBibliography"/>
        <w:spacing w:after="0"/>
        <w:rPr>
          <w:rFonts w:ascii="Arial" w:hAnsi="Arial" w:cs="Arial"/>
          <w:sz w:val="19"/>
          <w:szCs w:val="19"/>
        </w:rPr>
      </w:pPr>
      <w:r w:rsidRPr="00A468CF">
        <w:rPr>
          <w:rFonts w:ascii="Arial" w:hAnsi="Arial" w:cs="Arial"/>
          <w:sz w:val="19"/>
          <w:szCs w:val="19"/>
        </w:rPr>
        <w:t>10.</w:t>
      </w:r>
      <w:r w:rsidRPr="00A468CF">
        <w:rPr>
          <w:rFonts w:ascii="Arial" w:hAnsi="Arial" w:cs="Arial"/>
          <w:sz w:val="19"/>
          <w:szCs w:val="19"/>
        </w:rPr>
        <w:tab/>
        <w:t>Zolotavin, P.; Alabastri, A.; Nordlander, P.; Na</w:t>
      </w:r>
      <w:r w:rsidRPr="00613F8A">
        <w:rPr>
          <w:rFonts w:ascii="Arial" w:hAnsi="Arial" w:cs="Arial"/>
          <w:sz w:val="19"/>
          <w:szCs w:val="19"/>
        </w:rPr>
        <w:t xml:space="preserve">telson, D., Plasmonic Heating in Au Nanowires at Low Temperatures: The Role of Thermal Boundary Resistance. </w:t>
      </w:r>
      <w:r w:rsidRPr="00613F8A">
        <w:rPr>
          <w:rFonts w:ascii="Arial" w:hAnsi="Arial" w:cs="Arial"/>
          <w:i/>
          <w:sz w:val="19"/>
          <w:szCs w:val="19"/>
        </w:rPr>
        <w:t xml:space="preserve">ACS Nano </w:t>
      </w:r>
      <w:r w:rsidRPr="00613F8A">
        <w:rPr>
          <w:rFonts w:ascii="Arial" w:hAnsi="Arial" w:cs="Arial"/>
          <w:b/>
          <w:sz w:val="19"/>
          <w:szCs w:val="19"/>
        </w:rPr>
        <w:t>2016,</w:t>
      </w:r>
      <w:r w:rsidRPr="00613F8A">
        <w:rPr>
          <w:rFonts w:ascii="Arial" w:hAnsi="Arial" w:cs="Arial"/>
          <w:sz w:val="19"/>
          <w:szCs w:val="19"/>
        </w:rPr>
        <w:t xml:space="preserve"> </w:t>
      </w:r>
      <w:r w:rsidRPr="00613F8A">
        <w:rPr>
          <w:rFonts w:ascii="Arial" w:hAnsi="Arial" w:cs="Arial"/>
          <w:i/>
          <w:sz w:val="19"/>
          <w:szCs w:val="19"/>
        </w:rPr>
        <w:t>10</w:t>
      </w:r>
      <w:r w:rsidRPr="00613F8A">
        <w:rPr>
          <w:rFonts w:ascii="Arial" w:hAnsi="Arial" w:cs="Arial"/>
          <w:sz w:val="19"/>
          <w:szCs w:val="19"/>
        </w:rPr>
        <w:t xml:space="preserve"> (7), 6972-6979.</w:t>
      </w:r>
    </w:p>
    <w:p w14:paraId="7E26AD16" w14:textId="4EC9CE5D"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11.</w:t>
      </w:r>
      <w:r w:rsidRPr="00613F8A">
        <w:rPr>
          <w:rFonts w:ascii="Arial" w:hAnsi="Arial" w:cs="Arial"/>
          <w:sz w:val="19"/>
          <w:szCs w:val="19"/>
        </w:rPr>
        <w:tab/>
        <w:t xml:space="preserve">Elhadj, S.; Matthews, M. J.; Yang, S. T.; Cooke, D. J.; Stolken, J. S.; Vignes, R. M.; Draggoo, V. G.; Bisson, S. E., Determination of the </w:t>
      </w:r>
      <w:r w:rsidR="00FD3CD9" w:rsidRPr="00613F8A">
        <w:rPr>
          <w:rFonts w:ascii="Arial" w:hAnsi="Arial" w:cs="Arial"/>
          <w:sz w:val="19"/>
          <w:szCs w:val="19"/>
        </w:rPr>
        <w:t>I</w:t>
      </w:r>
      <w:r w:rsidRPr="00613F8A">
        <w:rPr>
          <w:rFonts w:ascii="Arial" w:hAnsi="Arial" w:cs="Arial"/>
          <w:sz w:val="19"/>
          <w:szCs w:val="19"/>
        </w:rPr>
        <w:t xml:space="preserve">ntrinsic </w:t>
      </w:r>
      <w:r w:rsidR="00FD3CD9" w:rsidRPr="00613F8A">
        <w:rPr>
          <w:rFonts w:ascii="Arial" w:hAnsi="Arial" w:cs="Arial"/>
          <w:sz w:val="19"/>
          <w:szCs w:val="19"/>
        </w:rPr>
        <w:t>T</w:t>
      </w:r>
      <w:r w:rsidRPr="00613F8A">
        <w:rPr>
          <w:rFonts w:ascii="Arial" w:hAnsi="Arial" w:cs="Arial"/>
          <w:sz w:val="19"/>
          <w:szCs w:val="19"/>
        </w:rPr>
        <w:t xml:space="preserve">emperature </w:t>
      </w:r>
      <w:r w:rsidR="00FD3CD9" w:rsidRPr="00613F8A">
        <w:rPr>
          <w:rFonts w:ascii="Arial" w:hAnsi="Arial" w:cs="Arial"/>
          <w:sz w:val="19"/>
          <w:szCs w:val="19"/>
        </w:rPr>
        <w:t>D</w:t>
      </w:r>
      <w:r w:rsidRPr="00613F8A">
        <w:rPr>
          <w:rFonts w:ascii="Arial" w:hAnsi="Arial" w:cs="Arial"/>
          <w:sz w:val="19"/>
          <w:szCs w:val="19"/>
        </w:rPr>
        <w:t xml:space="preserve">ependent </w:t>
      </w:r>
      <w:r w:rsidR="00FD3CD9" w:rsidRPr="00613F8A">
        <w:rPr>
          <w:rFonts w:ascii="Arial" w:hAnsi="Arial" w:cs="Arial"/>
          <w:sz w:val="19"/>
          <w:szCs w:val="19"/>
        </w:rPr>
        <w:t>T</w:t>
      </w:r>
      <w:r w:rsidRPr="00613F8A">
        <w:rPr>
          <w:rFonts w:ascii="Arial" w:hAnsi="Arial" w:cs="Arial"/>
          <w:sz w:val="19"/>
          <w:szCs w:val="19"/>
        </w:rPr>
        <w:t xml:space="preserve">hermal </w:t>
      </w:r>
      <w:r w:rsidR="00FD3CD9" w:rsidRPr="00613F8A">
        <w:rPr>
          <w:rFonts w:ascii="Arial" w:hAnsi="Arial" w:cs="Arial"/>
          <w:sz w:val="19"/>
          <w:szCs w:val="19"/>
        </w:rPr>
        <w:t>C</w:t>
      </w:r>
      <w:r w:rsidRPr="00613F8A">
        <w:rPr>
          <w:rFonts w:ascii="Arial" w:hAnsi="Arial" w:cs="Arial"/>
          <w:sz w:val="19"/>
          <w:szCs w:val="19"/>
        </w:rPr>
        <w:t xml:space="preserve">onductivity from </w:t>
      </w:r>
      <w:r w:rsidR="00FD3CD9" w:rsidRPr="00613F8A">
        <w:rPr>
          <w:rFonts w:ascii="Arial" w:hAnsi="Arial" w:cs="Arial"/>
          <w:sz w:val="19"/>
          <w:szCs w:val="19"/>
        </w:rPr>
        <w:t>A</w:t>
      </w:r>
      <w:r w:rsidRPr="00613F8A">
        <w:rPr>
          <w:rFonts w:ascii="Arial" w:hAnsi="Arial" w:cs="Arial"/>
          <w:sz w:val="19"/>
          <w:szCs w:val="19"/>
        </w:rPr>
        <w:t xml:space="preserve">nalysis of </w:t>
      </w:r>
      <w:r w:rsidR="00FD3CD9" w:rsidRPr="00613F8A">
        <w:rPr>
          <w:rFonts w:ascii="Arial" w:hAnsi="Arial" w:cs="Arial"/>
          <w:sz w:val="19"/>
          <w:szCs w:val="19"/>
        </w:rPr>
        <w:t>S</w:t>
      </w:r>
      <w:r w:rsidRPr="00613F8A">
        <w:rPr>
          <w:rFonts w:ascii="Arial" w:hAnsi="Arial" w:cs="Arial"/>
          <w:sz w:val="19"/>
          <w:szCs w:val="19"/>
        </w:rPr>
        <w:t xml:space="preserve">urface </w:t>
      </w:r>
      <w:r w:rsidR="00FD3CD9" w:rsidRPr="00613F8A">
        <w:rPr>
          <w:rFonts w:ascii="Arial" w:hAnsi="Arial" w:cs="Arial"/>
          <w:sz w:val="19"/>
          <w:szCs w:val="19"/>
        </w:rPr>
        <w:t>T</w:t>
      </w:r>
      <w:r w:rsidRPr="00613F8A">
        <w:rPr>
          <w:rFonts w:ascii="Arial" w:hAnsi="Arial" w:cs="Arial"/>
          <w:sz w:val="19"/>
          <w:szCs w:val="19"/>
        </w:rPr>
        <w:t xml:space="preserve">emperature of </w:t>
      </w:r>
      <w:r w:rsidR="00FD3CD9" w:rsidRPr="00613F8A">
        <w:rPr>
          <w:rFonts w:ascii="Arial" w:hAnsi="Arial" w:cs="Arial"/>
          <w:sz w:val="19"/>
          <w:szCs w:val="19"/>
        </w:rPr>
        <w:t>L</w:t>
      </w:r>
      <w:r w:rsidRPr="00613F8A">
        <w:rPr>
          <w:rFonts w:ascii="Arial" w:hAnsi="Arial" w:cs="Arial"/>
          <w:sz w:val="19"/>
          <w:szCs w:val="19"/>
        </w:rPr>
        <w:t xml:space="preserve">aser </w:t>
      </w:r>
      <w:r w:rsidR="00FD3CD9" w:rsidRPr="00613F8A">
        <w:rPr>
          <w:rFonts w:ascii="Arial" w:hAnsi="Arial" w:cs="Arial"/>
          <w:sz w:val="19"/>
          <w:szCs w:val="19"/>
        </w:rPr>
        <w:t>I</w:t>
      </w:r>
      <w:r w:rsidRPr="00613F8A">
        <w:rPr>
          <w:rFonts w:ascii="Arial" w:hAnsi="Arial" w:cs="Arial"/>
          <w:sz w:val="19"/>
          <w:szCs w:val="19"/>
        </w:rPr>
        <w:t xml:space="preserve">rradiated </w:t>
      </w:r>
      <w:r w:rsidR="00FD3CD9" w:rsidRPr="00613F8A">
        <w:rPr>
          <w:rFonts w:ascii="Arial" w:hAnsi="Arial" w:cs="Arial"/>
          <w:sz w:val="19"/>
          <w:szCs w:val="19"/>
        </w:rPr>
        <w:t>M</w:t>
      </w:r>
      <w:r w:rsidRPr="00613F8A">
        <w:rPr>
          <w:rFonts w:ascii="Arial" w:hAnsi="Arial" w:cs="Arial"/>
          <w:sz w:val="19"/>
          <w:szCs w:val="19"/>
        </w:rPr>
        <w:t xml:space="preserve">aterials. </w:t>
      </w:r>
      <w:r w:rsidRPr="00613F8A">
        <w:rPr>
          <w:rFonts w:ascii="Arial" w:hAnsi="Arial" w:cs="Arial"/>
          <w:i/>
          <w:sz w:val="19"/>
          <w:szCs w:val="19"/>
        </w:rPr>
        <w:t xml:space="preserve">Applied Physics Letters </w:t>
      </w:r>
      <w:r w:rsidRPr="00613F8A">
        <w:rPr>
          <w:rFonts w:ascii="Arial" w:hAnsi="Arial" w:cs="Arial"/>
          <w:b/>
          <w:sz w:val="19"/>
          <w:szCs w:val="19"/>
        </w:rPr>
        <w:t>2010,</w:t>
      </w:r>
      <w:r w:rsidRPr="00613F8A">
        <w:rPr>
          <w:rFonts w:ascii="Arial" w:hAnsi="Arial" w:cs="Arial"/>
          <w:sz w:val="19"/>
          <w:szCs w:val="19"/>
        </w:rPr>
        <w:t xml:space="preserve"> </w:t>
      </w:r>
      <w:r w:rsidRPr="00613F8A">
        <w:rPr>
          <w:rFonts w:ascii="Arial" w:hAnsi="Arial" w:cs="Arial"/>
          <w:i/>
          <w:sz w:val="19"/>
          <w:szCs w:val="19"/>
        </w:rPr>
        <w:t>96</w:t>
      </w:r>
      <w:r w:rsidRPr="00613F8A">
        <w:rPr>
          <w:rFonts w:ascii="Arial" w:hAnsi="Arial" w:cs="Arial"/>
          <w:sz w:val="19"/>
          <w:szCs w:val="19"/>
        </w:rPr>
        <w:t xml:space="preserve"> (7), 071110.</w:t>
      </w:r>
    </w:p>
    <w:p w14:paraId="2CCB12C3" w14:textId="0FFB6129"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12.</w:t>
      </w:r>
      <w:r w:rsidRPr="00613F8A">
        <w:rPr>
          <w:rFonts w:ascii="Arial" w:hAnsi="Arial" w:cs="Arial"/>
          <w:sz w:val="19"/>
          <w:szCs w:val="19"/>
        </w:rPr>
        <w:tab/>
        <w:t xml:space="preserve">Tumkur, T. U.; Sokhoyan, R.; Su, M. P.; Ceballos-Sanchez, A.; Kafaie Shirmanesh, G.; Kim, Y.; Atwater, H. A.; Feigenbaum, E.; Elhadj, S., Toward </w:t>
      </w:r>
      <w:r w:rsidR="003C3255" w:rsidRPr="00613F8A">
        <w:rPr>
          <w:rFonts w:ascii="Arial" w:hAnsi="Arial" w:cs="Arial"/>
          <w:sz w:val="19"/>
          <w:szCs w:val="19"/>
        </w:rPr>
        <w:t>H</w:t>
      </w:r>
      <w:r w:rsidRPr="00613F8A">
        <w:rPr>
          <w:rFonts w:ascii="Arial" w:hAnsi="Arial" w:cs="Arial"/>
          <w:sz w:val="19"/>
          <w:szCs w:val="19"/>
        </w:rPr>
        <w:t xml:space="preserve">igh </w:t>
      </w:r>
      <w:r w:rsidR="003C3255" w:rsidRPr="00613F8A">
        <w:rPr>
          <w:rFonts w:ascii="Arial" w:hAnsi="Arial" w:cs="Arial"/>
          <w:sz w:val="19"/>
          <w:szCs w:val="19"/>
        </w:rPr>
        <w:t>L</w:t>
      </w:r>
      <w:r w:rsidRPr="00613F8A">
        <w:rPr>
          <w:rFonts w:ascii="Arial" w:hAnsi="Arial" w:cs="Arial"/>
          <w:sz w:val="19"/>
          <w:szCs w:val="19"/>
        </w:rPr>
        <w:t xml:space="preserve">aser </w:t>
      </w:r>
      <w:r w:rsidR="003C3255" w:rsidRPr="00613F8A">
        <w:rPr>
          <w:rFonts w:ascii="Arial" w:hAnsi="Arial" w:cs="Arial"/>
          <w:sz w:val="19"/>
          <w:szCs w:val="19"/>
        </w:rPr>
        <w:t>P</w:t>
      </w:r>
      <w:r w:rsidRPr="00613F8A">
        <w:rPr>
          <w:rFonts w:ascii="Arial" w:hAnsi="Arial" w:cs="Arial"/>
          <w:sz w:val="19"/>
          <w:szCs w:val="19"/>
        </w:rPr>
        <w:t xml:space="preserve">ower </w:t>
      </w:r>
      <w:r w:rsidR="003C3255" w:rsidRPr="00613F8A">
        <w:rPr>
          <w:rFonts w:ascii="Arial" w:hAnsi="Arial" w:cs="Arial"/>
          <w:sz w:val="19"/>
          <w:szCs w:val="19"/>
        </w:rPr>
        <w:t>B</w:t>
      </w:r>
      <w:r w:rsidRPr="00613F8A">
        <w:rPr>
          <w:rFonts w:ascii="Arial" w:hAnsi="Arial" w:cs="Arial"/>
          <w:sz w:val="19"/>
          <w:szCs w:val="19"/>
        </w:rPr>
        <w:t xml:space="preserve">eam </w:t>
      </w:r>
      <w:r w:rsidR="003C3255" w:rsidRPr="00613F8A">
        <w:rPr>
          <w:rFonts w:ascii="Arial" w:hAnsi="Arial" w:cs="Arial"/>
          <w:sz w:val="19"/>
          <w:szCs w:val="19"/>
        </w:rPr>
        <w:t>M</w:t>
      </w:r>
      <w:r w:rsidRPr="00613F8A">
        <w:rPr>
          <w:rFonts w:ascii="Arial" w:hAnsi="Arial" w:cs="Arial"/>
          <w:sz w:val="19"/>
          <w:szCs w:val="19"/>
        </w:rPr>
        <w:t xml:space="preserve">anipulation with </w:t>
      </w:r>
      <w:r w:rsidR="003C3255" w:rsidRPr="00613F8A">
        <w:rPr>
          <w:rFonts w:ascii="Arial" w:hAnsi="Arial" w:cs="Arial"/>
          <w:sz w:val="19"/>
          <w:szCs w:val="19"/>
        </w:rPr>
        <w:t>N</w:t>
      </w:r>
      <w:r w:rsidRPr="00613F8A">
        <w:rPr>
          <w:rFonts w:ascii="Arial" w:hAnsi="Arial" w:cs="Arial"/>
          <w:sz w:val="19"/>
          <w:szCs w:val="19"/>
        </w:rPr>
        <w:t xml:space="preserve">anophotonic </w:t>
      </w:r>
      <w:r w:rsidR="003C3255" w:rsidRPr="00613F8A">
        <w:rPr>
          <w:rFonts w:ascii="Arial" w:hAnsi="Arial" w:cs="Arial"/>
          <w:sz w:val="19"/>
          <w:szCs w:val="19"/>
        </w:rPr>
        <w:t>M</w:t>
      </w:r>
      <w:r w:rsidRPr="00613F8A">
        <w:rPr>
          <w:rFonts w:ascii="Arial" w:hAnsi="Arial" w:cs="Arial"/>
          <w:sz w:val="19"/>
          <w:szCs w:val="19"/>
        </w:rPr>
        <w:t xml:space="preserve">aterials: </w:t>
      </w:r>
      <w:r w:rsidR="003C3255" w:rsidRPr="00613F8A">
        <w:rPr>
          <w:rFonts w:ascii="Arial" w:hAnsi="Arial" w:cs="Arial"/>
          <w:sz w:val="19"/>
          <w:szCs w:val="19"/>
        </w:rPr>
        <w:t>E</w:t>
      </w:r>
      <w:r w:rsidRPr="00613F8A">
        <w:rPr>
          <w:rFonts w:ascii="Arial" w:hAnsi="Arial" w:cs="Arial"/>
          <w:sz w:val="19"/>
          <w:szCs w:val="19"/>
        </w:rPr>
        <w:t xml:space="preserve">valuating </w:t>
      </w:r>
      <w:r w:rsidR="003C3255" w:rsidRPr="00613F8A">
        <w:rPr>
          <w:rFonts w:ascii="Arial" w:hAnsi="Arial" w:cs="Arial"/>
          <w:sz w:val="19"/>
          <w:szCs w:val="19"/>
        </w:rPr>
        <w:t>T</w:t>
      </w:r>
      <w:r w:rsidRPr="00613F8A">
        <w:rPr>
          <w:rFonts w:ascii="Arial" w:hAnsi="Arial" w:cs="Arial"/>
          <w:sz w:val="19"/>
          <w:szCs w:val="19"/>
        </w:rPr>
        <w:t xml:space="preserve">hin </w:t>
      </w:r>
      <w:r w:rsidR="003C3255" w:rsidRPr="00613F8A">
        <w:rPr>
          <w:rFonts w:ascii="Arial" w:hAnsi="Arial" w:cs="Arial"/>
          <w:sz w:val="19"/>
          <w:szCs w:val="19"/>
        </w:rPr>
        <w:t>F</w:t>
      </w:r>
      <w:r w:rsidRPr="00613F8A">
        <w:rPr>
          <w:rFonts w:ascii="Arial" w:hAnsi="Arial" w:cs="Arial"/>
          <w:sz w:val="19"/>
          <w:szCs w:val="19"/>
        </w:rPr>
        <w:t xml:space="preserve">ilm </w:t>
      </w:r>
      <w:r w:rsidR="003C3255" w:rsidRPr="00613F8A">
        <w:rPr>
          <w:rFonts w:ascii="Arial" w:hAnsi="Arial" w:cs="Arial"/>
          <w:sz w:val="19"/>
          <w:szCs w:val="19"/>
        </w:rPr>
        <w:t>D</w:t>
      </w:r>
      <w:r w:rsidRPr="00613F8A">
        <w:rPr>
          <w:rFonts w:ascii="Arial" w:hAnsi="Arial" w:cs="Arial"/>
          <w:sz w:val="19"/>
          <w:szCs w:val="19"/>
        </w:rPr>
        <w:t xml:space="preserve">amage </w:t>
      </w:r>
      <w:r w:rsidR="003C3255" w:rsidRPr="00613F8A">
        <w:rPr>
          <w:rFonts w:ascii="Arial" w:hAnsi="Arial" w:cs="Arial"/>
          <w:sz w:val="19"/>
          <w:szCs w:val="19"/>
        </w:rPr>
        <w:t>P</w:t>
      </w:r>
      <w:r w:rsidRPr="00613F8A">
        <w:rPr>
          <w:rFonts w:ascii="Arial" w:hAnsi="Arial" w:cs="Arial"/>
          <w:sz w:val="19"/>
          <w:szCs w:val="19"/>
        </w:rPr>
        <w:t xml:space="preserve">erformance. </w:t>
      </w:r>
      <w:r w:rsidRPr="00613F8A">
        <w:rPr>
          <w:rFonts w:ascii="Arial" w:hAnsi="Arial" w:cs="Arial"/>
          <w:i/>
          <w:sz w:val="19"/>
          <w:szCs w:val="19"/>
        </w:rPr>
        <w:t xml:space="preserve">Opt. Express </w:t>
      </w:r>
      <w:r w:rsidRPr="00613F8A">
        <w:rPr>
          <w:rFonts w:ascii="Arial" w:hAnsi="Arial" w:cs="Arial"/>
          <w:b/>
          <w:sz w:val="19"/>
          <w:szCs w:val="19"/>
        </w:rPr>
        <w:t>2021,</w:t>
      </w:r>
      <w:r w:rsidRPr="00613F8A">
        <w:rPr>
          <w:rFonts w:ascii="Arial" w:hAnsi="Arial" w:cs="Arial"/>
          <w:sz w:val="19"/>
          <w:szCs w:val="19"/>
        </w:rPr>
        <w:t xml:space="preserve"> </w:t>
      </w:r>
      <w:r w:rsidRPr="00613F8A">
        <w:rPr>
          <w:rFonts w:ascii="Arial" w:hAnsi="Arial" w:cs="Arial"/>
          <w:i/>
          <w:sz w:val="19"/>
          <w:szCs w:val="19"/>
        </w:rPr>
        <w:t>29</w:t>
      </w:r>
      <w:r w:rsidRPr="00613F8A">
        <w:rPr>
          <w:rFonts w:ascii="Arial" w:hAnsi="Arial" w:cs="Arial"/>
          <w:sz w:val="19"/>
          <w:szCs w:val="19"/>
        </w:rPr>
        <w:t xml:space="preserve"> (5), 7261-7275.</w:t>
      </w:r>
    </w:p>
    <w:p w14:paraId="059BA0BB" w14:textId="33B365DE"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13.</w:t>
      </w:r>
      <w:r w:rsidRPr="00613F8A">
        <w:rPr>
          <w:rFonts w:ascii="Arial" w:hAnsi="Arial" w:cs="Arial"/>
          <w:sz w:val="19"/>
          <w:szCs w:val="19"/>
        </w:rPr>
        <w:tab/>
        <w:t>Neudeck, P. G.; Okojie, R. S.; Liang-Yu, C., High-</w:t>
      </w:r>
      <w:r w:rsidR="00147730" w:rsidRPr="00613F8A">
        <w:rPr>
          <w:rFonts w:ascii="Arial" w:hAnsi="Arial" w:cs="Arial"/>
          <w:sz w:val="19"/>
          <w:szCs w:val="19"/>
        </w:rPr>
        <w:t>T</w:t>
      </w:r>
      <w:r w:rsidRPr="00613F8A">
        <w:rPr>
          <w:rFonts w:ascii="Arial" w:hAnsi="Arial" w:cs="Arial"/>
          <w:sz w:val="19"/>
          <w:szCs w:val="19"/>
        </w:rPr>
        <w:t xml:space="preserve">emperature </w:t>
      </w:r>
      <w:r w:rsidR="00147730" w:rsidRPr="00613F8A">
        <w:rPr>
          <w:rFonts w:ascii="Arial" w:hAnsi="Arial" w:cs="Arial"/>
          <w:sz w:val="19"/>
          <w:szCs w:val="19"/>
        </w:rPr>
        <w:t>E</w:t>
      </w:r>
      <w:r w:rsidRPr="00613F8A">
        <w:rPr>
          <w:rFonts w:ascii="Arial" w:hAnsi="Arial" w:cs="Arial"/>
          <w:sz w:val="19"/>
          <w:szCs w:val="19"/>
        </w:rPr>
        <w:t xml:space="preserve">lectronics - a </w:t>
      </w:r>
      <w:r w:rsidR="00147730" w:rsidRPr="00613F8A">
        <w:rPr>
          <w:rFonts w:ascii="Arial" w:hAnsi="Arial" w:cs="Arial"/>
          <w:sz w:val="19"/>
          <w:szCs w:val="19"/>
        </w:rPr>
        <w:t>R</w:t>
      </w:r>
      <w:r w:rsidRPr="00613F8A">
        <w:rPr>
          <w:rFonts w:ascii="Arial" w:hAnsi="Arial" w:cs="Arial"/>
          <w:sz w:val="19"/>
          <w:szCs w:val="19"/>
        </w:rPr>
        <w:t xml:space="preserve">ole for </w:t>
      </w:r>
      <w:r w:rsidR="00147730" w:rsidRPr="00613F8A">
        <w:rPr>
          <w:rFonts w:ascii="Arial" w:hAnsi="Arial" w:cs="Arial"/>
          <w:sz w:val="19"/>
          <w:szCs w:val="19"/>
        </w:rPr>
        <w:t>W</w:t>
      </w:r>
      <w:r w:rsidRPr="00613F8A">
        <w:rPr>
          <w:rFonts w:ascii="Arial" w:hAnsi="Arial" w:cs="Arial"/>
          <w:sz w:val="19"/>
          <w:szCs w:val="19"/>
        </w:rPr>
        <w:t xml:space="preserve">ide </w:t>
      </w:r>
      <w:r w:rsidR="00147730" w:rsidRPr="00613F8A">
        <w:rPr>
          <w:rFonts w:ascii="Arial" w:hAnsi="Arial" w:cs="Arial"/>
          <w:sz w:val="19"/>
          <w:szCs w:val="19"/>
        </w:rPr>
        <w:t>B</w:t>
      </w:r>
      <w:r w:rsidRPr="00613F8A">
        <w:rPr>
          <w:rFonts w:ascii="Arial" w:hAnsi="Arial" w:cs="Arial"/>
          <w:sz w:val="19"/>
          <w:szCs w:val="19"/>
        </w:rPr>
        <w:t xml:space="preserve">andgap </w:t>
      </w:r>
      <w:r w:rsidR="00147730" w:rsidRPr="00613F8A">
        <w:rPr>
          <w:rFonts w:ascii="Arial" w:hAnsi="Arial" w:cs="Arial"/>
          <w:sz w:val="19"/>
          <w:szCs w:val="19"/>
        </w:rPr>
        <w:t>S</w:t>
      </w:r>
      <w:r w:rsidRPr="00613F8A">
        <w:rPr>
          <w:rFonts w:ascii="Arial" w:hAnsi="Arial" w:cs="Arial"/>
          <w:sz w:val="19"/>
          <w:szCs w:val="19"/>
        </w:rPr>
        <w:t xml:space="preserve">emiconductors? </w:t>
      </w:r>
      <w:r w:rsidRPr="00613F8A">
        <w:rPr>
          <w:rFonts w:ascii="Arial" w:hAnsi="Arial" w:cs="Arial"/>
          <w:i/>
          <w:sz w:val="19"/>
          <w:szCs w:val="19"/>
        </w:rPr>
        <w:t xml:space="preserve">Proceedings of the IEEE </w:t>
      </w:r>
      <w:r w:rsidRPr="00613F8A">
        <w:rPr>
          <w:rFonts w:ascii="Arial" w:hAnsi="Arial" w:cs="Arial"/>
          <w:b/>
          <w:sz w:val="19"/>
          <w:szCs w:val="19"/>
        </w:rPr>
        <w:t>2002,</w:t>
      </w:r>
      <w:r w:rsidRPr="00613F8A">
        <w:rPr>
          <w:rFonts w:ascii="Arial" w:hAnsi="Arial" w:cs="Arial"/>
          <w:sz w:val="19"/>
          <w:szCs w:val="19"/>
        </w:rPr>
        <w:t xml:space="preserve"> </w:t>
      </w:r>
      <w:r w:rsidRPr="00613F8A">
        <w:rPr>
          <w:rFonts w:ascii="Arial" w:hAnsi="Arial" w:cs="Arial"/>
          <w:i/>
          <w:sz w:val="19"/>
          <w:szCs w:val="19"/>
        </w:rPr>
        <w:t>90</w:t>
      </w:r>
      <w:r w:rsidRPr="00613F8A">
        <w:rPr>
          <w:rFonts w:ascii="Arial" w:hAnsi="Arial" w:cs="Arial"/>
          <w:sz w:val="19"/>
          <w:szCs w:val="19"/>
        </w:rPr>
        <w:t xml:space="preserve"> (6), 1065-1076.</w:t>
      </w:r>
    </w:p>
    <w:p w14:paraId="3E71C9E6"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14.</w:t>
      </w:r>
      <w:r w:rsidRPr="00613F8A">
        <w:rPr>
          <w:rFonts w:ascii="Arial" w:hAnsi="Arial" w:cs="Arial"/>
          <w:sz w:val="19"/>
          <w:szCs w:val="19"/>
        </w:rPr>
        <w:tab/>
        <w:t xml:space="preserve">Huang, Y.-W.; Lee, H. W. H.; Sokhoyan, R.; Pala, R. A.; Thyagarajan, K.; Han, S.; Tsai, D. P.; Atwater, H. A., Gate-Tunable Conducting Oxide Metasurfaces. </w:t>
      </w:r>
      <w:r w:rsidRPr="00613F8A">
        <w:rPr>
          <w:rFonts w:ascii="Arial" w:hAnsi="Arial" w:cs="Arial"/>
          <w:i/>
          <w:sz w:val="19"/>
          <w:szCs w:val="19"/>
        </w:rPr>
        <w:t xml:space="preserve">Nano Letters </w:t>
      </w:r>
      <w:r w:rsidRPr="00613F8A">
        <w:rPr>
          <w:rFonts w:ascii="Arial" w:hAnsi="Arial" w:cs="Arial"/>
          <w:b/>
          <w:sz w:val="19"/>
          <w:szCs w:val="19"/>
        </w:rPr>
        <w:t>2016,</w:t>
      </w:r>
      <w:r w:rsidRPr="00613F8A">
        <w:rPr>
          <w:rFonts w:ascii="Arial" w:hAnsi="Arial" w:cs="Arial"/>
          <w:sz w:val="19"/>
          <w:szCs w:val="19"/>
        </w:rPr>
        <w:t xml:space="preserve"> </w:t>
      </w:r>
      <w:r w:rsidRPr="00613F8A">
        <w:rPr>
          <w:rFonts w:ascii="Arial" w:hAnsi="Arial" w:cs="Arial"/>
          <w:i/>
          <w:sz w:val="19"/>
          <w:szCs w:val="19"/>
        </w:rPr>
        <w:t>16</w:t>
      </w:r>
      <w:r w:rsidRPr="00613F8A">
        <w:rPr>
          <w:rFonts w:ascii="Arial" w:hAnsi="Arial" w:cs="Arial"/>
          <w:sz w:val="19"/>
          <w:szCs w:val="19"/>
        </w:rPr>
        <w:t xml:space="preserve"> (9), 5319-5325.</w:t>
      </w:r>
    </w:p>
    <w:p w14:paraId="2E5B5D97" w14:textId="3AA48C2D"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15.</w:t>
      </w:r>
      <w:r w:rsidRPr="00613F8A">
        <w:rPr>
          <w:rFonts w:ascii="Arial" w:hAnsi="Arial" w:cs="Arial"/>
          <w:sz w:val="19"/>
          <w:szCs w:val="19"/>
        </w:rPr>
        <w:tab/>
        <w:t>Shirmanesh, G. K.; Sokhoyan, R.; Wu, P. C.; Atwater, H. A., Electro-</w:t>
      </w:r>
      <w:r w:rsidR="00F05ADE" w:rsidRPr="00613F8A">
        <w:rPr>
          <w:rFonts w:ascii="Arial" w:hAnsi="Arial" w:cs="Arial"/>
          <w:sz w:val="19"/>
          <w:szCs w:val="19"/>
        </w:rPr>
        <w:t>O</w:t>
      </w:r>
      <w:r w:rsidRPr="00613F8A">
        <w:rPr>
          <w:rFonts w:ascii="Arial" w:hAnsi="Arial" w:cs="Arial"/>
          <w:sz w:val="19"/>
          <w:szCs w:val="19"/>
        </w:rPr>
        <w:t xml:space="preserve">ptically Tunable Multifunctional Metasurfaces. </w:t>
      </w:r>
      <w:r w:rsidRPr="00613F8A">
        <w:rPr>
          <w:rFonts w:ascii="Arial" w:hAnsi="Arial" w:cs="Arial"/>
          <w:i/>
          <w:sz w:val="19"/>
          <w:szCs w:val="19"/>
        </w:rPr>
        <w:t xml:space="preserve">ACS Nano </w:t>
      </w:r>
      <w:r w:rsidRPr="00613F8A">
        <w:rPr>
          <w:rFonts w:ascii="Arial" w:hAnsi="Arial" w:cs="Arial"/>
          <w:b/>
          <w:sz w:val="19"/>
          <w:szCs w:val="19"/>
        </w:rPr>
        <w:t>2020,</w:t>
      </w:r>
      <w:r w:rsidRPr="00613F8A">
        <w:rPr>
          <w:rFonts w:ascii="Arial" w:hAnsi="Arial" w:cs="Arial"/>
          <w:sz w:val="19"/>
          <w:szCs w:val="19"/>
        </w:rPr>
        <w:t xml:space="preserve"> </w:t>
      </w:r>
      <w:r w:rsidRPr="00613F8A">
        <w:rPr>
          <w:rFonts w:ascii="Arial" w:hAnsi="Arial" w:cs="Arial"/>
          <w:i/>
          <w:sz w:val="19"/>
          <w:szCs w:val="19"/>
        </w:rPr>
        <w:t>14</w:t>
      </w:r>
      <w:r w:rsidRPr="00613F8A">
        <w:rPr>
          <w:rFonts w:ascii="Arial" w:hAnsi="Arial" w:cs="Arial"/>
          <w:sz w:val="19"/>
          <w:szCs w:val="19"/>
        </w:rPr>
        <w:t xml:space="preserve"> (6), 6912-6920.</w:t>
      </w:r>
    </w:p>
    <w:p w14:paraId="022225F4"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16.</w:t>
      </w:r>
      <w:r w:rsidRPr="00613F8A">
        <w:rPr>
          <w:rFonts w:ascii="Arial" w:hAnsi="Arial" w:cs="Arial"/>
          <w:sz w:val="19"/>
          <w:szCs w:val="19"/>
        </w:rPr>
        <w:tab/>
        <w:t xml:space="preserve">Incropera, F. P., </w:t>
      </w:r>
      <w:r w:rsidRPr="00613F8A">
        <w:rPr>
          <w:rFonts w:ascii="Arial" w:hAnsi="Arial" w:cs="Arial"/>
          <w:i/>
          <w:sz w:val="19"/>
          <w:szCs w:val="19"/>
        </w:rPr>
        <w:t>Introduction to heat transfer</w:t>
      </w:r>
      <w:r w:rsidRPr="00613F8A">
        <w:rPr>
          <w:rFonts w:ascii="Arial" w:hAnsi="Arial" w:cs="Arial"/>
          <w:sz w:val="19"/>
          <w:szCs w:val="19"/>
        </w:rPr>
        <w:t>. 5th ed.; Wiley: Hobokenm NJ, 2007; p xxv, 901 p.</w:t>
      </w:r>
    </w:p>
    <w:p w14:paraId="7316A8AD" w14:textId="233D4A34"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17.</w:t>
      </w:r>
      <w:r w:rsidRPr="00613F8A">
        <w:rPr>
          <w:rFonts w:ascii="Arial" w:hAnsi="Arial" w:cs="Arial"/>
          <w:sz w:val="19"/>
          <w:szCs w:val="19"/>
        </w:rPr>
        <w:tab/>
        <w:t>Reddy, H.; Guler, U.; Kildishev, A. V.; Boltasseva, A.; Shalaev, V. M., Temperature-</w:t>
      </w:r>
      <w:r w:rsidR="00F05ADE" w:rsidRPr="00613F8A">
        <w:rPr>
          <w:rFonts w:ascii="Arial" w:hAnsi="Arial" w:cs="Arial"/>
          <w:sz w:val="19"/>
          <w:szCs w:val="19"/>
        </w:rPr>
        <w:t>D</w:t>
      </w:r>
      <w:r w:rsidRPr="00613F8A">
        <w:rPr>
          <w:rFonts w:ascii="Arial" w:hAnsi="Arial" w:cs="Arial"/>
          <w:sz w:val="19"/>
          <w:szCs w:val="19"/>
        </w:rPr>
        <w:t xml:space="preserve">ependent </w:t>
      </w:r>
      <w:r w:rsidR="00F05ADE" w:rsidRPr="00613F8A">
        <w:rPr>
          <w:rFonts w:ascii="Arial" w:hAnsi="Arial" w:cs="Arial"/>
          <w:sz w:val="19"/>
          <w:szCs w:val="19"/>
        </w:rPr>
        <w:t>O</w:t>
      </w:r>
      <w:r w:rsidRPr="00613F8A">
        <w:rPr>
          <w:rFonts w:ascii="Arial" w:hAnsi="Arial" w:cs="Arial"/>
          <w:sz w:val="19"/>
          <w:szCs w:val="19"/>
        </w:rPr>
        <w:t xml:space="preserve">ptical </w:t>
      </w:r>
      <w:r w:rsidR="00F05ADE" w:rsidRPr="00613F8A">
        <w:rPr>
          <w:rFonts w:ascii="Arial" w:hAnsi="Arial" w:cs="Arial"/>
          <w:sz w:val="19"/>
          <w:szCs w:val="19"/>
        </w:rPr>
        <w:t>P</w:t>
      </w:r>
      <w:r w:rsidRPr="00613F8A">
        <w:rPr>
          <w:rFonts w:ascii="Arial" w:hAnsi="Arial" w:cs="Arial"/>
          <w:sz w:val="19"/>
          <w:szCs w:val="19"/>
        </w:rPr>
        <w:t xml:space="preserve">roperties of </w:t>
      </w:r>
      <w:r w:rsidR="00F05ADE" w:rsidRPr="00613F8A">
        <w:rPr>
          <w:rFonts w:ascii="Arial" w:hAnsi="Arial" w:cs="Arial"/>
          <w:sz w:val="19"/>
          <w:szCs w:val="19"/>
        </w:rPr>
        <w:t>G</w:t>
      </w:r>
      <w:r w:rsidRPr="00613F8A">
        <w:rPr>
          <w:rFonts w:ascii="Arial" w:hAnsi="Arial" w:cs="Arial"/>
          <w:sz w:val="19"/>
          <w:szCs w:val="19"/>
        </w:rPr>
        <w:t xml:space="preserve">old </w:t>
      </w:r>
      <w:r w:rsidR="00F05ADE" w:rsidRPr="00613F8A">
        <w:rPr>
          <w:rFonts w:ascii="Arial" w:hAnsi="Arial" w:cs="Arial"/>
          <w:sz w:val="19"/>
          <w:szCs w:val="19"/>
        </w:rPr>
        <w:t>T</w:t>
      </w:r>
      <w:r w:rsidRPr="00613F8A">
        <w:rPr>
          <w:rFonts w:ascii="Arial" w:hAnsi="Arial" w:cs="Arial"/>
          <w:sz w:val="19"/>
          <w:szCs w:val="19"/>
        </w:rPr>
        <w:t xml:space="preserve">hin </w:t>
      </w:r>
      <w:r w:rsidR="00F05ADE" w:rsidRPr="00613F8A">
        <w:rPr>
          <w:rFonts w:ascii="Arial" w:hAnsi="Arial" w:cs="Arial"/>
          <w:sz w:val="19"/>
          <w:szCs w:val="19"/>
        </w:rPr>
        <w:t>F</w:t>
      </w:r>
      <w:r w:rsidRPr="00613F8A">
        <w:rPr>
          <w:rFonts w:ascii="Arial" w:hAnsi="Arial" w:cs="Arial"/>
          <w:sz w:val="19"/>
          <w:szCs w:val="19"/>
        </w:rPr>
        <w:t xml:space="preserve">ilms. </w:t>
      </w:r>
      <w:r w:rsidRPr="00613F8A">
        <w:rPr>
          <w:rFonts w:ascii="Arial" w:hAnsi="Arial" w:cs="Arial"/>
          <w:i/>
          <w:sz w:val="19"/>
          <w:szCs w:val="19"/>
        </w:rPr>
        <w:t xml:space="preserve">Opt. Mater. Express </w:t>
      </w:r>
      <w:r w:rsidRPr="00613F8A">
        <w:rPr>
          <w:rFonts w:ascii="Arial" w:hAnsi="Arial" w:cs="Arial"/>
          <w:b/>
          <w:sz w:val="19"/>
          <w:szCs w:val="19"/>
        </w:rPr>
        <w:t>2016,</w:t>
      </w:r>
      <w:r w:rsidRPr="00613F8A">
        <w:rPr>
          <w:rFonts w:ascii="Arial" w:hAnsi="Arial" w:cs="Arial"/>
          <w:sz w:val="19"/>
          <w:szCs w:val="19"/>
        </w:rPr>
        <w:t xml:space="preserve"> </w:t>
      </w:r>
      <w:r w:rsidRPr="00613F8A">
        <w:rPr>
          <w:rFonts w:ascii="Arial" w:hAnsi="Arial" w:cs="Arial"/>
          <w:i/>
          <w:sz w:val="19"/>
          <w:szCs w:val="19"/>
        </w:rPr>
        <w:t>6</w:t>
      </w:r>
      <w:r w:rsidRPr="00613F8A">
        <w:rPr>
          <w:rFonts w:ascii="Arial" w:hAnsi="Arial" w:cs="Arial"/>
          <w:sz w:val="19"/>
          <w:szCs w:val="19"/>
        </w:rPr>
        <w:t xml:space="preserve"> (9), 2776-2802.</w:t>
      </w:r>
    </w:p>
    <w:p w14:paraId="4751E70A"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18.</w:t>
      </w:r>
      <w:r w:rsidRPr="00613F8A">
        <w:rPr>
          <w:rFonts w:ascii="Arial" w:hAnsi="Arial" w:cs="Arial"/>
          <w:sz w:val="19"/>
          <w:szCs w:val="19"/>
        </w:rPr>
        <w:tab/>
        <w:t xml:space="preserve">Lee, S., Song, S., Au, V., and Moran, K.P, Constriction/Spreading Resistance Model for Electronic Packaging. </w:t>
      </w:r>
      <w:r w:rsidRPr="00613F8A">
        <w:rPr>
          <w:rFonts w:ascii="Arial" w:hAnsi="Arial" w:cs="Arial"/>
          <w:i/>
          <w:sz w:val="19"/>
          <w:szCs w:val="19"/>
        </w:rPr>
        <w:t xml:space="preserve">Proceedings of ASME/JSME Engineering Conference </w:t>
      </w:r>
      <w:r w:rsidRPr="00613F8A">
        <w:rPr>
          <w:rFonts w:ascii="Arial" w:hAnsi="Arial" w:cs="Arial"/>
          <w:b/>
          <w:sz w:val="19"/>
          <w:szCs w:val="19"/>
        </w:rPr>
        <w:t>1995,</w:t>
      </w:r>
      <w:r w:rsidRPr="00613F8A">
        <w:rPr>
          <w:rFonts w:ascii="Arial" w:hAnsi="Arial" w:cs="Arial"/>
          <w:sz w:val="19"/>
          <w:szCs w:val="19"/>
        </w:rPr>
        <w:t xml:space="preserve"> </w:t>
      </w:r>
      <w:r w:rsidRPr="00613F8A">
        <w:rPr>
          <w:rFonts w:ascii="Arial" w:hAnsi="Arial" w:cs="Arial"/>
          <w:i/>
          <w:sz w:val="19"/>
          <w:szCs w:val="19"/>
        </w:rPr>
        <w:t>4</w:t>
      </w:r>
      <w:r w:rsidRPr="00613F8A">
        <w:rPr>
          <w:rFonts w:ascii="Arial" w:hAnsi="Arial" w:cs="Arial"/>
          <w:sz w:val="19"/>
          <w:szCs w:val="19"/>
        </w:rPr>
        <w:t>.</w:t>
      </w:r>
    </w:p>
    <w:p w14:paraId="2C1954A8" w14:textId="3DC01E24"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19.</w:t>
      </w:r>
      <w:r w:rsidRPr="00613F8A">
        <w:rPr>
          <w:rFonts w:ascii="Arial" w:hAnsi="Arial" w:cs="Arial"/>
          <w:sz w:val="19"/>
          <w:szCs w:val="19"/>
        </w:rPr>
        <w:tab/>
        <w:t xml:space="preserve">Gong, J.; Dai, R.; Wang, Z.; Zhang, C.; Yuan, X.; Zhang, Z., Temperature </w:t>
      </w:r>
      <w:r w:rsidR="00B07922" w:rsidRPr="00613F8A">
        <w:rPr>
          <w:rFonts w:ascii="Arial" w:hAnsi="Arial" w:cs="Arial"/>
          <w:sz w:val="19"/>
          <w:szCs w:val="19"/>
        </w:rPr>
        <w:t>D</w:t>
      </w:r>
      <w:r w:rsidRPr="00613F8A">
        <w:rPr>
          <w:rFonts w:ascii="Arial" w:hAnsi="Arial" w:cs="Arial"/>
          <w:sz w:val="19"/>
          <w:szCs w:val="19"/>
        </w:rPr>
        <w:t xml:space="preserve">ependent </w:t>
      </w:r>
      <w:r w:rsidR="00B07922" w:rsidRPr="00613F8A">
        <w:rPr>
          <w:rFonts w:ascii="Arial" w:hAnsi="Arial" w:cs="Arial"/>
          <w:sz w:val="19"/>
          <w:szCs w:val="19"/>
        </w:rPr>
        <w:t>O</w:t>
      </w:r>
      <w:r w:rsidRPr="00613F8A">
        <w:rPr>
          <w:rFonts w:ascii="Arial" w:hAnsi="Arial" w:cs="Arial"/>
          <w:sz w:val="19"/>
          <w:szCs w:val="19"/>
        </w:rPr>
        <w:t xml:space="preserve">ptical </w:t>
      </w:r>
      <w:r w:rsidR="00B07922" w:rsidRPr="00613F8A">
        <w:rPr>
          <w:rFonts w:ascii="Arial" w:hAnsi="Arial" w:cs="Arial"/>
          <w:sz w:val="19"/>
          <w:szCs w:val="19"/>
        </w:rPr>
        <w:t>C</w:t>
      </w:r>
      <w:r w:rsidRPr="00613F8A">
        <w:rPr>
          <w:rFonts w:ascii="Arial" w:hAnsi="Arial" w:cs="Arial"/>
          <w:sz w:val="19"/>
          <w:szCs w:val="19"/>
        </w:rPr>
        <w:t>onstants for SiO</w:t>
      </w:r>
      <w:r w:rsidRPr="00613F8A">
        <w:rPr>
          <w:rFonts w:ascii="Arial" w:hAnsi="Arial" w:cs="Arial"/>
          <w:sz w:val="19"/>
          <w:szCs w:val="19"/>
          <w:vertAlign w:val="subscript"/>
        </w:rPr>
        <w:t>2</w:t>
      </w:r>
      <w:r w:rsidRPr="00613F8A">
        <w:rPr>
          <w:rFonts w:ascii="Arial" w:hAnsi="Arial" w:cs="Arial"/>
          <w:sz w:val="19"/>
          <w:szCs w:val="19"/>
        </w:rPr>
        <w:t xml:space="preserve"> </w:t>
      </w:r>
      <w:r w:rsidR="00B07922" w:rsidRPr="00613F8A">
        <w:rPr>
          <w:rFonts w:ascii="Arial" w:hAnsi="Arial" w:cs="Arial"/>
          <w:sz w:val="19"/>
          <w:szCs w:val="19"/>
        </w:rPr>
        <w:t>F</w:t>
      </w:r>
      <w:r w:rsidRPr="00613F8A">
        <w:rPr>
          <w:rFonts w:ascii="Arial" w:hAnsi="Arial" w:cs="Arial"/>
          <w:sz w:val="19"/>
          <w:szCs w:val="19"/>
        </w:rPr>
        <w:t xml:space="preserve">ilm on Si </w:t>
      </w:r>
      <w:r w:rsidR="00B07922" w:rsidRPr="00613F8A">
        <w:rPr>
          <w:rFonts w:ascii="Arial" w:hAnsi="Arial" w:cs="Arial"/>
          <w:sz w:val="19"/>
          <w:szCs w:val="19"/>
        </w:rPr>
        <w:t>S</w:t>
      </w:r>
      <w:r w:rsidRPr="00613F8A">
        <w:rPr>
          <w:rFonts w:ascii="Arial" w:hAnsi="Arial" w:cs="Arial"/>
          <w:sz w:val="19"/>
          <w:szCs w:val="19"/>
        </w:rPr>
        <w:t xml:space="preserve">ubstrate by </w:t>
      </w:r>
      <w:r w:rsidR="00B07922" w:rsidRPr="00613F8A">
        <w:rPr>
          <w:rFonts w:ascii="Arial" w:hAnsi="Arial" w:cs="Arial"/>
          <w:sz w:val="19"/>
          <w:szCs w:val="19"/>
        </w:rPr>
        <w:t>E</w:t>
      </w:r>
      <w:r w:rsidRPr="00613F8A">
        <w:rPr>
          <w:rFonts w:ascii="Arial" w:hAnsi="Arial" w:cs="Arial"/>
          <w:sz w:val="19"/>
          <w:szCs w:val="19"/>
        </w:rPr>
        <w:t xml:space="preserve">llipsometry. </w:t>
      </w:r>
      <w:r w:rsidRPr="00613F8A">
        <w:rPr>
          <w:rFonts w:ascii="Arial" w:hAnsi="Arial" w:cs="Arial"/>
          <w:i/>
          <w:sz w:val="19"/>
          <w:szCs w:val="19"/>
        </w:rPr>
        <w:t xml:space="preserve">Materials Research Express </w:t>
      </w:r>
      <w:r w:rsidRPr="00613F8A">
        <w:rPr>
          <w:rFonts w:ascii="Arial" w:hAnsi="Arial" w:cs="Arial"/>
          <w:b/>
          <w:sz w:val="19"/>
          <w:szCs w:val="19"/>
        </w:rPr>
        <w:t>2017,</w:t>
      </w:r>
      <w:r w:rsidRPr="00613F8A">
        <w:rPr>
          <w:rFonts w:ascii="Arial" w:hAnsi="Arial" w:cs="Arial"/>
          <w:sz w:val="19"/>
          <w:szCs w:val="19"/>
        </w:rPr>
        <w:t xml:space="preserve"> </w:t>
      </w:r>
      <w:r w:rsidRPr="00613F8A">
        <w:rPr>
          <w:rFonts w:ascii="Arial" w:hAnsi="Arial" w:cs="Arial"/>
          <w:i/>
          <w:sz w:val="19"/>
          <w:szCs w:val="19"/>
        </w:rPr>
        <w:t>4</w:t>
      </w:r>
      <w:r w:rsidRPr="00613F8A">
        <w:rPr>
          <w:rFonts w:ascii="Arial" w:hAnsi="Arial" w:cs="Arial"/>
          <w:sz w:val="19"/>
          <w:szCs w:val="19"/>
        </w:rPr>
        <w:t xml:space="preserve"> (8), 085005.</w:t>
      </w:r>
    </w:p>
    <w:p w14:paraId="62D18BB1" w14:textId="1D17AC8A"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20.</w:t>
      </w:r>
      <w:r w:rsidRPr="00613F8A">
        <w:rPr>
          <w:rFonts w:ascii="Arial" w:hAnsi="Arial" w:cs="Arial"/>
          <w:sz w:val="19"/>
          <w:szCs w:val="19"/>
        </w:rPr>
        <w:tab/>
        <w:t>Wu, C.-Y.; Thanh, T. V.; Chen, Y.-F.; Lee, J.-K.; Lin, J.-J., Free-</w:t>
      </w:r>
      <w:r w:rsidR="00B07922" w:rsidRPr="00613F8A">
        <w:rPr>
          <w:rFonts w:ascii="Arial" w:hAnsi="Arial" w:cs="Arial"/>
          <w:sz w:val="19"/>
          <w:szCs w:val="19"/>
        </w:rPr>
        <w:t>E</w:t>
      </w:r>
      <w:r w:rsidRPr="00613F8A">
        <w:rPr>
          <w:rFonts w:ascii="Arial" w:hAnsi="Arial" w:cs="Arial"/>
          <w:sz w:val="19"/>
          <w:szCs w:val="19"/>
        </w:rPr>
        <w:t xml:space="preserve">lectronlike </w:t>
      </w:r>
      <w:r w:rsidR="00B07922" w:rsidRPr="00613F8A">
        <w:rPr>
          <w:rFonts w:ascii="Arial" w:hAnsi="Arial" w:cs="Arial"/>
          <w:sz w:val="19"/>
          <w:szCs w:val="19"/>
        </w:rPr>
        <w:t>D</w:t>
      </w:r>
      <w:r w:rsidRPr="00613F8A">
        <w:rPr>
          <w:rFonts w:ascii="Arial" w:hAnsi="Arial" w:cs="Arial"/>
          <w:sz w:val="19"/>
          <w:szCs w:val="19"/>
        </w:rPr>
        <w:t xml:space="preserve">iffusive </w:t>
      </w:r>
      <w:r w:rsidR="00B07922" w:rsidRPr="00613F8A">
        <w:rPr>
          <w:rFonts w:ascii="Arial" w:hAnsi="Arial" w:cs="Arial"/>
          <w:sz w:val="19"/>
          <w:szCs w:val="19"/>
        </w:rPr>
        <w:t>T</w:t>
      </w:r>
      <w:r w:rsidRPr="00613F8A">
        <w:rPr>
          <w:rFonts w:ascii="Arial" w:hAnsi="Arial" w:cs="Arial"/>
          <w:sz w:val="19"/>
          <w:szCs w:val="19"/>
        </w:rPr>
        <w:t xml:space="preserve">hermopower of </w:t>
      </w:r>
      <w:r w:rsidR="00B07922" w:rsidRPr="00613F8A">
        <w:rPr>
          <w:rFonts w:ascii="Arial" w:hAnsi="Arial" w:cs="Arial"/>
          <w:sz w:val="19"/>
          <w:szCs w:val="19"/>
        </w:rPr>
        <w:t>I</w:t>
      </w:r>
      <w:r w:rsidRPr="00613F8A">
        <w:rPr>
          <w:rFonts w:ascii="Arial" w:hAnsi="Arial" w:cs="Arial"/>
          <w:sz w:val="19"/>
          <w:szCs w:val="19"/>
        </w:rPr>
        <w:t xml:space="preserve">ndium </w:t>
      </w:r>
      <w:r w:rsidR="00B07922" w:rsidRPr="00613F8A">
        <w:rPr>
          <w:rFonts w:ascii="Arial" w:hAnsi="Arial" w:cs="Arial"/>
          <w:sz w:val="19"/>
          <w:szCs w:val="19"/>
        </w:rPr>
        <w:t>T</w:t>
      </w:r>
      <w:r w:rsidRPr="00613F8A">
        <w:rPr>
          <w:rFonts w:ascii="Arial" w:hAnsi="Arial" w:cs="Arial"/>
          <w:sz w:val="19"/>
          <w:szCs w:val="19"/>
        </w:rPr>
        <w:t xml:space="preserve">in </w:t>
      </w:r>
      <w:r w:rsidR="00B07922" w:rsidRPr="00613F8A">
        <w:rPr>
          <w:rFonts w:ascii="Arial" w:hAnsi="Arial" w:cs="Arial"/>
          <w:sz w:val="19"/>
          <w:szCs w:val="19"/>
        </w:rPr>
        <w:t>O</w:t>
      </w:r>
      <w:r w:rsidRPr="00613F8A">
        <w:rPr>
          <w:rFonts w:ascii="Arial" w:hAnsi="Arial" w:cs="Arial"/>
          <w:sz w:val="19"/>
          <w:szCs w:val="19"/>
        </w:rPr>
        <w:t xml:space="preserve">xide </w:t>
      </w:r>
      <w:r w:rsidR="00B07922" w:rsidRPr="00613F8A">
        <w:rPr>
          <w:rFonts w:ascii="Arial" w:hAnsi="Arial" w:cs="Arial"/>
          <w:sz w:val="19"/>
          <w:szCs w:val="19"/>
        </w:rPr>
        <w:t>T</w:t>
      </w:r>
      <w:r w:rsidRPr="00613F8A">
        <w:rPr>
          <w:rFonts w:ascii="Arial" w:hAnsi="Arial" w:cs="Arial"/>
          <w:sz w:val="19"/>
          <w:szCs w:val="19"/>
        </w:rPr>
        <w:t xml:space="preserve">hin </w:t>
      </w:r>
      <w:r w:rsidR="00B07922" w:rsidRPr="00613F8A">
        <w:rPr>
          <w:rFonts w:ascii="Arial" w:hAnsi="Arial" w:cs="Arial"/>
          <w:sz w:val="19"/>
          <w:szCs w:val="19"/>
        </w:rPr>
        <w:t>F</w:t>
      </w:r>
      <w:r w:rsidRPr="00613F8A">
        <w:rPr>
          <w:rFonts w:ascii="Arial" w:hAnsi="Arial" w:cs="Arial"/>
          <w:sz w:val="19"/>
          <w:szCs w:val="19"/>
        </w:rPr>
        <w:t xml:space="preserve">ilms. </w:t>
      </w:r>
      <w:r w:rsidRPr="00613F8A">
        <w:rPr>
          <w:rFonts w:ascii="Arial" w:hAnsi="Arial" w:cs="Arial"/>
          <w:i/>
          <w:sz w:val="19"/>
          <w:szCs w:val="19"/>
        </w:rPr>
        <w:t xml:space="preserve">Journal of Applied Physics </w:t>
      </w:r>
      <w:r w:rsidRPr="00613F8A">
        <w:rPr>
          <w:rFonts w:ascii="Arial" w:hAnsi="Arial" w:cs="Arial"/>
          <w:b/>
          <w:sz w:val="19"/>
          <w:szCs w:val="19"/>
        </w:rPr>
        <w:t>2010,</w:t>
      </w:r>
      <w:r w:rsidRPr="00613F8A">
        <w:rPr>
          <w:rFonts w:ascii="Arial" w:hAnsi="Arial" w:cs="Arial"/>
          <w:sz w:val="19"/>
          <w:szCs w:val="19"/>
        </w:rPr>
        <w:t xml:space="preserve"> </w:t>
      </w:r>
      <w:r w:rsidRPr="00613F8A">
        <w:rPr>
          <w:rFonts w:ascii="Arial" w:hAnsi="Arial" w:cs="Arial"/>
          <w:i/>
          <w:sz w:val="19"/>
          <w:szCs w:val="19"/>
        </w:rPr>
        <w:t>108</w:t>
      </w:r>
      <w:r w:rsidRPr="00613F8A">
        <w:rPr>
          <w:rFonts w:ascii="Arial" w:hAnsi="Arial" w:cs="Arial"/>
          <w:sz w:val="19"/>
          <w:szCs w:val="19"/>
        </w:rPr>
        <w:t xml:space="preserve"> (12), 123708.</w:t>
      </w:r>
    </w:p>
    <w:p w14:paraId="1BE8FD43" w14:textId="256C1DC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lastRenderedPageBreak/>
        <w:t>21.</w:t>
      </w:r>
      <w:r w:rsidRPr="00613F8A">
        <w:rPr>
          <w:rFonts w:ascii="Arial" w:hAnsi="Arial" w:cs="Arial"/>
          <w:sz w:val="19"/>
          <w:szCs w:val="19"/>
        </w:rPr>
        <w:tab/>
        <w:t xml:space="preserve">Trier, F.; Christensen, D. V.; Pryds, N., Electron </w:t>
      </w:r>
      <w:r w:rsidR="004D53FC" w:rsidRPr="00613F8A">
        <w:rPr>
          <w:rFonts w:ascii="Arial" w:hAnsi="Arial" w:cs="Arial"/>
          <w:sz w:val="19"/>
          <w:szCs w:val="19"/>
        </w:rPr>
        <w:t>M</w:t>
      </w:r>
      <w:r w:rsidRPr="00613F8A">
        <w:rPr>
          <w:rFonts w:ascii="Arial" w:hAnsi="Arial" w:cs="Arial"/>
          <w:sz w:val="19"/>
          <w:szCs w:val="19"/>
        </w:rPr>
        <w:t xml:space="preserve">obility in </w:t>
      </w:r>
      <w:r w:rsidR="004D53FC" w:rsidRPr="00613F8A">
        <w:rPr>
          <w:rFonts w:ascii="Arial" w:hAnsi="Arial" w:cs="Arial"/>
          <w:sz w:val="19"/>
          <w:szCs w:val="19"/>
        </w:rPr>
        <w:t>O</w:t>
      </w:r>
      <w:r w:rsidRPr="00613F8A">
        <w:rPr>
          <w:rFonts w:ascii="Arial" w:hAnsi="Arial" w:cs="Arial"/>
          <w:sz w:val="19"/>
          <w:szCs w:val="19"/>
        </w:rPr>
        <w:t xml:space="preserve">xide </w:t>
      </w:r>
      <w:r w:rsidR="004D53FC" w:rsidRPr="00613F8A">
        <w:rPr>
          <w:rFonts w:ascii="Arial" w:hAnsi="Arial" w:cs="Arial"/>
          <w:sz w:val="19"/>
          <w:szCs w:val="19"/>
        </w:rPr>
        <w:t>H</w:t>
      </w:r>
      <w:r w:rsidRPr="00613F8A">
        <w:rPr>
          <w:rFonts w:ascii="Arial" w:hAnsi="Arial" w:cs="Arial"/>
          <w:sz w:val="19"/>
          <w:szCs w:val="19"/>
        </w:rPr>
        <w:t xml:space="preserve">eterostructures. </w:t>
      </w:r>
      <w:r w:rsidRPr="00613F8A">
        <w:rPr>
          <w:rFonts w:ascii="Arial" w:hAnsi="Arial" w:cs="Arial"/>
          <w:i/>
          <w:sz w:val="19"/>
          <w:szCs w:val="19"/>
        </w:rPr>
        <w:t xml:space="preserve">Journal of Physics D: Applied Physics </w:t>
      </w:r>
      <w:r w:rsidRPr="00613F8A">
        <w:rPr>
          <w:rFonts w:ascii="Arial" w:hAnsi="Arial" w:cs="Arial"/>
          <w:b/>
          <w:sz w:val="19"/>
          <w:szCs w:val="19"/>
        </w:rPr>
        <w:t>2018,</w:t>
      </w:r>
      <w:r w:rsidRPr="00613F8A">
        <w:rPr>
          <w:rFonts w:ascii="Arial" w:hAnsi="Arial" w:cs="Arial"/>
          <w:sz w:val="19"/>
          <w:szCs w:val="19"/>
        </w:rPr>
        <w:t xml:space="preserve"> </w:t>
      </w:r>
      <w:r w:rsidRPr="00613F8A">
        <w:rPr>
          <w:rFonts w:ascii="Arial" w:hAnsi="Arial" w:cs="Arial"/>
          <w:i/>
          <w:sz w:val="19"/>
          <w:szCs w:val="19"/>
        </w:rPr>
        <w:t>51</w:t>
      </w:r>
      <w:r w:rsidRPr="00613F8A">
        <w:rPr>
          <w:rFonts w:ascii="Arial" w:hAnsi="Arial" w:cs="Arial"/>
          <w:sz w:val="19"/>
          <w:szCs w:val="19"/>
        </w:rPr>
        <w:t xml:space="preserve"> (29), 293002.</w:t>
      </w:r>
    </w:p>
    <w:p w14:paraId="5448C5C3"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22.</w:t>
      </w:r>
      <w:r w:rsidRPr="00613F8A">
        <w:rPr>
          <w:rFonts w:ascii="Arial" w:hAnsi="Arial" w:cs="Arial"/>
          <w:sz w:val="19"/>
          <w:szCs w:val="19"/>
        </w:rPr>
        <w:tab/>
        <w:t xml:space="preserve">Bayer, T. J. M.; Wachau, A.; Fuchs, A.; Deuermeier, J.; Klein, A., Atomic Layer Deposition of Al2O3 onto Sn-Doped In2O3: Absence of Self-Limited Adsorption during Initial Growth by Oxygen Diffusion from the Substrate and Band Offset Modification by Fermi Level Pinning in Al2O3. </w:t>
      </w:r>
      <w:r w:rsidRPr="00613F8A">
        <w:rPr>
          <w:rFonts w:ascii="Arial" w:hAnsi="Arial" w:cs="Arial"/>
          <w:i/>
          <w:sz w:val="19"/>
          <w:szCs w:val="19"/>
        </w:rPr>
        <w:t xml:space="preserve">Chemistry of Materials </w:t>
      </w:r>
      <w:r w:rsidRPr="00613F8A">
        <w:rPr>
          <w:rFonts w:ascii="Arial" w:hAnsi="Arial" w:cs="Arial"/>
          <w:b/>
          <w:sz w:val="19"/>
          <w:szCs w:val="19"/>
        </w:rPr>
        <w:t>2012,</w:t>
      </w:r>
      <w:r w:rsidRPr="00613F8A">
        <w:rPr>
          <w:rFonts w:ascii="Arial" w:hAnsi="Arial" w:cs="Arial"/>
          <w:sz w:val="19"/>
          <w:szCs w:val="19"/>
        </w:rPr>
        <w:t xml:space="preserve"> </w:t>
      </w:r>
      <w:r w:rsidRPr="00613F8A">
        <w:rPr>
          <w:rFonts w:ascii="Arial" w:hAnsi="Arial" w:cs="Arial"/>
          <w:i/>
          <w:sz w:val="19"/>
          <w:szCs w:val="19"/>
        </w:rPr>
        <w:t>24</w:t>
      </w:r>
      <w:r w:rsidRPr="00613F8A">
        <w:rPr>
          <w:rFonts w:ascii="Arial" w:hAnsi="Arial" w:cs="Arial"/>
          <w:sz w:val="19"/>
          <w:szCs w:val="19"/>
        </w:rPr>
        <w:t xml:space="preserve"> (23), 4503-4510.</w:t>
      </w:r>
    </w:p>
    <w:p w14:paraId="06D79C31" w14:textId="71FA48DB"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23.</w:t>
      </w:r>
      <w:r w:rsidRPr="00613F8A">
        <w:rPr>
          <w:rFonts w:ascii="Arial" w:hAnsi="Arial" w:cs="Arial"/>
          <w:sz w:val="19"/>
          <w:szCs w:val="19"/>
        </w:rPr>
        <w:tab/>
        <w:t xml:space="preserve">Directive 2002/95/EC on the </w:t>
      </w:r>
      <w:r w:rsidR="004D53FC" w:rsidRPr="00613F8A">
        <w:rPr>
          <w:rFonts w:ascii="Arial" w:hAnsi="Arial" w:cs="Arial"/>
          <w:sz w:val="19"/>
          <w:szCs w:val="19"/>
        </w:rPr>
        <w:t>R</w:t>
      </w:r>
      <w:r w:rsidRPr="00613F8A">
        <w:rPr>
          <w:rFonts w:ascii="Arial" w:hAnsi="Arial" w:cs="Arial"/>
          <w:sz w:val="19"/>
          <w:szCs w:val="19"/>
        </w:rPr>
        <w:t xml:space="preserve">estriction of the </w:t>
      </w:r>
      <w:r w:rsidR="004D53FC" w:rsidRPr="00613F8A">
        <w:rPr>
          <w:rFonts w:ascii="Arial" w:hAnsi="Arial" w:cs="Arial"/>
          <w:sz w:val="19"/>
          <w:szCs w:val="19"/>
        </w:rPr>
        <w:t>U</w:t>
      </w:r>
      <w:r w:rsidRPr="00613F8A">
        <w:rPr>
          <w:rFonts w:ascii="Arial" w:hAnsi="Arial" w:cs="Arial"/>
          <w:sz w:val="19"/>
          <w:szCs w:val="19"/>
        </w:rPr>
        <w:t xml:space="preserve">se of </w:t>
      </w:r>
      <w:r w:rsidR="004D53FC" w:rsidRPr="00613F8A">
        <w:rPr>
          <w:rFonts w:ascii="Arial" w:hAnsi="Arial" w:cs="Arial"/>
          <w:sz w:val="19"/>
          <w:szCs w:val="19"/>
        </w:rPr>
        <w:t>C</w:t>
      </w:r>
      <w:r w:rsidRPr="00613F8A">
        <w:rPr>
          <w:rFonts w:ascii="Arial" w:hAnsi="Arial" w:cs="Arial"/>
          <w:sz w:val="19"/>
          <w:szCs w:val="19"/>
        </w:rPr>
        <w:t xml:space="preserve">ertain </w:t>
      </w:r>
      <w:r w:rsidR="004D53FC" w:rsidRPr="00613F8A">
        <w:rPr>
          <w:rFonts w:ascii="Arial" w:hAnsi="Arial" w:cs="Arial"/>
          <w:sz w:val="19"/>
          <w:szCs w:val="19"/>
        </w:rPr>
        <w:t>H</w:t>
      </w:r>
      <w:r w:rsidRPr="00613F8A">
        <w:rPr>
          <w:rFonts w:ascii="Arial" w:hAnsi="Arial" w:cs="Arial"/>
          <w:sz w:val="19"/>
          <w:szCs w:val="19"/>
        </w:rPr>
        <w:t xml:space="preserve">azardous </w:t>
      </w:r>
      <w:r w:rsidR="004D53FC" w:rsidRPr="00613F8A">
        <w:rPr>
          <w:rFonts w:ascii="Arial" w:hAnsi="Arial" w:cs="Arial"/>
          <w:sz w:val="19"/>
          <w:szCs w:val="19"/>
        </w:rPr>
        <w:t>S</w:t>
      </w:r>
      <w:r w:rsidRPr="00613F8A">
        <w:rPr>
          <w:rFonts w:ascii="Arial" w:hAnsi="Arial" w:cs="Arial"/>
          <w:sz w:val="19"/>
          <w:szCs w:val="19"/>
        </w:rPr>
        <w:t xml:space="preserve">ubstances in </w:t>
      </w:r>
      <w:r w:rsidR="004D53FC" w:rsidRPr="00613F8A">
        <w:rPr>
          <w:rFonts w:ascii="Arial" w:hAnsi="Arial" w:cs="Arial"/>
          <w:sz w:val="19"/>
          <w:szCs w:val="19"/>
        </w:rPr>
        <w:t>E</w:t>
      </w:r>
      <w:r w:rsidRPr="00613F8A">
        <w:rPr>
          <w:rFonts w:ascii="Arial" w:hAnsi="Arial" w:cs="Arial"/>
          <w:sz w:val="19"/>
          <w:szCs w:val="19"/>
        </w:rPr>
        <w:t xml:space="preserve">lectrical and </w:t>
      </w:r>
      <w:r w:rsidR="004D53FC" w:rsidRPr="00613F8A">
        <w:rPr>
          <w:rFonts w:ascii="Arial" w:hAnsi="Arial" w:cs="Arial"/>
          <w:sz w:val="19"/>
          <w:szCs w:val="19"/>
        </w:rPr>
        <w:t>E</w:t>
      </w:r>
      <w:r w:rsidRPr="00613F8A">
        <w:rPr>
          <w:rFonts w:ascii="Arial" w:hAnsi="Arial" w:cs="Arial"/>
          <w:sz w:val="19"/>
          <w:szCs w:val="19"/>
        </w:rPr>
        <w:t xml:space="preserve">lectronic </w:t>
      </w:r>
      <w:r w:rsidR="004D53FC" w:rsidRPr="00613F8A">
        <w:rPr>
          <w:rFonts w:ascii="Arial" w:hAnsi="Arial" w:cs="Arial"/>
          <w:sz w:val="19"/>
          <w:szCs w:val="19"/>
        </w:rPr>
        <w:t>E</w:t>
      </w:r>
      <w:r w:rsidRPr="00613F8A">
        <w:rPr>
          <w:rFonts w:ascii="Arial" w:hAnsi="Arial" w:cs="Arial"/>
          <w:sz w:val="19"/>
          <w:szCs w:val="19"/>
        </w:rPr>
        <w:t xml:space="preserve">quipment. </w:t>
      </w:r>
      <w:r w:rsidRPr="00613F8A">
        <w:rPr>
          <w:rFonts w:ascii="Arial" w:hAnsi="Arial" w:cs="Arial"/>
          <w:i/>
          <w:sz w:val="19"/>
          <w:szCs w:val="19"/>
        </w:rPr>
        <w:t xml:space="preserve">Off. J. Eur. Union </w:t>
      </w:r>
      <w:r w:rsidRPr="00613F8A">
        <w:rPr>
          <w:rFonts w:ascii="Arial" w:hAnsi="Arial" w:cs="Arial"/>
          <w:b/>
          <w:sz w:val="19"/>
          <w:szCs w:val="19"/>
        </w:rPr>
        <w:t>2003,</w:t>
      </w:r>
      <w:r w:rsidRPr="00613F8A">
        <w:rPr>
          <w:rFonts w:ascii="Arial" w:hAnsi="Arial" w:cs="Arial"/>
          <w:sz w:val="19"/>
          <w:szCs w:val="19"/>
        </w:rPr>
        <w:t xml:space="preserve"> </w:t>
      </w:r>
      <w:r w:rsidRPr="00613F8A">
        <w:rPr>
          <w:rFonts w:ascii="Arial" w:hAnsi="Arial" w:cs="Arial"/>
          <w:i/>
          <w:sz w:val="19"/>
          <w:szCs w:val="19"/>
        </w:rPr>
        <w:t xml:space="preserve">L37 </w:t>
      </w:r>
      <w:r w:rsidRPr="00613F8A">
        <w:rPr>
          <w:rFonts w:ascii="Arial" w:hAnsi="Arial" w:cs="Arial"/>
          <w:sz w:val="19"/>
          <w:szCs w:val="19"/>
        </w:rPr>
        <w:t>(19).</w:t>
      </w:r>
    </w:p>
    <w:p w14:paraId="188FA8D1" w14:textId="2BC054A4"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24.</w:t>
      </w:r>
      <w:r w:rsidRPr="00613F8A">
        <w:rPr>
          <w:rFonts w:ascii="Arial" w:hAnsi="Arial" w:cs="Arial"/>
          <w:sz w:val="19"/>
          <w:szCs w:val="19"/>
        </w:rPr>
        <w:tab/>
        <w:t xml:space="preserve">Turner, A., Cadmium </w:t>
      </w:r>
      <w:r w:rsidR="004D53FC" w:rsidRPr="00613F8A">
        <w:rPr>
          <w:rFonts w:ascii="Arial" w:hAnsi="Arial" w:cs="Arial"/>
          <w:sz w:val="19"/>
          <w:szCs w:val="19"/>
        </w:rPr>
        <w:t>P</w:t>
      </w:r>
      <w:r w:rsidRPr="00613F8A">
        <w:rPr>
          <w:rFonts w:ascii="Arial" w:hAnsi="Arial" w:cs="Arial"/>
          <w:sz w:val="19"/>
          <w:szCs w:val="19"/>
        </w:rPr>
        <w:t xml:space="preserve">igments in </w:t>
      </w:r>
      <w:r w:rsidR="004D53FC" w:rsidRPr="00613F8A">
        <w:rPr>
          <w:rFonts w:ascii="Arial" w:hAnsi="Arial" w:cs="Arial"/>
          <w:sz w:val="19"/>
          <w:szCs w:val="19"/>
        </w:rPr>
        <w:t>C</w:t>
      </w:r>
      <w:r w:rsidRPr="00613F8A">
        <w:rPr>
          <w:rFonts w:ascii="Arial" w:hAnsi="Arial" w:cs="Arial"/>
          <w:sz w:val="19"/>
          <w:szCs w:val="19"/>
        </w:rPr>
        <w:t xml:space="preserve">onsumer </w:t>
      </w:r>
      <w:r w:rsidR="004D53FC" w:rsidRPr="00613F8A">
        <w:rPr>
          <w:rFonts w:ascii="Arial" w:hAnsi="Arial" w:cs="Arial"/>
          <w:sz w:val="19"/>
          <w:szCs w:val="19"/>
        </w:rPr>
        <w:t>P</w:t>
      </w:r>
      <w:r w:rsidRPr="00613F8A">
        <w:rPr>
          <w:rFonts w:ascii="Arial" w:hAnsi="Arial" w:cs="Arial"/>
          <w:sz w:val="19"/>
          <w:szCs w:val="19"/>
        </w:rPr>
        <w:t xml:space="preserve">roducts and </w:t>
      </w:r>
      <w:r w:rsidR="004D53FC" w:rsidRPr="00613F8A">
        <w:rPr>
          <w:rFonts w:ascii="Arial" w:hAnsi="Arial" w:cs="Arial"/>
          <w:sz w:val="19"/>
          <w:szCs w:val="19"/>
        </w:rPr>
        <w:t>T</w:t>
      </w:r>
      <w:r w:rsidRPr="00613F8A">
        <w:rPr>
          <w:rFonts w:ascii="Arial" w:hAnsi="Arial" w:cs="Arial"/>
          <w:sz w:val="19"/>
          <w:szCs w:val="19"/>
        </w:rPr>
        <w:t xml:space="preserve">heir </w:t>
      </w:r>
      <w:r w:rsidR="004D53FC" w:rsidRPr="00613F8A">
        <w:rPr>
          <w:rFonts w:ascii="Arial" w:hAnsi="Arial" w:cs="Arial"/>
          <w:sz w:val="19"/>
          <w:szCs w:val="19"/>
        </w:rPr>
        <w:t>H</w:t>
      </w:r>
      <w:r w:rsidRPr="00613F8A">
        <w:rPr>
          <w:rFonts w:ascii="Arial" w:hAnsi="Arial" w:cs="Arial"/>
          <w:sz w:val="19"/>
          <w:szCs w:val="19"/>
        </w:rPr>
        <w:t xml:space="preserve">ealth </w:t>
      </w:r>
      <w:r w:rsidR="004D53FC" w:rsidRPr="00613F8A">
        <w:rPr>
          <w:rFonts w:ascii="Arial" w:hAnsi="Arial" w:cs="Arial"/>
          <w:sz w:val="19"/>
          <w:szCs w:val="19"/>
        </w:rPr>
        <w:t>R</w:t>
      </w:r>
      <w:r w:rsidRPr="00613F8A">
        <w:rPr>
          <w:rFonts w:ascii="Arial" w:hAnsi="Arial" w:cs="Arial"/>
          <w:sz w:val="19"/>
          <w:szCs w:val="19"/>
        </w:rPr>
        <w:t xml:space="preserve">isks. </w:t>
      </w:r>
      <w:r w:rsidRPr="00613F8A">
        <w:rPr>
          <w:rFonts w:ascii="Arial" w:hAnsi="Arial" w:cs="Arial"/>
          <w:i/>
          <w:sz w:val="19"/>
          <w:szCs w:val="19"/>
        </w:rPr>
        <w:t xml:space="preserve">Science of The Total Environment </w:t>
      </w:r>
      <w:r w:rsidRPr="00613F8A">
        <w:rPr>
          <w:rFonts w:ascii="Arial" w:hAnsi="Arial" w:cs="Arial"/>
          <w:b/>
          <w:sz w:val="19"/>
          <w:szCs w:val="19"/>
        </w:rPr>
        <w:t>2019,</w:t>
      </w:r>
      <w:r w:rsidRPr="00613F8A">
        <w:rPr>
          <w:rFonts w:ascii="Arial" w:hAnsi="Arial" w:cs="Arial"/>
          <w:sz w:val="19"/>
          <w:szCs w:val="19"/>
        </w:rPr>
        <w:t xml:space="preserve"> </w:t>
      </w:r>
      <w:r w:rsidRPr="00613F8A">
        <w:rPr>
          <w:rFonts w:ascii="Arial" w:hAnsi="Arial" w:cs="Arial"/>
          <w:i/>
          <w:sz w:val="19"/>
          <w:szCs w:val="19"/>
        </w:rPr>
        <w:t>657</w:t>
      </w:r>
      <w:r w:rsidRPr="00613F8A">
        <w:rPr>
          <w:rFonts w:ascii="Arial" w:hAnsi="Arial" w:cs="Arial"/>
          <w:sz w:val="19"/>
          <w:szCs w:val="19"/>
        </w:rPr>
        <w:t>, 1409-1418.</w:t>
      </w:r>
    </w:p>
    <w:p w14:paraId="5A4C296C" w14:textId="7A9463F9"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25.</w:t>
      </w:r>
      <w:r w:rsidRPr="00613F8A">
        <w:rPr>
          <w:rFonts w:ascii="Arial" w:hAnsi="Arial" w:cs="Arial"/>
          <w:sz w:val="19"/>
          <w:szCs w:val="19"/>
        </w:rPr>
        <w:tab/>
        <w:t xml:space="preserve">Linseis, V.; Völklein, F.; H.Reith; K.Nielsch; P.Woiasd, Thermoelectric </w:t>
      </w:r>
      <w:r w:rsidR="00066297" w:rsidRPr="00613F8A">
        <w:rPr>
          <w:rFonts w:ascii="Arial" w:hAnsi="Arial" w:cs="Arial"/>
          <w:sz w:val="19"/>
          <w:szCs w:val="19"/>
        </w:rPr>
        <w:t>P</w:t>
      </w:r>
      <w:r w:rsidRPr="00613F8A">
        <w:rPr>
          <w:rFonts w:ascii="Arial" w:hAnsi="Arial" w:cs="Arial"/>
          <w:sz w:val="19"/>
          <w:szCs w:val="19"/>
        </w:rPr>
        <w:t xml:space="preserve">roperties of Au and Ti </w:t>
      </w:r>
      <w:r w:rsidR="00066297" w:rsidRPr="00613F8A">
        <w:rPr>
          <w:rFonts w:ascii="Arial" w:hAnsi="Arial" w:cs="Arial"/>
          <w:sz w:val="19"/>
          <w:szCs w:val="19"/>
        </w:rPr>
        <w:t>N</w:t>
      </w:r>
      <w:r w:rsidRPr="00613F8A">
        <w:rPr>
          <w:rFonts w:ascii="Arial" w:hAnsi="Arial" w:cs="Arial"/>
          <w:sz w:val="19"/>
          <w:szCs w:val="19"/>
        </w:rPr>
        <w:t xml:space="preserve">anofilms, </w:t>
      </w:r>
      <w:r w:rsidR="00066297" w:rsidRPr="00613F8A">
        <w:rPr>
          <w:rFonts w:ascii="Arial" w:hAnsi="Arial" w:cs="Arial"/>
          <w:sz w:val="19"/>
          <w:szCs w:val="19"/>
        </w:rPr>
        <w:t>C</w:t>
      </w:r>
      <w:r w:rsidRPr="00613F8A">
        <w:rPr>
          <w:rFonts w:ascii="Arial" w:hAnsi="Arial" w:cs="Arial"/>
          <w:sz w:val="19"/>
          <w:szCs w:val="19"/>
        </w:rPr>
        <w:t xml:space="preserve">haracterized with a </w:t>
      </w:r>
      <w:r w:rsidR="00066297" w:rsidRPr="00613F8A">
        <w:rPr>
          <w:rFonts w:ascii="Arial" w:hAnsi="Arial" w:cs="Arial"/>
          <w:sz w:val="19"/>
          <w:szCs w:val="19"/>
        </w:rPr>
        <w:t>N</w:t>
      </w:r>
      <w:r w:rsidRPr="00613F8A">
        <w:rPr>
          <w:rFonts w:ascii="Arial" w:hAnsi="Arial" w:cs="Arial"/>
          <w:sz w:val="19"/>
          <w:szCs w:val="19"/>
        </w:rPr>
        <w:t xml:space="preserve">ovel </w:t>
      </w:r>
      <w:r w:rsidR="00066297" w:rsidRPr="00613F8A">
        <w:rPr>
          <w:rFonts w:ascii="Arial" w:hAnsi="Arial" w:cs="Arial"/>
          <w:sz w:val="19"/>
          <w:szCs w:val="19"/>
        </w:rPr>
        <w:t>M</w:t>
      </w:r>
      <w:r w:rsidRPr="00613F8A">
        <w:rPr>
          <w:rFonts w:ascii="Arial" w:hAnsi="Arial" w:cs="Arial"/>
          <w:sz w:val="19"/>
          <w:szCs w:val="19"/>
        </w:rPr>
        <w:t xml:space="preserve">easurement </w:t>
      </w:r>
      <w:r w:rsidR="00066297" w:rsidRPr="00613F8A">
        <w:rPr>
          <w:rFonts w:ascii="Arial" w:hAnsi="Arial" w:cs="Arial"/>
          <w:sz w:val="19"/>
          <w:szCs w:val="19"/>
        </w:rPr>
        <w:t>P</w:t>
      </w:r>
      <w:r w:rsidRPr="00613F8A">
        <w:rPr>
          <w:rFonts w:ascii="Arial" w:hAnsi="Arial" w:cs="Arial"/>
          <w:sz w:val="19"/>
          <w:szCs w:val="19"/>
        </w:rPr>
        <w:t xml:space="preserve">latform. </w:t>
      </w:r>
      <w:r w:rsidRPr="00613F8A">
        <w:rPr>
          <w:rFonts w:ascii="Arial" w:hAnsi="Arial" w:cs="Arial"/>
          <w:i/>
          <w:sz w:val="19"/>
          <w:szCs w:val="19"/>
        </w:rPr>
        <w:t xml:space="preserve">Materials Today: PROCEEDINGS </w:t>
      </w:r>
      <w:r w:rsidRPr="00613F8A">
        <w:rPr>
          <w:rFonts w:ascii="Arial" w:hAnsi="Arial" w:cs="Arial"/>
          <w:b/>
          <w:sz w:val="19"/>
          <w:szCs w:val="19"/>
        </w:rPr>
        <w:t>2019,</w:t>
      </w:r>
      <w:r w:rsidRPr="00613F8A">
        <w:rPr>
          <w:rFonts w:ascii="Arial" w:hAnsi="Arial" w:cs="Arial"/>
          <w:sz w:val="19"/>
          <w:szCs w:val="19"/>
        </w:rPr>
        <w:t xml:space="preserve"> </w:t>
      </w:r>
      <w:r w:rsidRPr="00613F8A">
        <w:rPr>
          <w:rFonts w:ascii="Arial" w:hAnsi="Arial" w:cs="Arial"/>
          <w:i/>
          <w:sz w:val="19"/>
          <w:szCs w:val="19"/>
        </w:rPr>
        <w:t>8</w:t>
      </w:r>
      <w:r w:rsidRPr="00613F8A">
        <w:rPr>
          <w:rFonts w:ascii="Arial" w:hAnsi="Arial" w:cs="Arial"/>
          <w:sz w:val="19"/>
          <w:szCs w:val="19"/>
        </w:rPr>
        <w:t>, 517-522.</w:t>
      </w:r>
    </w:p>
    <w:p w14:paraId="36DE09B9" w14:textId="182DA4D8"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26.</w:t>
      </w:r>
      <w:r w:rsidRPr="00613F8A">
        <w:rPr>
          <w:rFonts w:ascii="Arial" w:hAnsi="Arial" w:cs="Arial"/>
          <w:sz w:val="19"/>
          <w:szCs w:val="19"/>
        </w:rPr>
        <w:tab/>
        <w:t xml:space="preserve">Plawsky, J. L., </w:t>
      </w:r>
      <w:r w:rsidRPr="00613F8A">
        <w:rPr>
          <w:rFonts w:ascii="Arial" w:hAnsi="Arial" w:cs="Arial"/>
          <w:i/>
          <w:sz w:val="19"/>
          <w:szCs w:val="19"/>
        </w:rPr>
        <w:t xml:space="preserve">Transport </w:t>
      </w:r>
      <w:r w:rsidR="00423C45" w:rsidRPr="00613F8A">
        <w:rPr>
          <w:rFonts w:ascii="Arial" w:hAnsi="Arial" w:cs="Arial"/>
          <w:i/>
          <w:sz w:val="19"/>
          <w:szCs w:val="19"/>
        </w:rPr>
        <w:t>P</w:t>
      </w:r>
      <w:r w:rsidRPr="00613F8A">
        <w:rPr>
          <w:rFonts w:ascii="Arial" w:hAnsi="Arial" w:cs="Arial"/>
          <w:i/>
          <w:sz w:val="19"/>
          <w:szCs w:val="19"/>
        </w:rPr>
        <w:t xml:space="preserve">henomena </w:t>
      </w:r>
      <w:r w:rsidR="00423C45" w:rsidRPr="00613F8A">
        <w:rPr>
          <w:rFonts w:ascii="Arial" w:hAnsi="Arial" w:cs="Arial"/>
          <w:i/>
          <w:sz w:val="19"/>
          <w:szCs w:val="19"/>
        </w:rPr>
        <w:t>F</w:t>
      </w:r>
      <w:r w:rsidRPr="00613F8A">
        <w:rPr>
          <w:rFonts w:ascii="Arial" w:hAnsi="Arial" w:cs="Arial"/>
          <w:i/>
          <w:sz w:val="19"/>
          <w:szCs w:val="19"/>
        </w:rPr>
        <w:t>undamentals</w:t>
      </w:r>
      <w:r w:rsidRPr="00613F8A">
        <w:rPr>
          <w:rFonts w:ascii="Arial" w:hAnsi="Arial" w:cs="Arial"/>
          <w:sz w:val="19"/>
          <w:szCs w:val="19"/>
        </w:rPr>
        <w:t>. Third edition. ed.; CRC Press, Taylor &amp; Francis Group: Boca Raton, 2014</w:t>
      </w:r>
      <w:r w:rsidR="00B33FD6" w:rsidRPr="00613F8A">
        <w:rPr>
          <w:rFonts w:ascii="Arial" w:hAnsi="Arial" w:cs="Arial"/>
          <w:sz w:val="19"/>
          <w:szCs w:val="19"/>
        </w:rPr>
        <w:t>.</w:t>
      </w:r>
    </w:p>
    <w:p w14:paraId="7F27D0D9"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27.</w:t>
      </w:r>
      <w:r w:rsidRPr="00613F8A">
        <w:rPr>
          <w:rFonts w:ascii="Arial" w:hAnsi="Arial" w:cs="Arial"/>
          <w:sz w:val="19"/>
          <w:szCs w:val="19"/>
        </w:rPr>
        <w:tab/>
        <w:t xml:space="preserve">Kato, R.; Hatta, I., Thermal Conductivity Measurement of Thermally-Oxidized SiO2 Films on a Silicon Wafer Using a Thermo-Reflectance Technique. </w:t>
      </w:r>
      <w:r w:rsidRPr="00613F8A">
        <w:rPr>
          <w:rFonts w:ascii="Arial" w:hAnsi="Arial" w:cs="Arial"/>
          <w:i/>
          <w:sz w:val="19"/>
          <w:szCs w:val="19"/>
        </w:rPr>
        <w:t xml:space="preserve">International Journal of Thermophysics </w:t>
      </w:r>
      <w:r w:rsidRPr="00613F8A">
        <w:rPr>
          <w:rFonts w:ascii="Arial" w:hAnsi="Arial" w:cs="Arial"/>
          <w:b/>
          <w:sz w:val="19"/>
          <w:szCs w:val="19"/>
        </w:rPr>
        <w:t>2005,</w:t>
      </w:r>
      <w:r w:rsidRPr="00613F8A">
        <w:rPr>
          <w:rFonts w:ascii="Arial" w:hAnsi="Arial" w:cs="Arial"/>
          <w:sz w:val="19"/>
          <w:szCs w:val="19"/>
        </w:rPr>
        <w:t xml:space="preserve"> </w:t>
      </w:r>
      <w:r w:rsidRPr="00613F8A">
        <w:rPr>
          <w:rFonts w:ascii="Arial" w:hAnsi="Arial" w:cs="Arial"/>
          <w:i/>
          <w:sz w:val="19"/>
          <w:szCs w:val="19"/>
        </w:rPr>
        <w:t>26</w:t>
      </w:r>
      <w:r w:rsidRPr="00613F8A">
        <w:rPr>
          <w:rFonts w:ascii="Arial" w:hAnsi="Arial" w:cs="Arial"/>
          <w:sz w:val="19"/>
          <w:szCs w:val="19"/>
        </w:rPr>
        <w:t>, 179–190.</w:t>
      </w:r>
    </w:p>
    <w:p w14:paraId="35842273" w14:textId="5813B96A"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28.</w:t>
      </w:r>
      <w:r w:rsidRPr="00613F8A">
        <w:rPr>
          <w:rFonts w:ascii="Arial" w:hAnsi="Arial" w:cs="Arial"/>
          <w:sz w:val="19"/>
          <w:szCs w:val="19"/>
        </w:rPr>
        <w:tab/>
        <w:t xml:space="preserve">Scott, E. A.; Gaskins, J. T.; King, S. W.; Hopkins, P. E., Thermal </w:t>
      </w:r>
      <w:r w:rsidR="00423C45" w:rsidRPr="00613F8A">
        <w:rPr>
          <w:rFonts w:ascii="Arial" w:hAnsi="Arial" w:cs="Arial"/>
          <w:sz w:val="19"/>
          <w:szCs w:val="19"/>
        </w:rPr>
        <w:t>C</w:t>
      </w:r>
      <w:r w:rsidRPr="00613F8A">
        <w:rPr>
          <w:rFonts w:ascii="Arial" w:hAnsi="Arial" w:cs="Arial"/>
          <w:sz w:val="19"/>
          <w:szCs w:val="19"/>
        </w:rPr>
        <w:t xml:space="preserve">onductivity and </w:t>
      </w:r>
      <w:r w:rsidR="00423C45" w:rsidRPr="00613F8A">
        <w:rPr>
          <w:rFonts w:ascii="Arial" w:hAnsi="Arial" w:cs="Arial"/>
          <w:sz w:val="19"/>
          <w:szCs w:val="19"/>
        </w:rPr>
        <w:t>T</w:t>
      </w:r>
      <w:r w:rsidRPr="00613F8A">
        <w:rPr>
          <w:rFonts w:ascii="Arial" w:hAnsi="Arial" w:cs="Arial"/>
          <w:sz w:val="19"/>
          <w:szCs w:val="19"/>
        </w:rPr>
        <w:t xml:space="preserve">hermal </w:t>
      </w:r>
      <w:r w:rsidR="00423C45" w:rsidRPr="00613F8A">
        <w:rPr>
          <w:rFonts w:ascii="Arial" w:hAnsi="Arial" w:cs="Arial"/>
          <w:sz w:val="19"/>
          <w:szCs w:val="19"/>
        </w:rPr>
        <w:t>B</w:t>
      </w:r>
      <w:r w:rsidRPr="00613F8A">
        <w:rPr>
          <w:rFonts w:ascii="Arial" w:hAnsi="Arial" w:cs="Arial"/>
          <w:sz w:val="19"/>
          <w:szCs w:val="19"/>
        </w:rPr>
        <w:t xml:space="preserve">oundary </w:t>
      </w:r>
      <w:r w:rsidR="00423C45" w:rsidRPr="00613F8A">
        <w:rPr>
          <w:rFonts w:ascii="Arial" w:hAnsi="Arial" w:cs="Arial"/>
          <w:sz w:val="19"/>
          <w:szCs w:val="19"/>
        </w:rPr>
        <w:t>R</w:t>
      </w:r>
      <w:r w:rsidRPr="00613F8A">
        <w:rPr>
          <w:rFonts w:ascii="Arial" w:hAnsi="Arial" w:cs="Arial"/>
          <w:sz w:val="19"/>
          <w:szCs w:val="19"/>
        </w:rPr>
        <w:t xml:space="preserve">esistance of </w:t>
      </w:r>
      <w:r w:rsidR="00423C45" w:rsidRPr="00613F8A">
        <w:rPr>
          <w:rFonts w:ascii="Arial" w:hAnsi="Arial" w:cs="Arial"/>
          <w:sz w:val="19"/>
          <w:szCs w:val="19"/>
        </w:rPr>
        <w:t>A</w:t>
      </w:r>
      <w:r w:rsidRPr="00613F8A">
        <w:rPr>
          <w:rFonts w:ascii="Arial" w:hAnsi="Arial" w:cs="Arial"/>
          <w:sz w:val="19"/>
          <w:szCs w:val="19"/>
        </w:rPr>
        <w:t xml:space="preserve">tomic </w:t>
      </w:r>
      <w:r w:rsidR="00423C45" w:rsidRPr="00613F8A">
        <w:rPr>
          <w:rFonts w:ascii="Arial" w:hAnsi="Arial" w:cs="Arial"/>
          <w:sz w:val="19"/>
          <w:szCs w:val="19"/>
        </w:rPr>
        <w:t>L</w:t>
      </w:r>
      <w:r w:rsidRPr="00613F8A">
        <w:rPr>
          <w:rFonts w:ascii="Arial" w:hAnsi="Arial" w:cs="Arial"/>
          <w:sz w:val="19"/>
          <w:szCs w:val="19"/>
        </w:rPr>
        <w:t xml:space="preserve">ayer </w:t>
      </w:r>
      <w:r w:rsidR="00423C45" w:rsidRPr="00613F8A">
        <w:rPr>
          <w:rFonts w:ascii="Arial" w:hAnsi="Arial" w:cs="Arial"/>
          <w:sz w:val="19"/>
          <w:szCs w:val="19"/>
        </w:rPr>
        <w:t>D</w:t>
      </w:r>
      <w:r w:rsidRPr="00613F8A">
        <w:rPr>
          <w:rFonts w:ascii="Arial" w:hAnsi="Arial" w:cs="Arial"/>
          <w:sz w:val="19"/>
          <w:szCs w:val="19"/>
        </w:rPr>
        <w:t xml:space="preserve">eposited </w:t>
      </w:r>
      <w:r w:rsidR="00423C45" w:rsidRPr="00613F8A">
        <w:rPr>
          <w:rFonts w:ascii="Arial" w:hAnsi="Arial" w:cs="Arial"/>
          <w:sz w:val="19"/>
          <w:szCs w:val="19"/>
        </w:rPr>
        <w:t>H</w:t>
      </w:r>
      <w:r w:rsidRPr="00613F8A">
        <w:rPr>
          <w:rFonts w:ascii="Arial" w:hAnsi="Arial" w:cs="Arial"/>
          <w:sz w:val="19"/>
          <w:szCs w:val="19"/>
        </w:rPr>
        <w:t xml:space="preserve">igh-k </w:t>
      </w:r>
      <w:r w:rsidR="00423C45" w:rsidRPr="00613F8A">
        <w:rPr>
          <w:rFonts w:ascii="Arial" w:hAnsi="Arial" w:cs="Arial"/>
          <w:sz w:val="19"/>
          <w:szCs w:val="19"/>
        </w:rPr>
        <w:t>D</w:t>
      </w:r>
      <w:r w:rsidRPr="00613F8A">
        <w:rPr>
          <w:rFonts w:ascii="Arial" w:hAnsi="Arial" w:cs="Arial"/>
          <w:sz w:val="19"/>
          <w:szCs w:val="19"/>
        </w:rPr>
        <w:t xml:space="preserve">ielectric </w:t>
      </w:r>
      <w:r w:rsidR="00423C45" w:rsidRPr="00613F8A">
        <w:rPr>
          <w:rFonts w:ascii="Arial" w:hAnsi="Arial" w:cs="Arial"/>
          <w:sz w:val="19"/>
          <w:szCs w:val="19"/>
        </w:rPr>
        <w:t>A</w:t>
      </w:r>
      <w:r w:rsidRPr="00613F8A">
        <w:rPr>
          <w:rFonts w:ascii="Arial" w:hAnsi="Arial" w:cs="Arial"/>
          <w:sz w:val="19"/>
          <w:szCs w:val="19"/>
        </w:rPr>
        <w:t xml:space="preserve">luminum </w:t>
      </w:r>
      <w:r w:rsidR="00423C45" w:rsidRPr="00613F8A">
        <w:rPr>
          <w:rFonts w:ascii="Arial" w:hAnsi="Arial" w:cs="Arial"/>
          <w:sz w:val="19"/>
          <w:szCs w:val="19"/>
        </w:rPr>
        <w:t>O</w:t>
      </w:r>
      <w:r w:rsidRPr="00613F8A">
        <w:rPr>
          <w:rFonts w:ascii="Arial" w:hAnsi="Arial" w:cs="Arial"/>
          <w:sz w:val="19"/>
          <w:szCs w:val="19"/>
        </w:rPr>
        <w:t xml:space="preserve">xide, </w:t>
      </w:r>
      <w:r w:rsidR="00423C45" w:rsidRPr="00613F8A">
        <w:rPr>
          <w:rFonts w:ascii="Arial" w:hAnsi="Arial" w:cs="Arial"/>
          <w:sz w:val="19"/>
          <w:szCs w:val="19"/>
        </w:rPr>
        <w:t>H</w:t>
      </w:r>
      <w:r w:rsidRPr="00613F8A">
        <w:rPr>
          <w:rFonts w:ascii="Arial" w:hAnsi="Arial" w:cs="Arial"/>
          <w:sz w:val="19"/>
          <w:szCs w:val="19"/>
        </w:rPr>
        <w:t xml:space="preserve">afnium </w:t>
      </w:r>
      <w:r w:rsidR="00423C45" w:rsidRPr="00613F8A">
        <w:rPr>
          <w:rFonts w:ascii="Arial" w:hAnsi="Arial" w:cs="Arial"/>
          <w:sz w:val="19"/>
          <w:szCs w:val="19"/>
        </w:rPr>
        <w:t>O</w:t>
      </w:r>
      <w:r w:rsidRPr="00613F8A">
        <w:rPr>
          <w:rFonts w:ascii="Arial" w:hAnsi="Arial" w:cs="Arial"/>
          <w:sz w:val="19"/>
          <w:szCs w:val="19"/>
        </w:rPr>
        <w:t xml:space="preserve">xide, and </w:t>
      </w:r>
      <w:r w:rsidR="00423C45" w:rsidRPr="00613F8A">
        <w:rPr>
          <w:rFonts w:ascii="Arial" w:hAnsi="Arial" w:cs="Arial"/>
          <w:sz w:val="19"/>
          <w:szCs w:val="19"/>
        </w:rPr>
        <w:t>T</w:t>
      </w:r>
      <w:r w:rsidRPr="00613F8A">
        <w:rPr>
          <w:rFonts w:ascii="Arial" w:hAnsi="Arial" w:cs="Arial"/>
          <w:sz w:val="19"/>
          <w:szCs w:val="19"/>
        </w:rPr>
        <w:t xml:space="preserve">itanium </w:t>
      </w:r>
      <w:r w:rsidR="00423C45" w:rsidRPr="00613F8A">
        <w:rPr>
          <w:rFonts w:ascii="Arial" w:hAnsi="Arial" w:cs="Arial"/>
          <w:sz w:val="19"/>
          <w:szCs w:val="19"/>
        </w:rPr>
        <w:t>O</w:t>
      </w:r>
      <w:r w:rsidRPr="00613F8A">
        <w:rPr>
          <w:rFonts w:ascii="Arial" w:hAnsi="Arial" w:cs="Arial"/>
          <w:sz w:val="19"/>
          <w:szCs w:val="19"/>
        </w:rPr>
        <w:t xml:space="preserve">xide </w:t>
      </w:r>
      <w:r w:rsidR="00423C45" w:rsidRPr="00613F8A">
        <w:rPr>
          <w:rFonts w:ascii="Arial" w:hAnsi="Arial" w:cs="Arial"/>
          <w:sz w:val="19"/>
          <w:szCs w:val="19"/>
        </w:rPr>
        <w:t>T</w:t>
      </w:r>
      <w:r w:rsidRPr="00613F8A">
        <w:rPr>
          <w:rFonts w:ascii="Arial" w:hAnsi="Arial" w:cs="Arial"/>
          <w:sz w:val="19"/>
          <w:szCs w:val="19"/>
        </w:rPr>
        <w:t xml:space="preserve">hin </w:t>
      </w:r>
      <w:r w:rsidR="00423C45" w:rsidRPr="00613F8A">
        <w:rPr>
          <w:rFonts w:ascii="Arial" w:hAnsi="Arial" w:cs="Arial"/>
          <w:sz w:val="19"/>
          <w:szCs w:val="19"/>
        </w:rPr>
        <w:t>F</w:t>
      </w:r>
      <w:r w:rsidRPr="00613F8A">
        <w:rPr>
          <w:rFonts w:ascii="Arial" w:hAnsi="Arial" w:cs="Arial"/>
          <w:sz w:val="19"/>
          <w:szCs w:val="19"/>
        </w:rPr>
        <w:t xml:space="preserve">ilms on </w:t>
      </w:r>
      <w:r w:rsidR="00423C45" w:rsidRPr="00613F8A">
        <w:rPr>
          <w:rFonts w:ascii="Arial" w:hAnsi="Arial" w:cs="Arial"/>
          <w:sz w:val="19"/>
          <w:szCs w:val="19"/>
        </w:rPr>
        <w:t>S</w:t>
      </w:r>
      <w:r w:rsidRPr="00613F8A">
        <w:rPr>
          <w:rFonts w:ascii="Arial" w:hAnsi="Arial" w:cs="Arial"/>
          <w:sz w:val="19"/>
          <w:szCs w:val="19"/>
        </w:rPr>
        <w:t xml:space="preserve">ilicon. </w:t>
      </w:r>
      <w:r w:rsidRPr="00613F8A">
        <w:rPr>
          <w:rFonts w:ascii="Arial" w:hAnsi="Arial" w:cs="Arial"/>
          <w:i/>
          <w:sz w:val="19"/>
          <w:szCs w:val="19"/>
        </w:rPr>
        <w:t xml:space="preserve">APL Materials </w:t>
      </w:r>
      <w:r w:rsidRPr="00613F8A">
        <w:rPr>
          <w:rFonts w:ascii="Arial" w:hAnsi="Arial" w:cs="Arial"/>
          <w:b/>
          <w:sz w:val="19"/>
          <w:szCs w:val="19"/>
        </w:rPr>
        <w:t>2018,</w:t>
      </w:r>
      <w:r w:rsidRPr="00613F8A">
        <w:rPr>
          <w:rFonts w:ascii="Arial" w:hAnsi="Arial" w:cs="Arial"/>
          <w:sz w:val="19"/>
          <w:szCs w:val="19"/>
        </w:rPr>
        <w:t xml:space="preserve"> </w:t>
      </w:r>
      <w:r w:rsidRPr="00613F8A">
        <w:rPr>
          <w:rFonts w:ascii="Arial" w:hAnsi="Arial" w:cs="Arial"/>
          <w:i/>
          <w:sz w:val="19"/>
          <w:szCs w:val="19"/>
        </w:rPr>
        <w:t>6</w:t>
      </w:r>
      <w:r w:rsidRPr="00613F8A">
        <w:rPr>
          <w:rFonts w:ascii="Arial" w:hAnsi="Arial" w:cs="Arial"/>
          <w:sz w:val="19"/>
          <w:szCs w:val="19"/>
        </w:rPr>
        <w:t xml:space="preserve"> (5), 058302.</w:t>
      </w:r>
    </w:p>
    <w:p w14:paraId="292A54F2" w14:textId="5F40499E"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29.</w:t>
      </w:r>
      <w:r w:rsidRPr="00613F8A">
        <w:rPr>
          <w:rFonts w:ascii="Arial" w:hAnsi="Arial" w:cs="Arial"/>
          <w:sz w:val="19"/>
          <w:szCs w:val="19"/>
        </w:rPr>
        <w:tab/>
        <w:t xml:space="preserve">Donovan, B. F.; Sachet, E.; Maria, J.-P.; Hopkins, P. E., Interplay </w:t>
      </w:r>
      <w:r w:rsidR="00423C45" w:rsidRPr="00613F8A">
        <w:rPr>
          <w:rFonts w:ascii="Arial" w:hAnsi="Arial" w:cs="Arial"/>
          <w:sz w:val="19"/>
          <w:szCs w:val="19"/>
        </w:rPr>
        <w:t>B</w:t>
      </w:r>
      <w:r w:rsidRPr="00613F8A">
        <w:rPr>
          <w:rFonts w:ascii="Arial" w:hAnsi="Arial" w:cs="Arial"/>
          <w:sz w:val="19"/>
          <w:szCs w:val="19"/>
        </w:rPr>
        <w:t xml:space="preserve">etween </w:t>
      </w:r>
      <w:r w:rsidR="00423C45" w:rsidRPr="00613F8A">
        <w:rPr>
          <w:rFonts w:ascii="Arial" w:hAnsi="Arial" w:cs="Arial"/>
          <w:sz w:val="19"/>
          <w:szCs w:val="19"/>
        </w:rPr>
        <w:t>M</w:t>
      </w:r>
      <w:r w:rsidRPr="00613F8A">
        <w:rPr>
          <w:rFonts w:ascii="Arial" w:hAnsi="Arial" w:cs="Arial"/>
          <w:sz w:val="19"/>
          <w:szCs w:val="19"/>
        </w:rPr>
        <w:t>ass-</w:t>
      </w:r>
      <w:r w:rsidR="000D7AD1" w:rsidRPr="00613F8A">
        <w:rPr>
          <w:rFonts w:ascii="Arial" w:hAnsi="Arial" w:cs="Arial"/>
          <w:sz w:val="19"/>
          <w:szCs w:val="19"/>
        </w:rPr>
        <w:t>I</w:t>
      </w:r>
      <w:r w:rsidRPr="00613F8A">
        <w:rPr>
          <w:rFonts w:ascii="Arial" w:hAnsi="Arial" w:cs="Arial"/>
          <w:sz w:val="19"/>
          <w:szCs w:val="19"/>
        </w:rPr>
        <w:t xml:space="preserve">mpurity and </w:t>
      </w:r>
      <w:r w:rsidR="000D7AD1" w:rsidRPr="00613F8A">
        <w:rPr>
          <w:rFonts w:ascii="Arial" w:hAnsi="Arial" w:cs="Arial"/>
          <w:sz w:val="19"/>
          <w:szCs w:val="19"/>
        </w:rPr>
        <w:t>V</w:t>
      </w:r>
      <w:r w:rsidRPr="00613F8A">
        <w:rPr>
          <w:rFonts w:ascii="Arial" w:hAnsi="Arial" w:cs="Arial"/>
          <w:sz w:val="19"/>
          <w:szCs w:val="19"/>
        </w:rPr>
        <w:t xml:space="preserve">acancy </w:t>
      </w:r>
      <w:r w:rsidR="000D7AD1" w:rsidRPr="00613F8A">
        <w:rPr>
          <w:rFonts w:ascii="Arial" w:hAnsi="Arial" w:cs="Arial"/>
          <w:sz w:val="19"/>
          <w:szCs w:val="19"/>
        </w:rPr>
        <w:t>P</w:t>
      </w:r>
      <w:r w:rsidRPr="00613F8A">
        <w:rPr>
          <w:rFonts w:ascii="Arial" w:hAnsi="Arial" w:cs="Arial"/>
          <w:sz w:val="19"/>
          <w:szCs w:val="19"/>
        </w:rPr>
        <w:t xml:space="preserve">honon </w:t>
      </w:r>
      <w:r w:rsidR="000D7AD1" w:rsidRPr="00613F8A">
        <w:rPr>
          <w:rFonts w:ascii="Arial" w:hAnsi="Arial" w:cs="Arial"/>
          <w:sz w:val="19"/>
          <w:szCs w:val="19"/>
        </w:rPr>
        <w:t>S</w:t>
      </w:r>
      <w:r w:rsidRPr="00613F8A">
        <w:rPr>
          <w:rFonts w:ascii="Arial" w:hAnsi="Arial" w:cs="Arial"/>
          <w:sz w:val="19"/>
          <w:szCs w:val="19"/>
        </w:rPr>
        <w:t xml:space="preserve">cattering </w:t>
      </w:r>
      <w:r w:rsidR="000D7AD1" w:rsidRPr="00613F8A">
        <w:rPr>
          <w:rFonts w:ascii="Arial" w:hAnsi="Arial" w:cs="Arial"/>
          <w:sz w:val="19"/>
          <w:szCs w:val="19"/>
        </w:rPr>
        <w:t>E</w:t>
      </w:r>
      <w:r w:rsidRPr="00613F8A">
        <w:rPr>
          <w:rFonts w:ascii="Arial" w:hAnsi="Arial" w:cs="Arial"/>
          <w:sz w:val="19"/>
          <w:szCs w:val="19"/>
        </w:rPr>
        <w:t xml:space="preserve">ffects on the </w:t>
      </w:r>
      <w:r w:rsidR="000D7AD1" w:rsidRPr="00613F8A">
        <w:rPr>
          <w:rFonts w:ascii="Arial" w:hAnsi="Arial" w:cs="Arial"/>
          <w:sz w:val="19"/>
          <w:szCs w:val="19"/>
        </w:rPr>
        <w:t>T</w:t>
      </w:r>
      <w:r w:rsidRPr="00613F8A">
        <w:rPr>
          <w:rFonts w:ascii="Arial" w:hAnsi="Arial" w:cs="Arial"/>
          <w:sz w:val="19"/>
          <w:szCs w:val="19"/>
        </w:rPr>
        <w:t xml:space="preserve">hermal </w:t>
      </w:r>
      <w:r w:rsidR="000D7AD1" w:rsidRPr="00613F8A">
        <w:rPr>
          <w:rFonts w:ascii="Arial" w:hAnsi="Arial" w:cs="Arial"/>
          <w:sz w:val="19"/>
          <w:szCs w:val="19"/>
        </w:rPr>
        <w:t>C</w:t>
      </w:r>
      <w:r w:rsidRPr="00613F8A">
        <w:rPr>
          <w:rFonts w:ascii="Arial" w:hAnsi="Arial" w:cs="Arial"/>
          <w:sz w:val="19"/>
          <w:szCs w:val="19"/>
        </w:rPr>
        <w:t xml:space="preserve">onductivity of </w:t>
      </w:r>
      <w:r w:rsidR="000D7AD1" w:rsidRPr="00613F8A">
        <w:rPr>
          <w:rFonts w:ascii="Arial" w:hAnsi="Arial" w:cs="Arial"/>
          <w:sz w:val="19"/>
          <w:szCs w:val="19"/>
        </w:rPr>
        <w:t>D</w:t>
      </w:r>
      <w:r w:rsidRPr="00613F8A">
        <w:rPr>
          <w:rFonts w:ascii="Arial" w:hAnsi="Arial" w:cs="Arial"/>
          <w:sz w:val="19"/>
          <w:szCs w:val="19"/>
        </w:rPr>
        <w:t xml:space="preserve">oped </w:t>
      </w:r>
      <w:r w:rsidR="000D7AD1" w:rsidRPr="00613F8A">
        <w:rPr>
          <w:rFonts w:ascii="Arial" w:hAnsi="Arial" w:cs="Arial"/>
          <w:sz w:val="19"/>
          <w:szCs w:val="19"/>
        </w:rPr>
        <w:t>C</w:t>
      </w:r>
      <w:r w:rsidRPr="00613F8A">
        <w:rPr>
          <w:rFonts w:ascii="Arial" w:hAnsi="Arial" w:cs="Arial"/>
          <w:sz w:val="19"/>
          <w:szCs w:val="19"/>
        </w:rPr>
        <w:t xml:space="preserve">admium </w:t>
      </w:r>
      <w:r w:rsidR="000D7AD1" w:rsidRPr="00613F8A">
        <w:rPr>
          <w:rFonts w:ascii="Arial" w:hAnsi="Arial" w:cs="Arial"/>
          <w:sz w:val="19"/>
          <w:szCs w:val="19"/>
        </w:rPr>
        <w:t>O</w:t>
      </w:r>
      <w:r w:rsidRPr="00613F8A">
        <w:rPr>
          <w:rFonts w:ascii="Arial" w:hAnsi="Arial" w:cs="Arial"/>
          <w:sz w:val="19"/>
          <w:szCs w:val="19"/>
        </w:rPr>
        <w:t xml:space="preserve">xide. </w:t>
      </w:r>
      <w:r w:rsidRPr="00613F8A">
        <w:rPr>
          <w:rFonts w:ascii="Arial" w:hAnsi="Arial" w:cs="Arial"/>
          <w:i/>
          <w:sz w:val="19"/>
          <w:szCs w:val="19"/>
        </w:rPr>
        <w:t xml:space="preserve">Applied Physics Letters </w:t>
      </w:r>
      <w:r w:rsidRPr="00613F8A">
        <w:rPr>
          <w:rFonts w:ascii="Arial" w:hAnsi="Arial" w:cs="Arial"/>
          <w:b/>
          <w:sz w:val="19"/>
          <w:szCs w:val="19"/>
        </w:rPr>
        <w:t>2016,</w:t>
      </w:r>
      <w:r w:rsidRPr="00613F8A">
        <w:rPr>
          <w:rFonts w:ascii="Arial" w:hAnsi="Arial" w:cs="Arial"/>
          <w:sz w:val="19"/>
          <w:szCs w:val="19"/>
        </w:rPr>
        <w:t xml:space="preserve"> </w:t>
      </w:r>
      <w:r w:rsidRPr="00613F8A">
        <w:rPr>
          <w:rFonts w:ascii="Arial" w:hAnsi="Arial" w:cs="Arial"/>
          <w:i/>
          <w:sz w:val="19"/>
          <w:szCs w:val="19"/>
        </w:rPr>
        <w:t>108</w:t>
      </w:r>
      <w:r w:rsidRPr="00613F8A">
        <w:rPr>
          <w:rFonts w:ascii="Arial" w:hAnsi="Arial" w:cs="Arial"/>
          <w:sz w:val="19"/>
          <w:szCs w:val="19"/>
        </w:rPr>
        <w:t xml:space="preserve"> (2), 021901.</w:t>
      </w:r>
    </w:p>
    <w:p w14:paraId="5809801C" w14:textId="77777777"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30.</w:t>
      </w:r>
      <w:r w:rsidRPr="00613F8A">
        <w:rPr>
          <w:rFonts w:ascii="Arial" w:hAnsi="Arial" w:cs="Arial"/>
          <w:sz w:val="19"/>
          <w:szCs w:val="19"/>
        </w:rPr>
        <w:tab/>
        <w:t xml:space="preserve">Madelung, O.; Rössler, U.; Schulz, M., </w:t>
      </w:r>
      <w:r w:rsidRPr="00613F8A">
        <w:rPr>
          <w:rFonts w:ascii="Arial" w:hAnsi="Arial" w:cs="Arial"/>
          <w:i/>
          <w:sz w:val="19"/>
          <w:szCs w:val="19"/>
        </w:rPr>
        <w:t>Semiconductors · II-VI and I-VII Compounds; Semimagnetic Compounds</w:t>
      </w:r>
      <w:r w:rsidRPr="00613F8A">
        <w:rPr>
          <w:rFonts w:ascii="Arial" w:hAnsi="Arial" w:cs="Arial"/>
          <w:sz w:val="19"/>
          <w:szCs w:val="19"/>
        </w:rPr>
        <w:t>. Springer: 1999.</w:t>
      </w:r>
    </w:p>
    <w:p w14:paraId="7F8494D9" w14:textId="66DF4004" w:rsidR="005F45B6" w:rsidRPr="00613F8A" w:rsidRDefault="005F45B6" w:rsidP="009F64E5">
      <w:pPr>
        <w:pStyle w:val="EndNoteBibliography"/>
        <w:spacing w:after="0"/>
        <w:rPr>
          <w:rFonts w:ascii="Arial" w:hAnsi="Arial" w:cs="Arial"/>
          <w:sz w:val="19"/>
          <w:szCs w:val="19"/>
        </w:rPr>
      </w:pPr>
      <w:r w:rsidRPr="00613F8A">
        <w:rPr>
          <w:rFonts w:ascii="Arial" w:hAnsi="Arial" w:cs="Arial"/>
          <w:sz w:val="19"/>
          <w:szCs w:val="19"/>
        </w:rPr>
        <w:t>31.</w:t>
      </w:r>
      <w:r w:rsidRPr="00613F8A">
        <w:rPr>
          <w:rFonts w:ascii="Arial" w:hAnsi="Arial" w:cs="Arial"/>
          <w:sz w:val="19"/>
          <w:szCs w:val="19"/>
        </w:rPr>
        <w:tab/>
        <w:t xml:space="preserve">Ashida, T.; Miyamura, A.; Oka, N.; Sato, Y.; Yagi, T.; Taketoshi, N.; Baba, T.; Shigesato, Y., Thermal </w:t>
      </w:r>
      <w:r w:rsidR="000D7AD1" w:rsidRPr="00613F8A">
        <w:rPr>
          <w:rFonts w:ascii="Arial" w:hAnsi="Arial" w:cs="Arial"/>
          <w:sz w:val="19"/>
          <w:szCs w:val="19"/>
        </w:rPr>
        <w:t>T</w:t>
      </w:r>
      <w:r w:rsidRPr="00613F8A">
        <w:rPr>
          <w:rFonts w:ascii="Arial" w:hAnsi="Arial" w:cs="Arial"/>
          <w:sz w:val="19"/>
          <w:szCs w:val="19"/>
        </w:rPr>
        <w:t xml:space="preserve">ransport </w:t>
      </w:r>
      <w:r w:rsidR="000D7AD1" w:rsidRPr="00613F8A">
        <w:rPr>
          <w:rFonts w:ascii="Arial" w:hAnsi="Arial" w:cs="Arial"/>
          <w:sz w:val="19"/>
          <w:szCs w:val="19"/>
        </w:rPr>
        <w:t>P</w:t>
      </w:r>
      <w:r w:rsidRPr="00613F8A">
        <w:rPr>
          <w:rFonts w:ascii="Arial" w:hAnsi="Arial" w:cs="Arial"/>
          <w:sz w:val="19"/>
          <w:szCs w:val="19"/>
        </w:rPr>
        <w:t xml:space="preserve">roperties of </w:t>
      </w:r>
      <w:r w:rsidR="000D7AD1" w:rsidRPr="00613F8A">
        <w:rPr>
          <w:rFonts w:ascii="Arial" w:hAnsi="Arial" w:cs="Arial"/>
          <w:sz w:val="19"/>
          <w:szCs w:val="19"/>
        </w:rPr>
        <w:t>P</w:t>
      </w:r>
      <w:r w:rsidRPr="00613F8A">
        <w:rPr>
          <w:rFonts w:ascii="Arial" w:hAnsi="Arial" w:cs="Arial"/>
          <w:sz w:val="19"/>
          <w:szCs w:val="19"/>
        </w:rPr>
        <w:t xml:space="preserve">olycrystalline </w:t>
      </w:r>
      <w:r w:rsidR="000D7AD1" w:rsidRPr="00613F8A">
        <w:rPr>
          <w:rFonts w:ascii="Arial" w:hAnsi="Arial" w:cs="Arial"/>
          <w:sz w:val="19"/>
          <w:szCs w:val="19"/>
        </w:rPr>
        <w:t>T</w:t>
      </w:r>
      <w:r w:rsidRPr="00613F8A">
        <w:rPr>
          <w:rFonts w:ascii="Arial" w:hAnsi="Arial" w:cs="Arial"/>
          <w:sz w:val="19"/>
          <w:szCs w:val="19"/>
        </w:rPr>
        <w:t>in-</w:t>
      </w:r>
      <w:r w:rsidR="000D7AD1" w:rsidRPr="00613F8A">
        <w:rPr>
          <w:rFonts w:ascii="Arial" w:hAnsi="Arial" w:cs="Arial"/>
          <w:sz w:val="19"/>
          <w:szCs w:val="19"/>
        </w:rPr>
        <w:t>D</w:t>
      </w:r>
      <w:r w:rsidRPr="00613F8A">
        <w:rPr>
          <w:rFonts w:ascii="Arial" w:hAnsi="Arial" w:cs="Arial"/>
          <w:sz w:val="19"/>
          <w:szCs w:val="19"/>
        </w:rPr>
        <w:t xml:space="preserve">oped </w:t>
      </w:r>
      <w:r w:rsidR="000D7AD1" w:rsidRPr="00613F8A">
        <w:rPr>
          <w:rFonts w:ascii="Arial" w:hAnsi="Arial" w:cs="Arial"/>
          <w:sz w:val="19"/>
          <w:szCs w:val="19"/>
        </w:rPr>
        <w:t>I</w:t>
      </w:r>
      <w:r w:rsidRPr="00613F8A">
        <w:rPr>
          <w:rFonts w:ascii="Arial" w:hAnsi="Arial" w:cs="Arial"/>
          <w:sz w:val="19"/>
          <w:szCs w:val="19"/>
        </w:rPr>
        <w:t xml:space="preserve">ndium </w:t>
      </w:r>
      <w:r w:rsidR="000D7AD1" w:rsidRPr="00613F8A">
        <w:rPr>
          <w:rFonts w:ascii="Arial" w:hAnsi="Arial" w:cs="Arial"/>
          <w:sz w:val="19"/>
          <w:szCs w:val="19"/>
        </w:rPr>
        <w:t>O</w:t>
      </w:r>
      <w:r w:rsidRPr="00613F8A">
        <w:rPr>
          <w:rFonts w:ascii="Arial" w:hAnsi="Arial" w:cs="Arial"/>
          <w:sz w:val="19"/>
          <w:szCs w:val="19"/>
        </w:rPr>
        <w:t xml:space="preserve">xide </w:t>
      </w:r>
      <w:r w:rsidR="000D7AD1" w:rsidRPr="00613F8A">
        <w:rPr>
          <w:rFonts w:ascii="Arial" w:hAnsi="Arial" w:cs="Arial"/>
          <w:sz w:val="19"/>
          <w:szCs w:val="19"/>
        </w:rPr>
        <w:t>F</w:t>
      </w:r>
      <w:r w:rsidRPr="00613F8A">
        <w:rPr>
          <w:rFonts w:ascii="Arial" w:hAnsi="Arial" w:cs="Arial"/>
          <w:sz w:val="19"/>
          <w:szCs w:val="19"/>
        </w:rPr>
        <w:t xml:space="preserve">ilms. </w:t>
      </w:r>
      <w:r w:rsidRPr="00613F8A">
        <w:rPr>
          <w:rFonts w:ascii="Arial" w:hAnsi="Arial" w:cs="Arial"/>
          <w:i/>
          <w:sz w:val="19"/>
          <w:szCs w:val="19"/>
        </w:rPr>
        <w:t xml:space="preserve">Journal of Applied Physcis </w:t>
      </w:r>
      <w:r w:rsidRPr="00613F8A">
        <w:rPr>
          <w:rFonts w:ascii="Arial" w:hAnsi="Arial" w:cs="Arial"/>
          <w:b/>
          <w:sz w:val="19"/>
          <w:szCs w:val="19"/>
        </w:rPr>
        <w:t>2009,</w:t>
      </w:r>
      <w:r w:rsidRPr="00613F8A">
        <w:rPr>
          <w:rFonts w:ascii="Arial" w:hAnsi="Arial" w:cs="Arial"/>
          <w:sz w:val="19"/>
          <w:szCs w:val="19"/>
        </w:rPr>
        <w:t xml:space="preserve"> </w:t>
      </w:r>
      <w:r w:rsidRPr="00613F8A">
        <w:rPr>
          <w:rFonts w:ascii="Arial" w:hAnsi="Arial" w:cs="Arial"/>
          <w:i/>
          <w:sz w:val="19"/>
          <w:szCs w:val="19"/>
        </w:rPr>
        <w:t>105</w:t>
      </w:r>
      <w:r w:rsidRPr="00613F8A">
        <w:rPr>
          <w:rFonts w:ascii="Arial" w:hAnsi="Arial" w:cs="Arial"/>
          <w:sz w:val="19"/>
          <w:szCs w:val="19"/>
        </w:rPr>
        <w:t>, 073709.</w:t>
      </w:r>
    </w:p>
    <w:p w14:paraId="1C4F5181" w14:textId="0E470D49" w:rsidR="005F45B6" w:rsidRPr="00613F8A" w:rsidRDefault="005F45B6" w:rsidP="009F64E5">
      <w:pPr>
        <w:pStyle w:val="EndNoteBibliography"/>
        <w:rPr>
          <w:rFonts w:ascii="Arial" w:hAnsi="Arial" w:cs="Arial"/>
          <w:sz w:val="19"/>
          <w:szCs w:val="19"/>
        </w:rPr>
      </w:pPr>
      <w:r w:rsidRPr="00613F8A">
        <w:rPr>
          <w:rFonts w:ascii="Arial" w:hAnsi="Arial" w:cs="Arial"/>
          <w:sz w:val="19"/>
          <w:szCs w:val="19"/>
        </w:rPr>
        <w:t>32.</w:t>
      </w:r>
      <w:r w:rsidRPr="00613F8A">
        <w:rPr>
          <w:rFonts w:ascii="Arial" w:hAnsi="Arial" w:cs="Arial"/>
          <w:sz w:val="19"/>
          <w:szCs w:val="19"/>
        </w:rPr>
        <w:tab/>
        <w:t xml:space="preserve">Palik, E. D.; Ghosh, G., </w:t>
      </w:r>
      <w:r w:rsidRPr="00613F8A">
        <w:rPr>
          <w:rFonts w:ascii="Arial" w:hAnsi="Arial" w:cs="Arial"/>
          <w:i/>
          <w:sz w:val="19"/>
          <w:szCs w:val="19"/>
        </w:rPr>
        <w:t xml:space="preserve">Handbook of </w:t>
      </w:r>
      <w:r w:rsidR="000D7AD1" w:rsidRPr="00613F8A">
        <w:rPr>
          <w:rFonts w:ascii="Arial" w:hAnsi="Arial" w:cs="Arial"/>
          <w:i/>
          <w:sz w:val="19"/>
          <w:szCs w:val="19"/>
        </w:rPr>
        <w:t>O</w:t>
      </w:r>
      <w:r w:rsidRPr="00613F8A">
        <w:rPr>
          <w:rFonts w:ascii="Arial" w:hAnsi="Arial" w:cs="Arial"/>
          <w:i/>
          <w:sz w:val="19"/>
          <w:szCs w:val="19"/>
        </w:rPr>
        <w:t xml:space="preserve">ptical </w:t>
      </w:r>
      <w:r w:rsidR="000D7AD1" w:rsidRPr="00613F8A">
        <w:rPr>
          <w:rFonts w:ascii="Arial" w:hAnsi="Arial" w:cs="Arial"/>
          <w:i/>
          <w:sz w:val="19"/>
          <w:szCs w:val="19"/>
        </w:rPr>
        <w:t>C</w:t>
      </w:r>
      <w:r w:rsidRPr="00613F8A">
        <w:rPr>
          <w:rFonts w:ascii="Arial" w:hAnsi="Arial" w:cs="Arial"/>
          <w:i/>
          <w:sz w:val="19"/>
          <w:szCs w:val="19"/>
        </w:rPr>
        <w:t xml:space="preserve">onstants of </w:t>
      </w:r>
      <w:r w:rsidR="000D7AD1" w:rsidRPr="00613F8A">
        <w:rPr>
          <w:rFonts w:ascii="Arial" w:hAnsi="Arial" w:cs="Arial"/>
          <w:i/>
          <w:sz w:val="19"/>
          <w:szCs w:val="19"/>
        </w:rPr>
        <w:t>S</w:t>
      </w:r>
      <w:r w:rsidRPr="00613F8A">
        <w:rPr>
          <w:rFonts w:ascii="Arial" w:hAnsi="Arial" w:cs="Arial"/>
          <w:i/>
          <w:sz w:val="19"/>
          <w:szCs w:val="19"/>
        </w:rPr>
        <w:t>olids</w:t>
      </w:r>
      <w:r w:rsidRPr="00613F8A">
        <w:rPr>
          <w:rFonts w:ascii="Arial" w:hAnsi="Arial" w:cs="Arial"/>
          <w:sz w:val="19"/>
          <w:szCs w:val="19"/>
        </w:rPr>
        <w:t>. Academic Press: San Diego, 1998.</w:t>
      </w:r>
    </w:p>
    <w:p w14:paraId="29F68154" w14:textId="77777777" w:rsidR="005F45B6" w:rsidRPr="00613F8A" w:rsidRDefault="005F45B6" w:rsidP="00C74CBE">
      <w:pPr>
        <w:rPr>
          <w:rFonts w:ascii="Arial" w:hAnsi="Arial" w:cs="Arial"/>
          <w:sz w:val="19"/>
          <w:szCs w:val="19"/>
        </w:rPr>
      </w:pPr>
      <w:r w:rsidRPr="00613F8A">
        <w:rPr>
          <w:rFonts w:ascii="Arial" w:hAnsi="Arial" w:cs="Arial"/>
          <w:sz w:val="19"/>
          <w:szCs w:val="19"/>
        </w:rPr>
        <w:t xml:space="preserve"> </w:t>
      </w:r>
    </w:p>
    <w:p w14:paraId="70CC4795" w14:textId="77777777" w:rsidR="005F45B6" w:rsidRPr="00613F8A" w:rsidRDefault="005F45B6" w:rsidP="00C74CBE">
      <w:pPr>
        <w:rPr>
          <w:rFonts w:ascii="Arial" w:hAnsi="Arial" w:cs="Arial"/>
          <w:sz w:val="19"/>
          <w:szCs w:val="19"/>
        </w:rPr>
      </w:pPr>
    </w:p>
    <w:p w14:paraId="67E317B0" w14:textId="77777777" w:rsidR="005F45B6" w:rsidRPr="00613F8A" w:rsidRDefault="005F45B6" w:rsidP="00A4493B">
      <w:pPr>
        <w:rPr>
          <w:rFonts w:ascii="Arial" w:hAnsi="Arial" w:cs="Arial"/>
          <w:sz w:val="19"/>
          <w:szCs w:val="19"/>
        </w:rPr>
      </w:pPr>
    </w:p>
    <w:p w14:paraId="0E109ED2" w14:textId="77777777" w:rsidR="005F45B6" w:rsidRPr="00613F8A" w:rsidRDefault="005F45B6" w:rsidP="00A4493B">
      <w:pPr>
        <w:rPr>
          <w:rFonts w:ascii="Arial" w:hAnsi="Arial" w:cs="Arial"/>
          <w:sz w:val="19"/>
          <w:szCs w:val="19"/>
        </w:rPr>
      </w:pPr>
    </w:p>
    <w:p w14:paraId="2EA996A3" w14:textId="77777777" w:rsidR="005F45B6" w:rsidRPr="00613F8A" w:rsidRDefault="005F45B6" w:rsidP="00A4493B">
      <w:pPr>
        <w:tabs>
          <w:tab w:val="left" w:pos="3826"/>
        </w:tabs>
        <w:rPr>
          <w:rFonts w:ascii="Arial" w:hAnsi="Arial" w:cs="Arial"/>
          <w:sz w:val="19"/>
          <w:szCs w:val="19"/>
        </w:rPr>
      </w:pPr>
      <w:r w:rsidRPr="00613F8A">
        <w:rPr>
          <w:rFonts w:ascii="Arial" w:hAnsi="Arial" w:cs="Arial"/>
          <w:sz w:val="19"/>
          <w:szCs w:val="19"/>
        </w:rPr>
        <w:tab/>
      </w:r>
    </w:p>
    <w:p w14:paraId="3B04B578" w14:textId="77777777" w:rsidR="00833CC7" w:rsidRPr="00613F8A" w:rsidRDefault="00833CC7">
      <w:pPr>
        <w:rPr>
          <w:rFonts w:ascii="Arial" w:hAnsi="Arial" w:cs="Arial"/>
          <w:sz w:val="19"/>
          <w:szCs w:val="19"/>
        </w:rPr>
      </w:pPr>
    </w:p>
    <w:sectPr w:rsidR="00833CC7" w:rsidRPr="00613F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27D0F"/>
    <w:multiLevelType w:val="hybridMultilevel"/>
    <w:tmpl w:val="4D2CFC24"/>
    <w:lvl w:ilvl="0" w:tplc="18002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B04E7"/>
    <w:multiLevelType w:val="hybridMultilevel"/>
    <w:tmpl w:val="DD7EE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0456CA"/>
    <w:multiLevelType w:val="hybridMultilevel"/>
    <w:tmpl w:val="737E2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1D24A5"/>
    <w:multiLevelType w:val="hybridMultilevel"/>
    <w:tmpl w:val="213C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8981065">
    <w:abstractNumId w:val="3"/>
  </w:num>
  <w:num w:numId="2" w16cid:durableId="169492822">
    <w:abstractNumId w:val="2"/>
  </w:num>
  <w:num w:numId="3" w16cid:durableId="1511720188">
    <w:abstractNumId w:val="0"/>
  </w:num>
  <w:num w:numId="4" w16cid:durableId="752507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F45B6"/>
    <w:rsid w:val="000011B2"/>
    <w:rsid w:val="00030054"/>
    <w:rsid w:val="00066297"/>
    <w:rsid w:val="000D4A2C"/>
    <w:rsid w:val="000D7A57"/>
    <w:rsid w:val="000D7AD1"/>
    <w:rsid w:val="00147730"/>
    <w:rsid w:val="001A7F6E"/>
    <w:rsid w:val="001B351B"/>
    <w:rsid w:val="001C4A4A"/>
    <w:rsid w:val="001D40D9"/>
    <w:rsid w:val="001F4E38"/>
    <w:rsid w:val="00200561"/>
    <w:rsid w:val="00203820"/>
    <w:rsid w:val="00241B8B"/>
    <w:rsid w:val="00254B4A"/>
    <w:rsid w:val="00274EA0"/>
    <w:rsid w:val="00285632"/>
    <w:rsid w:val="00310D63"/>
    <w:rsid w:val="0035106A"/>
    <w:rsid w:val="003C3255"/>
    <w:rsid w:val="003F7BC5"/>
    <w:rsid w:val="00401F77"/>
    <w:rsid w:val="00416C70"/>
    <w:rsid w:val="00423C45"/>
    <w:rsid w:val="00463F10"/>
    <w:rsid w:val="00463F29"/>
    <w:rsid w:val="004D2331"/>
    <w:rsid w:val="004D53FC"/>
    <w:rsid w:val="004E6407"/>
    <w:rsid w:val="004F1D1A"/>
    <w:rsid w:val="00507605"/>
    <w:rsid w:val="0053494E"/>
    <w:rsid w:val="005A001A"/>
    <w:rsid w:val="005B71F5"/>
    <w:rsid w:val="005C3739"/>
    <w:rsid w:val="005D544D"/>
    <w:rsid w:val="005F45B6"/>
    <w:rsid w:val="00613F8A"/>
    <w:rsid w:val="00694635"/>
    <w:rsid w:val="006C0051"/>
    <w:rsid w:val="00781865"/>
    <w:rsid w:val="00783295"/>
    <w:rsid w:val="007A42F4"/>
    <w:rsid w:val="007C1A0E"/>
    <w:rsid w:val="007F2943"/>
    <w:rsid w:val="00833CC7"/>
    <w:rsid w:val="008E0505"/>
    <w:rsid w:val="008E1559"/>
    <w:rsid w:val="00974436"/>
    <w:rsid w:val="00982B9D"/>
    <w:rsid w:val="00A25812"/>
    <w:rsid w:val="00A468CF"/>
    <w:rsid w:val="00AE74AD"/>
    <w:rsid w:val="00B07922"/>
    <w:rsid w:val="00B17658"/>
    <w:rsid w:val="00B33FD6"/>
    <w:rsid w:val="00B7149F"/>
    <w:rsid w:val="00BA597B"/>
    <w:rsid w:val="00C018D1"/>
    <w:rsid w:val="00C54C37"/>
    <w:rsid w:val="00D632C7"/>
    <w:rsid w:val="00D703EE"/>
    <w:rsid w:val="00D96DF8"/>
    <w:rsid w:val="00DA015B"/>
    <w:rsid w:val="00E20975"/>
    <w:rsid w:val="00E47691"/>
    <w:rsid w:val="00F05ADE"/>
    <w:rsid w:val="00F820AA"/>
    <w:rsid w:val="00FD196A"/>
    <w:rsid w:val="00FD3CD9"/>
    <w:rsid w:val="00FE57B9"/>
    <w:rsid w:val="00FF3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8AA35"/>
  <w15:chartTrackingRefBased/>
  <w15:docId w15:val="{55E8CF08-7EBD-49A5-8243-E7204FEF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5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uthorAffiliation">
    <w:name w:val="03. Author Affiliation"/>
    <w:basedOn w:val="NoSpacing"/>
    <w:next w:val="Normal"/>
    <w:qFormat/>
    <w:rsid w:val="005F45B6"/>
    <w:rPr>
      <w:rFonts w:ascii="Times New Roman" w:eastAsiaTheme="minorEastAsia" w:hAnsi="Times New Roman"/>
      <w:i/>
      <w:sz w:val="18"/>
    </w:rPr>
  </w:style>
  <w:style w:type="paragraph" w:styleId="NoSpacing">
    <w:name w:val="No Spacing"/>
    <w:uiPriority w:val="1"/>
    <w:qFormat/>
    <w:rsid w:val="005F45B6"/>
    <w:pPr>
      <w:spacing w:after="0" w:line="240" w:lineRule="auto"/>
    </w:pPr>
  </w:style>
  <w:style w:type="paragraph" w:customStyle="1" w:styleId="EndNoteBibliographyTitle">
    <w:name w:val="EndNote Bibliography Title"/>
    <w:basedOn w:val="Normal"/>
    <w:link w:val="EndNoteBibliographyTitleChar"/>
    <w:rsid w:val="005F45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F45B6"/>
    <w:rPr>
      <w:rFonts w:ascii="Calibri" w:hAnsi="Calibri" w:cs="Calibri"/>
      <w:noProof/>
    </w:rPr>
  </w:style>
  <w:style w:type="paragraph" w:customStyle="1" w:styleId="EndNoteBibliography">
    <w:name w:val="EndNote Bibliography"/>
    <w:basedOn w:val="Normal"/>
    <w:link w:val="EndNoteBibliographyChar"/>
    <w:rsid w:val="005F45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F45B6"/>
    <w:rPr>
      <w:rFonts w:ascii="Calibri" w:hAnsi="Calibri" w:cs="Calibri"/>
      <w:noProof/>
    </w:rPr>
  </w:style>
  <w:style w:type="character" w:styleId="Hyperlink">
    <w:name w:val="Hyperlink"/>
    <w:basedOn w:val="DefaultParagraphFont"/>
    <w:uiPriority w:val="99"/>
    <w:unhideWhenUsed/>
    <w:rsid w:val="005F45B6"/>
    <w:rPr>
      <w:color w:val="0563C1" w:themeColor="hyperlink"/>
      <w:u w:val="single"/>
    </w:rPr>
  </w:style>
  <w:style w:type="paragraph" w:customStyle="1" w:styleId="FACorrespondingAuthorFootnote">
    <w:name w:val="FA_Corresponding_Author_Footnote"/>
    <w:basedOn w:val="Normal"/>
    <w:next w:val="Normal"/>
    <w:rsid w:val="005F45B6"/>
    <w:pPr>
      <w:spacing w:after="200" w:line="480" w:lineRule="auto"/>
      <w:jc w:val="both"/>
    </w:pPr>
    <w:rPr>
      <w:rFonts w:ascii="Times" w:eastAsia="Times New Roman" w:hAnsi="Times" w:cs="Times New Roman"/>
      <w:sz w:val="24"/>
      <w:szCs w:val="20"/>
    </w:rPr>
  </w:style>
  <w:style w:type="paragraph" w:customStyle="1" w:styleId="FAAuthorInfoSubtitle">
    <w:name w:val="FA_Author_Info_Subtitle"/>
    <w:basedOn w:val="Normal"/>
    <w:link w:val="FAAuthorInfoSubtitleChar"/>
    <w:autoRedefine/>
    <w:rsid w:val="005F45B6"/>
    <w:pPr>
      <w:spacing w:before="120" w:after="60" w:line="480" w:lineRule="auto"/>
      <w:jc w:val="both"/>
    </w:pPr>
    <w:rPr>
      <w:rFonts w:ascii="Times" w:eastAsia="Times New Roman" w:hAnsi="Times" w:cs="Times New Roman"/>
      <w:b/>
      <w:sz w:val="24"/>
      <w:szCs w:val="20"/>
    </w:rPr>
  </w:style>
  <w:style w:type="character" w:customStyle="1" w:styleId="FAAuthorInfoSubtitleChar">
    <w:name w:val="FA_Author_Info_Subtitle Char"/>
    <w:link w:val="FAAuthorInfoSubtitle"/>
    <w:rsid w:val="005F45B6"/>
    <w:rPr>
      <w:rFonts w:ascii="Times" w:eastAsia="Times New Roman" w:hAnsi="Times" w:cs="Times New Roman"/>
      <w:b/>
      <w:sz w:val="24"/>
      <w:szCs w:val="20"/>
    </w:rPr>
  </w:style>
  <w:style w:type="paragraph" w:customStyle="1" w:styleId="StyleFACorrespondingAuthorFootnote7pt">
    <w:name w:val="Style FA_Corresponding_Author_Footnote + 7 pt"/>
    <w:basedOn w:val="Normal"/>
    <w:next w:val="Normal"/>
    <w:link w:val="StyleFACorrespondingAuthorFootnote7ptChar"/>
    <w:autoRedefine/>
    <w:rsid w:val="005F45B6"/>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5F45B6"/>
    <w:rPr>
      <w:rFonts w:ascii="Arno Pro" w:eastAsia="Times New Roman" w:hAnsi="Arno Pro" w:cs="Times New Roman"/>
      <w:kern w:val="20"/>
      <w:sz w:val="18"/>
      <w:szCs w:val="20"/>
    </w:rPr>
  </w:style>
  <w:style w:type="table" w:styleId="TableGrid">
    <w:name w:val="Table Grid"/>
    <w:basedOn w:val="TableNormal"/>
    <w:uiPriority w:val="39"/>
    <w:rsid w:val="005F4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4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5B6"/>
    <w:rPr>
      <w:rFonts w:ascii="Segoe UI" w:hAnsi="Segoe UI" w:cs="Segoe UI"/>
      <w:sz w:val="18"/>
      <w:szCs w:val="18"/>
    </w:rPr>
  </w:style>
  <w:style w:type="character" w:styleId="PlaceholderText">
    <w:name w:val="Placeholder Text"/>
    <w:basedOn w:val="DefaultParagraphFont"/>
    <w:uiPriority w:val="99"/>
    <w:semiHidden/>
    <w:rsid w:val="005F45B6"/>
    <w:rPr>
      <w:color w:val="808080"/>
    </w:rPr>
  </w:style>
  <w:style w:type="character" w:styleId="CommentReference">
    <w:name w:val="annotation reference"/>
    <w:basedOn w:val="DefaultParagraphFont"/>
    <w:uiPriority w:val="99"/>
    <w:semiHidden/>
    <w:unhideWhenUsed/>
    <w:rsid w:val="005F45B6"/>
    <w:rPr>
      <w:sz w:val="16"/>
      <w:szCs w:val="16"/>
    </w:rPr>
  </w:style>
  <w:style w:type="paragraph" w:styleId="CommentText">
    <w:name w:val="annotation text"/>
    <w:basedOn w:val="Normal"/>
    <w:link w:val="CommentTextChar"/>
    <w:uiPriority w:val="99"/>
    <w:unhideWhenUsed/>
    <w:rsid w:val="005F45B6"/>
    <w:pPr>
      <w:spacing w:line="240" w:lineRule="auto"/>
    </w:pPr>
    <w:rPr>
      <w:sz w:val="20"/>
      <w:szCs w:val="20"/>
    </w:rPr>
  </w:style>
  <w:style w:type="character" w:customStyle="1" w:styleId="CommentTextChar">
    <w:name w:val="Comment Text Char"/>
    <w:basedOn w:val="DefaultParagraphFont"/>
    <w:link w:val="CommentText"/>
    <w:uiPriority w:val="99"/>
    <w:rsid w:val="005F45B6"/>
    <w:rPr>
      <w:sz w:val="20"/>
      <w:szCs w:val="20"/>
    </w:rPr>
  </w:style>
  <w:style w:type="paragraph" w:styleId="CommentSubject">
    <w:name w:val="annotation subject"/>
    <w:basedOn w:val="CommentText"/>
    <w:next w:val="CommentText"/>
    <w:link w:val="CommentSubjectChar"/>
    <w:uiPriority w:val="99"/>
    <w:semiHidden/>
    <w:unhideWhenUsed/>
    <w:rsid w:val="005F45B6"/>
    <w:rPr>
      <w:b/>
      <w:bCs/>
    </w:rPr>
  </w:style>
  <w:style w:type="character" w:customStyle="1" w:styleId="CommentSubjectChar">
    <w:name w:val="Comment Subject Char"/>
    <w:basedOn w:val="CommentTextChar"/>
    <w:link w:val="CommentSubject"/>
    <w:uiPriority w:val="99"/>
    <w:semiHidden/>
    <w:rsid w:val="005F45B6"/>
    <w:rPr>
      <w:b/>
      <w:bCs/>
      <w:sz w:val="20"/>
      <w:szCs w:val="20"/>
    </w:rPr>
  </w:style>
  <w:style w:type="paragraph" w:styleId="Revision">
    <w:name w:val="Revision"/>
    <w:hidden/>
    <w:uiPriority w:val="99"/>
    <w:semiHidden/>
    <w:rsid w:val="005F45B6"/>
    <w:pPr>
      <w:spacing w:after="0" w:line="240" w:lineRule="auto"/>
    </w:pPr>
  </w:style>
  <w:style w:type="paragraph" w:styleId="ListParagraph">
    <w:name w:val="List Paragraph"/>
    <w:basedOn w:val="Normal"/>
    <w:uiPriority w:val="34"/>
    <w:qFormat/>
    <w:rsid w:val="005F45B6"/>
    <w:pPr>
      <w:ind w:left="720"/>
      <w:contextualSpacing/>
    </w:pPr>
  </w:style>
  <w:style w:type="paragraph" w:styleId="Header">
    <w:name w:val="header"/>
    <w:basedOn w:val="Normal"/>
    <w:link w:val="HeaderChar"/>
    <w:uiPriority w:val="99"/>
    <w:unhideWhenUsed/>
    <w:rsid w:val="005C3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haa@caltech.edu"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77B01598FAFA4C8E0E5B602500980D" ma:contentTypeVersion="5" ma:contentTypeDescription="Create a new document." ma:contentTypeScope="" ma:versionID="8f4accbf2badd9b7dd1fb4bf1eaac9a1">
  <xsd:schema xmlns:xsd="http://www.w3.org/2001/XMLSchema" xmlns:xs="http://www.w3.org/2001/XMLSchema" xmlns:p="http://schemas.microsoft.com/office/2006/metadata/properties" xmlns:ns3="b0cfde91-f262-475b-a8a1-ef5069fec891" xmlns:ns4="79be4a99-16b4-486f-8186-8209655d3d1e" targetNamespace="http://schemas.microsoft.com/office/2006/metadata/properties" ma:root="true" ma:fieldsID="c173a1b6e0d8551c9f55c81056556e0a" ns3:_="" ns4:_="">
    <xsd:import namespace="b0cfde91-f262-475b-a8a1-ef5069fec891"/>
    <xsd:import namespace="79be4a99-16b4-486f-8186-8209655d3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fde91-f262-475b-a8a1-ef5069fec8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e4a99-16b4-486f-8186-8209655d3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6FEFB5-6B09-44E1-8481-D54EDBF4B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fde91-f262-475b-a8a1-ef5069fec891"/>
    <ds:schemaRef ds:uri="79be4a99-16b4-486f-8186-8209655d3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2A27A-15EF-4029-8FD1-50B5AA6FB3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516D46-057B-43E5-A924-EE1AD3907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10824</Words>
  <Characters>61700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Sokhoyan, Ruzan</dc:creator>
  <cp:keywords/>
  <dc:description/>
  <cp:lastModifiedBy>Sokhoyan, Ruzan</cp:lastModifiedBy>
  <cp:revision>2</cp:revision>
  <dcterms:created xsi:type="dcterms:W3CDTF">2022-12-16T01:33:00Z</dcterms:created>
  <dcterms:modified xsi:type="dcterms:W3CDTF">2022-12-16T01:33:00Z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0x010100A777B01598FAFA4C8E0E5B602500980D</vt:lpwstr>
  </property>
</Properties>
</file>