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6D21" w:rsidRPr="00940B57" w:rsidRDefault="00940B57" w:rsidP="00940B57">
      <w:pPr>
        <w:jc w:val="center"/>
        <w:rPr>
          <w:rFonts w:ascii="Arial" w:hAnsi="Arial" w:cs="Arial"/>
          <w:sz w:val="32"/>
          <w:szCs w:val="32"/>
        </w:rPr>
      </w:pPr>
      <w:r w:rsidRPr="00940B57">
        <w:rPr>
          <w:rFonts w:ascii="Arial" w:hAnsi="Arial" w:cs="Arial"/>
          <w:sz w:val="32"/>
          <w:szCs w:val="32"/>
        </w:rPr>
        <w:t>Supplementary Material for:</w:t>
      </w:r>
    </w:p>
    <w:p w:rsidR="00940B57" w:rsidRDefault="00940B57" w:rsidP="00940B57">
      <w:pPr>
        <w:jc w:val="center"/>
        <w:rPr>
          <w:rFonts w:ascii="Arial" w:hAnsi="Arial" w:cs="Arial"/>
          <w:sz w:val="28"/>
          <w:szCs w:val="28"/>
        </w:rPr>
      </w:pPr>
    </w:p>
    <w:p w:rsidR="00940B57" w:rsidRDefault="00940B57" w:rsidP="00940B57">
      <w:pPr>
        <w:rPr>
          <w:rFonts w:ascii="Arial" w:hAnsi="Arial" w:cs="Arial"/>
          <w:sz w:val="32"/>
          <w:szCs w:val="32"/>
        </w:rPr>
      </w:pPr>
      <w:r w:rsidRPr="00940B57">
        <w:rPr>
          <w:rFonts w:ascii="Arial" w:hAnsi="Arial" w:cs="Arial"/>
          <w:sz w:val="32"/>
          <w:szCs w:val="32"/>
        </w:rPr>
        <w:t>Versatile generation and manipulation of phase-structured light beams using on-chip subwavelength holographic surface gratings</w:t>
      </w:r>
    </w:p>
    <w:p w:rsidR="00940B57" w:rsidRPr="00940B57" w:rsidRDefault="00940B57" w:rsidP="00940B57">
      <w:pPr>
        <w:keepNext/>
        <w:widowControl/>
        <w:suppressAutoHyphens/>
        <w:spacing w:after="0" w:line="480" w:lineRule="auto"/>
        <w:jc w:val="left"/>
        <w:rPr>
          <w:rFonts w:ascii="Arial" w:eastAsia="Times New Roman" w:hAnsi="Arial" w:cs="Arial"/>
          <w:bCs/>
          <w:i/>
          <w:iCs/>
          <w:sz w:val="24"/>
          <w:szCs w:val="24"/>
          <w:lang w:eastAsia="de-DE"/>
        </w:rPr>
      </w:pPr>
      <w:r w:rsidRPr="00940B57">
        <w:rPr>
          <w:rFonts w:ascii="Arial" w:eastAsia="Times New Roman" w:hAnsi="Arial" w:cs="Arial"/>
          <w:bCs/>
          <w:i/>
          <w:iCs/>
          <w:sz w:val="24"/>
          <w:szCs w:val="24"/>
          <w:lang w:eastAsia="de-DE"/>
        </w:rPr>
        <w:t xml:space="preserve">Shuang Zheng, </w:t>
      </w:r>
      <w:proofErr w:type="spellStart"/>
      <w:r w:rsidRPr="00940B57">
        <w:rPr>
          <w:rFonts w:ascii="Arial" w:eastAsia="Times New Roman" w:hAnsi="Arial" w:cs="Arial"/>
          <w:bCs/>
          <w:i/>
          <w:iCs/>
          <w:sz w:val="24"/>
          <w:szCs w:val="24"/>
          <w:lang w:eastAsia="de-DE"/>
        </w:rPr>
        <w:t>Zhenyu</w:t>
      </w:r>
      <w:proofErr w:type="spellEnd"/>
      <w:r w:rsidRPr="00940B57">
        <w:rPr>
          <w:rFonts w:ascii="Arial" w:eastAsia="Times New Roman" w:hAnsi="Arial" w:cs="Arial"/>
          <w:bCs/>
          <w:i/>
          <w:iCs/>
          <w:sz w:val="24"/>
          <w:szCs w:val="24"/>
          <w:lang w:eastAsia="de-DE"/>
        </w:rPr>
        <w:t xml:space="preserve"> Zhao,</w:t>
      </w:r>
      <w:r w:rsidRPr="00940B57">
        <w:rPr>
          <w:rFonts w:ascii="Arial" w:eastAsia="Times New Roman" w:hAnsi="Arial" w:cs="Arial"/>
          <w:bCs/>
          <w:i/>
          <w:iCs/>
          <w:sz w:val="24"/>
          <w:szCs w:val="24"/>
          <w:vertAlign w:val="superscript"/>
          <w:lang w:eastAsia="de-DE"/>
        </w:rPr>
        <w:t xml:space="preserve"> </w:t>
      </w:r>
      <w:r w:rsidRPr="00940B57">
        <w:rPr>
          <w:rFonts w:ascii="Arial" w:eastAsia="Times New Roman" w:hAnsi="Arial" w:cs="Arial"/>
          <w:bCs/>
          <w:i/>
          <w:iCs/>
          <w:sz w:val="24"/>
          <w:szCs w:val="24"/>
          <w:lang w:eastAsia="de-DE"/>
        </w:rPr>
        <w:t xml:space="preserve">and </w:t>
      </w:r>
      <w:proofErr w:type="spellStart"/>
      <w:r w:rsidRPr="00940B57">
        <w:rPr>
          <w:rFonts w:ascii="Arial" w:eastAsia="Times New Roman" w:hAnsi="Arial" w:cs="Arial"/>
          <w:bCs/>
          <w:i/>
          <w:iCs/>
          <w:sz w:val="24"/>
          <w:szCs w:val="24"/>
          <w:lang w:eastAsia="de-DE"/>
        </w:rPr>
        <w:t>Weifeng</w:t>
      </w:r>
      <w:proofErr w:type="spellEnd"/>
      <w:r w:rsidRPr="00940B57">
        <w:rPr>
          <w:rFonts w:ascii="Arial" w:eastAsia="Times New Roman" w:hAnsi="Arial" w:cs="Arial"/>
          <w:bCs/>
          <w:i/>
          <w:iCs/>
          <w:sz w:val="24"/>
          <w:szCs w:val="24"/>
          <w:lang w:eastAsia="de-DE"/>
        </w:rPr>
        <w:t xml:space="preserve"> Zhang</w:t>
      </w:r>
      <w:r w:rsidRPr="00940B57">
        <w:rPr>
          <w:rFonts w:ascii="Arial" w:eastAsia="Times New Roman" w:hAnsi="Arial" w:cs="Arial"/>
          <w:bCs/>
          <w:i/>
          <w:iCs/>
          <w:sz w:val="24"/>
          <w:szCs w:val="24"/>
          <w:vertAlign w:val="superscript"/>
          <w:lang w:eastAsia="de-DE"/>
        </w:rPr>
        <w:t>*</w:t>
      </w:r>
    </w:p>
    <w:p w:rsidR="00940B57" w:rsidRPr="00940B57" w:rsidRDefault="00940B57" w:rsidP="00940B57">
      <w:pPr>
        <w:widowControl/>
        <w:spacing w:after="0" w:line="480" w:lineRule="auto"/>
        <w:jc w:val="left"/>
        <w:rPr>
          <w:rFonts w:ascii="Times New Roman" w:eastAsia="宋体" w:hAnsi="Times New Roman" w:cs="Times New Roman"/>
          <w:i/>
          <w:szCs w:val="28"/>
          <w:lang w:eastAsia="en-US"/>
        </w:rPr>
      </w:pPr>
      <w:r w:rsidRPr="00940B57">
        <w:rPr>
          <w:rFonts w:ascii="Times New Roman" w:eastAsia="宋体" w:hAnsi="Times New Roman" w:cs="Times New Roman"/>
          <w:i/>
          <w:szCs w:val="28"/>
          <w:vertAlign w:val="superscript"/>
          <w:lang w:eastAsia="en-US"/>
        </w:rPr>
        <w:t>1</w:t>
      </w:r>
      <w:r w:rsidRPr="00940B57">
        <w:rPr>
          <w:rFonts w:ascii="Times New Roman" w:eastAsia="宋体" w:hAnsi="Times New Roman" w:cs="Times New Roman"/>
          <w:i/>
          <w:szCs w:val="28"/>
          <w:lang w:eastAsia="en-US"/>
        </w:rPr>
        <w:t>Radar Research Lab, School of Information and Electronics, Beijing Institute of Technology, Beijing 100081, China</w:t>
      </w:r>
    </w:p>
    <w:p w:rsidR="00940B57" w:rsidRPr="00940B57" w:rsidRDefault="00940B57" w:rsidP="00940B57">
      <w:pPr>
        <w:widowControl/>
        <w:spacing w:after="0" w:line="480" w:lineRule="auto"/>
        <w:jc w:val="left"/>
        <w:rPr>
          <w:rFonts w:ascii="Times New Roman" w:eastAsia="宋体" w:hAnsi="Times New Roman" w:cs="Times New Roman"/>
          <w:i/>
          <w:szCs w:val="28"/>
          <w:lang w:eastAsia="en-US"/>
        </w:rPr>
      </w:pPr>
      <w:r w:rsidRPr="00940B57">
        <w:rPr>
          <w:rFonts w:ascii="Times New Roman" w:eastAsia="宋体" w:hAnsi="Times New Roman" w:cs="Times New Roman"/>
          <w:i/>
          <w:szCs w:val="28"/>
          <w:vertAlign w:val="superscript"/>
          <w:lang w:eastAsia="en-US"/>
        </w:rPr>
        <w:t>2</w:t>
      </w:r>
      <w:r w:rsidRPr="00940B57">
        <w:rPr>
          <w:rFonts w:ascii="Times New Roman" w:eastAsia="宋体" w:hAnsi="Times New Roman" w:cs="Times New Roman"/>
          <w:i/>
          <w:szCs w:val="28"/>
          <w:lang w:eastAsia="en-US"/>
        </w:rPr>
        <w:t>Key Laboratory of Electronic and Information Technology in Satellite Navigation (Beijing Institute of Technology), Ministry of Education, Beijing 100081, China</w:t>
      </w:r>
    </w:p>
    <w:p w:rsidR="00940B57" w:rsidRPr="00940B57" w:rsidRDefault="00940B57" w:rsidP="00940B57">
      <w:pPr>
        <w:widowControl/>
        <w:spacing w:after="0" w:line="480" w:lineRule="auto"/>
        <w:jc w:val="left"/>
        <w:rPr>
          <w:rFonts w:ascii="Times New Roman" w:eastAsia="宋体" w:hAnsi="Times New Roman" w:cs="Times New Roman"/>
          <w:i/>
          <w:szCs w:val="28"/>
          <w:lang w:eastAsia="en-US"/>
        </w:rPr>
      </w:pPr>
      <w:r w:rsidRPr="00940B57">
        <w:rPr>
          <w:rFonts w:ascii="Times New Roman" w:eastAsia="宋体" w:hAnsi="Times New Roman" w:cs="Times New Roman"/>
          <w:i/>
          <w:szCs w:val="28"/>
          <w:vertAlign w:val="superscript"/>
          <w:lang w:eastAsia="en-US"/>
        </w:rPr>
        <w:t>3</w:t>
      </w:r>
      <w:r w:rsidRPr="00940B57">
        <w:rPr>
          <w:rFonts w:ascii="Times New Roman" w:eastAsia="宋体" w:hAnsi="Times New Roman" w:cs="Times New Roman"/>
          <w:i/>
          <w:szCs w:val="28"/>
          <w:lang w:eastAsia="en-US"/>
        </w:rPr>
        <w:t>Beijing Institute of Technology Chongqing Innovation Center, Chongqing, 401120, China</w:t>
      </w:r>
    </w:p>
    <w:p w:rsidR="00940B57" w:rsidRPr="00940B57" w:rsidRDefault="00940B57" w:rsidP="00940B57">
      <w:pPr>
        <w:widowControl/>
        <w:spacing w:after="0" w:line="480" w:lineRule="auto"/>
        <w:rPr>
          <w:rFonts w:ascii="Times New Roman" w:eastAsia="宋体" w:hAnsi="Times New Roman" w:cs="Times New Roman"/>
          <w:i/>
          <w:iCs/>
          <w:color w:val="000000"/>
          <w:sz w:val="20"/>
          <w:szCs w:val="20"/>
          <w:lang w:eastAsia="en-US"/>
        </w:rPr>
      </w:pPr>
      <w:r w:rsidRPr="00940B57">
        <w:rPr>
          <w:rFonts w:ascii="Times New Roman" w:eastAsia="宋体" w:hAnsi="Times New Roman" w:cs="Times New Roman"/>
          <w:i/>
          <w:iCs/>
          <w:color w:val="000000"/>
          <w:sz w:val="20"/>
          <w:szCs w:val="20"/>
          <w:vertAlign w:val="superscript"/>
          <w:lang w:eastAsia="en-US"/>
        </w:rPr>
        <w:t>4</w:t>
      </w:r>
      <w:r w:rsidRPr="00940B57">
        <w:rPr>
          <w:rFonts w:ascii="Times New Roman" w:eastAsia="宋体" w:hAnsi="Times New Roman" w:cs="Times New Roman"/>
          <w:i/>
          <w:iCs/>
          <w:color w:val="000000"/>
          <w:sz w:val="20"/>
          <w:szCs w:val="20"/>
          <w:lang w:eastAsia="en-US"/>
        </w:rPr>
        <w:t>Chongqing Key Laboratory of Novel Civilian Radar, Chongqing 401120, China</w:t>
      </w:r>
    </w:p>
    <w:p w:rsidR="00940B57" w:rsidRDefault="00000000" w:rsidP="0082139D">
      <w:pPr>
        <w:widowControl/>
        <w:spacing w:after="0" w:line="480" w:lineRule="auto"/>
        <w:jc w:val="left"/>
        <w:rPr>
          <w:rFonts w:ascii="Times New Roman" w:eastAsia="宋体" w:hAnsi="Times New Roman" w:cs="Times New Roman"/>
          <w:i/>
          <w:color w:val="2E2EB1"/>
          <w:sz w:val="20"/>
          <w:szCs w:val="24"/>
          <w:lang w:eastAsia="en-US"/>
        </w:rPr>
      </w:pPr>
      <w:hyperlink r:id="rId6" w:history="1">
        <w:r w:rsidR="0082139D" w:rsidRPr="00940B57">
          <w:rPr>
            <w:rStyle w:val="a5"/>
            <w:rFonts w:ascii="Times New Roman" w:eastAsia="宋体" w:hAnsi="Times New Roman" w:cs="Times New Roman"/>
            <w:i/>
            <w:sz w:val="20"/>
            <w:szCs w:val="24"/>
            <w:lang w:eastAsia="en-US"/>
          </w:rPr>
          <w:t>*weifeng.zhang@bit.edu.cn</w:t>
        </w:r>
      </w:hyperlink>
    </w:p>
    <w:p w:rsidR="0082139D" w:rsidRPr="0082139D" w:rsidRDefault="0082139D" w:rsidP="0082139D">
      <w:pPr>
        <w:widowControl/>
        <w:spacing w:after="0" w:line="480" w:lineRule="auto"/>
        <w:jc w:val="left"/>
        <w:rPr>
          <w:rFonts w:ascii="Times New Roman" w:eastAsia="宋体" w:hAnsi="Times New Roman" w:cs="Times New Roman"/>
          <w:i/>
          <w:color w:val="2E2EB1"/>
          <w:sz w:val="20"/>
          <w:szCs w:val="24"/>
          <w:lang w:eastAsia="en-US"/>
        </w:rPr>
      </w:pPr>
    </w:p>
    <w:p w:rsidR="00940B57" w:rsidRDefault="00940B57" w:rsidP="00940B57">
      <w:pPr>
        <w:rPr>
          <w:rFonts w:ascii="Arial" w:hAnsi="Arial" w:cs="Arial"/>
          <w:sz w:val="28"/>
          <w:szCs w:val="28"/>
        </w:rPr>
      </w:pPr>
      <w:r w:rsidRPr="00940B57">
        <w:rPr>
          <w:rFonts w:ascii="Arial" w:hAnsi="Arial" w:cs="Arial"/>
          <w:sz w:val="28"/>
          <w:szCs w:val="28"/>
        </w:rPr>
        <w:t>1. Simulated mode transmission process and vortex array generation</w:t>
      </w:r>
    </w:p>
    <w:p w:rsidR="0082139D" w:rsidRDefault="0082139D" w:rsidP="0082139D">
      <w:pPr>
        <w:jc w:val="center"/>
        <w:rPr>
          <w:rFonts w:ascii="Arial" w:hAnsi="Arial" w:cs="Arial"/>
          <w:sz w:val="28"/>
          <w:szCs w:val="28"/>
        </w:rPr>
      </w:pPr>
      <w:r>
        <w:rPr>
          <w:noProof/>
        </w:rPr>
        <w:drawing>
          <wp:inline distT="0" distB="0" distL="0" distR="0" wp14:anchorId="5969E557" wp14:editId="4E902EE5">
            <wp:extent cx="5274310" cy="3297382"/>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05"/>
                    <a:stretch/>
                  </pic:blipFill>
                  <pic:spPr bwMode="auto">
                    <a:xfrm>
                      <a:off x="0" y="0"/>
                      <a:ext cx="5274310" cy="3297382"/>
                    </a:xfrm>
                    <a:prstGeom prst="rect">
                      <a:avLst/>
                    </a:prstGeom>
                    <a:noFill/>
                    <a:ln>
                      <a:noFill/>
                    </a:ln>
                    <a:extLst>
                      <a:ext uri="{53640926-AAD7-44D8-BBD7-CCE9431645EC}">
                        <a14:shadowObscured xmlns:a14="http://schemas.microsoft.com/office/drawing/2010/main"/>
                      </a:ext>
                    </a:extLst>
                  </pic:spPr>
                </pic:pic>
              </a:graphicData>
            </a:graphic>
          </wp:inline>
        </w:drawing>
      </w:r>
    </w:p>
    <w:p w:rsidR="0082139D" w:rsidRDefault="0082139D" w:rsidP="0082139D">
      <w:pPr>
        <w:spacing w:line="480" w:lineRule="auto"/>
        <w:jc w:val="center"/>
        <w:rPr>
          <w:rFonts w:ascii="Arial" w:hAnsi="Arial" w:cs="Arial"/>
        </w:rPr>
      </w:pPr>
      <w:r w:rsidRPr="00940B57">
        <w:rPr>
          <w:rFonts w:ascii="Arial" w:hAnsi="Arial" w:cs="Arial"/>
          <w:b/>
          <w:bCs/>
        </w:rPr>
        <w:t>Figure S1.</w:t>
      </w:r>
      <w:r w:rsidRPr="00940B57">
        <w:rPr>
          <w:rFonts w:ascii="Arial" w:hAnsi="Arial" w:cs="Arial"/>
        </w:rPr>
        <w:t xml:space="preserve"> (a) The simulated mode transmission process. (b) Four fork gratings are used for vortex array generation.</w:t>
      </w:r>
    </w:p>
    <w:p w:rsidR="00940B57" w:rsidRDefault="00940B57" w:rsidP="002034B2">
      <w:pPr>
        <w:spacing w:line="480" w:lineRule="auto"/>
        <w:rPr>
          <w:rFonts w:ascii="Arial" w:hAnsi="Arial" w:cs="Arial"/>
        </w:rPr>
      </w:pPr>
      <w:r w:rsidRPr="00940B57">
        <w:rPr>
          <w:rFonts w:ascii="Arial" w:hAnsi="Arial" w:cs="Arial"/>
        </w:rPr>
        <w:lastRenderedPageBreak/>
        <w:t>The etched silicon gratings can convert the fundamental TE</w:t>
      </w:r>
      <w:r w:rsidRPr="00971FB9">
        <w:rPr>
          <w:rFonts w:ascii="Arial" w:hAnsi="Arial" w:cs="Arial"/>
          <w:vertAlign w:val="subscript"/>
        </w:rPr>
        <w:t>0</w:t>
      </w:r>
      <w:r w:rsidRPr="00940B57">
        <w:rPr>
          <w:rFonts w:ascii="Arial" w:hAnsi="Arial" w:cs="Arial"/>
        </w:rPr>
        <w:t xml:space="preserve"> mode to phase-structured light beams, and won’t affect the transmitted waveguide mode. As can be seen from Fig. </w:t>
      </w:r>
      <w:r w:rsidR="00971FB9">
        <w:rPr>
          <w:rFonts w:ascii="Arial" w:hAnsi="Arial" w:cs="Arial"/>
        </w:rPr>
        <w:t>S</w:t>
      </w:r>
      <w:r w:rsidRPr="00940B57">
        <w:rPr>
          <w:rFonts w:ascii="Arial" w:hAnsi="Arial" w:cs="Arial"/>
        </w:rPr>
        <w:t>1(a), the guided mode is still a TE</w:t>
      </w:r>
      <w:r w:rsidRPr="00971FB9">
        <w:rPr>
          <w:rFonts w:ascii="Arial" w:hAnsi="Arial" w:cs="Arial"/>
          <w:vertAlign w:val="subscript"/>
        </w:rPr>
        <w:t>0</w:t>
      </w:r>
      <w:r w:rsidRPr="00940B57">
        <w:rPr>
          <w:rFonts w:ascii="Arial" w:hAnsi="Arial" w:cs="Arial"/>
        </w:rPr>
        <w:t xml:space="preserve"> mode. And vortex array could be also realized by integrat</w:t>
      </w:r>
      <w:r w:rsidR="008B78C5">
        <w:rPr>
          <w:rFonts w:ascii="Arial" w:hAnsi="Arial" w:cs="Arial"/>
        </w:rPr>
        <w:t>ing</w:t>
      </w:r>
      <w:r w:rsidRPr="00940B57">
        <w:rPr>
          <w:rFonts w:ascii="Arial" w:hAnsi="Arial" w:cs="Arial"/>
        </w:rPr>
        <w:t xml:space="preserve"> more subwavelength gratings, which further indicates the single-mode transmission. As shown in Fig. </w:t>
      </w:r>
      <w:r w:rsidR="00971FB9">
        <w:rPr>
          <w:rFonts w:ascii="Arial" w:hAnsi="Arial" w:cs="Arial"/>
        </w:rPr>
        <w:t>S</w:t>
      </w:r>
      <w:r w:rsidRPr="00940B57">
        <w:rPr>
          <w:rFonts w:ascii="Arial" w:hAnsi="Arial" w:cs="Arial"/>
        </w:rPr>
        <w:t>1(b), four fork gratings etched on silicon waveguide are used for vortex array (LG</w:t>
      </w:r>
      <w:r w:rsidRPr="00971FB9">
        <w:rPr>
          <w:rFonts w:ascii="Arial" w:hAnsi="Arial" w:cs="Arial"/>
          <w:vertAlign w:val="subscript"/>
        </w:rPr>
        <w:t>11</w:t>
      </w:r>
      <w:r w:rsidRPr="00940B57">
        <w:rPr>
          <w:rFonts w:ascii="Arial" w:hAnsi="Arial" w:cs="Arial"/>
        </w:rPr>
        <w:t>) generation. One can see that the emitted light fields are almost identical</w:t>
      </w:r>
      <w:r w:rsidR="0092739F">
        <w:rPr>
          <w:rFonts w:ascii="Arial" w:hAnsi="Arial" w:cs="Arial"/>
        </w:rPr>
        <w:t xml:space="preserve"> patterns and different transmission (</w:t>
      </w:r>
      <w:r w:rsidR="00A365F2" w:rsidRPr="00A365F2">
        <w:rPr>
          <w:rFonts w:ascii="Arial" w:hAnsi="Arial" w:cs="Arial"/>
        </w:rPr>
        <w:t>0.3</w:t>
      </w:r>
      <w:r w:rsidR="00A365F2">
        <w:rPr>
          <w:rFonts w:ascii="Arial" w:hAnsi="Arial" w:cs="Arial"/>
        </w:rPr>
        <w:t>8</w:t>
      </w:r>
      <w:r w:rsidR="00A365F2">
        <w:rPr>
          <w:rFonts w:ascii="Arial" w:hAnsi="Arial" w:cs="Arial" w:hint="eastAsia"/>
        </w:rPr>
        <w:t>,</w:t>
      </w:r>
      <w:r w:rsidR="00A365F2">
        <w:rPr>
          <w:rFonts w:ascii="Arial" w:hAnsi="Arial" w:cs="Arial"/>
        </w:rPr>
        <w:t xml:space="preserve"> </w:t>
      </w:r>
      <w:r w:rsidR="00A365F2" w:rsidRPr="00A365F2">
        <w:rPr>
          <w:rFonts w:ascii="Arial" w:hAnsi="Arial" w:cs="Arial"/>
        </w:rPr>
        <w:t>0.1</w:t>
      </w:r>
      <w:r w:rsidR="00A365F2">
        <w:rPr>
          <w:rFonts w:ascii="Arial" w:hAnsi="Arial" w:cs="Arial"/>
        </w:rPr>
        <w:t>4</w:t>
      </w:r>
      <w:r w:rsidR="00A365F2">
        <w:rPr>
          <w:rFonts w:ascii="Arial" w:hAnsi="Arial" w:cs="Arial" w:hint="eastAsia"/>
        </w:rPr>
        <w:t>,</w:t>
      </w:r>
      <w:r w:rsidR="00A365F2">
        <w:rPr>
          <w:rFonts w:ascii="Arial" w:hAnsi="Arial" w:cs="Arial"/>
        </w:rPr>
        <w:t xml:space="preserve"> </w:t>
      </w:r>
      <w:r w:rsidR="00A365F2" w:rsidRPr="00A365F2">
        <w:rPr>
          <w:rFonts w:ascii="Arial" w:hAnsi="Arial" w:cs="Arial"/>
        </w:rPr>
        <w:t>0.05</w:t>
      </w:r>
      <w:r w:rsidR="00A365F2">
        <w:rPr>
          <w:rFonts w:ascii="Arial" w:hAnsi="Arial" w:cs="Arial" w:hint="eastAsia"/>
        </w:rPr>
        <w:t>,</w:t>
      </w:r>
      <w:r w:rsidR="00A365F2">
        <w:rPr>
          <w:rFonts w:ascii="Arial" w:hAnsi="Arial" w:cs="Arial"/>
        </w:rPr>
        <w:t xml:space="preserve"> </w:t>
      </w:r>
      <w:r w:rsidR="00A365F2" w:rsidRPr="00A365F2">
        <w:rPr>
          <w:rFonts w:ascii="Arial" w:hAnsi="Arial" w:cs="Arial"/>
        </w:rPr>
        <w:t>0.01</w:t>
      </w:r>
      <w:r w:rsidR="00A365F2">
        <w:rPr>
          <w:rFonts w:ascii="Arial" w:hAnsi="Arial" w:cs="Arial"/>
        </w:rPr>
        <w:t>9</w:t>
      </w:r>
      <w:r w:rsidR="0092739F">
        <w:rPr>
          <w:rFonts w:ascii="Arial" w:hAnsi="Arial" w:cs="Arial"/>
        </w:rPr>
        <w:t>).</w:t>
      </w:r>
    </w:p>
    <w:p w:rsidR="00940B57" w:rsidRDefault="00940B57" w:rsidP="00940B57">
      <w:pPr>
        <w:rPr>
          <w:rFonts w:ascii="Arial" w:hAnsi="Arial" w:cs="Arial"/>
        </w:rPr>
      </w:pPr>
    </w:p>
    <w:p w:rsidR="00940B57" w:rsidRDefault="00940B57" w:rsidP="00940B57">
      <w:pPr>
        <w:rPr>
          <w:rFonts w:ascii="Arial" w:hAnsi="Arial" w:cs="Arial"/>
          <w:sz w:val="28"/>
          <w:szCs w:val="28"/>
        </w:rPr>
      </w:pPr>
      <w:r>
        <w:rPr>
          <w:rFonts w:ascii="Arial" w:hAnsi="Arial" w:cs="Arial"/>
          <w:sz w:val="28"/>
          <w:szCs w:val="28"/>
        </w:rPr>
        <w:t>2</w:t>
      </w:r>
      <w:r w:rsidRPr="00940B57">
        <w:rPr>
          <w:rFonts w:ascii="Arial" w:hAnsi="Arial" w:cs="Arial"/>
          <w:sz w:val="28"/>
          <w:szCs w:val="28"/>
        </w:rPr>
        <w:t xml:space="preserve">. </w:t>
      </w:r>
      <w:r w:rsidR="00A83BC7">
        <w:rPr>
          <w:rFonts w:ascii="Arial" w:hAnsi="Arial" w:cs="Arial"/>
          <w:sz w:val="28"/>
          <w:szCs w:val="28"/>
        </w:rPr>
        <w:t>Calculation of mode purity and mode crosstalk</w:t>
      </w:r>
    </w:p>
    <w:p w:rsidR="00940B57" w:rsidRPr="00940B57" w:rsidRDefault="00940B57" w:rsidP="00EC5B4F">
      <w:pPr>
        <w:spacing w:line="480" w:lineRule="auto"/>
        <w:rPr>
          <w:rFonts w:ascii="Arial" w:hAnsi="Arial" w:cs="Arial"/>
        </w:rPr>
      </w:pPr>
      <w:r w:rsidRPr="00940B57">
        <w:rPr>
          <w:rFonts w:ascii="Arial" w:hAnsi="Arial" w:cs="Arial"/>
        </w:rPr>
        <w:t>We used the overlap integral method to calculate the mode purity of the beams by evaluating the simulated far-field intensity profiles. The overlap integral is introduced as follows:</w:t>
      </w:r>
    </w:p>
    <w:p w:rsidR="00940B57" w:rsidRPr="00940B57" w:rsidRDefault="00940B57" w:rsidP="00EC5B4F">
      <w:pPr>
        <w:jc w:val="right"/>
        <w:rPr>
          <w:rFonts w:ascii="Arial" w:hAnsi="Arial" w:cs="Arial"/>
        </w:rPr>
      </w:pPr>
      <w:r w:rsidRPr="00940B57">
        <w:rPr>
          <w:rFonts w:ascii="等线" w:eastAsia="Times New Roman" w:hAnsi="等线" w:cs="Times New Roman"/>
          <w:kern w:val="2"/>
          <w:position w:val="-42"/>
          <w:sz w:val="21"/>
        </w:rPr>
        <w:object w:dxaOrig="44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95pt;height:48.8pt" o:ole="">
            <v:imagedata r:id="rId8" o:title=""/>
          </v:shape>
          <o:OLEObject Type="Embed" ProgID="Equation.DSMT4" ShapeID="_x0000_i1025" DrawAspect="Content" ObjectID="_1730210263" r:id="rId9"/>
        </w:object>
      </w:r>
      <w:r w:rsidR="00EC5B4F">
        <w:rPr>
          <w:rFonts w:ascii="等线" w:eastAsia="Times New Roman" w:hAnsi="等线" w:cs="Times New Roman"/>
          <w:kern w:val="2"/>
          <w:sz w:val="21"/>
        </w:rPr>
        <w:t xml:space="preserve">                              </w:t>
      </w:r>
      <w:r w:rsidR="00EC5B4F" w:rsidRPr="00EC5B4F">
        <w:rPr>
          <w:rFonts w:ascii="Arial" w:hAnsi="Arial" w:cs="Arial"/>
        </w:rPr>
        <w:t>(</w:t>
      </w:r>
      <w:r w:rsidR="00EC5B4F">
        <w:rPr>
          <w:rFonts w:ascii="Arial" w:hAnsi="Arial" w:cs="Arial"/>
        </w:rPr>
        <w:t>S</w:t>
      </w:r>
      <w:r w:rsidR="00EC5B4F" w:rsidRPr="00EC5B4F">
        <w:rPr>
          <w:rFonts w:ascii="Arial" w:hAnsi="Arial" w:cs="Arial"/>
        </w:rPr>
        <w:t>1)</w:t>
      </w:r>
    </w:p>
    <w:p w:rsidR="00940B57" w:rsidRDefault="00940B57" w:rsidP="00EC5B4F">
      <w:pPr>
        <w:spacing w:line="480" w:lineRule="auto"/>
        <w:rPr>
          <w:rFonts w:ascii="Arial" w:hAnsi="Arial" w:cs="Arial"/>
        </w:rPr>
      </w:pPr>
      <w:r w:rsidRPr="00940B57">
        <w:rPr>
          <w:rFonts w:ascii="Arial" w:hAnsi="Arial" w:cs="Arial"/>
        </w:rPr>
        <w:t>where E</w:t>
      </w:r>
      <w:r w:rsidRPr="00940B57">
        <w:rPr>
          <w:rFonts w:ascii="Arial" w:hAnsi="Arial" w:cs="Arial"/>
          <w:vertAlign w:val="subscript"/>
        </w:rPr>
        <w:t>0</w:t>
      </w:r>
      <w:r w:rsidRPr="00940B57">
        <w:rPr>
          <w:rFonts w:ascii="Arial" w:hAnsi="Arial" w:cs="Arial"/>
        </w:rPr>
        <w:t xml:space="preserve">(x, y, z) and </w:t>
      </w:r>
      <w:proofErr w:type="gramStart"/>
      <w:r w:rsidRPr="00940B57">
        <w:rPr>
          <w:rFonts w:ascii="Arial" w:hAnsi="Arial" w:cs="Arial"/>
        </w:rPr>
        <w:t>E</w:t>
      </w:r>
      <w:r w:rsidRPr="00940B57">
        <w:rPr>
          <w:rFonts w:ascii="Arial" w:hAnsi="Arial" w:cs="Arial"/>
          <w:vertAlign w:val="subscript"/>
        </w:rPr>
        <w:t>t</w:t>
      </w:r>
      <w:r w:rsidRPr="00940B57">
        <w:rPr>
          <w:rFonts w:ascii="Arial" w:hAnsi="Arial" w:cs="Arial"/>
        </w:rPr>
        <w:t>(</w:t>
      </w:r>
      <w:proofErr w:type="gramEnd"/>
      <w:r w:rsidRPr="00940B57">
        <w:rPr>
          <w:rFonts w:ascii="Arial" w:hAnsi="Arial" w:cs="Arial"/>
        </w:rPr>
        <w:t xml:space="preserve">x, y, z) are the complex amplitudes of the obtained mode and target mode, respectively. </w:t>
      </w:r>
      <w:r w:rsidR="00DB407F" w:rsidRPr="00DB407F">
        <w:rPr>
          <w:rFonts w:ascii="Arial" w:hAnsi="Arial" w:cs="Arial"/>
        </w:rPr>
        <w:t xml:space="preserve">The mode purity is highly dependent on the size of the target beam. Thus, we calculate the mode purity with different target beam size in the simulation. As can be seen in Fig. </w:t>
      </w:r>
      <w:r w:rsidR="00EC5B4F">
        <w:rPr>
          <w:rFonts w:ascii="Arial" w:hAnsi="Arial" w:cs="Arial"/>
        </w:rPr>
        <w:t>S</w:t>
      </w:r>
      <w:r w:rsidR="00DB407F" w:rsidRPr="00DB407F">
        <w:rPr>
          <w:rFonts w:ascii="Arial" w:hAnsi="Arial" w:cs="Arial"/>
        </w:rPr>
        <w:t>2, when the size of the target beam changes from small to large, a maximum purity value could be obtained.</w:t>
      </w:r>
    </w:p>
    <w:p w:rsidR="00DB407F" w:rsidRPr="00DB407F" w:rsidRDefault="00DB407F" w:rsidP="00DB407F">
      <w:pPr>
        <w:snapToGrid w:val="0"/>
        <w:spacing w:afterLines="20" w:after="48" w:line="240" w:lineRule="auto"/>
        <w:jc w:val="center"/>
        <w:rPr>
          <w:rFonts w:ascii="Times New Roman" w:eastAsia="宋体" w:hAnsi="Times New Roman" w:cs="Times New Roman"/>
          <w:bCs/>
          <w:color w:val="3333CC"/>
          <w:kern w:val="2"/>
          <w:u w:val="single"/>
        </w:rPr>
      </w:pPr>
      <w:r w:rsidRPr="00DB407F">
        <w:rPr>
          <w:rFonts w:ascii="等线" w:eastAsia="Times New Roman" w:hAnsi="等线" w:cs="Times New Roman"/>
          <w:noProof/>
          <w:kern w:val="2"/>
          <w:sz w:val="21"/>
        </w:rPr>
        <w:drawing>
          <wp:inline distT="0" distB="0" distL="0" distR="0" wp14:anchorId="4D576A61" wp14:editId="2D98EE85">
            <wp:extent cx="2981113" cy="189916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15"/>
                    <a:stretch/>
                  </pic:blipFill>
                  <pic:spPr bwMode="auto">
                    <a:xfrm>
                      <a:off x="0" y="0"/>
                      <a:ext cx="3011635" cy="1918604"/>
                    </a:xfrm>
                    <a:prstGeom prst="rect">
                      <a:avLst/>
                    </a:prstGeom>
                    <a:noFill/>
                    <a:ln>
                      <a:noFill/>
                    </a:ln>
                    <a:extLst>
                      <a:ext uri="{53640926-AAD7-44D8-BBD7-CCE9431645EC}">
                        <a14:shadowObscured xmlns:a14="http://schemas.microsoft.com/office/drawing/2010/main"/>
                      </a:ext>
                    </a:extLst>
                  </pic:spPr>
                </pic:pic>
              </a:graphicData>
            </a:graphic>
          </wp:inline>
        </w:drawing>
      </w:r>
    </w:p>
    <w:p w:rsidR="00DB407F" w:rsidRPr="00DB407F" w:rsidRDefault="00DB407F" w:rsidP="00DB407F">
      <w:pPr>
        <w:snapToGrid w:val="0"/>
        <w:spacing w:afterLines="20" w:after="48" w:line="240" w:lineRule="auto"/>
        <w:jc w:val="center"/>
        <w:rPr>
          <w:rFonts w:ascii="Arial" w:eastAsia="Times New Roman" w:hAnsi="Arial" w:cs="Arial"/>
          <w:color w:val="000000" w:themeColor="text1"/>
          <w:kern w:val="2"/>
        </w:rPr>
      </w:pPr>
      <w:bookmarkStart w:id="0" w:name="_Hlk118919552"/>
      <w:r w:rsidRPr="00DB407F">
        <w:rPr>
          <w:rFonts w:ascii="Arial" w:eastAsia="Times New Roman" w:hAnsi="Arial" w:cs="Arial"/>
          <w:b/>
          <w:bCs/>
          <w:color w:val="000000" w:themeColor="text1"/>
          <w:kern w:val="2"/>
        </w:rPr>
        <w:t>Fig</w:t>
      </w:r>
      <w:r w:rsidRPr="00027D44">
        <w:rPr>
          <w:rFonts w:ascii="Arial" w:eastAsia="Times New Roman" w:hAnsi="Arial" w:cs="Arial"/>
          <w:b/>
          <w:bCs/>
          <w:color w:val="000000" w:themeColor="text1"/>
          <w:kern w:val="2"/>
        </w:rPr>
        <w:t>ure</w:t>
      </w:r>
      <w:r w:rsidRPr="00DB407F">
        <w:rPr>
          <w:rFonts w:ascii="Arial" w:eastAsia="Times New Roman" w:hAnsi="Arial" w:cs="Arial"/>
          <w:b/>
          <w:bCs/>
          <w:color w:val="000000" w:themeColor="text1"/>
          <w:kern w:val="2"/>
        </w:rPr>
        <w:t xml:space="preserve"> </w:t>
      </w:r>
      <w:r w:rsidRPr="00027D44">
        <w:rPr>
          <w:rFonts w:ascii="Arial" w:eastAsia="Times New Roman" w:hAnsi="Arial" w:cs="Arial"/>
          <w:b/>
          <w:bCs/>
          <w:color w:val="000000" w:themeColor="text1"/>
          <w:kern w:val="2"/>
        </w:rPr>
        <w:t>S</w:t>
      </w:r>
      <w:r w:rsidRPr="00DB407F">
        <w:rPr>
          <w:rFonts w:ascii="Arial" w:eastAsia="Times New Roman" w:hAnsi="Arial" w:cs="Arial"/>
          <w:b/>
          <w:bCs/>
          <w:color w:val="000000" w:themeColor="text1"/>
          <w:kern w:val="2"/>
        </w:rPr>
        <w:t>2</w:t>
      </w:r>
      <w:r w:rsidRPr="00027D44">
        <w:rPr>
          <w:rFonts w:ascii="Arial" w:eastAsia="Times New Roman" w:hAnsi="Arial" w:cs="Arial"/>
          <w:b/>
          <w:bCs/>
          <w:color w:val="000000" w:themeColor="text1"/>
          <w:kern w:val="2"/>
        </w:rPr>
        <w:t>.</w:t>
      </w:r>
      <w:r w:rsidRPr="00DB407F">
        <w:rPr>
          <w:rFonts w:ascii="Arial" w:eastAsia="Times New Roman" w:hAnsi="Arial" w:cs="Arial"/>
          <w:color w:val="000000" w:themeColor="text1"/>
          <w:kern w:val="2"/>
        </w:rPr>
        <w:t xml:space="preserve"> The calculated mode purity with the change of the set beam sizes.</w:t>
      </w:r>
    </w:p>
    <w:bookmarkEnd w:id="0"/>
    <w:p w:rsidR="00DB407F" w:rsidRDefault="00DB407F" w:rsidP="00940B57">
      <w:pPr>
        <w:rPr>
          <w:rFonts w:ascii="Arial" w:hAnsi="Arial" w:cs="Arial"/>
        </w:rPr>
      </w:pPr>
    </w:p>
    <w:p w:rsidR="00A83BC7" w:rsidRPr="00A83BC7" w:rsidRDefault="00AB310A" w:rsidP="00A83BC7">
      <w:pPr>
        <w:snapToGrid w:val="0"/>
        <w:spacing w:afterLines="20" w:after="48" w:line="240" w:lineRule="auto"/>
        <w:rPr>
          <w:rFonts w:ascii="Times New Roman" w:eastAsia="Times New Roman" w:hAnsi="Times New Roman" w:cs="Times New Roman"/>
          <w:color w:val="2824BA"/>
          <w:kern w:val="2"/>
        </w:rPr>
      </w:pPr>
      <w:r w:rsidRPr="00AB310A">
        <w:rPr>
          <w:rFonts w:ascii="Times New Roman" w:eastAsia="Times New Roman" w:hAnsi="Times New Roman" w:cs="Times New Roman"/>
          <w:noProof/>
          <w:color w:val="2824BA"/>
          <w:kern w:val="2"/>
        </w:rPr>
        <w:lastRenderedPageBreak/>
        <w:drawing>
          <wp:inline distT="0" distB="0" distL="0" distR="0">
            <wp:extent cx="5274310" cy="35763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76320"/>
                    </a:xfrm>
                    <a:prstGeom prst="rect">
                      <a:avLst/>
                    </a:prstGeom>
                    <a:noFill/>
                    <a:ln>
                      <a:noFill/>
                    </a:ln>
                  </pic:spPr>
                </pic:pic>
              </a:graphicData>
            </a:graphic>
          </wp:inline>
        </w:drawing>
      </w:r>
    </w:p>
    <w:p w:rsidR="00A83BC7" w:rsidRPr="00A83BC7" w:rsidRDefault="00A83BC7" w:rsidP="00A83BC7">
      <w:pPr>
        <w:snapToGrid w:val="0"/>
        <w:spacing w:afterLines="20" w:after="48" w:line="240" w:lineRule="auto"/>
        <w:ind w:leftChars="300" w:left="660" w:rightChars="300" w:right="660"/>
        <w:rPr>
          <w:rFonts w:ascii="Arial" w:eastAsia="宋体" w:hAnsi="Arial" w:cs="Arial"/>
          <w:bCs/>
          <w:color w:val="000000" w:themeColor="text1"/>
          <w:kern w:val="2"/>
        </w:rPr>
      </w:pPr>
      <w:r w:rsidRPr="00A83BC7">
        <w:rPr>
          <w:rFonts w:ascii="Arial" w:eastAsia="宋体" w:hAnsi="Arial" w:cs="Arial"/>
          <w:b/>
          <w:color w:val="000000" w:themeColor="text1"/>
          <w:kern w:val="2"/>
        </w:rPr>
        <w:t>Fig</w:t>
      </w:r>
      <w:r w:rsidR="00027D44" w:rsidRPr="00027D44">
        <w:rPr>
          <w:rFonts w:ascii="Arial" w:eastAsia="宋体" w:hAnsi="Arial" w:cs="Arial"/>
          <w:b/>
          <w:color w:val="000000" w:themeColor="text1"/>
          <w:kern w:val="2"/>
        </w:rPr>
        <w:t>ure</w:t>
      </w:r>
      <w:r w:rsidRPr="00A83BC7">
        <w:rPr>
          <w:rFonts w:ascii="Arial" w:eastAsia="宋体" w:hAnsi="Arial" w:cs="Arial"/>
          <w:b/>
          <w:color w:val="000000" w:themeColor="text1"/>
          <w:kern w:val="2"/>
        </w:rPr>
        <w:t xml:space="preserve"> </w:t>
      </w:r>
      <w:r w:rsidR="00027D44" w:rsidRPr="00027D44">
        <w:rPr>
          <w:rFonts w:ascii="Arial" w:eastAsia="宋体" w:hAnsi="Arial" w:cs="Arial"/>
          <w:b/>
          <w:color w:val="000000" w:themeColor="text1"/>
          <w:kern w:val="2"/>
        </w:rPr>
        <w:t>S3.</w:t>
      </w:r>
      <w:r w:rsidRPr="00A83BC7">
        <w:rPr>
          <w:rFonts w:ascii="Arial" w:eastAsia="宋体" w:hAnsi="Arial" w:cs="Arial"/>
          <w:bCs/>
          <w:color w:val="000000" w:themeColor="text1"/>
          <w:kern w:val="2"/>
        </w:rPr>
        <w:t xml:space="preserve"> The evolution diagram from the function to the binary grating for directed OAM beam generation.</w:t>
      </w:r>
    </w:p>
    <w:p w:rsidR="00A83BC7" w:rsidRDefault="00A83BC7" w:rsidP="00940B57">
      <w:pPr>
        <w:rPr>
          <w:rFonts w:ascii="Arial" w:hAnsi="Arial" w:cs="Arial"/>
        </w:rPr>
      </w:pPr>
    </w:p>
    <w:p w:rsidR="00A83BC7" w:rsidRDefault="00EC5B4F" w:rsidP="002034B2">
      <w:pPr>
        <w:spacing w:line="480" w:lineRule="auto"/>
        <w:rPr>
          <w:rFonts w:ascii="Arial" w:hAnsi="Arial" w:cs="Arial"/>
        </w:rPr>
      </w:pPr>
      <w:r w:rsidRPr="00EC5B4F">
        <w:rPr>
          <w:rFonts w:ascii="Arial" w:hAnsi="Arial" w:cs="Arial"/>
        </w:rPr>
        <w:t>In practical applications, high-purity mode generation is highly desired. For example, in mode-division multiplexing (MDM) systems, high purity also means the low mode crosstalk. Thus, the calculation of mode crosstalk is more important. As can be seen in Fig.</w:t>
      </w:r>
      <w:r>
        <w:rPr>
          <w:rFonts w:ascii="Arial" w:hAnsi="Arial" w:cs="Arial"/>
        </w:rPr>
        <w:t xml:space="preserve"> S3</w:t>
      </w:r>
      <w:r w:rsidRPr="00EC5B4F">
        <w:rPr>
          <w:rFonts w:ascii="Arial" w:hAnsi="Arial" w:cs="Arial"/>
        </w:rPr>
        <w:t xml:space="preserve">, the </w:t>
      </w:r>
      <w:r w:rsidR="00CE38BC">
        <w:rPr>
          <w:rFonts w:ascii="Arial" w:hAnsi="Arial" w:cs="Arial" w:hint="eastAsia"/>
        </w:rPr>
        <w:t>average</w:t>
      </w:r>
      <w:r w:rsidR="00CE38BC">
        <w:rPr>
          <w:rFonts w:ascii="Arial" w:hAnsi="Arial" w:cs="Arial"/>
        </w:rPr>
        <w:t xml:space="preserve"> </w:t>
      </w:r>
      <w:r w:rsidRPr="00EC5B4F">
        <w:rPr>
          <w:rFonts w:ascii="Arial" w:hAnsi="Arial" w:cs="Arial"/>
        </w:rPr>
        <w:t>extinction ratios of four different LG beams are more than 15 dB, which could support high-speed MDM data transmission.</w:t>
      </w:r>
    </w:p>
    <w:p w:rsidR="00DB407F" w:rsidRDefault="00DB407F" w:rsidP="00940B57">
      <w:pPr>
        <w:rPr>
          <w:rFonts w:ascii="Arial" w:hAnsi="Arial" w:cs="Arial"/>
        </w:rPr>
      </w:pPr>
    </w:p>
    <w:p w:rsidR="00DB407F" w:rsidRDefault="00DB407F" w:rsidP="00DB407F">
      <w:pPr>
        <w:rPr>
          <w:rFonts w:ascii="Arial" w:hAnsi="Arial" w:cs="Arial"/>
          <w:sz w:val="28"/>
          <w:szCs w:val="28"/>
        </w:rPr>
      </w:pPr>
      <w:bookmarkStart w:id="1" w:name="_Hlk119178543"/>
      <w:r>
        <w:rPr>
          <w:rFonts w:ascii="Arial" w:hAnsi="Arial" w:cs="Arial"/>
          <w:sz w:val="28"/>
          <w:szCs w:val="28"/>
        </w:rPr>
        <w:t>3</w:t>
      </w:r>
      <w:r w:rsidRPr="00940B57">
        <w:rPr>
          <w:rFonts w:ascii="Arial" w:hAnsi="Arial" w:cs="Arial"/>
          <w:sz w:val="28"/>
          <w:szCs w:val="28"/>
        </w:rPr>
        <w:t xml:space="preserve">. </w:t>
      </w:r>
      <w:r>
        <w:rPr>
          <w:rFonts w:ascii="Arial" w:hAnsi="Arial" w:cs="Arial"/>
          <w:sz w:val="28"/>
          <w:szCs w:val="28"/>
        </w:rPr>
        <w:t>Additional results for directed OAM beam emission</w:t>
      </w:r>
    </w:p>
    <w:p w:rsidR="003375DE" w:rsidRPr="003375DE" w:rsidRDefault="003375DE" w:rsidP="003375DE">
      <w:pPr>
        <w:snapToGrid w:val="0"/>
        <w:spacing w:afterLines="20" w:after="48" w:line="480" w:lineRule="auto"/>
        <w:rPr>
          <w:rFonts w:ascii="Arial" w:hAnsi="Arial" w:cs="Arial"/>
          <w:bCs/>
        </w:rPr>
      </w:pPr>
      <w:r w:rsidRPr="003375DE">
        <w:rPr>
          <w:rFonts w:ascii="Arial" w:hAnsi="Arial" w:cs="Arial"/>
          <w:bCs/>
        </w:rPr>
        <w:t>The interference patterns in Fig. 1</w:t>
      </w:r>
      <w:r>
        <w:rPr>
          <w:rFonts w:ascii="Arial" w:hAnsi="Arial" w:cs="Arial"/>
          <w:bCs/>
        </w:rPr>
        <w:t>0</w:t>
      </w:r>
      <w:r w:rsidRPr="003375DE">
        <w:rPr>
          <w:rFonts w:ascii="Arial" w:hAnsi="Arial" w:cs="Arial"/>
          <w:bCs/>
        </w:rPr>
        <w:t xml:space="preserve"> are not clear, this is because a ×10 objective lens (Mitutoyo, NIR, NA=0.26) is used in the experiment. S</w:t>
      </w:r>
      <w:r w:rsidRPr="003375DE">
        <w:rPr>
          <w:rFonts w:ascii="Arial" w:hAnsi="Arial" w:cs="Arial" w:hint="eastAsia"/>
          <w:bCs/>
        </w:rPr>
        <w:t>ince</w:t>
      </w:r>
      <w:r w:rsidRPr="003375DE">
        <w:rPr>
          <w:rFonts w:ascii="Arial" w:hAnsi="Arial" w:cs="Arial"/>
          <w:bCs/>
        </w:rPr>
        <w:t xml:space="preserve"> the fabricated fork grating has a 4.2×3.4 µm</w:t>
      </w:r>
      <w:r w:rsidRPr="003375DE">
        <w:rPr>
          <w:rFonts w:ascii="Arial" w:hAnsi="Arial" w:cs="Arial"/>
          <w:bCs/>
          <w:vertAlign w:val="superscript"/>
        </w:rPr>
        <w:t>2</w:t>
      </w:r>
      <w:r w:rsidRPr="003375DE">
        <w:rPr>
          <w:rFonts w:ascii="Arial" w:hAnsi="Arial" w:cs="Arial"/>
          <w:bCs/>
        </w:rPr>
        <w:t xml:space="preserve"> footprint, a lens with larger NA is needed for the measurement. </w:t>
      </w:r>
      <w:r>
        <w:rPr>
          <w:rFonts w:ascii="Arial" w:hAnsi="Arial" w:cs="Arial"/>
          <w:bCs/>
        </w:rPr>
        <w:t>A</w:t>
      </w:r>
      <w:r w:rsidRPr="003375DE">
        <w:rPr>
          <w:rFonts w:ascii="Arial" w:hAnsi="Arial" w:cs="Arial"/>
          <w:bCs/>
        </w:rPr>
        <w:t xml:space="preserve"> single lens with NA=0.54 is used to improve the image quality. As shown in Fig. </w:t>
      </w:r>
      <w:r>
        <w:rPr>
          <w:rFonts w:ascii="Arial" w:hAnsi="Arial" w:cs="Arial"/>
          <w:bCs/>
        </w:rPr>
        <w:t>S4</w:t>
      </w:r>
      <w:r w:rsidRPr="003375DE">
        <w:rPr>
          <w:rFonts w:ascii="Arial" w:hAnsi="Arial" w:cs="Arial"/>
          <w:bCs/>
        </w:rPr>
        <w:t xml:space="preserve">, it can be seen that clear patterns are obtained. We also measure the tilt interferograms of the generated OAM beam and reconstruct the phase distributions by Fourier transform method. The calculated phase purity of the generated OAM mode is shown </w:t>
      </w:r>
      <w:r w:rsidRPr="003375DE">
        <w:rPr>
          <w:rFonts w:ascii="Arial" w:hAnsi="Arial" w:cs="Arial"/>
          <w:bCs/>
        </w:rPr>
        <w:lastRenderedPageBreak/>
        <w:t xml:space="preserve">in Fig. </w:t>
      </w:r>
      <w:r>
        <w:rPr>
          <w:rFonts w:ascii="Arial" w:hAnsi="Arial" w:cs="Arial"/>
          <w:bCs/>
        </w:rPr>
        <w:t>S5</w:t>
      </w:r>
      <w:r w:rsidRPr="003375DE">
        <w:rPr>
          <w:rFonts w:ascii="Arial" w:hAnsi="Arial" w:cs="Arial"/>
          <w:bCs/>
        </w:rPr>
        <w:t xml:space="preserve">. The measured scattering efficiency of tilt fork grating is shown in Fig. </w:t>
      </w:r>
      <w:r>
        <w:rPr>
          <w:rFonts w:ascii="Arial" w:hAnsi="Arial" w:cs="Arial"/>
          <w:bCs/>
        </w:rPr>
        <w:t>S6</w:t>
      </w:r>
      <w:r w:rsidRPr="003375DE">
        <w:rPr>
          <w:rFonts w:ascii="Arial" w:hAnsi="Arial" w:cs="Arial"/>
          <w:bCs/>
        </w:rPr>
        <w:t xml:space="preserve">. One can see that the measured scattering efficiency </w:t>
      </w:r>
      <w:bookmarkStart w:id="2" w:name="_Hlk119398482"/>
      <w:r w:rsidRPr="003375DE">
        <w:rPr>
          <w:rFonts w:ascii="Arial" w:hAnsi="Arial" w:cs="Arial"/>
          <w:bCs/>
        </w:rPr>
        <w:t xml:space="preserve">is smaller than the simulated values. On one hand, the etching depth of the fork grating is less than 70 nm, which leads to a smaller scattering efficiency. On the other hand, the adiabatic tapering (length &gt;1 mm) loss cannot be ignored. In </w:t>
      </w:r>
      <w:r w:rsidR="00CA6D0A">
        <w:rPr>
          <w:rFonts w:ascii="Arial" w:hAnsi="Arial" w:cs="Arial"/>
          <w:bCs/>
        </w:rPr>
        <w:t xml:space="preserve">the </w:t>
      </w:r>
      <w:r w:rsidRPr="003375DE">
        <w:rPr>
          <w:rFonts w:ascii="Arial" w:hAnsi="Arial" w:cs="Arial"/>
          <w:bCs/>
        </w:rPr>
        <w:t>future, one potential way to improve the scattering efficiency is to add a gold film reflector under the SiO</w:t>
      </w:r>
      <w:r w:rsidRPr="003375DE">
        <w:rPr>
          <w:rFonts w:ascii="Arial" w:hAnsi="Arial" w:cs="Arial"/>
          <w:bCs/>
          <w:vertAlign w:val="subscript"/>
        </w:rPr>
        <w:t>2</w:t>
      </w:r>
      <w:r w:rsidRPr="003375DE">
        <w:rPr>
          <w:rFonts w:ascii="Arial" w:hAnsi="Arial" w:cs="Arial"/>
          <w:bCs/>
        </w:rPr>
        <w:t xml:space="preserve"> substrate to increase the scattering efficiency. And the waveguide structures including edge coupler and adiabatic taper can be optimized.</w:t>
      </w:r>
      <w:bookmarkEnd w:id="2"/>
    </w:p>
    <w:p w:rsidR="00B816B6" w:rsidRPr="00B816B6" w:rsidRDefault="00B816B6" w:rsidP="00B816B6">
      <w:pPr>
        <w:snapToGrid w:val="0"/>
        <w:spacing w:afterLines="20" w:after="48" w:line="240" w:lineRule="auto"/>
        <w:rPr>
          <w:rFonts w:ascii="Times New Roman" w:eastAsia="宋体" w:hAnsi="Times New Roman" w:cs="Times New Roman"/>
          <w:bCs/>
          <w:color w:val="3333CC"/>
          <w:kern w:val="2"/>
        </w:rPr>
      </w:pPr>
    </w:p>
    <w:p w:rsidR="00B816B6" w:rsidRPr="00B816B6" w:rsidRDefault="00B816B6" w:rsidP="00B816B6">
      <w:pPr>
        <w:snapToGrid w:val="0"/>
        <w:spacing w:afterLines="20" w:after="48" w:line="240" w:lineRule="auto"/>
        <w:rPr>
          <w:rFonts w:ascii="Times New Roman" w:eastAsia="宋体" w:hAnsi="Times New Roman" w:cs="Times New Roman"/>
          <w:bCs/>
          <w:color w:val="3333CC"/>
          <w:kern w:val="2"/>
        </w:rPr>
      </w:pPr>
      <w:r w:rsidRPr="00B816B6">
        <w:rPr>
          <w:rFonts w:ascii="Times New Roman" w:eastAsia="宋体" w:hAnsi="Times New Roman" w:cs="Times New Roman"/>
          <w:bCs/>
          <w:noProof/>
          <w:color w:val="3333CC"/>
          <w:kern w:val="2"/>
        </w:rPr>
        <w:drawing>
          <wp:inline distT="0" distB="0" distL="0" distR="0" wp14:anchorId="67F9C040" wp14:editId="7351453E">
            <wp:extent cx="5269404" cy="1788753"/>
            <wp:effectExtent l="0" t="0" r="762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544"/>
                    <a:stretch/>
                  </pic:blipFill>
                  <pic:spPr bwMode="auto">
                    <a:xfrm>
                      <a:off x="0" y="0"/>
                      <a:ext cx="5301463" cy="1799636"/>
                    </a:xfrm>
                    <a:prstGeom prst="rect">
                      <a:avLst/>
                    </a:prstGeom>
                    <a:noFill/>
                    <a:ln>
                      <a:noFill/>
                    </a:ln>
                    <a:extLst>
                      <a:ext uri="{53640926-AAD7-44D8-BBD7-CCE9431645EC}">
                        <a14:shadowObscured xmlns:a14="http://schemas.microsoft.com/office/drawing/2010/main"/>
                      </a:ext>
                    </a:extLst>
                  </pic:spPr>
                </pic:pic>
              </a:graphicData>
            </a:graphic>
          </wp:inline>
        </w:drawing>
      </w:r>
    </w:p>
    <w:p w:rsidR="00B816B6" w:rsidRPr="00B816B6" w:rsidRDefault="00B816B6" w:rsidP="00B816B6">
      <w:pPr>
        <w:snapToGrid w:val="0"/>
        <w:spacing w:afterLines="20" w:after="48" w:line="240" w:lineRule="auto"/>
        <w:jc w:val="center"/>
        <w:rPr>
          <w:rFonts w:ascii="Times New Roman" w:eastAsia="宋体" w:hAnsi="Times New Roman" w:cs="Times New Roman"/>
          <w:bCs/>
          <w:color w:val="3333CC"/>
          <w:kern w:val="2"/>
        </w:rPr>
      </w:pPr>
      <w:r w:rsidRPr="00B816B6">
        <w:rPr>
          <w:rFonts w:ascii="Arial" w:eastAsia="宋体" w:hAnsi="Arial" w:cs="Arial"/>
          <w:b/>
          <w:color w:val="000000" w:themeColor="text1"/>
          <w:kern w:val="2"/>
        </w:rPr>
        <w:t xml:space="preserve">Figure </w:t>
      </w:r>
      <w:r w:rsidR="00EC5B4F" w:rsidRPr="0027514A">
        <w:rPr>
          <w:rFonts w:ascii="Arial" w:eastAsia="宋体" w:hAnsi="Arial" w:cs="Arial"/>
          <w:b/>
          <w:color w:val="000000" w:themeColor="text1"/>
          <w:kern w:val="2"/>
        </w:rPr>
        <w:t>S4</w:t>
      </w:r>
      <w:r w:rsidRPr="00B816B6">
        <w:rPr>
          <w:rFonts w:ascii="Arial" w:eastAsia="宋体" w:hAnsi="Arial" w:cs="Arial"/>
          <w:b/>
          <w:color w:val="000000" w:themeColor="text1"/>
          <w:kern w:val="2"/>
        </w:rPr>
        <w:t>.</w:t>
      </w:r>
      <w:r w:rsidRPr="00B816B6">
        <w:rPr>
          <w:rFonts w:ascii="Arial" w:eastAsia="宋体" w:hAnsi="Arial" w:cs="Arial"/>
          <w:bCs/>
          <w:color w:val="000000" w:themeColor="text1"/>
          <w:kern w:val="2"/>
        </w:rPr>
        <w:t xml:space="preserve"> The measured far-field intensity profiles of tilt fork grating.</w:t>
      </w:r>
    </w:p>
    <w:p w:rsidR="00B816B6" w:rsidRPr="00B816B6" w:rsidRDefault="00B816B6" w:rsidP="00B816B6">
      <w:pPr>
        <w:snapToGrid w:val="0"/>
        <w:spacing w:afterLines="20" w:after="48" w:line="240" w:lineRule="auto"/>
        <w:rPr>
          <w:rFonts w:ascii="Times New Roman" w:eastAsia="宋体" w:hAnsi="Times New Roman" w:cs="Times New Roman"/>
          <w:bCs/>
          <w:color w:val="3333CC"/>
          <w:kern w:val="2"/>
        </w:rPr>
      </w:pPr>
    </w:p>
    <w:p w:rsidR="00B816B6" w:rsidRPr="00B816B6" w:rsidRDefault="00B816B6" w:rsidP="00B816B6">
      <w:pPr>
        <w:snapToGrid w:val="0"/>
        <w:spacing w:afterLines="20" w:after="48" w:line="240" w:lineRule="auto"/>
        <w:jc w:val="center"/>
        <w:rPr>
          <w:rFonts w:ascii="Times New Roman" w:eastAsia="宋体" w:hAnsi="Times New Roman" w:cs="Times New Roman"/>
          <w:bCs/>
          <w:color w:val="3333CC"/>
          <w:kern w:val="2"/>
        </w:rPr>
      </w:pPr>
      <w:r w:rsidRPr="00B816B6">
        <w:rPr>
          <w:rFonts w:ascii="Times New Roman" w:eastAsia="宋体" w:hAnsi="Times New Roman" w:cs="Times New Roman"/>
          <w:bCs/>
          <w:noProof/>
          <w:color w:val="3333CC"/>
          <w:kern w:val="2"/>
        </w:rPr>
        <w:drawing>
          <wp:inline distT="0" distB="0" distL="0" distR="0" wp14:anchorId="0FDA4E3E" wp14:editId="44F85799">
            <wp:extent cx="3715675" cy="278429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1003" cy="2795783"/>
                    </a:xfrm>
                    <a:prstGeom prst="rect">
                      <a:avLst/>
                    </a:prstGeom>
                    <a:noFill/>
                    <a:ln>
                      <a:noFill/>
                    </a:ln>
                  </pic:spPr>
                </pic:pic>
              </a:graphicData>
            </a:graphic>
          </wp:inline>
        </w:drawing>
      </w:r>
    </w:p>
    <w:p w:rsidR="00B816B6" w:rsidRPr="00B816B6" w:rsidRDefault="00B816B6" w:rsidP="00B816B6">
      <w:pPr>
        <w:snapToGrid w:val="0"/>
        <w:spacing w:afterLines="20" w:after="48" w:line="240" w:lineRule="auto"/>
        <w:jc w:val="center"/>
        <w:rPr>
          <w:rFonts w:ascii="Times New Roman" w:eastAsia="宋体" w:hAnsi="Times New Roman" w:cs="Times New Roman"/>
          <w:bCs/>
          <w:color w:val="3333CC"/>
          <w:kern w:val="2"/>
        </w:rPr>
      </w:pPr>
      <w:r w:rsidRPr="00B816B6">
        <w:rPr>
          <w:rFonts w:ascii="Arial" w:eastAsia="宋体" w:hAnsi="Arial" w:cs="Arial"/>
          <w:b/>
          <w:color w:val="000000" w:themeColor="text1"/>
          <w:kern w:val="2"/>
        </w:rPr>
        <w:t xml:space="preserve">Figure </w:t>
      </w:r>
      <w:r w:rsidR="00EC5B4F" w:rsidRPr="0027514A">
        <w:rPr>
          <w:rFonts w:ascii="Arial" w:eastAsia="宋体" w:hAnsi="Arial" w:cs="Arial"/>
          <w:b/>
          <w:color w:val="000000" w:themeColor="text1"/>
          <w:kern w:val="2"/>
        </w:rPr>
        <w:t>S5</w:t>
      </w:r>
      <w:r w:rsidRPr="00B816B6">
        <w:rPr>
          <w:rFonts w:ascii="Arial" w:eastAsia="宋体" w:hAnsi="Arial" w:cs="Arial"/>
          <w:b/>
          <w:color w:val="000000" w:themeColor="text1"/>
          <w:kern w:val="2"/>
        </w:rPr>
        <w:t>.</w:t>
      </w:r>
      <w:r w:rsidRPr="00B816B6">
        <w:rPr>
          <w:rFonts w:ascii="Arial" w:eastAsia="宋体" w:hAnsi="Arial" w:cs="Arial"/>
          <w:bCs/>
          <w:color w:val="000000" w:themeColor="text1"/>
          <w:kern w:val="2"/>
        </w:rPr>
        <w:t xml:space="preserve"> The calculated phase purity of the generated OAM mode.</w:t>
      </w:r>
    </w:p>
    <w:p w:rsidR="00B816B6" w:rsidRPr="00B816B6" w:rsidRDefault="00B816B6" w:rsidP="00B816B6">
      <w:pPr>
        <w:snapToGrid w:val="0"/>
        <w:spacing w:afterLines="20" w:after="48" w:line="240" w:lineRule="auto"/>
        <w:rPr>
          <w:rFonts w:ascii="Times New Roman" w:eastAsia="宋体" w:hAnsi="Times New Roman" w:cs="Times New Roman"/>
          <w:bCs/>
          <w:color w:val="3333CC"/>
          <w:kern w:val="2"/>
        </w:rPr>
      </w:pPr>
    </w:p>
    <w:p w:rsidR="00B816B6" w:rsidRPr="00B816B6" w:rsidRDefault="00B816B6" w:rsidP="00B816B6">
      <w:pPr>
        <w:snapToGrid w:val="0"/>
        <w:spacing w:afterLines="20" w:after="48" w:line="240" w:lineRule="auto"/>
        <w:jc w:val="center"/>
        <w:rPr>
          <w:rFonts w:ascii="Times New Roman" w:eastAsia="宋体" w:hAnsi="Times New Roman" w:cs="Times New Roman"/>
          <w:bCs/>
          <w:color w:val="3333CC"/>
          <w:kern w:val="2"/>
        </w:rPr>
      </w:pPr>
      <w:r w:rsidRPr="00B816B6">
        <w:rPr>
          <w:rFonts w:ascii="等线" w:eastAsia="Times New Roman" w:hAnsi="等线" w:cs="Times New Roman"/>
          <w:kern w:val="2"/>
          <w:sz w:val="21"/>
        </w:rPr>
        <w:object w:dxaOrig="10691" w:dyaOrig="7151">
          <v:shape id="_x0000_i1026" type="#_x0000_t75" style="width:313pt;height:209.3pt" o:ole="">
            <v:imagedata r:id="rId14" o:title=""/>
          </v:shape>
          <o:OLEObject Type="Embed" ProgID="Visio.Drawing.15" ShapeID="_x0000_i1026" DrawAspect="Content" ObjectID="_1730210264" r:id="rId15"/>
        </w:object>
      </w:r>
    </w:p>
    <w:p w:rsidR="00B816B6" w:rsidRPr="00B816B6" w:rsidRDefault="00B816B6" w:rsidP="00B816B6">
      <w:pPr>
        <w:snapToGrid w:val="0"/>
        <w:spacing w:afterLines="20" w:after="48" w:line="240" w:lineRule="auto"/>
        <w:jc w:val="center"/>
        <w:rPr>
          <w:rFonts w:ascii="Arial" w:eastAsia="宋体" w:hAnsi="Arial" w:cs="Arial"/>
          <w:bCs/>
          <w:color w:val="000000" w:themeColor="text1"/>
          <w:kern w:val="2"/>
        </w:rPr>
      </w:pPr>
      <w:bookmarkStart w:id="3" w:name="_Hlk119269680"/>
      <w:r w:rsidRPr="00B816B6">
        <w:rPr>
          <w:rFonts w:ascii="Arial" w:eastAsia="宋体" w:hAnsi="Arial" w:cs="Arial"/>
          <w:b/>
          <w:color w:val="000000" w:themeColor="text1"/>
          <w:kern w:val="2"/>
        </w:rPr>
        <w:t xml:space="preserve">Figure </w:t>
      </w:r>
      <w:r w:rsidR="00EC5B4F" w:rsidRPr="0027514A">
        <w:rPr>
          <w:rFonts w:ascii="Arial" w:eastAsia="宋体" w:hAnsi="Arial" w:cs="Arial"/>
          <w:b/>
          <w:color w:val="000000" w:themeColor="text1"/>
          <w:kern w:val="2"/>
        </w:rPr>
        <w:t>S6</w:t>
      </w:r>
      <w:r w:rsidRPr="00B816B6">
        <w:rPr>
          <w:rFonts w:ascii="Arial" w:eastAsia="宋体" w:hAnsi="Arial" w:cs="Arial"/>
          <w:b/>
          <w:color w:val="000000" w:themeColor="text1"/>
          <w:kern w:val="2"/>
        </w:rPr>
        <w:t>.</w:t>
      </w:r>
      <w:r w:rsidRPr="00B816B6">
        <w:rPr>
          <w:rFonts w:ascii="Arial" w:eastAsia="宋体" w:hAnsi="Arial" w:cs="Arial"/>
          <w:bCs/>
          <w:color w:val="000000" w:themeColor="text1"/>
          <w:kern w:val="2"/>
        </w:rPr>
        <w:t xml:space="preserve"> The measured scattering efficiency of tilt fork grating.</w:t>
      </w:r>
    </w:p>
    <w:bookmarkEnd w:id="3"/>
    <w:p w:rsidR="00027D44" w:rsidRPr="00940B57" w:rsidRDefault="00027D44" w:rsidP="00DB407F">
      <w:pPr>
        <w:rPr>
          <w:rFonts w:ascii="Arial" w:hAnsi="Arial" w:cs="Arial"/>
        </w:rPr>
      </w:pPr>
    </w:p>
    <w:bookmarkEnd w:id="1"/>
    <w:p w:rsidR="00DB407F" w:rsidRDefault="00DB407F" w:rsidP="00940B57">
      <w:pPr>
        <w:rPr>
          <w:rFonts w:ascii="Arial" w:hAnsi="Arial" w:cs="Arial"/>
        </w:rPr>
      </w:pPr>
    </w:p>
    <w:p w:rsidR="002034B2" w:rsidRDefault="00A83BC7" w:rsidP="00A83BC7">
      <w:pPr>
        <w:rPr>
          <w:rFonts w:ascii="Arial" w:hAnsi="Arial" w:cs="Arial"/>
          <w:sz w:val="28"/>
          <w:szCs w:val="28"/>
        </w:rPr>
      </w:pPr>
      <w:r>
        <w:rPr>
          <w:rFonts w:ascii="Arial" w:hAnsi="Arial" w:cs="Arial"/>
          <w:sz w:val="28"/>
          <w:szCs w:val="28"/>
        </w:rPr>
        <w:t>4</w:t>
      </w:r>
      <w:r w:rsidRPr="00940B57">
        <w:rPr>
          <w:rFonts w:ascii="Arial" w:hAnsi="Arial" w:cs="Arial"/>
          <w:sz w:val="28"/>
          <w:szCs w:val="28"/>
        </w:rPr>
        <w:t xml:space="preserve">. </w:t>
      </w:r>
      <w:r>
        <w:rPr>
          <w:rFonts w:ascii="Arial" w:hAnsi="Arial" w:cs="Arial"/>
          <w:sz w:val="28"/>
          <w:szCs w:val="28"/>
        </w:rPr>
        <w:t>Additional results for LP beam emission</w:t>
      </w:r>
    </w:p>
    <w:p w:rsidR="00027D44" w:rsidRPr="00940B57" w:rsidRDefault="003375DE" w:rsidP="004C6EFF">
      <w:pPr>
        <w:spacing w:line="480" w:lineRule="auto"/>
        <w:rPr>
          <w:rFonts w:ascii="Arial" w:hAnsi="Arial" w:cs="Arial"/>
        </w:rPr>
      </w:pPr>
      <w:r>
        <w:rPr>
          <w:rFonts w:ascii="Arial" w:hAnsi="Arial" w:cs="Arial"/>
        </w:rPr>
        <w:t>As</w:t>
      </w:r>
      <w:r w:rsidRPr="003375DE">
        <w:rPr>
          <w:rFonts w:ascii="Arial" w:hAnsi="Arial" w:cs="Arial"/>
        </w:rPr>
        <w:t xml:space="preserve"> illustrated in Fig. </w:t>
      </w:r>
      <w:r>
        <w:rPr>
          <w:rFonts w:ascii="Arial" w:hAnsi="Arial" w:cs="Arial"/>
        </w:rPr>
        <w:t>S7</w:t>
      </w:r>
      <w:r w:rsidRPr="003375DE">
        <w:rPr>
          <w:rFonts w:ascii="Arial" w:hAnsi="Arial" w:cs="Arial"/>
        </w:rPr>
        <w:t>,</w:t>
      </w:r>
      <w:r>
        <w:rPr>
          <w:rFonts w:ascii="Arial" w:hAnsi="Arial" w:cs="Arial"/>
        </w:rPr>
        <w:t xml:space="preserve"> </w:t>
      </w:r>
      <w:r>
        <w:rPr>
          <w:rFonts w:ascii="Arial" w:hAnsi="Arial" w:cs="Arial" w:hint="eastAsia"/>
        </w:rPr>
        <w:t>t</w:t>
      </w:r>
      <w:r w:rsidRPr="003375DE">
        <w:rPr>
          <w:rFonts w:ascii="Arial" w:hAnsi="Arial" w:cs="Arial"/>
        </w:rPr>
        <w:t>he average conversion efficiency is more than -6 dB</w:t>
      </w:r>
      <w:r w:rsidRPr="003375DE">
        <w:t xml:space="preserve"> </w:t>
      </w:r>
      <w:r w:rsidRPr="003375DE">
        <w:rPr>
          <w:rFonts w:ascii="Arial" w:hAnsi="Arial" w:cs="Arial"/>
        </w:rPr>
        <w:t>over a wide wavelength range of 1450-1650 nm.</w:t>
      </w:r>
    </w:p>
    <w:p w:rsidR="00A83BC7" w:rsidRDefault="00027D44" w:rsidP="00027D44">
      <w:pPr>
        <w:jc w:val="center"/>
        <w:rPr>
          <w:rFonts w:ascii="Arial" w:hAnsi="Arial" w:cs="Arial"/>
        </w:rPr>
      </w:pPr>
      <w:r w:rsidRPr="00027D44">
        <w:rPr>
          <w:rFonts w:ascii="等线" w:eastAsia="Times New Roman" w:hAnsi="等线" w:cs="Times New Roman"/>
          <w:noProof/>
          <w:kern w:val="2"/>
          <w:sz w:val="21"/>
        </w:rPr>
        <w:drawing>
          <wp:inline distT="0" distB="0" distL="0" distR="0" wp14:anchorId="5E1F2801" wp14:editId="6C4E9384">
            <wp:extent cx="3546764" cy="23656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7807" cy="2386353"/>
                    </a:xfrm>
                    <a:prstGeom prst="rect">
                      <a:avLst/>
                    </a:prstGeom>
                    <a:noFill/>
                    <a:ln>
                      <a:noFill/>
                    </a:ln>
                  </pic:spPr>
                </pic:pic>
              </a:graphicData>
            </a:graphic>
          </wp:inline>
        </w:drawing>
      </w:r>
    </w:p>
    <w:p w:rsidR="003375DE" w:rsidRPr="003375DE" w:rsidRDefault="003375DE" w:rsidP="003375DE">
      <w:pPr>
        <w:rPr>
          <w:rFonts w:ascii="Arial" w:hAnsi="Arial" w:cs="Arial"/>
        </w:rPr>
      </w:pPr>
    </w:p>
    <w:p w:rsidR="00027D44" w:rsidRDefault="003375DE" w:rsidP="003375DE">
      <w:pPr>
        <w:jc w:val="center"/>
        <w:rPr>
          <w:rFonts w:ascii="Arial" w:hAnsi="Arial" w:cs="Arial"/>
        </w:rPr>
      </w:pPr>
      <w:bookmarkStart w:id="4" w:name="_Hlk119507989"/>
      <w:r w:rsidRPr="0027514A">
        <w:rPr>
          <w:rFonts w:ascii="Arial" w:hAnsi="Arial" w:cs="Arial"/>
          <w:b/>
          <w:bCs/>
        </w:rPr>
        <w:t>Figure S7.</w:t>
      </w:r>
      <w:r w:rsidRPr="003375DE">
        <w:rPr>
          <w:rFonts w:ascii="Arial" w:hAnsi="Arial" w:cs="Arial"/>
        </w:rPr>
        <w:t xml:space="preserve"> The </w:t>
      </w:r>
      <w:r>
        <w:rPr>
          <w:rFonts w:ascii="Arial" w:hAnsi="Arial" w:cs="Arial" w:hint="eastAsia"/>
        </w:rPr>
        <w:t>simulated</w:t>
      </w:r>
      <w:r w:rsidRPr="003375DE">
        <w:rPr>
          <w:rFonts w:ascii="Arial" w:hAnsi="Arial" w:cs="Arial"/>
        </w:rPr>
        <w:t xml:space="preserve"> </w:t>
      </w:r>
      <w:r>
        <w:rPr>
          <w:rFonts w:ascii="Arial" w:hAnsi="Arial" w:cs="Arial"/>
        </w:rPr>
        <w:t>conversion</w:t>
      </w:r>
      <w:r w:rsidRPr="003375DE">
        <w:rPr>
          <w:rFonts w:ascii="Arial" w:hAnsi="Arial" w:cs="Arial"/>
        </w:rPr>
        <w:t xml:space="preserve"> efficiency of </w:t>
      </w:r>
      <w:r>
        <w:rPr>
          <w:rFonts w:ascii="Arial" w:hAnsi="Arial" w:cs="Arial"/>
        </w:rPr>
        <w:t>LP modes</w:t>
      </w:r>
      <w:r w:rsidRPr="003375DE">
        <w:rPr>
          <w:rFonts w:ascii="Arial" w:hAnsi="Arial" w:cs="Arial"/>
        </w:rPr>
        <w:t>.</w:t>
      </w:r>
    </w:p>
    <w:bookmarkEnd w:id="4"/>
    <w:p w:rsidR="00027D44" w:rsidRDefault="00027D44" w:rsidP="00940B57">
      <w:pPr>
        <w:rPr>
          <w:rFonts w:ascii="Arial" w:hAnsi="Arial" w:cs="Arial"/>
        </w:rPr>
      </w:pPr>
    </w:p>
    <w:p w:rsidR="00027D44" w:rsidRDefault="00027D44" w:rsidP="00940B57">
      <w:pPr>
        <w:rPr>
          <w:rFonts w:ascii="Arial" w:hAnsi="Arial" w:cs="Arial"/>
        </w:rPr>
      </w:pPr>
    </w:p>
    <w:p w:rsidR="00027D44" w:rsidRDefault="00027D44" w:rsidP="00027D44">
      <w:pPr>
        <w:rPr>
          <w:rFonts w:ascii="Arial" w:hAnsi="Arial" w:cs="Arial"/>
          <w:sz w:val="28"/>
          <w:szCs w:val="28"/>
        </w:rPr>
      </w:pPr>
      <w:r>
        <w:rPr>
          <w:rFonts w:ascii="Arial" w:hAnsi="Arial" w:cs="Arial"/>
          <w:sz w:val="28"/>
          <w:szCs w:val="28"/>
        </w:rPr>
        <w:t>5</w:t>
      </w:r>
      <w:r w:rsidRPr="00940B57">
        <w:rPr>
          <w:rFonts w:ascii="Arial" w:hAnsi="Arial" w:cs="Arial"/>
          <w:sz w:val="28"/>
          <w:szCs w:val="28"/>
        </w:rPr>
        <w:t xml:space="preserve">. </w:t>
      </w:r>
      <w:r w:rsidRPr="00027D44">
        <w:rPr>
          <w:rFonts w:ascii="Arial" w:hAnsi="Arial" w:cs="Arial"/>
          <w:sz w:val="28"/>
          <w:szCs w:val="28"/>
        </w:rPr>
        <w:t xml:space="preserve">The effect of </w:t>
      </w:r>
      <w:r>
        <w:rPr>
          <w:rFonts w:ascii="Arial" w:hAnsi="Arial" w:cs="Arial"/>
          <w:sz w:val="28"/>
          <w:szCs w:val="28"/>
        </w:rPr>
        <w:t>grating</w:t>
      </w:r>
      <w:r w:rsidRPr="00027D44">
        <w:rPr>
          <w:rFonts w:ascii="Arial" w:hAnsi="Arial" w:cs="Arial"/>
          <w:sz w:val="28"/>
          <w:szCs w:val="28"/>
        </w:rPr>
        <w:t xml:space="preserve"> size on performance</w:t>
      </w:r>
    </w:p>
    <w:p w:rsidR="002F7E0A" w:rsidRPr="002F7E0A" w:rsidRDefault="002F7E0A" w:rsidP="004C6EFF">
      <w:pPr>
        <w:spacing w:line="480" w:lineRule="auto"/>
        <w:rPr>
          <w:rFonts w:ascii="Arial" w:hAnsi="Arial" w:cs="Arial"/>
          <w:bCs/>
        </w:rPr>
      </w:pPr>
      <w:r w:rsidRPr="002F7E0A">
        <w:rPr>
          <w:rFonts w:ascii="Arial" w:hAnsi="Arial" w:cs="Arial"/>
          <w:bCs/>
        </w:rPr>
        <w:t xml:space="preserve">Higher-order OAM can be generated by this method. </w:t>
      </w:r>
      <w:r w:rsidR="004C6EFF">
        <w:rPr>
          <w:rFonts w:ascii="Arial" w:hAnsi="Arial" w:cs="Arial"/>
          <w:bCs/>
        </w:rPr>
        <w:t xml:space="preserve">In the simulation, one can see </w:t>
      </w:r>
      <w:r w:rsidR="004C6EFF">
        <w:rPr>
          <w:rFonts w:ascii="Arial" w:hAnsi="Arial" w:cs="Arial"/>
          <w:bCs/>
        </w:rPr>
        <w:lastRenderedPageBreak/>
        <w:t>that</w:t>
      </w:r>
      <w:r w:rsidRPr="002F7E0A">
        <w:rPr>
          <w:rFonts w:ascii="Arial" w:hAnsi="Arial" w:cs="Arial"/>
          <w:bCs/>
        </w:rPr>
        <w:t xml:space="preserve"> the grating size greatly affects the mode purity and scattering efficiency. As shown in Fig. </w:t>
      </w:r>
      <w:r w:rsidR="004C6EFF">
        <w:rPr>
          <w:rFonts w:ascii="Arial" w:hAnsi="Arial" w:cs="Arial"/>
          <w:bCs/>
        </w:rPr>
        <w:t>S8</w:t>
      </w:r>
      <w:r w:rsidRPr="002F7E0A">
        <w:rPr>
          <w:rFonts w:ascii="Arial" w:hAnsi="Arial" w:cs="Arial"/>
          <w:bCs/>
        </w:rPr>
        <w:t xml:space="preserve">(a), one can see that higher-order OAM generation needs larger </w:t>
      </w:r>
      <w:r w:rsidR="0027514A">
        <w:rPr>
          <w:rFonts w:ascii="Arial" w:hAnsi="Arial" w:cs="Arial"/>
          <w:bCs/>
        </w:rPr>
        <w:t xml:space="preserve">holographic </w:t>
      </w:r>
      <w:r w:rsidRPr="002F7E0A">
        <w:rPr>
          <w:rFonts w:ascii="Arial" w:hAnsi="Arial" w:cs="Arial"/>
          <w:bCs/>
        </w:rPr>
        <w:t>structure size.</w:t>
      </w:r>
      <w:r w:rsidR="0027514A">
        <w:rPr>
          <w:rFonts w:ascii="Arial" w:hAnsi="Arial" w:cs="Arial"/>
          <w:bCs/>
        </w:rPr>
        <w:t xml:space="preserve"> </w:t>
      </w:r>
      <w:bookmarkStart w:id="5" w:name="_Hlk119508412"/>
      <w:r w:rsidR="0027514A">
        <w:rPr>
          <w:rFonts w:ascii="Arial" w:hAnsi="Arial" w:cs="Arial"/>
          <w:bCs/>
        </w:rPr>
        <w:t>However, when the grating size is too la</w:t>
      </w:r>
      <w:r w:rsidR="0027514A">
        <w:rPr>
          <w:rFonts w:ascii="Arial" w:hAnsi="Arial" w:cs="Arial" w:hint="eastAsia"/>
          <w:bCs/>
        </w:rPr>
        <w:t>r</w:t>
      </w:r>
      <w:r w:rsidR="0027514A">
        <w:rPr>
          <w:rFonts w:ascii="Arial" w:hAnsi="Arial" w:cs="Arial"/>
          <w:bCs/>
        </w:rPr>
        <w:t>ge, the mode purities decrease.</w:t>
      </w:r>
      <w:r w:rsidR="0027514A" w:rsidRPr="002F7E0A">
        <w:rPr>
          <w:rFonts w:ascii="Arial" w:hAnsi="Arial" w:cs="Arial"/>
          <w:bCs/>
        </w:rPr>
        <w:t xml:space="preserve"> </w:t>
      </w:r>
      <w:bookmarkEnd w:id="5"/>
      <w:r w:rsidRPr="002F7E0A">
        <w:rPr>
          <w:rFonts w:ascii="Arial" w:hAnsi="Arial" w:cs="Arial"/>
          <w:bCs/>
        </w:rPr>
        <w:t xml:space="preserve">In Fig. </w:t>
      </w:r>
      <w:r w:rsidR="004C6EFF">
        <w:rPr>
          <w:rFonts w:ascii="Arial" w:hAnsi="Arial" w:cs="Arial"/>
          <w:bCs/>
        </w:rPr>
        <w:t>S8</w:t>
      </w:r>
      <w:r w:rsidRPr="002F7E0A">
        <w:rPr>
          <w:rFonts w:ascii="Arial" w:hAnsi="Arial" w:cs="Arial"/>
          <w:bCs/>
        </w:rPr>
        <w:t xml:space="preserve">(b), the scattering efficiency becomes larger with the increase of the grating size. Therefore, there should be a trade-off between the mode purity and scattering efficiency. As shown in Fig. </w:t>
      </w:r>
      <w:r w:rsidR="0027514A">
        <w:rPr>
          <w:rFonts w:ascii="Arial" w:hAnsi="Arial" w:cs="Arial"/>
          <w:bCs/>
        </w:rPr>
        <w:t>S8</w:t>
      </w:r>
      <w:r w:rsidRPr="002F7E0A">
        <w:rPr>
          <w:rFonts w:ascii="Arial" w:hAnsi="Arial" w:cs="Arial"/>
          <w:bCs/>
        </w:rPr>
        <w:t xml:space="preserve">(c), OAM modes with different topological charges are generated in the simulation, which shows the intensity and phase profiles of high-order OAM modes. </w:t>
      </w:r>
    </w:p>
    <w:p w:rsidR="002F7E0A" w:rsidRPr="00940B57" w:rsidRDefault="002F7E0A" w:rsidP="00027D44">
      <w:pPr>
        <w:rPr>
          <w:rFonts w:ascii="Arial" w:hAnsi="Arial" w:cs="Arial"/>
        </w:rPr>
      </w:pPr>
    </w:p>
    <w:p w:rsidR="00E86ECD" w:rsidRPr="00027D44" w:rsidRDefault="00521995" w:rsidP="00E86ECD">
      <w:pPr>
        <w:snapToGrid w:val="0"/>
        <w:spacing w:afterLines="20" w:after="48" w:line="240" w:lineRule="auto"/>
        <w:jc w:val="center"/>
        <w:rPr>
          <w:rFonts w:ascii="Times New Roman" w:eastAsia="宋体" w:hAnsi="Times New Roman" w:cs="Times New Roman"/>
          <w:bCs/>
          <w:color w:val="3333CC"/>
          <w:kern w:val="2"/>
        </w:rPr>
      </w:pPr>
      <w:r>
        <w:rPr>
          <w:noProof/>
        </w:rPr>
        <w:drawing>
          <wp:inline distT="0" distB="0" distL="0" distR="0" wp14:anchorId="734AE873" wp14:editId="1BC48747">
            <wp:extent cx="5274310" cy="24580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458085"/>
                    </a:xfrm>
                    <a:prstGeom prst="rect">
                      <a:avLst/>
                    </a:prstGeom>
                    <a:noFill/>
                    <a:ln>
                      <a:noFill/>
                    </a:ln>
                  </pic:spPr>
                </pic:pic>
              </a:graphicData>
            </a:graphic>
          </wp:inline>
        </w:drawing>
      </w:r>
    </w:p>
    <w:p w:rsidR="004C6EFF" w:rsidRDefault="00E86ECD" w:rsidP="004C6EFF">
      <w:pPr>
        <w:rPr>
          <w:rFonts w:ascii="Arial" w:hAnsi="Arial" w:cs="Arial"/>
        </w:rPr>
      </w:pPr>
      <w:r w:rsidRPr="00027D44">
        <w:rPr>
          <w:rFonts w:ascii="Times New Roman" w:eastAsia="宋体" w:hAnsi="Times New Roman" w:cs="Times New Roman"/>
          <w:b/>
          <w:bCs/>
          <w:color w:val="3333CC"/>
          <w:kern w:val="2"/>
        </w:rPr>
        <w:t xml:space="preserve"> </w:t>
      </w:r>
      <w:r w:rsidR="004C6EFF" w:rsidRPr="0027514A">
        <w:rPr>
          <w:rFonts w:ascii="Arial" w:hAnsi="Arial" w:cs="Arial"/>
          <w:b/>
          <w:bCs/>
        </w:rPr>
        <w:t>Figure S8.</w:t>
      </w:r>
      <w:r w:rsidR="004C6EFF" w:rsidRPr="003375DE">
        <w:rPr>
          <w:rFonts w:ascii="Arial" w:hAnsi="Arial" w:cs="Arial"/>
        </w:rPr>
        <w:t xml:space="preserve"> </w:t>
      </w:r>
      <w:r w:rsidR="004C6EFF" w:rsidRPr="004C6EFF">
        <w:rPr>
          <w:rFonts w:ascii="Arial" w:hAnsi="Arial" w:cs="Arial"/>
        </w:rPr>
        <w:t>(a)(b) The calculated mode purity and scattering efficiency with the change of grating size. (c) The simulated far-field intensity and phase distributions.</w:t>
      </w:r>
    </w:p>
    <w:p w:rsidR="00E86ECD" w:rsidRPr="00027D44" w:rsidRDefault="00E86ECD" w:rsidP="00E86ECD">
      <w:pPr>
        <w:snapToGrid w:val="0"/>
        <w:spacing w:afterLines="20" w:after="48" w:line="240" w:lineRule="auto"/>
        <w:jc w:val="center"/>
        <w:rPr>
          <w:rFonts w:ascii="Times New Roman" w:eastAsia="Times New Roman" w:hAnsi="Times New Roman" w:cs="Times New Roman"/>
          <w:color w:val="2824BA"/>
          <w:kern w:val="2"/>
        </w:rPr>
      </w:pPr>
    </w:p>
    <w:p w:rsidR="00027D44" w:rsidRDefault="00027D44" w:rsidP="00940B57">
      <w:pPr>
        <w:rPr>
          <w:rFonts w:ascii="Arial" w:hAnsi="Arial" w:cs="Arial"/>
        </w:rPr>
      </w:pPr>
    </w:p>
    <w:p w:rsidR="00027D44" w:rsidRDefault="00027D44" w:rsidP="00940B57">
      <w:pPr>
        <w:rPr>
          <w:rFonts w:ascii="Arial" w:hAnsi="Arial" w:cs="Arial"/>
        </w:rPr>
      </w:pPr>
    </w:p>
    <w:p w:rsidR="00166FA8" w:rsidRDefault="00166FA8" w:rsidP="00940B57">
      <w:pPr>
        <w:rPr>
          <w:rFonts w:ascii="Arial" w:hAnsi="Arial" w:cs="Arial"/>
        </w:rPr>
      </w:pPr>
    </w:p>
    <w:p w:rsidR="004B0209" w:rsidRDefault="00166FA8" w:rsidP="00A57C25">
      <w:pPr>
        <w:jc w:val="center"/>
        <w:rPr>
          <w:rFonts w:ascii="Arial" w:hAnsi="Arial" w:cs="Arial"/>
        </w:rPr>
      </w:pPr>
      <w:r>
        <w:rPr>
          <w:noProof/>
        </w:rPr>
        <w:lastRenderedPageBreak/>
        <w:drawing>
          <wp:inline distT="0" distB="0" distL="0" distR="0">
            <wp:extent cx="3950208" cy="52671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539" cy="5275544"/>
                    </a:xfrm>
                    <a:prstGeom prst="rect">
                      <a:avLst/>
                    </a:prstGeom>
                    <a:noFill/>
                    <a:ln>
                      <a:noFill/>
                    </a:ln>
                  </pic:spPr>
                </pic:pic>
              </a:graphicData>
            </a:graphic>
          </wp:inline>
        </w:drawing>
      </w:r>
    </w:p>
    <w:p w:rsidR="0027514A" w:rsidRDefault="0027514A" w:rsidP="00A57C25">
      <w:pPr>
        <w:jc w:val="center"/>
        <w:rPr>
          <w:rFonts w:ascii="Arial" w:hAnsi="Arial" w:cs="Arial"/>
        </w:rPr>
      </w:pPr>
      <w:r w:rsidRPr="0027514A">
        <w:rPr>
          <w:rFonts w:ascii="Arial" w:hAnsi="Arial" w:cs="Arial"/>
          <w:b/>
          <w:bCs/>
        </w:rPr>
        <w:t>F</w:t>
      </w:r>
      <w:r w:rsidRPr="0027514A">
        <w:rPr>
          <w:rFonts w:ascii="Arial" w:hAnsi="Arial" w:cs="Arial" w:hint="eastAsia"/>
          <w:b/>
          <w:bCs/>
        </w:rPr>
        <w:t>ig</w:t>
      </w:r>
      <w:r w:rsidRPr="0027514A">
        <w:rPr>
          <w:rFonts w:ascii="Arial" w:hAnsi="Arial" w:cs="Arial"/>
          <w:b/>
          <w:bCs/>
        </w:rPr>
        <w:t>ure S9.</w:t>
      </w:r>
      <w:r w:rsidRPr="0027514A">
        <w:rPr>
          <w:rFonts w:ascii="Arial" w:hAnsi="Arial" w:cs="Arial"/>
        </w:rPr>
        <w:t xml:space="preserve"> (a)(b) The calculated mode purity with the change of the phase gradients </w:t>
      </w:r>
      <w:proofErr w:type="spellStart"/>
      <w:r w:rsidRPr="0027514A">
        <w:rPr>
          <w:rFonts w:ascii="Arial" w:hAnsi="Arial" w:cs="Arial"/>
        </w:rPr>
        <w:t>k</w:t>
      </w:r>
      <w:r w:rsidRPr="0027514A">
        <w:rPr>
          <w:rFonts w:ascii="Arial" w:hAnsi="Arial" w:cs="Arial"/>
          <w:vertAlign w:val="subscript"/>
        </w:rPr>
        <w:t>x</w:t>
      </w:r>
      <w:proofErr w:type="spellEnd"/>
      <w:r w:rsidRPr="0027514A">
        <w:rPr>
          <w:rFonts w:ascii="Arial" w:hAnsi="Arial" w:cs="Arial"/>
        </w:rPr>
        <w:t xml:space="preserve"> and </w:t>
      </w:r>
      <w:proofErr w:type="spellStart"/>
      <w:r w:rsidRPr="0027514A">
        <w:rPr>
          <w:rFonts w:ascii="Arial" w:hAnsi="Arial" w:cs="Arial"/>
        </w:rPr>
        <w:t>k</w:t>
      </w:r>
      <w:r w:rsidRPr="0027514A">
        <w:rPr>
          <w:rFonts w:ascii="Arial" w:hAnsi="Arial" w:cs="Arial"/>
          <w:vertAlign w:val="subscript"/>
        </w:rPr>
        <w:t>y</w:t>
      </w:r>
      <w:r w:rsidRPr="0027514A">
        <w:rPr>
          <w:rFonts w:ascii="Arial" w:hAnsi="Arial" w:cs="Arial"/>
        </w:rPr>
        <w:t>.</w:t>
      </w:r>
      <w:proofErr w:type="spellEnd"/>
    </w:p>
    <w:p w:rsidR="002034B2" w:rsidRDefault="002034B2" w:rsidP="004B0209">
      <w:pPr>
        <w:rPr>
          <w:rFonts w:ascii="Arial" w:hAnsi="Arial" w:cs="Arial"/>
          <w:sz w:val="28"/>
          <w:szCs w:val="28"/>
        </w:rPr>
      </w:pPr>
    </w:p>
    <w:p w:rsidR="002034B2" w:rsidRDefault="002034B2" w:rsidP="004B0209">
      <w:pPr>
        <w:rPr>
          <w:rFonts w:ascii="Arial" w:hAnsi="Arial" w:cs="Arial"/>
          <w:sz w:val="28"/>
          <w:szCs w:val="28"/>
        </w:rPr>
      </w:pPr>
    </w:p>
    <w:p w:rsidR="004B0209" w:rsidRDefault="004B0209" w:rsidP="004B0209">
      <w:pPr>
        <w:rPr>
          <w:rFonts w:ascii="Arial" w:hAnsi="Arial" w:cs="Arial"/>
          <w:sz w:val="28"/>
          <w:szCs w:val="28"/>
        </w:rPr>
      </w:pPr>
      <w:r>
        <w:rPr>
          <w:rFonts w:ascii="Arial" w:hAnsi="Arial" w:cs="Arial"/>
          <w:sz w:val="28"/>
          <w:szCs w:val="28"/>
        </w:rPr>
        <w:t>7</w:t>
      </w:r>
      <w:r w:rsidRPr="00940B57">
        <w:rPr>
          <w:rFonts w:ascii="Arial" w:hAnsi="Arial" w:cs="Arial"/>
          <w:sz w:val="28"/>
          <w:szCs w:val="28"/>
        </w:rPr>
        <w:t xml:space="preserve">. </w:t>
      </w:r>
      <w:r>
        <w:rPr>
          <w:rFonts w:ascii="Arial" w:hAnsi="Arial" w:cs="Arial"/>
          <w:sz w:val="28"/>
          <w:szCs w:val="28"/>
        </w:rPr>
        <w:t>Experimental setup</w:t>
      </w:r>
    </w:p>
    <w:p w:rsidR="00E3138B" w:rsidRDefault="00E3138B" w:rsidP="00A57C25">
      <w:pPr>
        <w:spacing w:line="480" w:lineRule="auto"/>
        <w:rPr>
          <w:rFonts w:ascii="Arial" w:hAnsi="Arial" w:cs="Arial"/>
        </w:rPr>
      </w:pPr>
      <w:r w:rsidRPr="00E3138B">
        <w:rPr>
          <w:rFonts w:ascii="Arial" w:hAnsi="Arial" w:cs="Arial"/>
        </w:rPr>
        <w:t xml:space="preserve">Figure </w:t>
      </w:r>
      <w:r w:rsidR="0027514A">
        <w:rPr>
          <w:rFonts w:ascii="Arial" w:hAnsi="Arial" w:cs="Arial"/>
        </w:rPr>
        <w:t>S</w:t>
      </w:r>
      <w:r w:rsidRPr="00E3138B">
        <w:rPr>
          <w:rFonts w:ascii="Arial" w:hAnsi="Arial" w:cs="Arial"/>
        </w:rPr>
        <w:t>10 shows the experimental setup for characterizing the fabricated device on a silicon platform. In the experiment, a tunable continuous-wave laser source (TSL-770) is used to measure the fabricated device over a wide wavelength range. First, the laser output is divided into two branches via a 3-dB coupler. One branch with its polarization controlled by a polarization controller (PC) is used to excite the in-plane TE</w:t>
      </w:r>
      <w:r w:rsidRPr="00E3138B">
        <w:rPr>
          <w:rFonts w:ascii="Arial" w:hAnsi="Arial" w:cs="Arial"/>
          <w:vertAlign w:val="subscript"/>
        </w:rPr>
        <w:t>0</w:t>
      </w:r>
      <w:r w:rsidRPr="00E3138B">
        <w:rPr>
          <w:rFonts w:ascii="Arial" w:hAnsi="Arial" w:cs="Arial"/>
        </w:rPr>
        <w:t xml:space="preserve"> mode guided in the fabricated chip-scale silicon OAM generator via an edge </w:t>
      </w:r>
      <w:r w:rsidRPr="00E3138B">
        <w:rPr>
          <w:rFonts w:ascii="Arial" w:hAnsi="Arial" w:cs="Arial"/>
        </w:rPr>
        <w:lastRenderedPageBreak/>
        <w:t>coupler. Then, the in-plane guided TE</w:t>
      </w:r>
      <w:r w:rsidRPr="00E3138B">
        <w:rPr>
          <w:rFonts w:ascii="Arial" w:hAnsi="Arial" w:cs="Arial"/>
          <w:vertAlign w:val="subscript"/>
        </w:rPr>
        <w:t>0</w:t>
      </w:r>
      <w:r w:rsidRPr="00E3138B">
        <w:rPr>
          <w:rFonts w:ascii="Arial" w:hAnsi="Arial" w:cs="Arial"/>
        </w:rPr>
        <w:t xml:space="preserve"> mode in the silicon waveguide is coupled out into free space and converted to OAM mode by the subwavelength surface structure. The output light is collimated by a ×10 objective lens, and another lens is adopted to adjust the beam size. The other branch serves as a reference Gaussian beam, which is adjusted by using a variable optical attenuator (VOA), a PC, and a collimator. The generated OAM mode and the reference Gaussian beam with the same polarization, proper relative power, and beam size are combined through a beam splitter (BS) to produce the interferograms. The wavelength tuning range of the laser is from 1480 to 1</w:t>
      </w:r>
      <w:r w:rsidR="00A41FBF">
        <w:rPr>
          <w:rFonts w:ascii="Arial" w:hAnsi="Arial" w:cs="Arial"/>
        </w:rPr>
        <w:t>600</w:t>
      </w:r>
      <w:r w:rsidRPr="00E3138B">
        <w:rPr>
          <w:rFonts w:ascii="Arial" w:hAnsi="Arial" w:cs="Arial"/>
        </w:rPr>
        <w:t xml:space="preserve"> nm. The attenuation tuning range of the VOA is from 2 to 60 </w:t>
      </w:r>
      <w:proofErr w:type="spellStart"/>
      <w:r w:rsidRPr="00E3138B">
        <w:rPr>
          <w:rFonts w:ascii="Arial" w:hAnsi="Arial" w:cs="Arial"/>
        </w:rPr>
        <w:t>dB.</w:t>
      </w:r>
      <w:proofErr w:type="spellEnd"/>
      <w:r w:rsidRPr="00E3138B">
        <w:rPr>
          <w:rFonts w:ascii="Arial" w:hAnsi="Arial" w:cs="Arial"/>
        </w:rPr>
        <w:t xml:space="preserve"> An infrared camera is used to monitor the intensity profiles of generated OAM modes and their corresponding interferograms.</w:t>
      </w:r>
    </w:p>
    <w:p w:rsidR="0046399C" w:rsidRPr="0046399C" w:rsidRDefault="0046399C" w:rsidP="004B0209">
      <w:pPr>
        <w:rPr>
          <w:rFonts w:ascii="Arial" w:hAnsi="Arial" w:cs="Arial"/>
        </w:rPr>
      </w:pPr>
    </w:p>
    <w:p w:rsidR="00E3138B" w:rsidRPr="00E3138B" w:rsidRDefault="00E3138B" w:rsidP="00E3138B">
      <w:pPr>
        <w:rPr>
          <w:rFonts w:ascii="Arial" w:hAnsi="Arial" w:cs="Arial"/>
        </w:rPr>
      </w:pPr>
      <w:r w:rsidRPr="00E3138B">
        <w:rPr>
          <w:rFonts w:ascii="Arial" w:hAnsi="Arial" w:cs="Arial"/>
          <w:noProof/>
        </w:rPr>
        <w:drawing>
          <wp:inline distT="0" distB="0" distL="0" distR="0">
            <wp:extent cx="5274310" cy="18967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896745"/>
                    </a:xfrm>
                    <a:prstGeom prst="rect">
                      <a:avLst/>
                    </a:prstGeom>
                    <a:noFill/>
                    <a:ln>
                      <a:noFill/>
                    </a:ln>
                  </pic:spPr>
                </pic:pic>
              </a:graphicData>
            </a:graphic>
          </wp:inline>
        </w:drawing>
      </w:r>
    </w:p>
    <w:p w:rsidR="00E3138B" w:rsidRPr="00E3138B" w:rsidRDefault="00E3138B" w:rsidP="00E3138B">
      <w:pPr>
        <w:rPr>
          <w:rFonts w:ascii="Arial" w:hAnsi="Arial" w:cs="Arial"/>
        </w:rPr>
      </w:pPr>
      <w:r w:rsidRPr="00E3138B">
        <w:rPr>
          <w:rFonts w:ascii="Arial" w:hAnsi="Arial" w:cs="Arial"/>
          <w:b/>
          <w:bCs/>
        </w:rPr>
        <w:t>Fig</w:t>
      </w:r>
      <w:r w:rsidR="0027514A" w:rsidRPr="0027514A">
        <w:rPr>
          <w:rFonts w:ascii="Arial" w:hAnsi="Arial" w:cs="Arial"/>
          <w:b/>
          <w:bCs/>
        </w:rPr>
        <w:t>ure</w:t>
      </w:r>
      <w:r w:rsidRPr="00E3138B">
        <w:rPr>
          <w:rFonts w:ascii="Arial" w:hAnsi="Arial" w:cs="Arial"/>
          <w:b/>
          <w:bCs/>
        </w:rPr>
        <w:t xml:space="preserve"> </w:t>
      </w:r>
      <w:r w:rsidR="0027514A" w:rsidRPr="0027514A">
        <w:rPr>
          <w:rFonts w:ascii="Arial" w:hAnsi="Arial" w:cs="Arial"/>
          <w:b/>
          <w:bCs/>
        </w:rPr>
        <w:t>S</w:t>
      </w:r>
      <w:r w:rsidRPr="00E3138B">
        <w:rPr>
          <w:rFonts w:ascii="Arial" w:hAnsi="Arial" w:cs="Arial"/>
          <w:b/>
          <w:bCs/>
        </w:rPr>
        <w:t>10.</w:t>
      </w:r>
      <w:r w:rsidRPr="00E3138B">
        <w:rPr>
          <w:rFonts w:ascii="Arial" w:hAnsi="Arial" w:cs="Arial"/>
        </w:rPr>
        <w:t xml:space="preserve"> Experimental setup. PC, polarization controller; VOA, variable optical attenuator; Col., collimator; Pol., polarizer; BS, beam splitter. </w:t>
      </w:r>
    </w:p>
    <w:p w:rsidR="004B0209" w:rsidRDefault="004B0209" w:rsidP="004B0209">
      <w:pPr>
        <w:rPr>
          <w:rFonts w:ascii="Arial" w:hAnsi="Arial" w:cs="Arial"/>
        </w:rPr>
      </w:pPr>
    </w:p>
    <w:sectPr w:rsidR="004B0209" w:rsidSect="00513D5A">
      <w:pgSz w:w="11906" w:h="16838"/>
      <w:pgMar w:top="1440" w:right="1800" w:bottom="1440" w:left="180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13DE3"/>
    <w:multiLevelType w:val="hybridMultilevel"/>
    <w:tmpl w:val="F3BCF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077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57"/>
    <w:rsid w:val="00006819"/>
    <w:rsid w:val="00027D44"/>
    <w:rsid w:val="00086D21"/>
    <w:rsid w:val="00166FA8"/>
    <w:rsid w:val="002034B2"/>
    <w:rsid w:val="00245146"/>
    <w:rsid w:val="0027514A"/>
    <w:rsid w:val="002D45BC"/>
    <w:rsid w:val="002F7E0A"/>
    <w:rsid w:val="003375DE"/>
    <w:rsid w:val="0046399C"/>
    <w:rsid w:val="004B0209"/>
    <w:rsid w:val="004C6EFF"/>
    <w:rsid w:val="00513D5A"/>
    <w:rsid w:val="00521995"/>
    <w:rsid w:val="00790D76"/>
    <w:rsid w:val="00803F63"/>
    <w:rsid w:val="0082139D"/>
    <w:rsid w:val="008B78C5"/>
    <w:rsid w:val="0092739F"/>
    <w:rsid w:val="00940B57"/>
    <w:rsid w:val="00971FB9"/>
    <w:rsid w:val="00A365F2"/>
    <w:rsid w:val="00A41FBF"/>
    <w:rsid w:val="00A57C25"/>
    <w:rsid w:val="00A83BC7"/>
    <w:rsid w:val="00AB310A"/>
    <w:rsid w:val="00B816B6"/>
    <w:rsid w:val="00CA6D0A"/>
    <w:rsid w:val="00CE38BC"/>
    <w:rsid w:val="00DB407F"/>
    <w:rsid w:val="00E3138B"/>
    <w:rsid w:val="00E86ECD"/>
    <w:rsid w:val="00EC5B4F"/>
    <w:rsid w:val="00F1090A"/>
    <w:rsid w:val="00FF42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802BD"/>
  <w15:chartTrackingRefBased/>
  <w15:docId w15:val="{D4049A68-1BC5-4E4E-AB0F-C61A0B47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E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B57"/>
    <w:pPr>
      <w:ind w:left="720"/>
      <w:contextualSpacing/>
    </w:pPr>
  </w:style>
  <w:style w:type="table" w:styleId="a4">
    <w:name w:val="Table Grid"/>
    <w:basedOn w:val="a1"/>
    <w:uiPriority w:val="39"/>
    <w:rsid w:val="00A83BC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2139D"/>
    <w:rPr>
      <w:color w:val="0563C1" w:themeColor="hyperlink"/>
      <w:u w:val="single"/>
    </w:rPr>
  </w:style>
  <w:style w:type="character" w:styleId="a6">
    <w:name w:val="Unresolved Mention"/>
    <w:basedOn w:val="a0"/>
    <w:uiPriority w:val="99"/>
    <w:semiHidden/>
    <w:unhideWhenUsed/>
    <w:rsid w:val="00821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em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weifeng.zhang@bit.edu.c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Visio_Drawing.vsdx"/><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BEBA-4E07-4C98-9CAB-D87ADB88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8</Pages>
  <Words>1059</Words>
  <Characters>6039</Characters>
  <Application>Microsoft Office Word</Application>
  <DocSecurity>0</DocSecurity>
  <Lines>50</Lines>
  <Paragraphs>14</Paragraphs>
  <ScaleCrop>false</ScaleCrop>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爽歪歪</dc:creator>
  <cp:keywords/>
  <dc:description/>
  <cp:lastModifiedBy>爽歪歪</cp:lastModifiedBy>
  <cp:revision>15</cp:revision>
  <dcterms:created xsi:type="dcterms:W3CDTF">2022-11-16T02:50:00Z</dcterms:created>
  <dcterms:modified xsi:type="dcterms:W3CDTF">2022-11-17T09:11:00Z</dcterms:modified>
</cp:coreProperties>
</file>