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A1E99" w14:textId="13BE2468" w:rsidR="00516B80" w:rsidRPr="00516B80" w:rsidRDefault="00516B80" w:rsidP="00516B80">
      <w:pPr>
        <w:pStyle w:val="articlesubtitle"/>
        <w:rPr>
          <w:b/>
          <w:bCs/>
        </w:rPr>
      </w:pPr>
      <w:r w:rsidRPr="00516B80">
        <w:rPr>
          <w:b/>
          <w:bCs/>
        </w:rPr>
        <w:t>Research Article - Supplementary Information</w:t>
      </w:r>
    </w:p>
    <w:p w14:paraId="63B2A2EA" w14:textId="77777777" w:rsidR="00516B80" w:rsidRPr="00170E06" w:rsidRDefault="00516B80" w:rsidP="00516B80">
      <w:pPr>
        <w:pStyle w:val="articleauthor"/>
        <w:rPr>
          <w:lang w:val="en-GB"/>
        </w:rPr>
      </w:pPr>
      <w:bookmarkStart w:id="0" w:name="_Hlk94037440"/>
      <w:proofErr w:type="spellStart"/>
      <w:r w:rsidRPr="001D6824">
        <w:t>Chengda</w:t>
      </w:r>
      <w:proofErr w:type="spellEnd"/>
      <w:r w:rsidRPr="001D6824">
        <w:t xml:space="preserve"> Pan, </w:t>
      </w:r>
      <w:proofErr w:type="spellStart"/>
      <w:r w:rsidRPr="001D6824">
        <w:t>Qiang</w:t>
      </w:r>
      <w:proofErr w:type="spellEnd"/>
      <w:r w:rsidRPr="001D6824">
        <w:t xml:space="preserve"> Ma, </w:t>
      </w:r>
      <w:proofErr w:type="spellStart"/>
      <w:r w:rsidRPr="001D6824">
        <w:t>Shikang</w:t>
      </w:r>
      <w:proofErr w:type="spellEnd"/>
      <w:r w:rsidRPr="001D6824">
        <w:t xml:space="preserve"> Liu, </w:t>
      </w:r>
      <w:proofErr w:type="spellStart"/>
      <w:r w:rsidRPr="001D6824">
        <w:t>Yingxian</w:t>
      </w:r>
      <w:proofErr w:type="spellEnd"/>
      <w:r w:rsidRPr="001D6824">
        <w:t xml:space="preserve"> </w:t>
      </w:r>
      <w:proofErr w:type="spellStart"/>
      <w:r w:rsidRPr="001D6824">
        <w:t>Xue</w:t>
      </w:r>
      <w:proofErr w:type="spellEnd"/>
      <w:r w:rsidRPr="001D6824">
        <w:t xml:space="preserve">, </w:t>
      </w:r>
      <w:proofErr w:type="spellStart"/>
      <w:r w:rsidRPr="001D6824">
        <w:t>Zhiyun</w:t>
      </w:r>
      <w:proofErr w:type="spellEnd"/>
      <w:r w:rsidRPr="001D6824">
        <w:t xml:space="preserve"> Fang, </w:t>
      </w:r>
      <w:proofErr w:type="spellStart"/>
      <w:r w:rsidRPr="001D6824">
        <w:t>Shiyu</w:t>
      </w:r>
      <w:proofErr w:type="spellEnd"/>
      <w:r w:rsidRPr="001D6824">
        <w:t xml:space="preserve"> Zhang, </w:t>
      </w:r>
      <w:proofErr w:type="spellStart"/>
      <w:r w:rsidRPr="001D6824">
        <w:t>Mengyao</w:t>
      </w:r>
      <w:proofErr w:type="spellEnd"/>
      <w:r w:rsidRPr="001D6824">
        <w:t xml:space="preserve"> Qin</w:t>
      </w:r>
      <w:bookmarkEnd w:id="0"/>
      <w:r w:rsidRPr="001D6824">
        <w:t xml:space="preserve">, </w:t>
      </w:r>
      <w:bookmarkStart w:id="1" w:name="_Hlk94037497"/>
      <w:r w:rsidRPr="001D6824">
        <w:t>E Wu</w:t>
      </w:r>
      <w:bookmarkEnd w:id="1"/>
      <w:r w:rsidRPr="001D6824">
        <w:t xml:space="preserve"> and </w:t>
      </w:r>
      <w:bookmarkStart w:id="2" w:name="_Hlk94037199"/>
      <w:r w:rsidRPr="001D6824">
        <w:t>Botao Wu</w:t>
      </w:r>
      <w:bookmarkEnd w:id="2"/>
      <w:r>
        <w:t>*</w:t>
      </w:r>
    </w:p>
    <w:p w14:paraId="66F72BEB" w14:textId="4570FF97" w:rsidR="009246AD" w:rsidRDefault="00322B4B" w:rsidP="00516B80">
      <w:pPr>
        <w:pStyle w:val="articletitle"/>
      </w:pPr>
      <w:r w:rsidRPr="00322B4B">
        <w:t>Angularly Anisotropic Tunability of Upconversion Luminescence by Tuning Plasmonic Local-field Responses in Gold Nanorods Antennae with Different Configurations</w:t>
      </w:r>
    </w:p>
    <w:p w14:paraId="73FC2FD8" w14:textId="4C8E136D" w:rsidR="00322B4B" w:rsidRDefault="00516B80" w:rsidP="00516B80">
      <w:pPr>
        <w:pStyle w:val="head1"/>
        <w:ind w:left="320" w:hanging="320"/>
        <w:jc w:val="center"/>
      </w:pPr>
      <w:r>
        <w:t>Supplementary information</w:t>
      </w:r>
    </w:p>
    <w:p w14:paraId="473F2CD4" w14:textId="7F2DD20D" w:rsidR="006A0ED6" w:rsidRDefault="00EC5177" w:rsidP="00516B80">
      <w:pPr>
        <w:pStyle w:val="tabletext"/>
        <w:spacing w:line="240" w:lineRule="atLeast"/>
        <w:jc w:val="center"/>
      </w:pPr>
      <w:r>
        <w:rPr>
          <w:noProof/>
          <w:lang w:eastAsia="zh-CN"/>
        </w:rPr>
        <w:drawing>
          <wp:inline distT="0" distB="0" distL="0" distR="0" wp14:anchorId="771C1E53" wp14:editId="02D9F2F1">
            <wp:extent cx="5943600" cy="4775835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7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4568E" w14:textId="105E0167" w:rsidR="006A0ED6" w:rsidRPr="006A0ED6" w:rsidRDefault="006A0ED6" w:rsidP="004F537D">
      <w:pPr>
        <w:pStyle w:val="tabletext"/>
      </w:pPr>
      <w:r w:rsidRPr="00516B80">
        <w:rPr>
          <w:rFonts w:hint="eastAsia"/>
          <w:b/>
          <w:bCs/>
        </w:rPr>
        <w:t>F</w:t>
      </w:r>
      <w:r w:rsidRPr="00516B80">
        <w:rPr>
          <w:b/>
          <w:bCs/>
        </w:rPr>
        <w:t>igure S1</w:t>
      </w:r>
      <w:r>
        <w:t xml:space="preserve">. </w:t>
      </w:r>
      <w:r w:rsidR="00262A00">
        <w:t>Size</w:t>
      </w:r>
      <w:r>
        <w:t xml:space="preserve"> distribution</w:t>
      </w:r>
      <w:r w:rsidR="00262A00">
        <w:t>s</w:t>
      </w:r>
      <w:r>
        <w:t xml:space="preserve"> of (</w:t>
      </w:r>
      <w:r>
        <w:rPr>
          <w:rFonts w:hint="eastAsia"/>
        </w:rPr>
        <w:t>a</w:t>
      </w:r>
      <w:r>
        <w:t>)</w:t>
      </w:r>
      <w:r w:rsidRPr="00240C1B">
        <w:t xml:space="preserve"> </w:t>
      </w:r>
      <w:r>
        <w:t>silica-encapsulated UCNP</w:t>
      </w:r>
      <w:r w:rsidR="00EC5177">
        <w:t>s</w:t>
      </w:r>
      <w:r>
        <w:t>, (b) the thickness of silica shell, (c)</w:t>
      </w:r>
      <w:r w:rsidRPr="006A0ED6">
        <w:t xml:space="preserve"> </w:t>
      </w:r>
      <w:r>
        <w:t>the length and (d) diameters of gold nanorods.</w:t>
      </w:r>
      <w:r w:rsidR="004F537D" w:rsidRPr="004F537D">
        <w:t xml:space="preserve"> </w:t>
      </w:r>
      <w:r w:rsidR="004F537D">
        <w:t xml:space="preserve">Mean sizes are </w:t>
      </w:r>
      <w:bookmarkStart w:id="3" w:name="_Hlk96434304"/>
      <w:r w:rsidR="004F537D">
        <w:t>4</w:t>
      </w:r>
      <w:r w:rsidR="00EC5177">
        <w:t>5</w:t>
      </w:r>
      <w:r w:rsidR="004F537D">
        <w:t xml:space="preserve">.2 </w:t>
      </w:r>
      <w:r w:rsidR="004F537D">
        <w:rPr>
          <w:rFonts w:ascii="等线" w:hAnsi="等线" w:hint="eastAsia"/>
        </w:rPr>
        <w:t>±</w:t>
      </w:r>
      <w:r w:rsidR="004F537D">
        <w:t xml:space="preserve"> 0.3 nm</w:t>
      </w:r>
      <w:bookmarkEnd w:id="3"/>
      <w:r w:rsidR="004F537D">
        <w:t xml:space="preserve">, </w:t>
      </w:r>
      <w:r w:rsidR="00EC5177">
        <w:t xml:space="preserve">7.0 </w:t>
      </w:r>
      <w:r w:rsidR="004F537D">
        <w:rPr>
          <w:rFonts w:ascii="等线" w:hAnsi="等线" w:hint="eastAsia"/>
        </w:rPr>
        <w:t>±</w:t>
      </w:r>
      <w:r w:rsidR="004F537D">
        <w:t xml:space="preserve"> 0.05 nm, </w:t>
      </w:r>
      <w:bookmarkStart w:id="4" w:name="_Hlk96434388"/>
      <w:r w:rsidR="004F537D">
        <w:t>9</w:t>
      </w:r>
      <w:r w:rsidR="00EC5177">
        <w:t>6.1</w:t>
      </w:r>
      <w:r w:rsidR="004F537D">
        <w:t xml:space="preserve"> </w:t>
      </w:r>
      <w:r w:rsidR="004F537D">
        <w:rPr>
          <w:rFonts w:ascii="等线" w:hAnsi="等线" w:hint="eastAsia"/>
        </w:rPr>
        <w:t>±</w:t>
      </w:r>
      <w:r w:rsidR="004F537D">
        <w:t xml:space="preserve"> 0.4 </w:t>
      </w:r>
      <w:bookmarkEnd w:id="4"/>
      <w:r w:rsidR="004F537D">
        <w:t xml:space="preserve">nm and </w:t>
      </w:r>
      <w:bookmarkStart w:id="5" w:name="_Hlk96434404"/>
      <w:r w:rsidR="004F537D">
        <w:t xml:space="preserve">39.8 </w:t>
      </w:r>
      <w:r w:rsidR="004F537D">
        <w:rPr>
          <w:rFonts w:ascii="等线" w:hAnsi="等线" w:hint="eastAsia"/>
        </w:rPr>
        <w:t>±</w:t>
      </w:r>
      <w:r w:rsidR="004F537D">
        <w:t xml:space="preserve"> 0.3 </w:t>
      </w:r>
      <w:bookmarkEnd w:id="5"/>
      <w:r w:rsidR="004F537D">
        <w:t>nm, respectively</w:t>
      </w:r>
    </w:p>
    <w:p w14:paraId="3EEAA8C6" w14:textId="7212EDC0" w:rsidR="00C00388" w:rsidRDefault="008B4121" w:rsidP="00516B80">
      <w:pPr>
        <w:pStyle w:val="tabletext"/>
        <w:spacing w:line="240" w:lineRule="atLeast"/>
        <w:jc w:val="center"/>
      </w:pPr>
      <w:r>
        <w:rPr>
          <w:noProof/>
          <w:lang w:eastAsia="zh-CN"/>
        </w:rPr>
        <w:lastRenderedPageBreak/>
        <w:drawing>
          <wp:inline distT="0" distB="0" distL="0" distR="0" wp14:anchorId="3A5E33BE" wp14:editId="50413ECC">
            <wp:extent cx="3961130" cy="1499235"/>
            <wp:effectExtent l="0" t="0" r="127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3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99902" w14:textId="70EA666E" w:rsidR="00C00388" w:rsidRDefault="00C00388" w:rsidP="00516B80">
      <w:pPr>
        <w:pStyle w:val="tabletext"/>
        <w:jc w:val="both"/>
      </w:pPr>
      <w:r w:rsidRPr="00516B80">
        <w:rPr>
          <w:rFonts w:hint="eastAsia"/>
          <w:b/>
          <w:bCs/>
        </w:rPr>
        <w:t>F</w:t>
      </w:r>
      <w:r w:rsidRPr="00516B80">
        <w:rPr>
          <w:b/>
          <w:bCs/>
        </w:rPr>
        <w:t>igure S</w:t>
      </w:r>
      <w:r w:rsidR="00262A00">
        <w:rPr>
          <w:b/>
          <w:bCs/>
        </w:rPr>
        <w:t>2</w:t>
      </w:r>
      <w:r>
        <w:t>. (</w:t>
      </w:r>
      <w:r>
        <w:rPr>
          <w:rFonts w:hint="eastAsia"/>
        </w:rPr>
        <w:t>a</w:t>
      </w:r>
      <w:r>
        <w:t>)</w:t>
      </w:r>
      <w:r w:rsidRPr="00240C1B">
        <w:t xml:space="preserve"> </w:t>
      </w:r>
      <w:r>
        <w:t>High-resolution TEM image of the UCNPs with characteristic lattice plane information. (b) Energy level diagram with the possible upconversion transitions of Yb</w:t>
      </w:r>
      <w:r w:rsidRPr="00516B80">
        <w:rPr>
          <w:vertAlign w:val="superscript"/>
        </w:rPr>
        <w:t>3+</w:t>
      </w:r>
      <w:r>
        <w:t>/Er</w:t>
      </w:r>
      <w:r w:rsidRPr="00516B80">
        <w:rPr>
          <w:vertAlign w:val="superscript"/>
        </w:rPr>
        <w:t>3+</w:t>
      </w:r>
      <w:r>
        <w:t>/Mn</w:t>
      </w:r>
      <w:r w:rsidRPr="00516B80">
        <w:rPr>
          <w:vertAlign w:val="superscript"/>
        </w:rPr>
        <w:t>2+</w:t>
      </w:r>
      <w:r>
        <w:t xml:space="preserve"> co-doped NaYF</w:t>
      </w:r>
      <w:r w:rsidRPr="00516B80">
        <w:rPr>
          <w:vertAlign w:val="subscript"/>
        </w:rPr>
        <w:t>4</w:t>
      </w:r>
      <w:r>
        <w:t xml:space="preserve"> nanocrystals.</w:t>
      </w:r>
    </w:p>
    <w:p w14:paraId="474FBCD7" w14:textId="77777777" w:rsidR="00C00388" w:rsidRDefault="00C00388" w:rsidP="00516B80">
      <w:pPr>
        <w:pStyle w:val="tabletext"/>
        <w:jc w:val="both"/>
      </w:pPr>
    </w:p>
    <w:p w14:paraId="590C5926" w14:textId="77777777" w:rsidR="00C00388" w:rsidRDefault="00C00388" w:rsidP="00516B80">
      <w:pPr>
        <w:pStyle w:val="tabletext"/>
        <w:spacing w:line="240" w:lineRule="atLeast"/>
        <w:jc w:val="center"/>
      </w:pPr>
      <w:r>
        <w:rPr>
          <w:noProof/>
          <w:lang w:eastAsia="zh-CN"/>
        </w:rPr>
        <w:drawing>
          <wp:inline distT="0" distB="0" distL="0" distR="0" wp14:anchorId="1419FB07" wp14:editId="43BFEF52">
            <wp:extent cx="4680000" cy="2642184"/>
            <wp:effectExtent l="0" t="0" r="635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t="-1" b="6559"/>
                    <a:stretch/>
                  </pic:blipFill>
                  <pic:spPr bwMode="auto">
                    <a:xfrm>
                      <a:off x="0" y="0"/>
                      <a:ext cx="4680000" cy="264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4E6DD" w14:textId="2491DEB2" w:rsidR="00C00388" w:rsidRDefault="00C00388" w:rsidP="00516B80">
      <w:pPr>
        <w:pStyle w:val="tabletext"/>
        <w:jc w:val="both"/>
      </w:pPr>
      <w:r w:rsidRPr="00516B80">
        <w:rPr>
          <w:rFonts w:hint="eastAsia"/>
          <w:b/>
          <w:bCs/>
        </w:rPr>
        <w:t>F</w:t>
      </w:r>
      <w:r w:rsidRPr="00516B80">
        <w:rPr>
          <w:b/>
          <w:bCs/>
        </w:rPr>
        <w:t>igure S</w:t>
      </w:r>
      <w:r w:rsidR="00262A00">
        <w:rPr>
          <w:b/>
          <w:bCs/>
        </w:rPr>
        <w:t>3</w:t>
      </w:r>
      <w:r>
        <w:t>. Schematics of experimental setup. A</w:t>
      </w:r>
      <w:r>
        <w:rPr>
          <w:rFonts w:hint="eastAsia"/>
        </w:rPr>
        <w:t>n</w:t>
      </w:r>
      <w:r>
        <w:t xml:space="preserve"> atomic force microscope assisted homemade scanning confocal microscope was used. AFM: atomic force microscope, GP: Glan prism, HWP: half-wave plate, M3: flip mirror, M: silver mirror, DM: dichroic mirror, L: lens, PH: pinhole, F: filter, PBS: polarized beam splitter, APD: single-photon detector based on Si-avalanche photodiode.</w:t>
      </w:r>
    </w:p>
    <w:p w14:paraId="21D980E2" w14:textId="77777777" w:rsidR="00C00388" w:rsidRDefault="00C00388" w:rsidP="00516B80">
      <w:pPr>
        <w:pStyle w:val="tabletext"/>
        <w:jc w:val="both"/>
      </w:pPr>
    </w:p>
    <w:p w14:paraId="3032145A" w14:textId="76EE66DD" w:rsidR="00C00388" w:rsidRDefault="00011CDD" w:rsidP="00516B80">
      <w:pPr>
        <w:pStyle w:val="tabletext"/>
        <w:spacing w:line="240" w:lineRule="atLeast"/>
        <w:jc w:val="center"/>
      </w:pPr>
      <w:r>
        <w:rPr>
          <w:noProof/>
          <w:lang w:eastAsia="zh-CN"/>
        </w:rPr>
        <w:drawing>
          <wp:inline distT="0" distB="0" distL="0" distR="0" wp14:anchorId="666CB637" wp14:editId="685B66A5">
            <wp:extent cx="5400000" cy="22540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25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387A8" w14:textId="5A3B62AE" w:rsidR="00C00388" w:rsidRPr="00F63DFA" w:rsidRDefault="00C00388" w:rsidP="00516B80">
      <w:pPr>
        <w:pStyle w:val="tabletext"/>
        <w:jc w:val="both"/>
      </w:pPr>
      <w:r w:rsidRPr="00516B80">
        <w:rPr>
          <w:rFonts w:hint="eastAsia"/>
          <w:b/>
          <w:bCs/>
        </w:rPr>
        <w:t>F</w:t>
      </w:r>
      <w:r w:rsidRPr="00516B80">
        <w:rPr>
          <w:b/>
          <w:bCs/>
        </w:rPr>
        <w:t>igure S</w:t>
      </w:r>
      <w:r w:rsidR="00262A00">
        <w:rPr>
          <w:b/>
          <w:bCs/>
        </w:rPr>
        <w:t>4</w:t>
      </w:r>
      <w:r>
        <w:t>. (a) UCL intensity comparison for the single UCNP before and after assembling with Au NRs under parallel (//, 0</w:t>
      </w:r>
      <w:r w:rsidRPr="00516B80">
        <w:t>°</w:t>
      </w:r>
      <w:r>
        <w:t>) and perpendicular (</w:t>
      </w:r>
      <w:r w:rsidRPr="00516B80">
        <w:rPr>
          <w:rFonts w:ascii="宋体" w:eastAsia="宋体" w:hAnsi="宋体" w:cs="宋体" w:hint="eastAsia"/>
        </w:rPr>
        <w:t>⊥</w:t>
      </w:r>
      <w:r w:rsidRPr="00516B80">
        <w:t>, 90°</w:t>
      </w:r>
      <w:r>
        <w:t xml:space="preserve">) polarized laser excitation. (b) </w:t>
      </w:r>
      <w:r w:rsidRPr="00137957">
        <w:t>DOLP of different nanoantennae-load UCNP for emission polarization under the excitation polarization angle at 0° (Emission) and excitation polarization as a function of excitation polarization angle (Excitation)</w:t>
      </w:r>
      <w:r>
        <w:t>.</w:t>
      </w:r>
      <w:r w:rsidR="00E32745" w:rsidRPr="00E32745">
        <w:rPr>
          <w:rFonts w:hint="eastAsia"/>
        </w:rPr>
        <w:t xml:space="preserve"> </w:t>
      </w:r>
      <w:r w:rsidR="00E32745" w:rsidRPr="00F63DFA">
        <w:t>T</w:t>
      </w:r>
      <w:r w:rsidR="00E32745" w:rsidRPr="00F63DFA">
        <w:rPr>
          <w:rFonts w:hint="eastAsia"/>
        </w:rPr>
        <w:t xml:space="preserve">he excitation power density </w:t>
      </w:r>
      <w:r w:rsidR="00E32745" w:rsidRPr="00F63DFA">
        <w:rPr>
          <w:rFonts w:hint="eastAsia"/>
          <w:lang w:eastAsia="zh-CN"/>
        </w:rPr>
        <w:t>is</w:t>
      </w:r>
      <w:r w:rsidR="00E32745" w:rsidRPr="00F63DFA">
        <w:rPr>
          <w:rFonts w:hint="eastAsia"/>
        </w:rPr>
        <w:t xml:space="preserve"> about 7.53 </w:t>
      </w:r>
      <w:r w:rsidR="00E32745" w:rsidRPr="00F63DFA">
        <w:rPr>
          <w:rFonts w:hint="eastAsia"/>
        </w:rPr>
        <w:t>×</w:t>
      </w:r>
      <w:r w:rsidR="00E32745" w:rsidRPr="00F63DFA">
        <w:rPr>
          <w:rFonts w:hint="eastAsia"/>
        </w:rPr>
        <w:t xml:space="preserve"> 10</w:t>
      </w:r>
      <w:r w:rsidR="00E32745" w:rsidRPr="00F63DFA">
        <w:rPr>
          <w:rFonts w:hint="eastAsia"/>
          <w:vertAlign w:val="superscript"/>
        </w:rPr>
        <w:t>2</w:t>
      </w:r>
      <w:r w:rsidR="00E32745" w:rsidRPr="00F63DFA">
        <w:rPr>
          <w:rFonts w:hint="eastAsia"/>
        </w:rPr>
        <w:t xml:space="preserve"> W cm</w:t>
      </w:r>
      <w:r w:rsidR="00E32745" w:rsidRPr="00F63DFA">
        <w:rPr>
          <w:vertAlign w:val="superscript"/>
        </w:rPr>
        <w:t>-2</w:t>
      </w:r>
      <w:r w:rsidR="00E32745" w:rsidRPr="00F63DFA">
        <w:t>.</w:t>
      </w:r>
    </w:p>
    <w:p w14:paraId="15B7EC09" w14:textId="77777777" w:rsidR="00C00388" w:rsidRPr="00F63DFA" w:rsidRDefault="00C00388" w:rsidP="00516B80">
      <w:pPr>
        <w:pStyle w:val="tabletext"/>
        <w:jc w:val="both"/>
      </w:pPr>
    </w:p>
    <w:p w14:paraId="4BE6CAFE" w14:textId="5B3A308C" w:rsidR="00C00388" w:rsidRDefault="00A755AC" w:rsidP="00E86443">
      <w:pPr>
        <w:pStyle w:val="tabletext"/>
        <w:spacing w:line="240" w:lineRule="atLeast"/>
        <w:jc w:val="center"/>
      </w:pPr>
      <w:r>
        <w:rPr>
          <w:noProof/>
          <w:lang w:eastAsia="zh-CN"/>
        </w:rPr>
        <w:drawing>
          <wp:inline distT="0" distB="0" distL="0" distR="0" wp14:anchorId="623ACA9C" wp14:editId="018CCF6A">
            <wp:extent cx="5400000" cy="226500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26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6552D" w14:textId="0EE77D8D" w:rsidR="00C00388" w:rsidRDefault="00C00388" w:rsidP="00516B80">
      <w:pPr>
        <w:pStyle w:val="tabletext"/>
        <w:jc w:val="both"/>
      </w:pPr>
      <w:r w:rsidRPr="00516B80">
        <w:rPr>
          <w:rFonts w:hint="eastAsia"/>
          <w:b/>
          <w:bCs/>
        </w:rPr>
        <w:t>F</w:t>
      </w:r>
      <w:r w:rsidRPr="00516B80">
        <w:rPr>
          <w:b/>
          <w:bCs/>
        </w:rPr>
        <w:t>igure S</w:t>
      </w:r>
      <w:r w:rsidR="00262A00">
        <w:rPr>
          <w:b/>
          <w:bCs/>
        </w:rPr>
        <w:t>5</w:t>
      </w:r>
      <w:r>
        <w:t>. (a) AFM topographic images of the UCNP and different</w:t>
      </w:r>
      <w:r>
        <w:rPr>
          <w:rFonts w:hint="eastAsia"/>
        </w:rPr>
        <w:t xml:space="preserve"> nanoantenna</w:t>
      </w:r>
      <w:r>
        <w:t>e</w:t>
      </w:r>
      <w:r>
        <w:rPr>
          <w:rFonts w:hint="eastAsia"/>
        </w:rPr>
        <w:t>-load UCNP</w:t>
      </w:r>
      <w:r>
        <w:t xml:space="preserve"> configurations. Scale bar: 100 nm. (b) Corresponding </w:t>
      </w:r>
      <w:bookmarkStart w:id="6" w:name="_Hlk97125189"/>
      <w:r>
        <w:t>cross-section</w:t>
      </w:r>
      <w:bookmarkEnd w:id="6"/>
      <w:r>
        <w:t xml:space="preserve"> analyses along the axes</w:t>
      </w:r>
      <w:r w:rsidRPr="0036338D">
        <w:t xml:space="preserve"> </w:t>
      </w:r>
      <w:r>
        <w:t xml:space="preserve">direction of longitudinal of Au NRs. </w:t>
      </w:r>
    </w:p>
    <w:p w14:paraId="3DFE968F" w14:textId="77777777" w:rsidR="00C00388" w:rsidRPr="00645BC1" w:rsidRDefault="00C00388" w:rsidP="00516B80">
      <w:pPr>
        <w:pStyle w:val="tabletext"/>
        <w:jc w:val="both"/>
      </w:pPr>
    </w:p>
    <w:p w14:paraId="6AE2C57C" w14:textId="690BBDFB" w:rsidR="00C00388" w:rsidRDefault="00C00388" w:rsidP="00516B80">
      <w:pPr>
        <w:pStyle w:val="tabletext"/>
        <w:spacing w:line="240" w:lineRule="atLeast"/>
        <w:jc w:val="center"/>
      </w:pPr>
      <w:r>
        <w:rPr>
          <w:noProof/>
          <w:lang w:eastAsia="zh-CN"/>
        </w:rPr>
        <w:drawing>
          <wp:inline distT="0" distB="0" distL="0" distR="0" wp14:anchorId="6592F442" wp14:editId="18918E1C">
            <wp:extent cx="4320000" cy="2177203"/>
            <wp:effectExtent l="0" t="0" r="444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17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F2893" w14:textId="5AE542D6" w:rsidR="00C00388" w:rsidRDefault="00C00388" w:rsidP="00516B80">
      <w:pPr>
        <w:pStyle w:val="tabletext"/>
        <w:jc w:val="both"/>
      </w:pPr>
      <w:r w:rsidRPr="00516B80">
        <w:rPr>
          <w:rFonts w:hint="eastAsia"/>
          <w:b/>
          <w:bCs/>
        </w:rPr>
        <w:t>F</w:t>
      </w:r>
      <w:r w:rsidRPr="00516B80">
        <w:rPr>
          <w:b/>
          <w:bCs/>
        </w:rPr>
        <w:t>igure S</w:t>
      </w:r>
      <w:r w:rsidR="00262A00">
        <w:rPr>
          <w:b/>
          <w:bCs/>
        </w:rPr>
        <w:t>6</w:t>
      </w:r>
      <w:r>
        <w:t xml:space="preserve">. AFM topographic images of the UCNP and related polar plots of normalized UCL intensity at 660 nm (a) under excitation polarization angle at 0° and (b) as a function of excitation polarization angle. Scale bar: 100 nm.  </w:t>
      </w:r>
    </w:p>
    <w:p w14:paraId="7884530F" w14:textId="77777777" w:rsidR="00C00388" w:rsidRDefault="00C00388" w:rsidP="00516B80">
      <w:pPr>
        <w:pStyle w:val="tabletext"/>
        <w:spacing w:line="240" w:lineRule="atLeast"/>
        <w:jc w:val="center"/>
      </w:pPr>
      <w:r>
        <w:rPr>
          <w:noProof/>
          <w:lang w:eastAsia="zh-CN"/>
        </w:rPr>
        <w:drawing>
          <wp:inline distT="0" distB="0" distL="0" distR="0" wp14:anchorId="1F300783" wp14:editId="53B73ED5">
            <wp:extent cx="4320000" cy="2172212"/>
            <wp:effectExtent l="0" t="0" r="444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17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3677B" w14:textId="51754C47" w:rsidR="00C00388" w:rsidRDefault="00C00388" w:rsidP="00516B80">
      <w:pPr>
        <w:pStyle w:val="tabletext"/>
        <w:jc w:val="both"/>
      </w:pPr>
      <w:r w:rsidRPr="00516B80">
        <w:rPr>
          <w:rFonts w:hint="eastAsia"/>
          <w:b/>
          <w:bCs/>
        </w:rPr>
        <w:t>F</w:t>
      </w:r>
      <w:r w:rsidRPr="00516B80">
        <w:rPr>
          <w:b/>
          <w:bCs/>
        </w:rPr>
        <w:t>igure S</w:t>
      </w:r>
      <w:r w:rsidR="00262A00">
        <w:rPr>
          <w:b/>
          <w:bCs/>
        </w:rPr>
        <w:t>7</w:t>
      </w:r>
      <w:r>
        <w:t xml:space="preserve">. </w:t>
      </w:r>
      <w:r>
        <w:rPr>
          <w:rFonts w:hint="eastAsia"/>
        </w:rPr>
        <w:t xml:space="preserve">Schematics of </w:t>
      </w:r>
      <w:r>
        <w:t>TNC</w:t>
      </w:r>
      <w:r>
        <w:rPr>
          <w:rFonts w:hint="eastAsia"/>
        </w:rPr>
        <w:t xml:space="preserve"> </w:t>
      </w:r>
      <w:r>
        <w:t>with the perfect angle</w:t>
      </w:r>
      <w:r>
        <w:rPr>
          <w:rFonts w:hint="eastAsia"/>
        </w:rPr>
        <w:t xml:space="preserve"> and related polar plots of </w:t>
      </w:r>
      <w:r w:rsidRPr="00CC5AA1">
        <w:t xml:space="preserve">normalized </w:t>
      </w:r>
      <w:r>
        <w:t>electric field |E|</w:t>
      </w:r>
      <w:r w:rsidRPr="00516B80">
        <w:rPr>
          <w:vertAlign w:val="superscript"/>
        </w:rPr>
        <w:t>2</w:t>
      </w:r>
      <w:r>
        <w:t>/|E</w:t>
      </w:r>
      <w:r w:rsidRPr="00516B80">
        <w:rPr>
          <w:vertAlign w:val="subscript"/>
        </w:rPr>
        <w:t>0</w:t>
      </w:r>
      <w:r>
        <w:t>|</w:t>
      </w:r>
      <w:r w:rsidRPr="00516B80">
        <w:rPr>
          <w:vertAlign w:val="superscript"/>
        </w:rPr>
        <w:t>2</w:t>
      </w:r>
      <w:r>
        <w:rPr>
          <w:rFonts w:hint="eastAsia"/>
        </w:rPr>
        <w:t xml:space="preserve"> at 660 nm (</w:t>
      </w:r>
      <w:r>
        <w:t>a</w:t>
      </w:r>
      <w:r>
        <w:rPr>
          <w:rFonts w:hint="eastAsia"/>
        </w:rPr>
        <w:t>) under excitation polarization angle a</w:t>
      </w:r>
      <w:r w:rsidRPr="007F47AD">
        <w:t>t 0° a</w:t>
      </w:r>
      <w:r>
        <w:rPr>
          <w:rFonts w:hint="eastAsia"/>
        </w:rPr>
        <w:t>nd (</w:t>
      </w:r>
      <w:r>
        <w:t>b</w:t>
      </w:r>
      <w:r>
        <w:rPr>
          <w:rFonts w:hint="eastAsia"/>
        </w:rPr>
        <w:t>) as a function of excitation polarization angle.</w:t>
      </w:r>
      <w:r>
        <w:t xml:space="preserve"> </w:t>
      </w:r>
      <w:r>
        <w:rPr>
          <w:rFonts w:hint="eastAsia"/>
        </w:rPr>
        <w:t xml:space="preserve">The </w:t>
      </w:r>
      <w:r>
        <w:t>solid</w:t>
      </w:r>
      <w:r>
        <w:rPr>
          <w:rFonts w:hint="eastAsia"/>
        </w:rPr>
        <w:t xml:space="preserve"> curves are </w:t>
      </w:r>
      <w:r>
        <w:t xml:space="preserve">fitted by </w:t>
      </w:r>
      <w:r>
        <w:rPr>
          <w:rFonts w:hint="eastAsia"/>
        </w:rPr>
        <w:t xml:space="preserve">a sinusoidal </w:t>
      </w:r>
      <w:r>
        <w:t>function</w:t>
      </w:r>
      <w:r>
        <w:rPr>
          <w:rFonts w:hint="eastAsia"/>
        </w:rPr>
        <w:t>.</w:t>
      </w:r>
    </w:p>
    <w:p w14:paraId="1BFC31C3" w14:textId="77777777" w:rsidR="007466CE" w:rsidRPr="00C12F80" w:rsidRDefault="007466CE" w:rsidP="00516B80">
      <w:pPr>
        <w:pStyle w:val="tabletext"/>
        <w:jc w:val="both"/>
      </w:pPr>
    </w:p>
    <w:p w14:paraId="3F2FF9FB" w14:textId="0905AA93" w:rsidR="00220EB5" w:rsidRPr="007466CE" w:rsidRDefault="007466CE" w:rsidP="007466CE">
      <w:pPr>
        <w:pStyle w:val="head2"/>
        <w:spacing w:before="0"/>
        <w:ind w:left="460" w:hanging="460"/>
        <w:rPr>
          <w:sz w:val="30"/>
          <w:szCs w:val="30"/>
        </w:rPr>
      </w:pPr>
      <w:r w:rsidRPr="00C9642D">
        <w:rPr>
          <w:sz w:val="30"/>
          <w:szCs w:val="30"/>
        </w:rPr>
        <w:t>Emission Enhancement Calculation</w:t>
      </w:r>
    </w:p>
    <w:p w14:paraId="0154323B" w14:textId="46D6DE11" w:rsidR="005524F8" w:rsidRPr="00F71171" w:rsidRDefault="009023C0" w:rsidP="005524F8">
      <w:pPr>
        <w:pStyle w:val="tabletext"/>
        <w:jc w:val="both"/>
        <w:rPr>
          <w:rFonts w:ascii="Times New Roman" w:hAnsi="Times New Roman" w:cs="Times New Roman"/>
          <w:sz w:val="19"/>
          <w:szCs w:val="19"/>
        </w:rPr>
      </w:pPr>
      <w:r w:rsidRPr="00F71171">
        <w:rPr>
          <w:rFonts w:ascii="Times New Roman" w:hAnsi="Times New Roman" w:cs="Times New Roman"/>
          <w:sz w:val="19"/>
          <w:szCs w:val="19"/>
        </w:rPr>
        <w:t xml:space="preserve">When an emitter is nearby a metallic nanostructure, </w:t>
      </w:r>
      <w:r w:rsidR="00C54EE5" w:rsidRPr="00F71171">
        <w:rPr>
          <w:rFonts w:ascii="Times New Roman" w:hAnsi="Times New Roman" w:cs="Times New Roman"/>
          <w:sz w:val="19"/>
          <w:szCs w:val="19"/>
        </w:rPr>
        <w:t>the metallic nanostructure accelerates the radiative decay rate of the emitter and provide</w:t>
      </w:r>
      <w:r w:rsidR="00265C4D" w:rsidRPr="00F71171">
        <w:rPr>
          <w:rFonts w:ascii="Times New Roman" w:hAnsi="Times New Roman" w:cs="Times New Roman"/>
          <w:sz w:val="19"/>
          <w:szCs w:val="19"/>
        </w:rPr>
        <w:t>s</w:t>
      </w:r>
      <w:r w:rsidR="00C54EE5" w:rsidRPr="00F71171">
        <w:rPr>
          <w:rFonts w:ascii="Times New Roman" w:hAnsi="Times New Roman" w:cs="Times New Roman"/>
          <w:sz w:val="19"/>
          <w:szCs w:val="19"/>
        </w:rPr>
        <w:t xml:space="preserve"> an additional path</w:t>
      </w:r>
      <w:r w:rsidR="00EE51B1" w:rsidRPr="00F71171">
        <w:rPr>
          <w:rFonts w:ascii="Times New Roman" w:hAnsi="Times New Roman" w:cs="Times New Roman"/>
          <w:sz w:val="19"/>
          <w:szCs w:val="19"/>
        </w:rPr>
        <w:t>way</w:t>
      </w:r>
      <w:r w:rsidR="00C54EE5" w:rsidRPr="00F71171">
        <w:rPr>
          <w:rFonts w:ascii="Times New Roman" w:hAnsi="Times New Roman" w:cs="Times New Roman"/>
          <w:sz w:val="19"/>
          <w:szCs w:val="19"/>
        </w:rPr>
        <w:t xml:space="preserve"> for energy dissipation</w:t>
      </w:r>
      <w:r w:rsidRPr="00F71171">
        <w:rPr>
          <w:rFonts w:ascii="Times New Roman" w:hAnsi="Times New Roman" w:cs="Times New Roman"/>
          <w:sz w:val="19"/>
          <w:szCs w:val="19"/>
        </w:rPr>
        <w:t xml:space="preserve">. </w:t>
      </w:r>
      <w:r w:rsidR="00C54EE5" w:rsidRPr="00F71171">
        <w:rPr>
          <w:rFonts w:ascii="Times New Roman" w:hAnsi="Times New Roman" w:cs="Times New Roman"/>
          <w:sz w:val="19"/>
          <w:szCs w:val="19"/>
        </w:rPr>
        <w:t xml:space="preserve">The ratio </w:t>
      </w:r>
      <m:oMath>
        <m:sSub>
          <m:sSubPr>
            <m:ctrlPr>
              <w:rPr>
                <w:rFonts w:ascii="Cambria Math" w:hAnsi="Cambria Math" w:cs="Times New Roman"/>
                <w:sz w:val="19"/>
                <w:szCs w:val="19"/>
                <w:lang w:eastAsia="zh-CN"/>
              </w:rPr>
            </m:ctrlPr>
          </m:sSubPr>
          <m:e>
            <m:r>
              <w:rPr>
                <w:rFonts w:ascii="Cambria Math" w:hAnsi="Cambria Math" w:cs="Times New Roman"/>
                <w:sz w:val="19"/>
                <w:szCs w:val="19"/>
                <w:lang w:eastAsia="zh-CN"/>
              </w:rPr>
              <m:t>η</m:t>
            </m:r>
          </m:e>
          <m:sub>
            <m:r>
              <w:rPr>
                <w:rFonts w:ascii="Cambria Math" w:hAnsi="Cambria Math" w:cs="Times New Roman"/>
                <w:sz w:val="19"/>
                <w:szCs w:val="19"/>
                <w:lang w:eastAsia="zh-CN"/>
              </w:rPr>
              <m:t>a</m:t>
            </m:r>
          </m:sub>
        </m:sSub>
        <m:r>
          <w:rPr>
            <w:rFonts w:ascii="Cambria Math" w:hAnsi="Cambria Math" w:cs="Times New Roman"/>
            <w:sz w:val="19"/>
            <w:szCs w:val="19"/>
            <w:lang w:eastAsia="zh-CN"/>
          </w:rPr>
          <m:t>=</m:t>
        </m:r>
        <m:sSubSup>
          <m:sSubSupPr>
            <m:ctrlPr>
              <w:rPr>
                <w:rFonts w:ascii="Cambria Math" w:hAnsi="Cambria Math" w:cs="Times New Roman"/>
                <w:iCs/>
                <w:sz w:val="19"/>
                <w:szCs w:val="19"/>
                <w:lang w:eastAsia="zh-C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19"/>
                <w:szCs w:val="19"/>
                <w:lang w:eastAsia="zh-CN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19"/>
                <w:szCs w:val="19"/>
                <w:lang w:eastAsia="zh-CN"/>
              </w:rPr>
              <m:t>em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19"/>
                <w:szCs w:val="19"/>
                <w:lang w:eastAsia="zh-CN"/>
              </w:rPr>
              <m:t>R</m:t>
            </m:r>
          </m:sup>
        </m:sSubSup>
        <m:r>
          <m:rPr>
            <m:sty m:val="p"/>
          </m:rPr>
          <w:rPr>
            <w:rFonts w:ascii="Cambria Math" w:hAnsi="Cambria Math" w:cs="Times New Roman"/>
            <w:sz w:val="19"/>
            <w:szCs w:val="19"/>
            <w:lang w:eastAsia="zh-CN"/>
          </w:rPr>
          <m:t>/</m:t>
        </m:r>
        <m:d>
          <m:dPr>
            <m:ctrlPr>
              <w:rPr>
                <w:rFonts w:ascii="Cambria Math" w:hAnsi="Cambria Math" w:cs="Times New Roman"/>
                <w:iCs/>
                <w:sz w:val="19"/>
                <w:szCs w:val="19"/>
                <w:lang w:eastAsia="zh-CN"/>
              </w:rPr>
            </m:ctrlPr>
          </m:dPr>
          <m:e>
            <m:sSubSup>
              <m:sSubSupPr>
                <m:ctrlPr>
                  <w:rPr>
                    <w:rFonts w:ascii="Cambria Math" w:hAnsi="Cambria Math" w:cs="Times New Roman"/>
                    <w:iCs/>
                    <w:sz w:val="19"/>
                    <w:szCs w:val="19"/>
                    <w:lang w:eastAsia="zh-CN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19"/>
                    <w:szCs w:val="19"/>
                    <w:lang w:eastAsia="zh-CN"/>
                  </w:rPr>
                  <m:t>Γ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19"/>
                    <w:szCs w:val="19"/>
                    <w:lang w:eastAsia="zh-CN"/>
                  </w:rPr>
                  <m:t>em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19"/>
                    <w:szCs w:val="19"/>
                    <w:lang w:eastAsia="zh-CN"/>
                  </w:rPr>
                  <m:t>R</m:t>
                </m:r>
              </m:sup>
            </m:sSubSup>
            <m:r>
              <m:rPr>
                <m:sty m:val="p"/>
              </m:rPr>
              <w:rPr>
                <w:rFonts w:ascii="Cambria Math" w:hAnsi="Cambria Math" w:cs="Times New Roman"/>
                <w:sz w:val="19"/>
                <w:szCs w:val="19"/>
                <w:lang w:eastAsia="zh-CN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Cs/>
                    <w:sz w:val="19"/>
                    <w:szCs w:val="19"/>
                    <w:lang w:eastAsia="zh-CN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19"/>
                    <w:szCs w:val="19"/>
                    <w:lang w:eastAsia="zh-CN"/>
                  </w:rPr>
                  <m:t>Γ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19"/>
                    <w:szCs w:val="19"/>
                    <w:lang w:eastAsia="zh-CN"/>
                  </w:rPr>
                  <m:t>em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19"/>
                    <w:szCs w:val="19"/>
                    <w:lang w:eastAsia="zh-CN"/>
                  </w:rPr>
                  <m:t>NR</m:t>
                </m:r>
              </m:sup>
            </m:sSubSup>
          </m:e>
        </m:d>
      </m:oMath>
      <w:r w:rsidR="00C54EE5" w:rsidRPr="00F71171">
        <w:rPr>
          <w:rFonts w:ascii="Times New Roman" w:hAnsi="Times New Roman" w:cs="Times New Roman"/>
          <w:sz w:val="19"/>
          <w:szCs w:val="19"/>
          <w:lang w:eastAsia="zh-CN"/>
        </w:rPr>
        <w:t xml:space="preserve"> is defined as the antenna efficiency of the metal nanostructure. </w:t>
      </w:r>
      <m:oMath>
        <m:sSubSup>
          <m:sSubSupPr>
            <m:ctrlPr>
              <w:rPr>
                <w:rFonts w:ascii="Cambria Math" w:hAnsi="Cambria Math" w:cs="Times New Roman"/>
                <w:iCs/>
                <w:sz w:val="19"/>
                <w:szCs w:val="19"/>
                <w:lang w:eastAsia="zh-C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19"/>
                <w:szCs w:val="19"/>
                <w:lang w:eastAsia="zh-CN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19"/>
                <w:szCs w:val="19"/>
                <w:lang w:eastAsia="zh-CN"/>
              </w:rPr>
              <m:t>em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19"/>
                <w:szCs w:val="19"/>
                <w:lang w:eastAsia="zh-CN"/>
              </w:rPr>
              <m:t>R</m:t>
            </m:r>
          </m:sup>
        </m:sSubSup>
      </m:oMath>
      <w:r w:rsidR="00C54EE5" w:rsidRPr="00F71171">
        <w:rPr>
          <w:rFonts w:ascii="Times New Roman" w:hAnsi="Times New Roman" w:cs="Times New Roman"/>
          <w:sz w:val="19"/>
          <w:szCs w:val="19"/>
          <w:lang w:eastAsia="zh-CN"/>
        </w:rPr>
        <w:t xml:space="preserve"> is </w:t>
      </w:r>
      <w:r w:rsidR="002B016D" w:rsidRPr="00F71171">
        <w:rPr>
          <w:rFonts w:ascii="Times New Roman" w:hAnsi="Times New Roman" w:cs="Times New Roman"/>
          <w:sz w:val="19"/>
          <w:szCs w:val="19"/>
          <w:lang w:eastAsia="zh-CN"/>
        </w:rPr>
        <w:t xml:space="preserve">the accelerated radiative decay rate of the emitter and </w:t>
      </w:r>
      <m:oMath>
        <m:sSubSup>
          <m:sSubSupPr>
            <m:ctrlPr>
              <w:rPr>
                <w:rFonts w:ascii="Cambria Math" w:hAnsi="Cambria Math" w:cs="Times New Roman"/>
                <w:iCs/>
                <w:sz w:val="19"/>
                <w:szCs w:val="19"/>
                <w:lang w:eastAsia="zh-C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19"/>
                <w:szCs w:val="19"/>
                <w:lang w:eastAsia="zh-CN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19"/>
                <w:szCs w:val="19"/>
                <w:lang w:eastAsia="zh-CN"/>
              </w:rPr>
              <m:t>em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19"/>
                <w:szCs w:val="19"/>
                <w:lang w:eastAsia="zh-CN"/>
              </w:rPr>
              <m:t>NR</m:t>
            </m:r>
          </m:sup>
        </m:sSubSup>
      </m:oMath>
      <w:r w:rsidR="00C54EE5" w:rsidRPr="00F71171">
        <w:rPr>
          <w:rFonts w:ascii="Times New Roman" w:hAnsi="Times New Roman" w:cs="Times New Roman"/>
          <w:sz w:val="19"/>
          <w:szCs w:val="19"/>
          <w:lang w:eastAsia="zh-CN"/>
        </w:rPr>
        <w:t xml:space="preserve"> </w:t>
      </w:r>
      <w:r w:rsidR="002B016D" w:rsidRPr="00F71171">
        <w:rPr>
          <w:rFonts w:ascii="Times New Roman" w:hAnsi="Times New Roman" w:cs="Times New Roman"/>
          <w:sz w:val="19"/>
          <w:szCs w:val="19"/>
          <w:lang w:eastAsia="zh-CN"/>
        </w:rPr>
        <w:t xml:space="preserve">is the non-radiative decay rate due to </w:t>
      </w:r>
      <w:r w:rsidR="002B016D" w:rsidRPr="00F71171">
        <w:rPr>
          <w:rFonts w:ascii="Times New Roman" w:hAnsi="Times New Roman" w:cs="Times New Roman"/>
          <w:sz w:val="19"/>
          <w:szCs w:val="19"/>
        </w:rPr>
        <w:t>energy dissipation. The Purcell factor</w:t>
      </w:r>
      <w:r w:rsidR="002B016D" w:rsidRPr="00F71171">
        <w:rPr>
          <w:rFonts w:ascii="Times New Roman" w:hAnsi="Times New Roman" w:cs="Times New Roman"/>
          <w:sz w:val="19"/>
          <w:szCs w:val="19"/>
          <w:lang w:eastAsia="zh-CN"/>
        </w:rPr>
        <w:t xml:space="preserve"> </w:t>
      </w:r>
      <m:oMath>
        <m:r>
          <w:rPr>
            <w:rFonts w:ascii="Cambria Math" w:hAnsi="Cambria Math" w:cs="Times New Roman"/>
            <w:sz w:val="19"/>
            <w:szCs w:val="19"/>
            <w:lang w:eastAsia="zh-CN"/>
          </w:rPr>
          <m:t>F</m:t>
        </m:r>
      </m:oMath>
      <w:r w:rsidR="002B016D" w:rsidRPr="00F71171">
        <w:rPr>
          <w:rFonts w:ascii="Times New Roman" w:hAnsi="Times New Roman" w:cs="Times New Roman"/>
          <w:sz w:val="19"/>
          <w:szCs w:val="19"/>
          <w:lang w:eastAsia="zh-CN"/>
        </w:rPr>
        <w:t xml:space="preserve"> can be expressed as the radiative decay rate enhancement.</w:t>
      </w:r>
      <w:r w:rsidR="002B016D" w:rsidRPr="00F71171">
        <w:rPr>
          <w:rFonts w:ascii="Times New Roman" w:hAnsi="Times New Roman" w:cs="Times New Roman"/>
          <w:sz w:val="19"/>
          <w:szCs w:val="19"/>
        </w:rPr>
        <w:t xml:space="preserve"> </w:t>
      </w:r>
      <w:r w:rsidR="005524F8" w:rsidRPr="00F71171">
        <w:rPr>
          <w:rFonts w:ascii="Times New Roman" w:hAnsi="Times New Roman" w:cs="Times New Roman"/>
          <w:sz w:val="19"/>
          <w:szCs w:val="19"/>
        </w:rPr>
        <w:t>The emission enhancement of the UCNP can be expressed as</w:t>
      </w:r>
      <w:r w:rsidR="006532A3" w:rsidRPr="00F71171">
        <w:rPr>
          <w:rFonts w:ascii="Times New Roman" w:hAnsi="Times New Roman" w:cs="Times New Roman"/>
          <w:sz w:val="19"/>
          <w:szCs w:val="19"/>
        </w:rPr>
        <w:t xml:space="preserve"> </w:t>
      </w:r>
      <w:r w:rsidRPr="00F71171">
        <w:rPr>
          <w:rFonts w:ascii="Times New Roman" w:hAnsi="Times New Roman" w:cs="Times New Roman"/>
          <w:sz w:val="19"/>
          <w:szCs w:val="19"/>
        </w:rPr>
        <w:fldChar w:fldCharType="begin"/>
      </w:r>
      <w:r w:rsidRPr="00F71171">
        <w:rPr>
          <w:rFonts w:ascii="Times New Roman" w:hAnsi="Times New Roman" w:cs="Times New Roman"/>
          <w:sz w:val="19"/>
          <w:szCs w:val="19"/>
        </w:rPr>
        <w:instrText xml:space="preserve"> REF _Ref96945184 \r \h </w:instrText>
      </w:r>
      <w:r w:rsidR="007466CE" w:rsidRPr="00F71171">
        <w:rPr>
          <w:rFonts w:ascii="Times New Roman" w:hAnsi="Times New Roman" w:cs="Times New Roman"/>
          <w:sz w:val="19"/>
          <w:szCs w:val="19"/>
        </w:rPr>
        <w:instrText xml:space="preserve"> \* MERGEFORMAT </w:instrText>
      </w:r>
      <w:r w:rsidRPr="00F71171">
        <w:rPr>
          <w:rFonts w:ascii="Times New Roman" w:hAnsi="Times New Roman" w:cs="Times New Roman"/>
          <w:sz w:val="19"/>
          <w:szCs w:val="19"/>
        </w:rPr>
      </w:r>
      <w:r w:rsidRPr="00F71171">
        <w:rPr>
          <w:rFonts w:ascii="Times New Roman" w:hAnsi="Times New Roman" w:cs="Times New Roman"/>
          <w:sz w:val="19"/>
          <w:szCs w:val="19"/>
        </w:rPr>
        <w:fldChar w:fldCharType="separate"/>
      </w:r>
      <w:r w:rsidR="008972FF" w:rsidRPr="00F71171">
        <w:rPr>
          <w:rFonts w:ascii="Times New Roman" w:hAnsi="Times New Roman" w:cs="Times New Roman"/>
          <w:sz w:val="19"/>
          <w:szCs w:val="19"/>
        </w:rPr>
        <w:t>[1]</w:t>
      </w:r>
      <w:r w:rsidRPr="00F71171">
        <w:rPr>
          <w:rFonts w:ascii="Times New Roman" w:hAnsi="Times New Roman" w:cs="Times New Roman"/>
          <w:sz w:val="19"/>
          <w:szCs w:val="19"/>
        </w:rPr>
        <w:fldChar w:fldCharType="end"/>
      </w:r>
      <w:r w:rsidR="005524F8" w:rsidRPr="00F71171">
        <w:rPr>
          <w:rFonts w:ascii="Times New Roman" w:hAnsi="Times New Roman" w:cs="Times New Roman"/>
          <w:sz w:val="19"/>
          <w:szCs w:val="19"/>
        </w:rPr>
        <w:t>:</w:t>
      </w:r>
    </w:p>
    <w:p w14:paraId="29195526" w14:textId="62B20814" w:rsidR="005524F8" w:rsidRPr="00F71171" w:rsidRDefault="00A06130" w:rsidP="005524F8">
      <w:pPr>
        <w:pStyle w:val="tabletext"/>
        <w:spacing w:line="240" w:lineRule="atLeast"/>
        <w:jc w:val="both"/>
        <w:rPr>
          <w:rFonts w:ascii="Times New Roman" w:hAnsi="Times New Roman" w:cs="Times New Roman"/>
          <w:iCs/>
          <w:sz w:val="19"/>
          <w:szCs w:val="19"/>
          <w:lang w:eastAsia="zh-CN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  <w:sz w:val="19"/>
                  <w:szCs w:val="19"/>
                  <w:lang w:eastAsia="zh-CN"/>
                </w:rPr>
              </m:ctrlPr>
            </m:eqArrPr>
            <m:e>
              <m:r>
                <w:rPr>
                  <w:rFonts w:ascii="Cambria Math" w:hAnsi="Cambria Math" w:cs="Times New Roman"/>
                  <w:sz w:val="19"/>
                  <w:szCs w:val="19"/>
                  <w:lang w:eastAsia="zh-CN"/>
                </w:rPr>
                <m:t xml:space="preserve">        </m:t>
              </m:r>
              <m:sSub>
                <m:sSubPr>
                  <m:ctrlPr>
                    <w:rPr>
                      <w:rFonts w:ascii="Cambria Math" w:hAnsi="Cambria Math" w:cs="Times New Roman"/>
                      <w:iCs/>
                      <w:sz w:val="19"/>
                      <w:szCs w:val="19"/>
                      <w:lang w:eastAsia="zh-C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19"/>
                      <w:szCs w:val="19"/>
                      <w:lang w:eastAsia="zh-CN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19"/>
                      <w:szCs w:val="19"/>
                      <w:lang w:eastAsia="zh-CN"/>
                    </w:rPr>
                    <m:t>em</m:t>
                  </m:r>
                </m:sub>
              </m:sSub>
              <m:r>
                <w:rPr>
                  <w:rFonts w:ascii="Cambria Math" w:hAnsi="Cambria Math" w:cs="Times New Roman"/>
                  <w:sz w:val="19"/>
                  <w:szCs w:val="19"/>
                  <w:lang w:eastAsia="zh-CN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sz w:val="19"/>
                      <w:szCs w:val="19"/>
                      <w:lang w:eastAsia="zh-CN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19"/>
                      <w:szCs w:val="19"/>
                      <w:lang w:eastAsia="zh-CN"/>
                    </w:rPr>
                    <m:t>1</m:t>
                  </m:r>
                </m:num>
                <m:den>
                  <m:d>
                    <m:dPr>
                      <m:ctrlPr>
                        <w:rPr>
                          <w:rFonts w:ascii="Cambria Math" w:hAnsi="Cambria Math" w:cs="Times New Roman"/>
                          <w:sz w:val="19"/>
                          <w:szCs w:val="19"/>
                          <w:lang w:eastAsia="zh-CN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19"/>
                          <w:szCs w:val="19"/>
                          <w:lang w:eastAsia="zh-CN"/>
                        </w:rPr>
                        <m:t>1-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19"/>
                              <w:szCs w:val="19"/>
                              <w:lang w:eastAsia="zh-CN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19"/>
                              <w:szCs w:val="19"/>
                              <w:lang w:eastAsia="zh-CN"/>
                            </w:rPr>
                            <m:t>η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19"/>
                              <w:szCs w:val="19"/>
                              <w:lang w:eastAsia="zh-CN"/>
                            </w:rPr>
                            <m:t>0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 w:cs="Times New Roman"/>
                      <w:sz w:val="19"/>
                      <w:szCs w:val="19"/>
                      <w:lang w:eastAsia="zh-CN"/>
                    </w:rPr>
                    <m:t>/F+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19"/>
                          <w:szCs w:val="19"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19"/>
                          <w:szCs w:val="19"/>
                          <w:lang w:eastAsia="zh-CN"/>
                        </w:rPr>
                        <m:t>η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19"/>
                          <w:szCs w:val="19"/>
                          <w:lang w:eastAsia="zh-CN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19"/>
                      <w:szCs w:val="19"/>
                      <w:lang w:eastAsia="zh-CN"/>
                    </w:rPr>
                    <m:t>/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19"/>
                          <w:szCs w:val="19"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19"/>
                          <w:szCs w:val="19"/>
                          <w:lang w:eastAsia="zh-CN"/>
                        </w:rPr>
                        <m:t>η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19"/>
                          <w:szCs w:val="19"/>
                          <w:lang w:eastAsia="zh-CN"/>
                        </w:rPr>
                        <m:t>a</m:t>
                      </m:r>
                    </m:sub>
                  </m:sSub>
                </m:den>
              </m:f>
              <m:r>
                <w:rPr>
                  <w:rFonts w:ascii="Cambria Math" w:hAnsi="Cambria Math" w:cs="Times New Roman"/>
                  <w:sz w:val="19"/>
                  <w:szCs w:val="19"/>
                  <w:lang w:eastAsia="zh-CN"/>
                </w:rPr>
                <m:t>,</m:t>
              </m:r>
              <m:ctrlPr>
                <w:rPr>
                  <w:rFonts w:ascii="Cambria Math" w:hAnsi="Cambria Math" w:cs="Times New Roman"/>
                  <w:i/>
                  <w:iCs/>
                  <w:sz w:val="19"/>
                  <w:szCs w:val="19"/>
                  <w:lang w:eastAsia="zh-CN"/>
                </w:rPr>
              </m:ctrlPr>
            </m:e>
          </m:eqArr>
        </m:oMath>
      </m:oMathPara>
    </w:p>
    <w:p w14:paraId="640FD508" w14:textId="344E6CBB" w:rsidR="005524F8" w:rsidRPr="00F71171" w:rsidRDefault="005524F8" w:rsidP="005524F8">
      <w:pPr>
        <w:pStyle w:val="tabletext"/>
        <w:spacing w:line="240" w:lineRule="atLeast"/>
        <w:jc w:val="both"/>
        <w:rPr>
          <w:rFonts w:ascii="Times New Roman" w:hAnsi="Times New Roman" w:cs="Times New Roman"/>
          <w:sz w:val="19"/>
          <w:szCs w:val="19"/>
        </w:rPr>
      </w:pPr>
      <w:r w:rsidRPr="00F71171">
        <w:rPr>
          <w:rFonts w:ascii="Times New Roman" w:hAnsi="Times New Roman" w:cs="Times New Roman"/>
          <w:sz w:val="19"/>
          <w:szCs w:val="19"/>
        </w:rPr>
        <w:t xml:space="preserve">Here, the quantum efficiency </w:t>
      </w:r>
      <m:oMath>
        <m:sSub>
          <m:sSubPr>
            <m:ctrlPr>
              <w:rPr>
                <w:rFonts w:ascii="Cambria Math" w:hAnsi="Cambria Math" w:cs="Times New Roman"/>
                <w:sz w:val="19"/>
                <w:szCs w:val="19"/>
                <w:lang w:eastAsia="zh-CN"/>
              </w:rPr>
            </m:ctrlPr>
          </m:sSubPr>
          <m:e>
            <m:r>
              <w:rPr>
                <w:rFonts w:ascii="Cambria Math" w:hAnsi="Cambria Math" w:cs="Times New Roman"/>
                <w:sz w:val="19"/>
                <w:szCs w:val="19"/>
                <w:lang w:eastAsia="zh-CN"/>
              </w:rPr>
              <m:t>η</m:t>
            </m:r>
          </m:e>
          <m:sub>
            <m:r>
              <w:rPr>
                <w:rFonts w:ascii="Cambria Math" w:hAnsi="Cambria Math" w:cs="Times New Roman"/>
                <w:sz w:val="19"/>
                <w:szCs w:val="19"/>
                <w:lang w:eastAsia="zh-CN"/>
              </w:rPr>
              <m:t>0</m:t>
            </m:r>
          </m:sub>
        </m:sSub>
      </m:oMath>
      <w:r w:rsidRPr="00F71171">
        <w:rPr>
          <w:rFonts w:ascii="Times New Roman" w:hAnsi="Times New Roman" w:cs="Times New Roman"/>
          <w:sz w:val="19"/>
          <w:szCs w:val="19"/>
        </w:rPr>
        <w:t xml:space="preserve"> of the UCNPs is </w:t>
      </w:r>
      <w:r w:rsidR="00914F35" w:rsidRPr="00F71171">
        <w:rPr>
          <w:rFonts w:ascii="Times New Roman" w:hAnsi="Times New Roman" w:cs="Times New Roman"/>
          <w:sz w:val="19"/>
          <w:szCs w:val="19"/>
        </w:rPr>
        <w:t xml:space="preserve">assumed as </w:t>
      </w:r>
      <w:r w:rsidRPr="00F71171">
        <w:rPr>
          <w:rFonts w:ascii="Times New Roman" w:hAnsi="Times New Roman" w:cs="Times New Roman"/>
          <w:sz w:val="19"/>
          <w:szCs w:val="19"/>
        </w:rPr>
        <w:t>1%</w:t>
      </w:r>
      <w:r w:rsidR="00700207" w:rsidRPr="00F71171">
        <w:rPr>
          <w:rFonts w:ascii="Times New Roman" w:hAnsi="Times New Roman" w:cs="Times New Roman"/>
          <w:sz w:val="19"/>
          <w:szCs w:val="19"/>
        </w:rPr>
        <w:t xml:space="preserve"> because of small absorption cross sections caused by the forbidden transitions between 4f orbitals of the lanthanide dopants</w:t>
      </w:r>
      <w:r w:rsidRPr="00F71171">
        <w:rPr>
          <w:rFonts w:ascii="Times New Roman" w:hAnsi="Times New Roman" w:cs="Times New Roman"/>
          <w:sz w:val="19"/>
          <w:szCs w:val="19"/>
        </w:rPr>
        <w:t xml:space="preserve"> </w:t>
      </w:r>
      <w:r w:rsidR="002B016D" w:rsidRPr="00F71171">
        <w:rPr>
          <w:rFonts w:ascii="Times New Roman" w:hAnsi="Times New Roman" w:cs="Times New Roman"/>
          <w:sz w:val="19"/>
          <w:szCs w:val="19"/>
        </w:rPr>
        <w:fldChar w:fldCharType="begin"/>
      </w:r>
      <w:r w:rsidR="002B016D" w:rsidRPr="00F71171">
        <w:rPr>
          <w:rFonts w:ascii="Times New Roman" w:hAnsi="Times New Roman" w:cs="Times New Roman"/>
          <w:sz w:val="19"/>
          <w:szCs w:val="19"/>
        </w:rPr>
        <w:instrText xml:space="preserve"> REF _Ref96701347 \r \h </w:instrText>
      </w:r>
      <w:r w:rsidR="007466CE" w:rsidRPr="00F71171">
        <w:rPr>
          <w:rFonts w:ascii="Times New Roman" w:hAnsi="Times New Roman" w:cs="Times New Roman"/>
          <w:sz w:val="19"/>
          <w:szCs w:val="19"/>
        </w:rPr>
        <w:instrText xml:space="preserve"> \* MERGEFORMAT </w:instrText>
      </w:r>
      <w:r w:rsidR="002B016D" w:rsidRPr="00F71171">
        <w:rPr>
          <w:rFonts w:ascii="Times New Roman" w:hAnsi="Times New Roman" w:cs="Times New Roman"/>
          <w:sz w:val="19"/>
          <w:szCs w:val="19"/>
        </w:rPr>
      </w:r>
      <w:r w:rsidR="002B016D" w:rsidRPr="00F71171">
        <w:rPr>
          <w:rFonts w:ascii="Times New Roman" w:hAnsi="Times New Roman" w:cs="Times New Roman"/>
          <w:sz w:val="19"/>
          <w:szCs w:val="19"/>
        </w:rPr>
        <w:fldChar w:fldCharType="separate"/>
      </w:r>
      <w:r w:rsidR="008972FF" w:rsidRPr="00F71171">
        <w:rPr>
          <w:rFonts w:ascii="Times New Roman" w:hAnsi="Times New Roman" w:cs="Times New Roman"/>
          <w:sz w:val="19"/>
          <w:szCs w:val="19"/>
        </w:rPr>
        <w:t>[2]</w:t>
      </w:r>
      <w:r w:rsidR="002B016D" w:rsidRPr="00F71171">
        <w:rPr>
          <w:rFonts w:ascii="Times New Roman" w:hAnsi="Times New Roman" w:cs="Times New Roman"/>
          <w:sz w:val="19"/>
          <w:szCs w:val="19"/>
        </w:rPr>
        <w:fldChar w:fldCharType="end"/>
      </w:r>
      <w:r w:rsidRPr="00F71171">
        <w:rPr>
          <w:rFonts w:ascii="Times New Roman" w:hAnsi="Times New Roman" w:cs="Times New Roman"/>
          <w:sz w:val="19"/>
          <w:szCs w:val="19"/>
        </w:rPr>
        <w:t>.</w:t>
      </w:r>
    </w:p>
    <w:p w14:paraId="792458FE" w14:textId="77777777" w:rsidR="005524F8" w:rsidRPr="005524F8" w:rsidRDefault="005524F8" w:rsidP="005524F8">
      <w:pPr>
        <w:pStyle w:val="tabletext"/>
        <w:spacing w:line="240" w:lineRule="atLeast"/>
        <w:jc w:val="both"/>
        <w:rPr>
          <w:lang w:eastAsia="zh-CN"/>
        </w:rPr>
      </w:pPr>
    </w:p>
    <w:p w14:paraId="5AE418F0" w14:textId="2BD88EFE" w:rsidR="006C0971" w:rsidRDefault="006C0971" w:rsidP="00220EB5">
      <w:pPr>
        <w:pStyle w:val="tabletext"/>
        <w:jc w:val="both"/>
      </w:pPr>
      <w:r w:rsidRPr="002369FE">
        <w:rPr>
          <w:b/>
          <w:bCs/>
        </w:rPr>
        <w:t xml:space="preserve">Table </w:t>
      </w:r>
      <w:r w:rsidR="00055335">
        <w:rPr>
          <w:b/>
          <w:bCs/>
        </w:rPr>
        <w:t>S1</w:t>
      </w:r>
      <w:r w:rsidRPr="007D34D8">
        <w:rPr>
          <w:b/>
          <w:bCs/>
        </w:rPr>
        <w:t>.</w:t>
      </w:r>
      <w:r>
        <w:t xml:space="preserve"> </w:t>
      </w:r>
      <w:bookmarkStart w:id="7" w:name="_Hlk97116812"/>
      <w:r w:rsidR="003020D3">
        <w:t>Purcell</w:t>
      </w:r>
      <w:r w:rsidR="00055335">
        <w:t xml:space="preserve"> </w:t>
      </w:r>
      <w:r w:rsidR="00025B7F">
        <w:t>Factors</w:t>
      </w:r>
      <w:r w:rsidR="003020D3">
        <w:t xml:space="preserve"> and </w:t>
      </w:r>
      <w:r w:rsidR="003020D3">
        <w:rPr>
          <w:lang w:eastAsia="zh-CN"/>
        </w:rPr>
        <w:t>A</w:t>
      </w:r>
      <w:r w:rsidR="003020D3" w:rsidRPr="00C54EE5">
        <w:rPr>
          <w:lang w:eastAsia="zh-CN"/>
        </w:rPr>
        <w:t>ntenna</w:t>
      </w:r>
      <w:r w:rsidR="003020D3">
        <w:rPr>
          <w:lang w:eastAsia="zh-CN"/>
        </w:rPr>
        <w:t xml:space="preserve"> E</w:t>
      </w:r>
      <w:r w:rsidR="003020D3" w:rsidRPr="00C54EE5">
        <w:rPr>
          <w:lang w:eastAsia="zh-CN"/>
        </w:rPr>
        <w:t>fficiency</w:t>
      </w:r>
      <w:r w:rsidR="00025B7F">
        <w:t xml:space="preserve"> </w:t>
      </w:r>
      <w:r w:rsidR="003020D3">
        <w:t xml:space="preserve">Calculated by </w:t>
      </w:r>
      <w:r w:rsidR="00BC19F0">
        <w:t xml:space="preserve">the simulated </w:t>
      </w:r>
      <w:r w:rsidR="003020D3">
        <w:t>radiative and nonradiative</w:t>
      </w:r>
      <w:r w:rsidR="003020D3" w:rsidRPr="003020D3">
        <w:t xml:space="preserve"> </w:t>
      </w:r>
      <w:r w:rsidR="003020D3" w:rsidRPr="00C54EE5">
        <w:t>decay rate</w:t>
      </w:r>
      <w:r w:rsidR="00A82449">
        <w:t>s</w:t>
      </w:r>
      <w:r w:rsidR="009D5D8B">
        <w:t>.</w:t>
      </w:r>
    </w:p>
    <w:p w14:paraId="2DF272C7" w14:textId="77777777" w:rsidR="00FC657C" w:rsidRDefault="00FC657C" w:rsidP="00220EB5">
      <w:pPr>
        <w:pStyle w:val="tabletext"/>
        <w:jc w:val="both"/>
      </w:pP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"/>
        <w:gridCol w:w="528"/>
        <w:gridCol w:w="528"/>
      </w:tblGrid>
      <w:tr w:rsidR="00700207" w14:paraId="18C95CEB" w14:textId="77777777" w:rsidTr="00FC657C">
        <w:trPr>
          <w:trHeight w:val="227"/>
          <w:jc w:val="center"/>
        </w:trPr>
        <w:tc>
          <w:tcPr>
            <w:tcW w:w="0" w:type="auto"/>
            <w:vMerge w:val="restart"/>
            <w:tcBorders>
              <w:top w:val="single" w:sz="12" w:space="0" w:color="auto"/>
              <w:right w:val="single" w:sz="48" w:space="0" w:color="FFFFFF" w:themeColor="background1"/>
            </w:tcBorders>
            <w:vAlign w:val="center"/>
          </w:tcPr>
          <w:bookmarkEnd w:id="7"/>
          <w:p w14:paraId="3B33453F" w14:textId="77777777" w:rsidR="00700207" w:rsidRPr="00B10745" w:rsidRDefault="00700207" w:rsidP="00B10745">
            <w:pPr>
              <w:pStyle w:val="tablehead"/>
              <w:jc w:val="center"/>
              <w:rPr>
                <w:lang w:val="en-US"/>
              </w:rPr>
            </w:pPr>
            <w:r w:rsidRPr="00B10745">
              <w:rPr>
                <w:lang w:val="en-US"/>
              </w:rPr>
              <w:t>Sample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left w:val="single" w:sz="48" w:space="0" w:color="FFFFFF" w:themeColor="background1"/>
              <w:bottom w:val="single" w:sz="4" w:space="0" w:color="auto"/>
              <w:right w:val="single" w:sz="48" w:space="0" w:color="FFFFFF" w:themeColor="background1"/>
            </w:tcBorders>
            <w:vAlign w:val="center"/>
          </w:tcPr>
          <w:p w14:paraId="38F46086" w14:textId="1A7A9C9F" w:rsidR="00700207" w:rsidRPr="00B10745" w:rsidRDefault="00700207" w:rsidP="00B10745">
            <w:pPr>
              <w:pStyle w:val="tablehead"/>
              <w:jc w:val="center"/>
              <w:rPr>
                <w:lang w:val="en-US"/>
              </w:rPr>
            </w:pPr>
            <w:r w:rsidRPr="00B10745">
              <w:rPr>
                <w:lang w:val="en-US"/>
              </w:rPr>
              <w:t>660 nm</w:t>
            </w:r>
          </w:p>
        </w:tc>
      </w:tr>
      <w:tr w:rsidR="00700207" w14:paraId="477BBEA2" w14:textId="77777777" w:rsidTr="00FC657C">
        <w:trPr>
          <w:trHeight w:val="227"/>
          <w:jc w:val="center"/>
        </w:trPr>
        <w:tc>
          <w:tcPr>
            <w:tcW w:w="0" w:type="auto"/>
            <w:vMerge/>
            <w:tcBorders>
              <w:bottom w:val="single" w:sz="4" w:space="0" w:color="auto"/>
              <w:right w:val="single" w:sz="48" w:space="0" w:color="FFFFFF" w:themeColor="background1"/>
            </w:tcBorders>
            <w:vAlign w:val="center"/>
          </w:tcPr>
          <w:p w14:paraId="7FFE6335" w14:textId="77777777" w:rsidR="00700207" w:rsidRPr="00B10745" w:rsidRDefault="00700207" w:rsidP="00B10745">
            <w:pPr>
              <w:pStyle w:val="tablehead"/>
              <w:jc w:val="center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  <w:right w:val="single" w:sz="48" w:space="0" w:color="FFFFFF" w:themeColor="background1"/>
            </w:tcBorders>
            <w:vAlign w:val="center"/>
          </w:tcPr>
          <w:p w14:paraId="5D30DF2A" w14:textId="51827CFB" w:rsidR="00700207" w:rsidRPr="009023C0" w:rsidRDefault="00700207" w:rsidP="00B10745">
            <w:pPr>
              <w:pStyle w:val="tablehead"/>
              <w:jc w:val="center"/>
              <w:rPr>
                <w:b w:val="0"/>
                <w:bCs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eastAsia="zh-CN"/>
                  </w:rPr>
                  <m:t>F</m:t>
                </m:r>
              </m:oMath>
            </m:oMathPara>
          </w:p>
        </w:tc>
        <w:tc>
          <w:tcPr>
            <w:tcW w:w="0" w:type="auto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  <w:right w:val="single" w:sz="48" w:space="0" w:color="FFFFFF" w:themeColor="background1"/>
            </w:tcBorders>
            <w:vAlign w:val="center"/>
          </w:tcPr>
          <w:p w14:paraId="36EE324A" w14:textId="37E342CF" w:rsidR="00700207" w:rsidRPr="009023C0" w:rsidRDefault="00A06130" w:rsidP="00B10745">
            <w:pPr>
              <w:pStyle w:val="tablehead"/>
              <w:jc w:val="center"/>
              <w:rPr>
                <w:b w:val="0"/>
                <w:bCs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 w:val="0"/>
                        <w:bCs/>
                        <w:lang w:eastAsia="zh-CN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eastAsia="zh-CN"/>
                      </w:rPr>
                      <m:t>η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lang w:eastAsia="zh-CN"/>
                      </w:rPr>
                      <m:t>a</m:t>
                    </m:r>
                  </m:sub>
                </m:sSub>
              </m:oMath>
            </m:oMathPara>
          </w:p>
        </w:tc>
      </w:tr>
      <w:tr w:rsidR="00700207" w14:paraId="4E4DE35E" w14:textId="77777777" w:rsidTr="00FC65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8" w:space="0" w:color="FFFFFF" w:themeColor="background1"/>
            </w:tcBorders>
            <w:vAlign w:val="center"/>
          </w:tcPr>
          <w:p w14:paraId="714D27BD" w14:textId="77777777" w:rsidR="00700207" w:rsidRPr="00AF4D6B" w:rsidRDefault="00700207" w:rsidP="00B10745">
            <w:pPr>
              <w:pStyle w:val="tablehead"/>
              <w:jc w:val="center"/>
              <w:rPr>
                <w:b w:val="0"/>
                <w:bCs/>
                <w:lang w:val="en-US"/>
              </w:rPr>
            </w:pPr>
            <w:r w:rsidRPr="00AF4D6B">
              <w:rPr>
                <w:b w:val="0"/>
                <w:bCs/>
                <w:lang w:val="en-US"/>
              </w:rPr>
              <w:t>SNC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vAlign w:val="center"/>
          </w:tcPr>
          <w:p w14:paraId="37FA642A" w14:textId="0E9D3668" w:rsidR="00700207" w:rsidRPr="005F4F80" w:rsidRDefault="00700207" w:rsidP="00B10745">
            <w:pPr>
              <w:pStyle w:val="tablehead"/>
              <w:jc w:val="center"/>
              <w:rPr>
                <w:b w:val="0"/>
                <w:bCs/>
                <w:lang w:val="en-US"/>
              </w:rPr>
            </w:pPr>
            <w:r w:rsidRPr="005F4F80">
              <w:rPr>
                <w:b w:val="0"/>
                <w:bCs/>
                <w:lang w:val="en-US"/>
              </w:rPr>
              <w:t>12.6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</w:tcPr>
          <w:p w14:paraId="1BE16551" w14:textId="590A8EC7" w:rsidR="00700207" w:rsidRPr="005F4F80" w:rsidRDefault="00700207" w:rsidP="00B10745">
            <w:pPr>
              <w:pStyle w:val="tablehead"/>
              <w:jc w:val="center"/>
              <w:rPr>
                <w:b w:val="0"/>
                <w:bCs/>
                <w:lang w:val="en-US"/>
              </w:rPr>
            </w:pPr>
            <w:r w:rsidRPr="005F4F80">
              <w:rPr>
                <w:b w:val="0"/>
                <w:bCs/>
                <w:lang w:val="en-US"/>
              </w:rPr>
              <w:t>0.49</w:t>
            </w:r>
          </w:p>
        </w:tc>
      </w:tr>
      <w:tr w:rsidR="00700207" w14:paraId="5D237FC2" w14:textId="77777777" w:rsidTr="00FC65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8" w:space="0" w:color="FFFFFF" w:themeColor="background1"/>
            </w:tcBorders>
            <w:vAlign w:val="center"/>
          </w:tcPr>
          <w:p w14:paraId="1D186B8F" w14:textId="77777777" w:rsidR="00700207" w:rsidRPr="00AF4D6B" w:rsidRDefault="00700207" w:rsidP="00B10745">
            <w:pPr>
              <w:pStyle w:val="tablehead"/>
              <w:jc w:val="center"/>
              <w:rPr>
                <w:b w:val="0"/>
                <w:bCs/>
                <w:lang w:val="en-US"/>
              </w:rPr>
            </w:pPr>
            <w:r w:rsidRPr="00AF4D6B">
              <w:rPr>
                <w:b w:val="0"/>
                <w:bCs/>
                <w:lang w:val="en-US"/>
              </w:rPr>
              <w:t>ONC</w:t>
            </w:r>
          </w:p>
        </w:tc>
        <w:tc>
          <w:tcPr>
            <w:tcW w:w="0" w:type="auto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vAlign w:val="center"/>
          </w:tcPr>
          <w:p w14:paraId="4CE321B1" w14:textId="6B928F68" w:rsidR="00700207" w:rsidRPr="005F4F80" w:rsidRDefault="00700207" w:rsidP="00B10745">
            <w:pPr>
              <w:pStyle w:val="tablehead"/>
              <w:jc w:val="center"/>
              <w:rPr>
                <w:b w:val="0"/>
                <w:bCs/>
                <w:lang w:val="en-US"/>
              </w:rPr>
            </w:pPr>
            <w:r w:rsidRPr="005F4F80">
              <w:rPr>
                <w:b w:val="0"/>
                <w:bCs/>
                <w:lang w:val="en-US"/>
              </w:rPr>
              <w:t>13.7</w:t>
            </w:r>
          </w:p>
        </w:tc>
        <w:tc>
          <w:tcPr>
            <w:tcW w:w="0" w:type="auto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</w:tcPr>
          <w:p w14:paraId="40906DD9" w14:textId="0D130067" w:rsidR="00700207" w:rsidRPr="005F4F80" w:rsidRDefault="00700207" w:rsidP="00B10745">
            <w:pPr>
              <w:pStyle w:val="tablehead"/>
              <w:jc w:val="center"/>
              <w:rPr>
                <w:b w:val="0"/>
                <w:bCs/>
                <w:lang w:val="en-US"/>
              </w:rPr>
            </w:pPr>
            <w:r w:rsidRPr="005F4F80">
              <w:rPr>
                <w:b w:val="0"/>
                <w:bCs/>
                <w:lang w:val="en-US"/>
              </w:rPr>
              <w:t>0.45</w:t>
            </w:r>
          </w:p>
        </w:tc>
      </w:tr>
      <w:tr w:rsidR="00700207" w14:paraId="6B2D8F35" w14:textId="77777777" w:rsidTr="00FC65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8" w:space="0" w:color="FFFFFF" w:themeColor="background1"/>
            </w:tcBorders>
            <w:vAlign w:val="center"/>
          </w:tcPr>
          <w:p w14:paraId="35E90A85" w14:textId="77777777" w:rsidR="00700207" w:rsidRPr="00AF4D6B" w:rsidRDefault="00700207" w:rsidP="00B10745">
            <w:pPr>
              <w:pStyle w:val="tablehead"/>
              <w:jc w:val="center"/>
              <w:rPr>
                <w:b w:val="0"/>
                <w:bCs/>
                <w:lang w:val="en-US"/>
              </w:rPr>
            </w:pPr>
            <w:r w:rsidRPr="00AF4D6B">
              <w:rPr>
                <w:b w:val="0"/>
                <w:bCs/>
                <w:lang w:val="en-US"/>
              </w:rPr>
              <w:t>CNC</w:t>
            </w:r>
          </w:p>
        </w:tc>
        <w:tc>
          <w:tcPr>
            <w:tcW w:w="0" w:type="auto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vAlign w:val="center"/>
          </w:tcPr>
          <w:p w14:paraId="48457060" w14:textId="38036E5D" w:rsidR="00700207" w:rsidRPr="005F4F80" w:rsidRDefault="00700207" w:rsidP="00B10745">
            <w:pPr>
              <w:pStyle w:val="tablehead"/>
              <w:jc w:val="center"/>
              <w:rPr>
                <w:b w:val="0"/>
                <w:bCs/>
                <w:lang w:val="en-US"/>
              </w:rPr>
            </w:pPr>
            <w:r w:rsidRPr="005F4F80">
              <w:rPr>
                <w:b w:val="0"/>
                <w:bCs/>
                <w:lang w:val="en-US"/>
              </w:rPr>
              <w:t>32.8</w:t>
            </w:r>
          </w:p>
        </w:tc>
        <w:tc>
          <w:tcPr>
            <w:tcW w:w="0" w:type="auto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</w:tcPr>
          <w:p w14:paraId="2AF4E778" w14:textId="3A176417" w:rsidR="00700207" w:rsidRPr="005F4F80" w:rsidRDefault="00700207" w:rsidP="00B10745">
            <w:pPr>
              <w:pStyle w:val="tablehead"/>
              <w:jc w:val="center"/>
              <w:rPr>
                <w:b w:val="0"/>
                <w:bCs/>
                <w:lang w:val="en-US"/>
              </w:rPr>
            </w:pPr>
            <w:r w:rsidRPr="005F4F80">
              <w:rPr>
                <w:b w:val="0"/>
                <w:bCs/>
                <w:lang w:val="en-US"/>
              </w:rPr>
              <w:t>0.57</w:t>
            </w:r>
          </w:p>
        </w:tc>
      </w:tr>
      <w:tr w:rsidR="00700207" w14:paraId="1FE36935" w14:textId="77777777" w:rsidTr="00FC65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48" w:space="0" w:color="FFFFFF" w:themeColor="background1"/>
            </w:tcBorders>
            <w:vAlign w:val="center"/>
          </w:tcPr>
          <w:p w14:paraId="4DDBE4FB" w14:textId="77777777" w:rsidR="00700207" w:rsidRPr="00AF4D6B" w:rsidRDefault="00700207" w:rsidP="00B10745">
            <w:pPr>
              <w:pStyle w:val="tablehead"/>
              <w:jc w:val="center"/>
              <w:rPr>
                <w:b w:val="0"/>
                <w:bCs/>
                <w:lang w:val="en-US"/>
              </w:rPr>
            </w:pPr>
            <w:r w:rsidRPr="00AF4D6B">
              <w:rPr>
                <w:b w:val="0"/>
                <w:bCs/>
                <w:lang w:val="en-US"/>
              </w:rPr>
              <w:t>TNC</w:t>
            </w:r>
          </w:p>
        </w:tc>
        <w:tc>
          <w:tcPr>
            <w:tcW w:w="0" w:type="auto"/>
            <w:tcBorders>
              <w:top w:val="nil"/>
              <w:left w:val="single" w:sz="48" w:space="0" w:color="FFFFFF" w:themeColor="background1"/>
              <w:bottom w:val="single" w:sz="12" w:space="0" w:color="auto"/>
              <w:right w:val="single" w:sz="48" w:space="0" w:color="FFFFFF" w:themeColor="background1"/>
            </w:tcBorders>
            <w:vAlign w:val="center"/>
          </w:tcPr>
          <w:p w14:paraId="07EC4D6D" w14:textId="75142657" w:rsidR="00700207" w:rsidRPr="005F4F80" w:rsidRDefault="00700207" w:rsidP="00B10745">
            <w:pPr>
              <w:pStyle w:val="tablehead"/>
              <w:jc w:val="center"/>
              <w:rPr>
                <w:b w:val="0"/>
                <w:bCs/>
                <w:lang w:val="en-US"/>
              </w:rPr>
            </w:pPr>
            <w:r w:rsidRPr="005F4F80">
              <w:rPr>
                <w:b w:val="0"/>
                <w:bCs/>
                <w:lang w:val="en-US"/>
              </w:rPr>
              <w:t>19.6</w:t>
            </w:r>
          </w:p>
        </w:tc>
        <w:tc>
          <w:tcPr>
            <w:tcW w:w="0" w:type="auto"/>
            <w:tcBorders>
              <w:top w:val="nil"/>
              <w:left w:val="single" w:sz="48" w:space="0" w:color="FFFFFF" w:themeColor="background1"/>
              <w:bottom w:val="single" w:sz="12" w:space="0" w:color="auto"/>
              <w:right w:val="single" w:sz="48" w:space="0" w:color="FFFFFF" w:themeColor="background1"/>
            </w:tcBorders>
          </w:tcPr>
          <w:p w14:paraId="0F62F2B7" w14:textId="195A1BEB" w:rsidR="00700207" w:rsidRPr="005F4F80" w:rsidRDefault="00700207" w:rsidP="00B10745">
            <w:pPr>
              <w:pStyle w:val="tablehead"/>
              <w:jc w:val="center"/>
              <w:rPr>
                <w:b w:val="0"/>
                <w:bCs/>
                <w:lang w:val="en-US"/>
              </w:rPr>
            </w:pPr>
            <w:r w:rsidRPr="005F4F80">
              <w:rPr>
                <w:b w:val="0"/>
                <w:bCs/>
                <w:lang w:val="en-US"/>
              </w:rPr>
              <w:t>0.49</w:t>
            </w:r>
          </w:p>
        </w:tc>
      </w:tr>
    </w:tbl>
    <w:p w14:paraId="0F47BA29" w14:textId="77777777" w:rsidR="007466CE" w:rsidRPr="003B4B16" w:rsidRDefault="007466CE" w:rsidP="007466CE">
      <w:pPr>
        <w:pStyle w:val="head1"/>
        <w:tabs>
          <w:tab w:val="clear" w:pos="495"/>
        </w:tabs>
        <w:ind w:left="0" w:firstLine="0"/>
        <w:rPr>
          <w:szCs w:val="30"/>
        </w:rPr>
      </w:pPr>
      <w:r w:rsidRPr="003B4B16">
        <w:rPr>
          <w:szCs w:val="30"/>
        </w:rPr>
        <w:t>References</w:t>
      </w:r>
    </w:p>
    <w:p w14:paraId="7C5764EB" w14:textId="77777777" w:rsidR="00822905" w:rsidRDefault="00822905" w:rsidP="00220EB5">
      <w:pPr>
        <w:pStyle w:val="tabletext"/>
        <w:jc w:val="both"/>
      </w:pPr>
    </w:p>
    <w:p w14:paraId="41BAA894" w14:textId="02742A15" w:rsidR="00822905" w:rsidRDefault="00822905" w:rsidP="00822905">
      <w:pPr>
        <w:pStyle w:val="reference"/>
        <w:numPr>
          <w:ilvl w:val="0"/>
          <w:numId w:val="14"/>
        </w:numPr>
        <w:tabs>
          <w:tab w:val="left" w:pos="380"/>
          <w:tab w:val="left" w:pos="437"/>
        </w:tabs>
        <w:ind w:left="357" w:hanging="357"/>
        <w:jc w:val="both"/>
        <w:rPr>
          <w:lang w:val="en-GB"/>
        </w:rPr>
      </w:pPr>
      <w:bookmarkStart w:id="8" w:name="_Ref96504887"/>
      <w:bookmarkStart w:id="9" w:name="_Ref96945184"/>
      <w:r w:rsidRPr="00ED5705">
        <w:rPr>
          <w:lang w:val="en-GB"/>
        </w:rPr>
        <w:t xml:space="preserve">X. Liu and D. Y. Lei, “Simultaneous excitation and emission enhancements in upconversion luminescence using plasmonic double-resonant gold nanorods,” </w:t>
      </w:r>
      <w:r w:rsidRPr="00C52AFD">
        <w:rPr>
          <w:i/>
          <w:iCs/>
          <w:lang w:val="en-GB"/>
        </w:rPr>
        <w:t>Sci. Rep.</w:t>
      </w:r>
      <w:r w:rsidRPr="00ED5705">
        <w:rPr>
          <w:lang w:val="en-GB"/>
        </w:rPr>
        <w:t>, vol. 5, p. 15235, 2015.</w:t>
      </w:r>
      <w:bookmarkEnd w:id="8"/>
      <w:bookmarkEnd w:id="9"/>
    </w:p>
    <w:p w14:paraId="647EE0F1" w14:textId="456A6FC1" w:rsidR="00822905" w:rsidRPr="00F63DFA" w:rsidRDefault="00687523" w:rsidP="00220EB5">
      <w:pPr>
        <w:pStyle w:val="reference"/>
        <w:numPr>
          <w:ilvl w:val="0"/>
          <w:numId w:val="14"/>
        </w:numPr>
        <w:tabs>
          <w:tab w:val="left" w:pos="380"/>
          <w:tab w:val="left" w:pos="437"/>
        </w:tabs>
        <w:ind w:left="357" w:hanging="357"/>
        <w:jc w:val="both"/>
        <w:rPr>
          <w:lang w:val="en-GB"/>
        </w:rPr>
      </w:pPr>
      <w:bookmarkStart w:id="10" w:name="_Ref96701347"/>
      <w:r w:rsidRPr="00843D06">
        <w:rPr>
          <w:lang w:val="en-GB"/>
        </w:rPr>
        <w:t>J. C. Boyer and F. C. J. M. V</w:t>
      </w:r>
      <w:r>
        <w:rPr>
          <w:lang w:val="en-GB"/>
        </w:rPr>
        <w:t>.</w:t>
      </w:r>
      <w:r w:rsidRPr="00843D06">
        <w:rPr>
          <w:lang w:val="en-GB"/>
        </w:rPr>
        <w:t xml:space="preserve"> </w:t>
      </w:r>
      <w:proofErr w:type="spellStart"/>
      <w:r w:rsidRPr="00843D06">
        <w:rPr>
          <w:lang w:val="en-GB"/>
        </w:rPr>
        <w:t>Veggel</w:t>
      </w:r>
      <w:proofErr w:type="spellEnd"/>
      <w:r w:rsidRPr="00843D06">
        <w:rPr>
          <w:lang w:val="en-GB"/>
        </w:rPr>
        <w:t>, “Absolute quantum yield measurements of colloidal NaYF</w:t>
      </w:r>
      <w:r w:rsidRPr="00C52AFD">
        <w:rPr>
          <w:vertAlign w:val="subscript"/>
          <w:lang w:val="en-GB"/>
        </w:rPr>
        <w:t>4</w:t>
      </w:r>
      <w:r w:rsidRPr="00843D06">
        <w:rPr>
          <w:lang w:val="en-GB"/>
        </w:rPr>
        <w:t>: Er</w:t>
      </w:r>
      <w:r w:rsidRPr="00C52AFD">
        <w:rPr>
          <w:vertAlign w:val="superscript"/>
          <w:lang w:val="en-GB"/>
        </w:rPr>
        <w:t>3+</w:t>
      </w:r>
      <w:r w:rsidRPr="00843D06">
        <w:rPr>
          <w:lang w:val="en-GB"/>
        </w:rPr>
        <w:t>, Yb</w:t>
      </w:r>
      <w:r w:rsidRPr="00C52AFD">
        <w:rPr>
          <w:vertAlign w:val="superscript"/>
          <w:lang w:val="en-GB"/>
        </w:rPr>
        <w:t>3+</w:t>
      </w:r>
      <w:r w:rsidRPr="00843D06">
        <w:rPr>
          <w:lang w:val="en-GB"/>
        </w:rPr>
        <w:t xml:space="preserve"> upconverting nanoparticles,” </w:t>
      </w:r>
      <w:r w:rsidRPr="00687523">
        <w:rPr>
          <w:i/>
          <w:iCs/>
          <w:lang w:val="en-GB"/>
        </w:rPr>
        <w:t>Nanoscale</w:t>
      </w:r>
      <w:r w:rsidRPr="00843D06">
        <w:rPr>
          <w:lang w:val="en-GB"/>
        </w:rPr>
        <w:t>, vol. 2, pp. 1417–1419, 2010.</w:t>
      </w:r>
      <w:bookmarkEnd w:id="10"/>
      <w:r w:rsidR="00D94803">
        <w:rPr>
          <w:lang w:val="en-GB"/>
        </w:rPr>
        <w:t xml:space="preserve"> </w:t>
      </w:r>
    </w:p>
    <w:sectPr w:rsidR="00822905" w:rsidRPr="00F63DFA" w:rsidSect="000B5610">
      <w:footerReference w:type="even" r:id="rId15"/>
      <w:footerReference w:type="default" r:id="rId16"/>
      <w:type w:val="continuous"/>
      <w:pgSz w:w="12240" w:h="15840"/>
      <w:pgMar w:top="1440" w:right="1440" w:bottom="1440" w:left="1440" w:header="0" w:footer="0" w:gutter="0"/>
      <w:cols w:space="47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7AF486" w14:textId="77777777" w:rsidR="00A06130" w:rsidRDefault="00A06130">
      <w:r>
        <w:separator/>
      </w:r>
    </w:p>
  </w:endnote>
  <w:endnote w:type="continuationSeparator" w:id="0">
    <w:p w14:paraId="5882CE55" w14:textId="77777777" w:rsidR="00A06130" w:rsidRDefault="00A061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76BBC" w14:textId="77777777" w:rsidR="003B4AF3" w:rsidRDefault="003B4AF3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</w:t>
    </w:r>
    <w:r>
      <w:rPr>
        <w:rStyle w:val="a8"/>
      </w:rPr>
      <w:fldChar w:fldCharType="end"/>
    </w:r>
  </w:p>
  <w:p w14:paraId="5F2CF11F" w14:textId="77777777" w:rsidR="003B4AF3" w:rsidRDefault="003B4AF3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15ABB" w14:textId="3E0AB397" w:rsidR="003B4AF3" w:rsidRPr="00F71171" w:rsidRDefault="003B4AF3">
    <w:pPr>
      <w:pStyle w:val="a7"/>
      <w:framePr w:wrap="around" w:vAnchor="text" w:hAnchor="margin" w:xAlign="right" w:y="1"/>
      <w:rPr>
        <w:rStyle w:val="a8"/>
        <w:color w:val="auto"/>
      </w:rPr>
    </w:pPr>
    <w:r w:rsidRPr="00F71171">
      <w:rPr>
        <w:rStyle w:val="a8"/>
        <w:color w:val="auto"/>
      </w:rPr>
      <w:fldChar w:fldCharType="begin"/>
    </w:r>
    <w:r w:rsidRPr="00F71171">
      <w:rPr>
        <w:rStyle w:val="a8"/>
        <w:color w:val="auto"/>
      </w:rPr>
      <w:instrText xml:space="preserve">PAGE  </w:instrText>
    </w:r>
    <w:r w:rsidRPr="00F71171">
      <w:rPr>
        <w:rStyle w:val="a8"/>
        <w:color w:val="auto"/>
      </w:rPr>
      <w:fldChar w:fldCharType="separate"/>
    </w:r>
    <w:r w:rsidR="00825CC9">
      <w:rPr>
        <w:rStyle w:val="a8"/>
        <w:noProof/>
        <w:color w:val="auto"/>
      </w:rPr>
      <w:t>4</w:t>
    </w:r>
    <w:r w:rsidRPr="00F71171">
      <w:rPr>
        <w:rStyle w:val="a8"/>
        <w:color w:val="auto"/>
      </w:rPr>
      <w:fldChar w:fldCharType="end"/>
    </w:r>
  </w:p>
  <w:p w14:paraId="42E2979E" w14:textId="77777777" w:rsidR="003B4AF3" w:rsidRDefault="003B4AF3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2117D1" w14:textId="77777777" w:rsidR="00A06130" w:rsidRDefault="00A06130">
      <w:r>
        <w:separator/>
      </w:r>
    </w:p>
  </w:footnote>
  <w:footnote w:type="continuationSeparator" w:id="0">
    <w:p w14:paraId="0AF27A5A" w14:textId="77777777" w:rsidR="00A06130" w:rsidRDefault="00A061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47C33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6866B4"/>
    <w:multiLevelType w:val="hybridMultilevel"/>
    <w:tmpl w:val="9B6CF676"/>
    <w:lvl w:ilvl="0" w:tplc="0B0E5FF4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857453E"/>
    <w:multiLevelType w:val="hybridMultilevel"/>
    <w:tmpl w:val="41DABB1E"/>
    <w:lvl w:ilvl="0" w:tplc="37367B38">
      <w:start w:val="1"/>
      <w:numFmt w:val="decimal"/>
      <w:lvlText w:val="(%1)"/>
      <w:lvlJc w:val="left"/>
      <w:pPr>
        <w:ind w:left="420" w:hanging="420"/>
      </w:pPr>
      <w:rPr>
        <w:rFonts w:ascii="Times" w:eastAsia="Times New Roman" w:hAnsi="Times" w:cs="Times" w:hint="default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B0D4588"/>
    <w:multiLevelType w:val="hybridMultilevel"/>
    <w:tmpl w:val="56DCB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01202A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86632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7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10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11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 w15:restartNumberingAfterBreak="0">
    <w:nsid w:val="42C5485B"/>
    <w:multiLevelType w:val="hybridMultilevel"/>
    <w:tmpl w:val="B336AA18"/>
    <w:lvl w:ilvl="0" w:tplc="7AF69BF0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3BB7060"/>
    <w:multiLevelType w:val="hybridMultilevel"/>
    <w:tmpl w:val="A9F460A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8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3"/>
  </w:num>
  <w:num w:numId="9">
    <w:abstractNumId w:val="0"/>
  </w:num>
  <w:num w:numId="10">
    <w:abstractNumId w:val="4"/>
  </w:num>
  <w:num w:numId="11">
    <w:abstractNumId w:val="13"/>
  </w:num>
  <w:num w:numId="12">
    <w:abstractNumId w:val="1"/>
  </w:num>
  <w:num w:numId="13">
    <w:abstractNumId w:val="2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cwMbcwNTe0MDYzMTZX0lEKTi0uzszPAykwNK4FABxT6T4tAAAA"/>
  </w:docVars>
  <w:rsids>
    <w:rsidRoot w:val="00322B4B"/>
    <w:rsid w:val="000002F2"/>
    <w:rsid w:val="00011CDD"/>
    <w:rsid w:val="00025B7F"/>
    <w:rsid w:val="00055335"/>
    <w:rsid w:val="0005660F"/>
    <w:rsid w:val="000702AD"/>
    <w:rsid w:val="000737A9"/>
    <w:rsid w:val="000802C7"/>
    <w:rsid w:val="0008315C"/>
    <w:rsid w:val="000A0224"/>
    <w:rsid w:val="000B2EEB"/>
    <w:rsid w:val="000B5610"/>
    <w:rsid w:val="000C05CC"/>
    <w:rsid w:val="000D17F7"/>
    <w:rsid w:val="0012135D"/>
    <w:rsid w:val="001451B8"/>
    <w:rsid w:val="00150D81"/>
    <w:rsid w:val="00160CAC"/>
    <w:rsid w:val="00195ACA"/>
    <w:rsid w:val="001A7A90"/>
    <w:rsid w:val="001B6C41"/>
    <w:rsid w:val="001D436F"/>
    <w:rsid w:val="00212B1D"/>
    <w:rsid w:val="0021534B"/>
    <w:rsid w:val="00220EB5"/>
    <w:rsid w:val="00262A00"/>
    <w:rsid w:val="00265C4D"/>
    <w:rsid w:val="00271A02"/>
    <w:rsid w:val="002A7493"/>
    <w:rsid w:val="002B016D"/>
    <w:rsid w:val="002C3431"/>
    <w:rsid w:val="003020D3"/>
    <w:rsid w:val="0031373B"/>
    <w:rsid w:val="00314672"/>
    <w:rsid w:val="003173A1"/>
    <w:rsid w:val="00322B4B"/>
    <w:rsid w:val="00324128"/>
    <w:rsid w:val="00361E35"/>
    <w:rsid w:val="003664E9"/>
    <w:rsid w:val="003679A1"/>
    <w:rsid w:val="00384998"/>
    <w:rsid w:val="00397466"/>
    <w:rsid w:val="00397765"/>
    <w:rsid w:val="003B4AF3"/>
    <w:rsid w:val="003E1F76"/>
    <w:rsid w:val="003E7E48"/>
    <w:rsid w:val="00475FD2"/>
    <w:rsid w:val="004B6C30"/>
    <w:rsid w:val="004C60F7"/>
    <w:rsid w:val="004E283C"/>
    <w:rsid w:val="004E5DA0"/>
    <w:rsid w:val="004E7185"/>
    <w:rsid w:val="004F537D"/>
    <w:rsid w:val="00507C45"/>
    <w:rsid w:val="00516B80"/>
    <w:rsid w:val="0054682A"/>
    <w:rsid w:val="005524F8"/>
    <w:rsid w:val="005553EF"/>
    <w:rsid w:val="00567E81"/>
    <w:rsid w:val="00591A57"/>
    <w:rsid w:val="005D0C10"/>
    <w:rsid w:val="005F4F80"/>
    <w:rsid w:val="005F64BE"/>
    <w:rsid w:val="006455A5"/>
    <w:rsid w:val="006532A3"/>
    <w:rsid w:val="00687523"/>
    <w:rsid w:val="006A0ED6"/>
    <w:rsid w:val="006A3E34"/>
    <w:rsid w:val="006B2581"/>
    <w:rsid w:val="006B29CF"/>
    <w:rsid w:val="006C0971"/>
    <w:rsid w:val="006D7DE7"/>
    <w:rsid w:val="007000D9"/>
    <w:rsid w:val="00700207"/>
    <w:rsid w:val="00712970"/>
    <w:rsid w:val="00727DCC"/>
    <w:rsid w:val="007466CE"/>
    <w:rsid w:val="00747701"/>
    <w:rsid w:val="00760D1F"/>
    <w:rsid w:val="007629D3"/>
    <w:rsid w:val="00770A89"/>
    <w:rsid w:val="00775E03"/>
    <w:rsid w:val="00794616"/>
    <w:rsid w:val="007A11AD"/>
    <w:rsid w:val="007D12B1"/>
    <w:rsid w:val="007F5B03"/>
    <w:rsid w:val="008047DE"/>
    <w:rsid w:val="00822905"/>
    <w:rsid w:val="00825CC9"/>
    <w:rsid w:val="008633FA"/>
    <w:rsid w:val="008655C0"/>
    <w:rsid w:val="008972FF"/>
    <w:rsid w:val="008B18E9"/>
    <w:rsid w:val="008B2AFD"/>
    <w:rsid w:val="008B4121"/>
    <w:rsid w:val="008D30F9"/>
    <w:rsid w:val="008D53B2"/>
    <w:rsid w:val="008E4246"/>
    <w:rsid w:val="009023C0"/>
    <w:rsid w:val="00912169"/>
    <w:rsid w:val="00914F35"/>
    <w:rsid w:val="0092037A"/>
    <w:rsid w:val="009246AD"/>
    <w:rsid w:val="00934261"/>
    <w:rsid w:val="00974C95"/>
    <w:rsid w:val="009D5D8B"/>
    <w:rsid w:val="009F2E7E"/>
    <w:rsid w:val="00A02D62"/>
    <w:rsid w:val="00A06130"/>
    <w:rsid w:val="00A20EB5"/>
    <w:rsid w:val="00A223EA"/>
    <w:rsid w:val="00A676F1"/>
    <w:rsid w:val="00A755AC"/>
    <w:rsid w:val="00A764EF"/>
    <w:rsid w:val="00A82449"/>
    <w:rsid w:val="00A91CE1"/>
    <w:rsid w:val="00AA565B"/>
    <w:rsid w:val="00AB2BB6"/>
    <w:rsid w:val="00AB34C5"/>
    <w:rsid w:val="00AF4D6B"/>
    <w:rsid w:val="00AF4F6D"/>
    <w:rsid w:val="00AF7F6A"/>
    <w:rsid w:val="00B05A88"/>
    <w:rsid w:val="00B10745"/>
    <w:rsid w:val="00B44641"/>
    <w:rsid w:val="00B7618D"/>
    <w:rsid w:val="00B852C7"/>
    <w:rsid w:val="00BB4437"/>
    <w:rsid w:val="00BC19F0"/>
    <w:rsid w:val="00BD2C44"/>
    <w:rsid w:val="00BD46F2"/>
    <w:rsid w:val="00BE312C"/>
    <w:rsid w:val="00C00388"/>
    <w:rsid w:val="00C10EE0"/>
    <w:rsid w:val="00C12556"/>
    <w:rsid w:val="00C22524"/>
    <w:rsid w:val="00C22605"/>
    <w:rsid w:val="00C30D04"/>
    <w:rsid w:val="00C54EE5"/>
    <w:rsid w:val="00C6170A"/>
    <w:rsid w:val="00C75754"/>
    <w:rsid w:val="00C90201"/>
    <w:rsid w:val="00CD051F"/>
    <w:rsid w:val="00D267BC"/>
    <w:rsid w:val="00D318E5"/>
    <w:rsid w:val="00D32E24"/>
    <w:rsid w:val="00D91338"/>
    <w:rsid w:val="00D94803"/>
    <w:rsid w:val="00DA18C7"/>
    <w:rsid w:val="00DD3C66"/>
    <w:rsid w:val="00DD6DBB"/>
    <w:rsid w:val="00DE02DD"/>
    <w:rsid w:val="00DF5217"/>
    <w:rsid w:val="00E01F19"/>
    <w:rsid w:val="00E074F2"/>
    <w:rsid w:val="00E21B26"/>
    <w:rsid w:val="00E32745"/>
    <w:rsid w:val="00E35498"/>
    <w:rsid w:val="00E70045"/>
    <w:rsid w:val="00E86443"/>
    <w:rsid w:val="00E87B8D"/>
    <w:rsid w:val="00E91482"/>
    <w:rsid w:val="00E96302"/>
    <w:rsid w:val="00EA32C5"/>
    <w:rsid w:val="00EC5177"/>
    <w:rsid w:val="00EE51B1"/>
    <w:rsid w:val="00EE6069"/>
    <w:rsid w:val="00EE6512"/>
    <w:rsid w:val="00EF695B"/>
    <w:rsid w:val="00F134F5"/>
    <w:rsid w:val="00F25DD7"/>
    <w:rsid w:val="00F428B9"/>
    <w:rsid w:val="00F47B85"/>
    <w:rsid w:val="00F54BDD"/>
    <w:rsid w:val="00F5645C"/>
    <w:rsid w:val="00F63DFA"/>
    <w:rsid w:val="00F71171"/>
    <w:rsid w:val="00FB2FA6"/>
    <w:rsid w:val="00FC657C"/>
    <w:rsid w:val="00FE6219"/>
    <w:rsid w:val="00FF2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4B59A22"/>
  <w14:defaultImageDpi w14:val="32767"/>
  <w15:docId w15:val="{223F3713-5615-420C-B661-D8BFB88C3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Theme="minorEastAsia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rsid w:val="006C0971"/>
    <w:pPr>
      <w:spacing w:line="260" w:lineRule="exact"/>
      <w:ind w:firstLine="340"/>
      <w:jc w:val="both"/>
    </w:pPr>
    <w:rPr>
      <w:rFonts w:ascii="Times New Roman" w:eastAsia="等线" w:hAnsi="Times New Roman"/>
      <w:color w:val="FF0000"/>
      <w:sz w:val="19"/>
      <w:szCs w:val="24"/>
      <w:lang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paragraph" w:styleId="a4">
    <w:name w:val="Body Text"/>
    <w:basedOn w:val="a"/>
    <w:pPr>
      <w:jc w:val="center"/>
    </w:pPr>
    <w:rPr>
      <w:b/>
      <w:sz w:val="40"/>
    </w:rPr>
  </w:style>
  <w:style w:type="paragraph" w:styleId="a5">
    <w:name w:val="footnote text"/>
    <w:basedOn w:val="a"/>
    <w:next w:val="TFReferencesSection"/>
    <w:semiHidden/>
  </w:style>
  <w:style w:type="paragraph" w:customStyle="1" w:styleId="TFReferencesSection">
    <w:name w:val="TF_References_Section"/>
    <w:basedOn w:val="a"/>
    <w:pPr>
      <w:spacing w:line="480" w:lineRule="auto"/>
      <w:ind w:firstLine="187"/>
    </w:pPr>
  </w:style>
  <w:style w:type="paragraph" w:customStyle="1" w:styleId="TAMainText">
    <w:name w:val="TA_Main_Text"/>
    <w:basedOn w:val="a"/>
    <w:pPr>
      <w:spacing w:line="480" w:lineRule="auto"/>
      <w:ind w:firstLine="202"/>
    </w:pPr>
  </w:style>
  <w:style w:type="paragraph" w:customStyle="1" w:styleId="BATitle">
    <w:name w:val="BA_Title"/>
    <w:basedOn w:val="a"/>
    <w:next w:val="BBAuthorName"/>
    <w:pPr>
      <w:spacing w:before="720" w:after="360" w:line="480" w:lineRule="auto"/>
      <w:jc w:val="center"/>
    </w:pPr>
    <w:rPr>
      <w:sz w:val="44"/>
    </w:rPr>
  </w:style>
  <w:style w:type="paragraph" w:customStyle="1" w:styleId="BBAuthorName">
    <w:name w:val="BB_Author_Name"/>
    <w:basedOn w:val="a"/>
    <w:next w:val="BCAuthorAddress"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a"/>
    <w:next w:val="BIEmailAddress"/>
    <w:pPr>
      <w:spacing w:after="240" w:line="480" w:lineRule="auto"/>
      <w:jc w:val="center"/>
    </w:pPr>
  </w:style>
  <w:style w:type="paragraph" w:customStyle="1" w:styleId="BIEmailAddress">
    <w:name w:val="BI_Email_Address"/>
    <w:basedOn w:val="a"/>
    <w:next w:val="AIReceivedDate"/>
    <w:pPr>
      <w:spacing w:line="480" w:lineRule="auto"/>
    </w:pPr>
  </w:style>
  <w:style w:type="paragraph" w:customStyle="1" w:styleId="AIReceivedDate">
    <w:name w:val="AI_Received_Date"/>
    <w:basedOn w:val="a"/>
    <w:next w:val="BDAbstract"/>
    <w:pPr>
      <w:spacing w:after="240" w:line="480" w:lineRule="auto"/>
    </w:pPr>
    <w:rPr>
      <w:b/>
    </w:rPr>
  </w:style>
  <w:style w:type="paragraph" w:customStyle="1" w:styleId="BDAbstract">
    <w:name w:val="BD_Abstract"/>
    <w:basedOn w:val="a"/>
    <w:next w:val="TAMainText"/>
    <w:pPr>
      <w:spacing w:before="360" w:after="360" w:line="480" w:lineRule="auto"/>
    </w:pPr>
  </w:style>
  <w:style w:type="paragraph" w:customStyle="1" w:styleId="TDAcknowledgments">
    <w:name w:val="TD_Acknowledgments"/>
    <w:basedOn w:val="a"/>
    <w:next w:val="a"/>
    <w:pPr>
      <w:spacing w:before="200" w:line="480" w:lineRule="auto"/>
      <w:ind w:firstLine="202"/>
    </w:pPr>
  </w:style>
  <w:style w:type="paragraph" w:customStyle="1" w:styleId="TESupportingInformation">
    <w:name w:val="TE_Supporting_Information"/>
    <w:basedOn w:val="a"/>
    <w:next w:val="a"/>
    <w:pPr>
      <w:spacing w:line="480" w:lineRule="auto"/>
      <w:ind w:firstLine="187"/>
    </w:pPr>
  </w:style>
  <w:style w:type="paragraph" w:customStyle="1" w:styleId="VCSchemeTitle">
    <w:name w:val="VC_Scheme_Title"/>
    <w:basedOn w:val="a"/>
    <w:next w:val="a"/>
    <w:pPr>
      <w:spacing w:line="480" w:lineRule="auto"/>
    </w:pPr>
  </w:style>
  <w:style w:type="paragraph" w:customStyle="1" w:styleId="VDTableTitle">
    <w:name w:val="VD_Table_Title"/>
    <w:basedOn w:val="a"/>
    <w:next w:val="a"/>
    <w:pPr>
      <w:spacing w:line="480" w:lineRule="auto"/>
    </w:pPr>
  </w:style>
  <w:style w:type="paragraph" w:customStyle="1" w:styleId="VAFigureCaption">
    <w:name w:val="VA_Figure_Caption"/>
    <w:basedOn w:val="a"/>
    <w:next w:val="a"/>
    <w:pPr>
      <w:spacing w:line="480" w:lineRule="auto"/>
    </w:pPr>
  </w:style>
  <w:style w:type="paragraph" w:customStyle="1" w:styleId="VBChartTitle">
    <w:name w:val="VB_Chart_Title"/>
    <w:basedOn w:val="a"/>
    <w:next w:val="a"/>
    <w:pPr>
      <w:spacing w:line="480" w:lineRule="auto"/>
    </w:pPr>
  </w:style>
  <w:style w:type="paragraph" w:customStyle="1" w:styleId="FETableFootnote">
    <w:name w:val="FE_Table_Footnote"/>
    <w:basedOn w:val="a"/>
    <w:next w:val="a"/>
    <w:pPr>
      <w:ind w:firstLine="187"/>
    </w:pPr>
  </w:style>
  <w:style w:type="paragraph" w:customStyle="1" w:styleId="FCChartFootnote">
    <w:name w:val="FC_Chart_Footnote"/>
    <w:basedOn w:val="a"/>
    <w:next w:val="a"/>
    <w:pPr>
      <w:ind w:firstLine="187"/>
    </w:pPr>
  </w:style>
  <w:style w:type="paragraph" w:customStyle="1" w:styleId="FDSchemeFootnote">
    <w:name w:val="FD_Scheme_Footnote"/>
    <w:basedOn w:val="a"/>
    <w:next w:val="a"/>
    <w:pPr>
      <w:ind w:firstLine="187"/>
    </w:pPr>
  </w:style>
  <w:style w:type="paragraph" w:customStyle="1" w:styleId="TCTableBody">
    <w:name w:val="TC_Table_Body"/>
    <w:basedOn w:val="a"/>
  </w:style>
  <w:style w:type="paragraph" w:customStyle="1" w:styleId="AFTitleRunningHead">
    <w:name w:val="AF_Title_Running_Head"/>
    <w:basedOn w:val="a"/>
    <w:next w:val="TAMainText"/>
    <w:pPr>
      <w:spacing w:line="480" w:lineRule="auto"/>
    </w:pPr>
  </w:style>
  <w:style w:type="paragraph" w:customStyle="1" w:styleId="BEAuthorBiography">
    <w:name w:val="BE_Author_Biography"/>
    <w:basedOn w:val="a"/>
    <w:pPr>
      <w:spacing w:line="480" w:lineRule="auto"/>
    </w:pPr>
  </w:style>
  <w:style w:type="paragraph" w:customStyle="1" w:styleId="FACorrespondingAuthorFootnote">
    <w:name w:val="FA_Corresponding_Author_Footnote"/>
    <w:basedOn w:val="a"/>
    <w:next w:val="TAMainText"/>
    <w:pPr>
      <w:spacing w:line="480" w:lineRule="auto"/>
    </w:pPr>
  </w:style>
  <w:style w:type="paragraph" w:customStyle="1" w:styleId="SNSynopsisTOC">
    <w:name w:val="SN_Synopsis_TOC"/>
    <w:basedOn w:val="a"/>
    <w:pPr>
      <w:spacing w:line="480" w:lineRule="auto"/>
    </w:pPr>
  </w:style>
  <w:style w:type="character" w:styleId="a6">
    <w:name w:val="Hyperlink"/>
    <w:rPr>
      <w:color w:val="0000FF"/>
      <w:u w:val="single"/>
    </w:rPr>
  </w:style>
  <w:style w:type="paragraph" w:styleId="a7">
    <w:name w:val="footer"/>
    <w:basedOn w:val="a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a"/>
    <w:pPr>
      <w:spacing w:line="480" w:lineRule="auto"/>
    </w:pPr>
  </w:style>
  <w:style w:type="paragraph" w:customStyle="1" w:styleId="BHBriefs">
    <w:name w:val="BH_Briefs"/>
    <w:basedOn w:val="a"/>
    <w:pPr>
      <w:spacing w:line="480" w:lineRule="auto"/>
    </w:pPr>
  </w:style>
  <w:style w:type="character" w:styleId="a8">
    <w:name w:val="page number"/>
    <w:basedOn w:val="a0"/>
  </w:style>
  <w:style w:type="paragraph" w:styleId="a9">
    <w:name w:val="Balloon Text"/>
    <w:basedOn w:val="a"/>
    <w:semiHidden/>
    <w:rsid w:val="00E96302"/>
    <w:rPr>
      <w:rFonts w:ascii="Tahoma" w:hAnsi="Tahoma" w:cs="Tahoma"/>
      <w:sz w:val="16"/>
      <w:szCs w:val="16"/>
    </w:rPr>
  </w:style>
  <w:style w:type="paragraph" w:customStyle="1" w:styleId="StyleFACorrespondingAuthorFootnote7pt">
    <w:name w:val="Style FA_Corresponding_Author_Footnote + 7 pt"/>
    <w:basedOn w:val="a"/>
    <w:next w:val="BGKeywords"/>
    <w:link w:val="StyleFACorrespondingAuthorFootnote7ptChar"/>
    <w:autoRedefine/>
    <w:rsid w:val="00C10EE0"/>
    <w:pPr>
      <w:jc w:val="left"/>
    </w:pPr>
    <w:rPr>
      <w:rFonts w:ascii="Arno Pro" w:hAnsi="Arno Pro"/>
      <w:kern w:val="20"/>
      <w:sz w:val="18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C10EE0"/>
    <w:rPr>
      <w:rFonts w:ascii="Arno Pro" w:hAnsi="Arno Pro"/>
      <w:kern w:val="20"/>
      <w:sz w:val="18"/>
    </w:rPr>
  </w:style>
  <w:style w:type="paragraph" w:customStyle="1" w:styleId="FAAuthorInfoSubtitle">
    <w:name w:val="FA_Author_Info_Subtitle"/>
    <w:basedOn w:val="a"/>
    <w:link w:val="FAAuthorInfoSubtitleChar"/>
    <w:autoRedefine/>
    <w:rsid w:val="00DD6DBB"/>
    <w:pPr>
      <w:spacing w:before="120" w:after="60" w:line="480" w:lineRule="auto"/>
      <w:jc w:val="left"/>
    </w:pPr>
    <w:rPr>
      <w:b/>
    </w:rPr>
  </w:style>
  <w:style w:type="character" w:customStyle="1" w:styleId="FAAuthorInfoSubtitleChar">
    <w:name w:val="FA_Author_Info_Subtitle Char"/>
    <w:link w:val="FAAuthorInfoSubtitle"/>
    <w:rsid w:val="00DD6DBB"/>
    <w:rPr>
      <w:rFonts w:ascii="Times" w:hAnsi="Times"/>
      <w:b/>
      <w:sz w:val="24"/>
    </w:rPr>
  </w:style>
  <w:style w:type="paragraph" w:customStyle="1" w:styleId="Default">
    <w:name w:val="Default"/>
    <w:rsid w:val="001A7A90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table" w:styleId="aa">
    <w:name w:val="Table Grid"/>
    <w:basedOn w:val="a1"/>
    <w:uiPriority w:val="39"/>
    <w:rsid w:val="00322B4B"/>
    <w:rPr>
      <w:rFonts w:asciiTheme="minorHAnsi" w:hAnsiTheme="minorHAnsi" w:cstheme="minorBid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SCB02ArticleText">
    <w:name w:val="RSC B02 Article Text"/>
    <w:basedOn w:val="a"/>
    <w:link w:val="RSCB02ArticleTextChar"/>
    <w:qFormat/>
    <w:rsid w:val="00322B4B"/>
    <w:pPr>
      <w:spacing w:line="240" w:lineRule="exact"/>
    </w:pPr>
    <w:rPr>
      <w:rFonts w:asciiTheme="minorHAnsi" w:hAnsiTheme="minorHAnsi"/>
      <w:w w:val="108"/>
      <w:sz w:val="18"/>
      <w:szCs w:val="18"/>
      <w:lang w:val="en-GB"/>
    </w:rPr>
  </w:style>
  <w:style w:type="character" w:customStyle="1" w:styleId="RSCB02ArticleTextChar">
    <w:name w:val="RSC B02 Article Text Char"/>
    <w:basedOn w:val="a0"/>
    <w:link w:val="RSCB02ArticleText"/>
    <w:rsid w:val="00322B4B"/>
    <w:rPr>
      <w:rFonts w:asciiTheme="minorHAnsi" w:hAnsiTheme="minorHAnsi"/>
      <w:w w:val="108"/>
      <w:sz w:val="18"/>
      <w:szCs w:val="18"/>
      <w:lang w:val="en-GB"/>
    </w:rPr>
  </w:style>
  <w:style w:type="character" w:customStyle="1" w:styleId="1">
    <w:name w:val="未处理的提及1"/>
    <w:basedOn w:val="a0"/>
    <w:uiPriority w:val="99"/>
    <w:semiHidden/>
    <w:unhideWhenUsed/>
    <w:rsid w:val="00322B4B"/>
    <w:rPr>
      <w:color w:val="605E5C"/>
      <w:shd w:val="clear" w:color="auto" w:fill="E1DFDD"/>
    </w:rPr>
  </w:style>
  <w:style w:type="paragraph" w:styleId="ab">
    <w:name w:val="header"/>
    <w:basedOn w:val="a"/>
    <w:link w:val="ac"/>
    <w:unhideWhenUsed/>
    <w:rsid w:val="005468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rsid w:val="0054682A"/>
    <w:rPr>
      <w:rFonts w:ascii="Times" w:hAnsi="Times"/>
      <w:sz w:val="18"/>
      <w:szCs w:val="18"/>
    </w:rPr>
  </w:style>
  <w:style w:type="paragraph" w:customStyle="1" w:styleId="articletitle">
    <w:name w:val="article_title"/>
    <w:qFormat/>
    <w:locked/>
    <w:rsid w:val="00516B80"/>
    <w:pPr>
      <w:suppressAutoHyphens/>
      <w:spacing w:after="260" w:line="390" w:lineRule="exact"/>
    </w:pPr>
    <w:rPr>
      <w:rFonts w:ascii="Arial" w:hAnsi="Arial" w:cs="Arial"/>
      <w:b/>
      <w:sz w:val="34"/>
      <w:szCs w:val="24"/>
      <w:lang w:eastAsia="de-DE"/>
    </w:rPr>
  </w:style>
  <w:style w:type="paragraph" w:customStyle="1" w:styleId="articlesubtitle">
    <w:name w:val="article_subtitle"/>
    <w:uiPriority w:val="1"/>
    <w:qFormat/>
    <w:locked/>
    <w:rsid w:val="00516B80"/>
    <w:pPr>
      <w:suppressAutoHyphens/>
      <w:spacing w:after="310" w:line="300" w:lineRule="exact"/>
    </w:pPr>
    <w:rPr>
      <w:rFonts w:ascii="Arial" w:hAnsi="Arial" w:cs="Arial"/>
      <w:sz w:val="24"/>
      <w:szCs w:val="24"/>
      <w:lang w:eastAsia="de-DE"/>
    </w:rPr>
  </w:style>
  <w:style w:type="paragraph" w:customStyle="1" w:styleId="articleauthor">
    <w:name w:val="article_author"/>
    <w:next w:val="a"/>
    <w:qFormat/>
    <w:locked/>
    <w:rsid w:val="00516B80"/>
    <w:pPr>
      <w:keepNext/>
      <w:suppressAutoHyphens/>
      <w:spacing w:line="300" w:lineRule="exact"/>
    </w:pPr>
    <w:rPr>
      <w:rFonts w:ascii="Arial" w:eastAsia="等线" w:hAnsi="Arial"/>
      <w:sz w:val="24"/>
      <w:szCs w:val="24"/>
      <w:lang w:eastAsia="de-DE"/>
    </w:rPr>
  </w:style>
  <w:style w:type="paragraph" w:customStyle="1" w:styleId="head1">
    <w:name w:val="head1"/>
    <w:next w:val="a"/>
    <w:qFormat/>
    <w:locked/>
    <w:rsid w:val="00516B80"/>
    <w:pPr>
      <w:keepNext/>
      <w:tabs>
        <w:tab w:val="num" w:pos="495"/>
        <w:tab w:val="left" w:pos="665"/>
      </w:tabs>
      <w:suppressAutoHyphens/>
      <w:spacing w:before="520" w:after="260" w:line="390" w:lineRule="exact"/>
      <w:ind w:left="319" w:hanging="319"/>
      <w:outlineLvl w:val="0"/>
    </w:pPr>
    <w:rPr>
      <w:rFonts w:ascii="Arial" w:eastAsia="等线" w:hAnsi="Arial" w:cs="Arial"/>
      <w:b/>
      <w:sz w:val="30"/>
      <w:szCs w:val="24"/>
      <w:lang w:eastAsia="de-DE"/>
    </w:rPr>
  </w:style>
  <w:style w:type="paragraph" w:customStyle="1" w:styleId="tabletext">
    <w:name w:val="table_text"/>
    <w:qFormat/>
    <w:locked/>
    <w:rsid w:val="00516B80"/>
    <w:pPr>
      <w:spacing w:line="220" w:lineRule="exact"/>
    </w:pPr>
    <w:rPr>
      <w:rFonts w:ascii="Arial" w:eastAsia="等线" w:hAnsi="Arial" w:cs="Arial"/>
      <w:sz w:val="16"/>
      <w:szCs w:val="24"/>
      <w:lang w:eastAsia="de-DE"/>
    </w:rPr>
  </w:style>
  <w:style w:type="paragraph" w:customStyle="1" w:styleId="tablehead">
    <w:name w:val="table_head"/>
    <w:basedOn w:val="tabletext"/>
    <w:qFormat/>
    <w:locked/>
    <w:rsid w:val="006C0971"/>
    <w:rPr>
      <w:b/>
    </w:rPr>
  </w:style>
  <w:style w:type="paragraph" w:customStyle="1" w:styleId="reference">
    <w:name w:val="reference"/>
    <w:qFormat/>
    <w:locked/>
    <w:rsid w:val="00822905"/>
    <w:pPr>
      <w:spacing w:line="220" w:lineRule="exact"/>
      <w:ind w:left="340" w:hanging="340"/>
    </w:pPr>
    <w:rPr>
      <w:rFonts w:ascii="Arial" w:eastAsia="等线" w:hAnsi="Arial" w:cs="Arial"/>
      <w:sz w:val="16"/>
      <w:szCs w:val="24"/>
      <w:lang w:eastAsia="de-DE"/>
    </w:rPr>
  </w:style>
  <w:style w:type="paragraph" w:customStyle="1" w:styleId="paragraph">
    <w:name w:val="paragraph"/>
    <w:qFormat/>
    <w:locked/>
    <w:rsid w:val="005524F8"/>
    <w:pPr>
      <w:spacing w:line="260" w:lineRule="exact"/>
      <w:ind w:firstLine="340"/>
      <w:jc w:val="both"/>
    </w:pPr>
    <w:rPr>
      <w:rFonts w:ascii="Times New Roman" w:eastAsia="等线" w:hAnsi="Times New Roman"/>
      <w:sz w:val="19"/>
      <w:szCs w:val="24"/>
      <w:lang w:eastAsia="de-DE"/>
    </w:rPr>
  </w:style>
  <w:style w:type="character" w:customStyle="1" w:styleId="dateline">
    <w:name w:val="dateline"/>
    <w:uiPriority w:val="8"/>
    <w:qFormat/>
    <w:locked/>
    <w:rsid w:val="005524F8"/>
    <w:rPr>
      <w:rFonts w:ascii="Arial" w:hAnsi="Arial" w:cs="Arial"/>
      <w:b/>
      <w:sz w:val="19"/>
      <w:lang w:val="en-US"/>
    </w:rPr>
  </w:style>
  <w:style w:type="character" w:styleId="ad">
    <w:name w:val="Placeholder Text"/>
    <w:basedOn w:val="a0"/>
    <w:uiPriority w:val="99"/>
    <w:semiHidden/>
    <w:rsid w:val="006D7DE7"/>
    <w:rPr>
      <w:color w:val="808080"/>
    </w:rPr>
  </w:style>
  <w:style w:type="paragraph" w:customStyle="1" w:styleId="head2">
    <w:name w:val="head2"/>
    <w:next w:val="a"/>
    <w:qFormat/>
    <w:locked/>
    <w:rsid w:val="007466CE"/>
    <w:pPr>
      <w:keepNext/>
      <w:tabs>
        <w:tab w:val="num" w:pos="599"/>
        <w:tab w:val="left" w:pos="736"/>
        <w:tab w:val="left" w:pos="873"/>
        <w:tab w:val="left" w:pos="1010"/>
      </w:tabs>
      <w:suppressAutoHyphens/>
      <w:spacing w:before="480" w:after="180" w:line="300" w:lineRule="exact"/>
      <w:ind w:left="463" w:hanging="463"/>
      <w:outlineLvl w:val="1"/>
    </w:pPr>
    <w:rPr>
      <w:rFonts w:ascii="Arial" w:eastAsia="等线" w:hAnsi="Arial" w:cs="Arial"/>
      <w:b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59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8504;&#35802;&#36798;\OneDrive\&#25991;&#26723;\Angular%20Luminescence\JPCL\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581AC0-40C2-4998-B1B4-445A5EDDD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1.dotx</Template>
  <TotalTime>53</TotalTime>
  <Pages>4</Pages>
  <Words>582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for Electronic Submission to ACS Journals</vt:lpstr>
    </vt:vector>
  </TitlesOfParts>
  <Company>ACS</Company>
  <LinksUpToDate>false</LinksUpToDate>
  <CharactersWithSpaces>3899</CharactersWithSpaces>
  <SharedDoc>false</SharedDoc>
  <HLinks>
    <vt:vector size="6" baseType="variant">
      <vt:variant>
        <vt:i4>4849748</vt:i4>
      </vt:variant>
      <vt:variant>
        <vt:i4>0</vt:i4>
      </vt:variant>
      <vt:variant>
        <vt:i4>0</vt:i4>
      </vt:variant>
      <vt:variant>
        <vt:i4>5</vt:i4>
      </vt:variant>
      <vt:variant>
        <vt:lpwstr>http://pubs.acs.org/page/4authors/index.html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subject/>
  <dc:creator>潘诚达</dc:creator>
  <cp:keywords/>
  <cp:lastModifiedBy>潘 诚达</cp:lastModifiedBy>
  <cp:revision>15</cp:revision>
  <cp:lastPrinted>2022-03-05T16:04:00Z</cp:lastPrinted>
  <dcterms:created xsi:type="dcterms:W3CDTF">2022-03-02T04:49:00Z</dcterms:created>
  <dcterms:modified xsi:type="dcterms:W3CDTF">2022-03-30T09:20:00Z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 6th edition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http://www.zotero.org/styles/journal-of-optics-official-publication-of-the-optical-society-of-india</vt:lpwstr>
  </property>
  <property fmtid="{D5CDD505-2E9C-101B-9397-08002B2CF9AE}" pid="15" name="Mendeley Recent Style Name 6_1">
    <vt:lpwstr>Journal of Optics - official publication of the Optical Society of India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http://csl.mendeley.com/styles/574382901/ieee</vt:lpwstr>
  </property>
  <property fmtid="{D5CDD505-2E9C-101B-9397-08002B2CF9AE}" pid="19" name="Mendeley Recent Style Name 8_1">
    <vt:lpwstr>Nanophotonics - CHENGDA PAN</vt:lpwstr>
  </property>
  <property fmtid="{D5CDD505-2E9C-101B-9397-08002B2CF9AE}" pid="20" name="Mendeley Recent Style Id 9_1">
    <vt:lpwstr>http://www.zotero.org/styles/national-natural-science-foundation-of-china</vt:lpwstr>
  </property>
  <property fmtid="{D5CDD505-2E9C-101B-9397-08002B2CF9AE}" pid="21" name="Mendeley Recent Style Name 9_1">
    <vt:lpwstr>National Natural Science Foundation of China (Chinese)</vt:lpwstr>
  </property>
</Properties>
</file>