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9837E" w14:textId="77777777" w:rsidR="002012C9" w:rsidRPr="00853092" w:rsidRDefault="002012C9" w:rsidP="002012C9">
      <w:pPr>
        <w:jc w:val="center"/>
        <w:rPr>
          <w:b/>
          <w:sz w:val="36"/>
          <w:szCs w:val="36"/>
        </w:rPr>
      </w:pPr>
      <w:r w:rsidRPr="00853092">
        <w:rPr>
          <w:b/>
          <w:sz w:val="36"/>
          <w:szCs w:val="36"/>
        </w:rPr>
        <w:t>Supporting Information</w:t>
      </w:r>
    </w:p>
    <w:p w14:paraId="76964486" w14:textId="77777777" w:rsidR="00D07F32" w:rsidRPr="00D07F32" w:rsidRDefault="00D07F32" w:rsidP="00D07F32">
      <w:pPr>
        <w:pStyle w:val="Heading1"/>
        <w:rPr>
          <w:bCs/>
          <w:sz w:val="32"/>
          <w:lang w:val="en-US"/>
        </w:rPr>
      </w:pPr>
      <w:r w:rsidRPr="00D07F32">
        <w:rPr>
          <w:bCs/>
          <w:sz w:val="32"/>
          <w:lang w:val="en-US"/>
        </w:rPr>
        <w:t>Anomalous Resonance Frequency Shift in Liquid Crystal-Loaded THz Metamaterials</w:t>
      </w:r>
    </w:p>
    <w:p w14:paraId="7DCFBB04" w14:textId="77777777" w:rsidR="00D07F32" w:rsidRPr="00320CAA" w:rsidRDefault="00D07F32" w:rsidP="00D07F32">
      <w:pPr>
        <w:spacing w:after="60"/>
        <w:jc w:val="left"/>
        <w:rPr>
          <w:rFonts w:cstheme="minorHAnsi"/>
          <w:sz w:val="24"/>
          <w:szCs w:val="24"/>
          <w:lang w:val="en-US"/>
        </w:rPr>
      </w:pPr>
      <w:r w:rsidRPr="00320CAA">
        <w:rPr>
          <w:rFonts w:cstheme="minorHAnsi"/>
          <w:sz w:val="24"/>
          <w:szCs w:val="24"/>
          <w:lang w:val="en-US"/>
        </w:rPr>
        <w:t>Eleni Perivolari</w:t>
      </w:r>
      <w:r w:rsidRPr="00320CAA">
        <w:rPr>
          <w:rFonts w:cstheme="minorHAnsi"/>
          <w:sz w:val="24"/>
          <w:szCs w:val="24"/>
          <w:vertAlign w:val="superscript"/>
          <w:lang w:val="en-US"/>
        </w:rPr>
        <w:t>1,</w:t>
      </w:r>
      <w:r>
        <w:rPr>
          <w:rFonts w:cstheme="minorHAnsi"/>
          <w:sz w:val="24"/>
          <w:szCs w:val="24"/>
          <w:vertAlign w:val="superscript"/>
          <w:lang w:val="en-US"/>
        </w:rPr>
        <w:t>2</w:t>
      </w:r>
      <w:r w:rsidRPr="00320CAA">
        <w:rPr>
          <w:rFonts w:cstheme="minorHAnsi"/>
          <w:sz w:val="24"/>
          <w:szCs w:val="24"/>
          <w:vertAlign w:val="superscript"/>
          <w:lang w:val="en-US"/>
        </w:rPr>
        <w:t>*</w:t>
      </w:r>
      <w:r w:rsidRPr="00320CAA">
        <w:rPr>
          <w:rFonts w:cstheme="minorHAnsi"/>
          <w:sz w:val="24"/>
          <w:szCs w:val="24"/>
          <w:lang w:val="en-US"/>
        </w:rPr>
        <w:t>, Vassili A. Fedotov</w:t>
      </w:r>
      <w:r>
        <w:rPr>
          <w:rFonts w:cstheme="minorHAnsi"/>
          <w:sz w:val="24"/>
          <w:szCs w:val="24"/>
          <w:vertAlign w:val="superscript"/>
          <w:lang w:val="en-US"/>
        </w:rPr>
        <w:t>3</w:t>
      </w:r>
      <w:r w:rsidRPr="00320CAA">
        <w:rPr>
          <w:rFonts w:cstheme="minorHAnsi"/>
          <w:sz w:val="24"/>
          <w:szCs w:val="24"/>
          <w:lang w:val="en-US"/>
        </w:rPr>
        <w:t>,</w:t>
      </w:r>
      <w:r w:rsidRPr="00320CAA">
        <w:rPr>
          <w:rFonts w:cstheme="minorHAnsi"/>
          <w:sz w:val="24"/>
          <w:szCs w:val="24"/>
          <w:vertAlign w:val="superscript"/>
          <w:lang w:val="en-US"/>
        </w:rPr>
        <w:t xml:space="preserve"> </w:t>
      </w:r>
      <w:r w:rsidRPr="00320CAA">
        <w:rPr>
          <w:rFonts w:cstheme="minorHAnsi"/>
          <w:sz w:val="24"/>
          <w:szCs w:val="24"/>
          <w:lang w:val="en-US"/>
        </w:rPr>
        <w:t>Janusz Parka</w:t>
      </w:r>
      <w:r>
        <w:rPr>
          <w:rFonts w:cstheme="minorHAnsi"/>
          <w:sz w:val="24"/>
          <w:szCs w:val="24"/>
          <w:vertAlign w:val="superscript"/>
          <w:lang w:val="en-US"/>
        </w:rPr>
        <w:t>4</w:t>
      </w:r>
      <w:r w:rsidRPr="00320CAA">
        <w:rPr>
          <w:rFonts w:cstheme="minorHAnsi"/>
          <w:sz w:val="24"/>
          <w:szCs w:val="24"/>
          <w:lang w:val="en-US"/>
        </w:rPr>
        <w:t>, Malgosia Kaczmarek</w:t>
      </w:r>
      <w:r w:rsidRPr="00320CAA">
        <w:rPr>
          <w:rFonts w:cstheme="minorHAnsi"/>
          <w:sz w:val="24"/>
          <w:szCs w:val="24"/>
          <w:vertAlign w:val="superscript"/>
          <w:lang w:val="en-US"/>
        </w:rPr>
        <w:t>1</w:t>
      </w:r>
      <w:r w:rsidRPr="00320CAA">
        <w:rPr>
          <w:rFonts w:cstheme="minorHAnsi"/>
          <w:sz w:val="24"/>
          <w:szCs w:val="24"/>
          <w:lang w:val="en-US"/>
        </w:rPr>
        <w:t>, and Vasilis Apostolopoulos</w:t>
      </w:r>
      <w:r w:rsidRPr="00320CAA">
        <w:rPr>
          <w:rFonts w:cstheme="minorHAnsi"/>
          <w:sz w:val="24"/>
          <w:szCs w:val="24"/>
          <w:vertAlign w:val="superscript"/>
          <w:lang w:val="en-US"/>
        </w:rPr>
        <w:t xml:space="preserve">1 </w:t>
      </w:r>
    </w:p>
    <w:p w14:paraId="25468FDA" w14:textId="77777777" w:rsidR="00D07F32" w:rsidRPr="00C1105D" w:rsidRDefault="00D07F32" w:rsidP="00C1105D">
      <w:pPr>
        <w:pStyle w:val="ListParagraph"/>
        <w:numPr>
          <w:ilvl w:val="0"/>
          <w:numId w:val="2"/>
        </w:numPr>
        <w:spacing w:after="60"/>
        <w:jc w:val="center"/>
        <w:rPr>
          <w:rFonts w:eastAsia="MS Mincho" w:cstheme="minorHAnsi"/>
          <w:i/>
          <w:iCs/>
          <w:sz w:val="16"/>
          <w:szCs w:val="16"/>
          <w:lang w:val="en-US" w:eastAsia="ja-JP"/>
        </w:rPr>
      </w:pPr>
      <w:r w:rsidRPr="00C1105D">
        <w:rPr>
          <w:rFonts w:eastAsia="MS Mincho" w:cstheme="minorHAnsi"/>
          <w:i/>
          <w:iCs/>
          <w:sz w:val="16"/>
          <w:szCs w:val="16"/>
          <w:lang w:val="en-US" w:eastAsia="ja-JP"/>
        </w:rPr>
        <w:t>Physics and Astronomy, University of Southampton, Highfield  SO17 1BJ, UK</w:t>
      </w:r>
    </w:p>
    <w:p w14:paraId="1F095A5D" w14:textId="77777777" w:rsidR="00D07F32" w:rsidRPr="00C1105D" w:rsidRDefault="00D07F32" w:rsidP="00C1105D">
      <w:pPr>
        <w:pStyle w:val="ListParagraph"/>
        <w:numPr>
          <w:ilvl w:val="0"/>
          <w:numId w:val="2"/>
        </w:numPr>
        <w:spacing w:after="60"/>
        <w:jc w:val="center"/>
        <w:rPr>
          <w:rFonts w:eastAsia="MS Mincho" w:cstheme="minorHAnsi"/>
          <w:i/>
          <w:iCs/>
          <w:sz w:val="16"/>
          <w:szCs w:val="16"/>
          <w:lang w:val="en-US" w:eastAsia="ja-JP"/>
        </w:rPr>
      </w:pPr>
      <w:r w:rsidRPr="00C1105D">
        <w:rPr>
          <w:rFonts w:eastAsia="MS Mincho" w:cstheme="minorHAnsi"/>
          <w:i/>
          <w:iCs/>
          <w:sz w:val="16"/>
          <w:szCs w:val="16"/>
          <w:lang w:val="en-US" w:eastAsia="ja-JP"/>
        </w:rPr>
        <w:t>Laboratory for Advanced Materials Processing, Empa, Swiss Federal Laboratories for Materials Science and Technology, Feuerwerkerstrasse 39, Thun 3602, Switzerland</w:t>
      </w:r>
    </w:p>
    <w:p w14:paraId="44DC7628" w14:textId="77777777" w:rsidR="00D07F32" w:rsidRPr="00C1105D" w:rsidRDefault="00D07F32" w:rsidP="00C1105D">
      <w:pPr>
        <w:pStyle w:val="ListParagraph"/>
        <w:numPr>
          <w:ilvl w:val="0"/>
          <w:numId w:val="2"/>
        </w:numPr>
        <w:spacing w:after="60"/>
        <w:jc w:val="center"/>
        <w:rPr>
          <w:rFonts w:cstheme="minorHAnsi"/>
          <w:i/>
          <w:iCs/>
          <w:sz w:val="16"/>
          <w:szCs w:val="16"/>
          <w:lang w:val="en-US"/>
        </w:rPr>
      </w:pPr>
      <w:r w:rsidRPr="00C1105D">
        <w:rPr>
          <w:rFonts w:cstheme="minorHAnsi"/>
          <w:i/>
          <w:iCs/>
          <w:sz w:val="16"/>
          <w:szCs w:val="16"/>
          <w:lang w:val="en-US"/>
        </w:rPr>
        <w:t>Optoelectronics Research Centre &amp; Centre for Photonic Metamaterials, University of Southampton, Highfield  SO17 1BJ, UK</w:t>
      </w:r>
    </w:p>
    <w:p w14:paraId="58ADA43D" w14:textId="77777777" w:rsidR="00D07F32" w:rsidRPr="00C1105D" w:rsidRDefault="00D07F32" w:rsidP="00C1105D">
      <w:pPr>
        <w:pStyle w:val="ListParagraph"/>
        <w:numPr>
          <w:ilvl w:val="0"/>
          <w:numId w:val="2"/>
        </w:numPr>
        <w:spacing w:after="60"/>
        <w:jc w:val="center"/>
        <w:rPr>
          <w:rFonts w:eastAsia="MS Mincho" w:cstheme="minorHAnsi"/>
          <w:i/>
          <w:iCs/>
          <w:sz w:val="16"/>
          <w:szCs w:val="16"/>
          <w:lang w:val="en-US" w:eastAsia="ja-JP"/>
        </w:rPr>
      </w:pPr>
      <w:r w:rsidRPr="00C1105D">
        <w:rPr>
          <w:rFonts w:eastAsia="MS Mincho" w:cstheme="minorHAnsi"/>
          <w:i/>
          <w:iCs/>
          <w:sz w:val="16"/>
          <w:szCs w:val="16"/>
          <w:lang w:val="en-US" w:eastAsia="ja-JP"/>
        </w:rPr>
        <w:t xml:space="preserve">Institute of Applied Physics, Military University of Technology, 2 </w:t>
      </w:r>
      <w:proofErr w:type="spellStart"/>
      <w:r w:rsidRPr="00C1105D">
        <w:rPr>
          <w:rFonts w:eastAsia="MS Mincho" w:cstheme="minorHAnsi"/>
          <w:i/>
          <w:iCs/>
          <w:sz w:val="16"/>
          <w:szCs w:val="16"/>
          <w:lang w:val="en-US" w:eastAsia="ja-JP"/>
        </w:rPr>
        <w:t>Kaliskiego</w:t>
      </w:r>
      <w:proofErr w:type="spellEnd"/>
      <w:r w:rsidRPr="00C1105D">
        <w:rPr>
          <w:rFonts w:eastAsia="MS Mincho" w:cstheme="minorHAnsi"/>
          <w:i/>
          <w:iCs/>
          <w:sz w:val="16"/>
          <w:szCs w:val="16"/>
          <w:lang w:val="en-US" w:eastAsia="ja-JP"/>
        </w:rPr>
        <w:t xml:space="preserve"> Str., 00-908 Warsaw, Poland</w:t>
      </w:r>
    </w:p>
    <w:p w14:paraId="18828B7C" w14:textId="77777777" w:rsidR="002012C9" w:rsidRPr="0046436F" w:rsidRDefault="002012C9" w:rsidP="002012C9"/>
    <w:p w14:paraId="632DC6EC" w14:textId="77777777" w:rsidR="00B85A23" w:rsidRDefault="00451BA4" w:rsidP="002012C9">
      <w:pPr>
        <w:pStyle w:val="ListParagraph"/>
        <w:numPr>
          <w:ilvl w:val="0"/>
          <w:numId w:val="1"/>
        </w:numPr>
        <w:rPr>
          <w:b/>
          <w:bCs/>
        </w:rPr>
      </w:pPr>
      <w:r>
        <w:rPr>
          <w:b/>
          <w:bCs/>
        </w:rPr>
        <w:t>T</w:t>
      </w:r>
      <w:r w:rsidRPr="00451BA4">
        <w:rPr>
          <w:b/>
          <w:bCs/>
        </w:rPr>
        <w:t>he origin of the Fano resonances</w:t>
      </w:r>
    </w:p>
    <w:p w14:paraId="6E353262" w14:textId="77777777" w:rsidR="00141984" w:rsidRPr="00705A7A" w:rsidRDefault="00141984" w:rsidP="00705A7A">
      <w:pPr>
        <w:jc w:val="center"/>
        <w:rPr>
          <w:lang w:val="en-US"/>
        </w:rPr>
      </w:pPr>
      <w:r w:rsidRPr="00B93D26">
        <w:rPr>
          <w:noProof/>
          <w:lang w:val="en-US"/>
        </w:rPr>
        <w:drawing>
          <wp:inline distT="0" distB="0" distL="0" distR="0" wp14:anchorId="1098DDD5" wp14:editId="5382ECA6">
            <wp:extent cx="5360670" cy="25590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087" r="38"/>
                    <a:stretch/>
                  </pic:blipFill>
                  <pic:spPr bwMode="auto">
                    <a:xfrm>
                      <a:off x="0" y="0"/>
                      <a:ext cx="5363330" cy="2560320"/>
                    </a:xfrm>
                    <a:prstGeom prst="rect">
                      <a:avLst/>
                    </a:prstGeom>
                    <a:ln>
                      <a:noFill/>
                    </a:ln>
                    <a:extLst>
                      <a:ext uri="{53640926-AAD7-44D8-BBD7-CCE9431645EC}">
                        <a14:shadowObscured xmlns:a14="http://schemas.microsoft.com/office/drawing/2010/main"/>
                      </a:ext>
                    </a:extLst>
                  </pic:spPr>
                </pic:pic>
              </a:graphicData>
            </a:graphic>
          </wp:inline>
        </w:drawing>
      </w:r>
    </w:p>
    <w:p w14:paraId="09DAD3F7" w14:textId="77777777" w:rsidR="00141984" w:rsidRDefault="00141984" w:rsidP="00705A7A">
      <w:pPr>
        <w:keepNext/>
        <w:jc w:val="center"/>
      </w:pPr>
      <w:r w:rsidRPr="005E7C36">
        <w:rPr>
          <w:noProof/>
          <w:lang w:val="en-US"/>
        </w:rPr>
        <w:drawing>
          <wp:inline distT="0" distB="0" distL="0" distR="0" wp14:anchorId="60BD85F4" wp14:editId="61C8BFD3">
            <wp:extent cx="5408295" cy="2560049"/>
            <wp:effectExtent l="0" t="0" r="190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1352" r="2755"/>
                    <a:stretch/>
                  </pic:blipFill>
                  <pic:spPr bwMode="auto">
                    <a:xfrm>
                      <a:off x="0" y="0"/>
                      <a:ext cx="5408867" cy="2560320"/>
                    </a:xfrm>
                    <a:prstGeom prst="rect">
                      <a:avLst/>
                    </a:prstGeom>
                    <a:ln>
                      <a:noFill/>
                    </a:ln>
                    <a:extLst>
                      <a:ext uri="{53640926-AAD7-44D8-BBD7-CCE9431645EC}">
                        <a14:shadowObscured xmlns:a14="http://schemas.microsoft.com/office/drawing/2010/main"/>
                      </a:ext>
                    </a:extLst>
                  </pic:spPr>
                </pic:pic>
              </a:graphicData>
            </a:graphic>
          </wp:inline>
        </w:drawing>
      </w:r>
    </w:p>
    <w:p w14:paraId="2B024FAC" w14:textId="77777777" w:rsidR="00141984" w:rsidRDefault="00141984" w:rsidP="003C5157">
      <w:pPr>
        <w:rPr>
          <w:sz w:val="20"/>
          <w:szCs w:val="20"/>
        </w:rPr>
      </w:pPr>
      <w:bookmarkStart w:id="0" w:name="_Toc75273218"/>
      <w:bookmarkStart w:id="1" w:name="_Toc75276650"/>
      <w:bookmarkStart w:id="2" w:name="_Toc84449197"/>
      <w:r w:rsidRPr="00705A7A">
        <w:rPr>
          <w:b/>
          <w:bCs/>
          <w:sz w:val="20"/>
          <w:szCs w:val="20"/>
        </w:rPr>
        <w:t xml:space="preserve">Figure S1. </w:t>
      </w:r>
      <w:r w:rsidRPr="00705A7A">
        <w:rPr>
          <w:sz w:val="20"/>
          <w:szCs w:val="20"/>
        </w:rPr>
        <w:t>Schematic Transmission spectra simulated for pristine MMs of positive (top) and negative (bottom) D-, I- and C-shaped MM designs. Insets: Normalised distribution of the surface charge density induced in the MMs at the resonant frequency.</w:t>
      </w:r>
      <w:bookmarkEnd w:id="0"/>
      <w:bookmarkEnd w:id="1"/>
      <w:bookmarkEnd w:id="2"/>
    </w:p>
    <w:p w14:paraId="12B74205" w14:textId="77777777" w:rsidR="00826B3F" w:rsidRPr="00853092" w:rsidRDefault="00826B3F" w:rsidP="00826B3F">
      <w:pPr>
        <w:rPr>
          <w:lang w:val="en-US"/>
        </w:rPr>
      </w:pPr>
      <w:r>
        <w:lastRenderedPageBreak/>
        <w:t xml:space="preserve">The origin of the Fano resonances arises from the constructive and destructive interference of a narrow discrete resonance with a broad spectral line from the partition of D-shaped MM structural elements that involve ‘I-shaped’ and ‘C-shaped’ MM patches and slits (positive and negative MM designs respectively). The broad line corresponds to a symmetric current mode of the metamolecule, which is an electric dipole. The narrow line corresponds to an anti-symmetric current mode, which is a magnetic dipole/electric quadrupole. Thus, the Fano line here results from the interference between the dipole and magnetic dipole/electric quadrupole modes (as shown in Figure S1), where we demonstrate the strong mode coupling between the electric dipole and magnetic dipole/electric quadrupole moments. At the frequencies of 1.67 and 1.44 THz I- and C-shaped elements of positive MMs exhibit their fundamental resonances, where the wavelength of excitations is twice the length of MM elements. The fundamental resonances of I- and C-shaped elements of the negative pattern </w:t>
      </w:r>
      <w:r w:rsidRPr="00853092">
        <w:rPr>
          <w:lang w:val="en-US"/>
        </w:rPr>
        <w:t xml:space="preserve">appear at 1.51 THz and 1.21 THz, respectively. Our calculations show that in the case of D-shaped MM an antisymmetric current mode (quadrupole mode) can dominate the usual symmetric one (dipole mode). This is mainly because anti-symmetric current mode produces very weak scattered electromagnetic fields, which dramatically reduces radiation losses. Thus, by combining the symmetric dipole modes of structures ‘I’ and ‘C’, producing the ‘D-shaped’ MM, the Fano resonance combines the transmission spectra of their fundamental ones yielding to a sharper and narrower resonance. With that definite resonance position, we were able to track, in a straightforward way, even the smallest shift in the electromagnetic spectrum. </w:t>
      </w:r>
    </w:p>
    <w:p w14:paraId="1B6C66B3" w14:textId="77777777" w:rsidR="00B9159A" w:rsidRDefault="00B9159A" w:rsidP="00141984">
      <w:pPr>
        <w:rPr>
          <w:lang w:val="en-US"/>
        </w:rPr>
      </w:pPr>
    </w:p>
    <w:p w14:paraId="28ACB34D" w14:textId="77777777" w:rsidR="00853092" w:rsidRDefault="00853092" w:rsidP="00141984">
      <w:pPr>
        <w:rPr>
          <w:lang w:val="en-US"/>
        </w:rPr>
      </w:pPr>
    </w:p>
    <w:p w14:paraId="04675563" w14:textId="77777777" w:rsidR="002012C9" w:rsidRDefault="002012C9" w:rsidP="002012C9">
      <w:pPr>
        <w:pStyle w:val="ListParagraph"/>
        <w:numPr>
          <w:ilvl w:val="0"/>
          <w:numId w:val="1"/>
        </w:numPr>
        <w:rPr>
          <w:b/>
          <w:bCs/>
        </w:rPr>
      </w:pPr>
      <w:r w:rsidRPr="00C77A47">
        <w:rPr>
          <w:b/>
          <w:bCs/>
        </w:rPr>
        <w:t xml:space="preserve">LC-loaded MM </w:t>
      </w:r>
      <w:r>
        <w:rPr>
          <w:b/>
          <w:bCs/>
        </w:rPr>
        <w:t>hybrid cell</w:t>
      </w:r>
    </w:p>
    <w:p w14:paraId="0B43643A" w14:textId="77777777" w:rsidR="002012C9" w:rsidRPr="00C77A47" w:rsidRDefault="002012C9" w:rsidP="002012C9">
      <w:pPr>
        <w:ind w:left="360"/>
        <w:rPr>
          <w:b/>
          <w:bCs/>
        </w:rPr>
      </w:pPr>
    </w:p>
    <w:p w14:paraId="3368AD75" w14:textId="77777777" w:rsidR="002012C9" w:rsidRDefault="002012C9" w:rsidP="002012C9">
      <w:pPr>
        <w:pStyle w:val="ListParagraph"/>
        <w:jc w:val="center"/>
        <w:rPr>
          <w:b/>
          <w:bCs/>
        </w:rPr>
      </w:pPr>
      <w:r w:rsidRPr="00001C54">
        <w:rPr>
          <w:noProof/>
          <w:lang w:val="en-US"/>
        </w:rPr>
        <w:drawing>
          <wp:inline distT="0" distB="0" distL="0" distR="0" wp14:anchorId="6D73E7DA" wp14:editId="12928D1C">
            <wp:extent cx="2526453" cy="2166466"/>
            <wp:effectExtent l="0" t="0" r="762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550349" cy="2186958"/>
                    </a:xfrm>
                    <a:prstGeom prst="rect">
                      <a:avLst/>
                    </a:prstGeom>
                  </pic:spPr>
                </pic:pic>
              </a:graphicData>
            </a:graphic>
          </wp:inline>
        </w:drawing>
      </w:r>
    </w:p>
    <w:p w14:paraId="51D337AC" w14:textId="77777777" w:rsidR="002012C9" w:rsidRDefault="002012C9" w:rsidP="002012C9">
      <w:pPr>
        <w:rPr>
          <w:sz w:val="20"/>
          <w:szCs w:val="20"/>
        </w:rPr>
      </w:pPr>
      <w:bookmarkStart w:id="3" w:name="_Hlk98171594"/>
      <w:r w:rsidRPr="000975D0">
        <w:rPr>
          <w:b/>
          <w:bCs/>
          <w:sz w:val="20"/>
          <w:szCs w:val="20"/>
        </w:rPr>
        <w:t xml:space="preserve">Figure </w:t>
      </w:r>
      <w:r>
        <w:rPr>
          <w:b/>
          <w:bCs/>
          <w:sz w:val="20"/>
          <w:szCs w:val="20"/>
        </w:rPr>
        <w:t>S</w:t>
      </w:r>
      <w:r w:rsidR="00A55A16">
        <w:rPr>
          <w:b/>
          <w:bCs/>
          <w:sz w:val="20"/>
          <w:szCs w:val="20"/>
        </w:rPr>
        <w:t>2</w:t>
      </w:r>
      <w:r w:rsidRPr="000975D0">
        <w:rPr>
          <w:b/>
          <w:bCs/>
          <w:sz w:val="20"/>
          <w:szCs w:val="20"/>
        </w:rPr>
        <w:t xml:space="preserve">. </w:t>
      </w:r>
      <w:r>
        <w:rPr>
          <w:sz w:val="20"/>
          <w:szCs w:val="20"/>
        </w:rPr>
        <w:t>Schematic</w:t>
      </w:r>
      <w:r w:rsidRPr="00E67F92">
        <w:rPr>
          <w:sz w:val="20"/>
          <w:szCs w:val="20"/>
        </w:rPr>
        <w:t xml:space="preserve"> </w:t>
      </w:r>
      <w:bookmarkEnd w:id="3"/>
      <w:r w:rsidRPr="00E67F92">
        <w:rPr>
          <w:sz w:val="20"/>
          <w:szCs w:val="20"/>
        </w:rPr>
        <w:t>of LC-loaded MM</w:t>
      </w:r>
      <w:r>
        <w:rPr>
          <w:sz w:val="20"/>
          <w:szCs w:val="20"/>
        </w:rPr>
        <w:t xml:space="preserve"> hybrid cell used in the experiment</w:t>
      </w:r>
      <w:r w:rsidRPr="00E67F92">
        <w:rPr>
          <w:sz w:val="20"/>
          <w:szCs w:val="20"/>
        </w:rPr>
        <w:t>.</w:t>
      </w:r>
      <w:r>
        <w:rPr>
          <w:sz w:val="20"/>
          <w:szCs w:val="20"/>
        </w:rPr>
        <w:t xml:space="preserve"> </w:t>
      </w:r>
      <w:r w:rsidRPr="00226A8B">
        <w:rPr>
          <w:sz w:val="20"/>
          <w:szCs w:val="20"/>
        </w:rPr>
        <w:t xml:space="preserve">MM was functionalised with </w:t>
      </w:r>
      <w:r>
        <w:rPr>
          <w:sz w:val="20"/>
          <w:szCs w:val="20"/>
        </w:rPr>
        <w:t>N</w:t>
      </w:r>
      <w:r w:rsidRPr="00226A8B">
        <w:rPr>
          <w:sz w:val="20"/>
          <w:szCs w:val="20"/>
        </w:rPr>
        <w:t xml:space="preserve">LC 1825 via the planar cell arrangement, where a 20 μm thick layer of the NLC was sandwiched between the MM and a pristine slab of fused quartz (1.17 mm thick). The surface of the MM and the surface of the quartz slab facing the NLC were both coated with a thin film (~30 nm) of uniformly rubbed polyimide (PI-2525 from HD </w:t>
      </w:r>
      <w:proofErr w:type="spellStart"/>
      <w:r w:rsidRPr="00226A8B">
        <w:rPr>
          <w:sz w:val="20"/>
          <w:szCs w:val="20"/>
        </w:rPr>
        <w:t>MicroSystems</w:t>
      </w:r>
      <w:proofErr w:type="spellEnd"/>
      <w:r w:rsidRPr="00226A8B">
        <w:rPr>
          <w:sz w:val="20"/>
          <w:szCs w:val="20"/>
        </w:rPr>
        <w:t xml:space="preserve">). Such a film acted as an alignment layer, which promoted the orientation of LC molecules near its surface in the direction of rubbing. </w:t>
      </w:r>
    </w:p>
    <w:p w14:paraId="2F0B96FB" w14:textId="77777777" w:rsidR="00B9159A" w:rsidRDefault="00B9159A" w:rsidP="002012C9">
      <w:pPr>
        <w:pStyle w:val="ListParagraph"/>
        <w:rPr>
          <w:b/>
          <w:bCs/>
        </w:rPr>
      </w:pPr>
    </w:p>
    <w:p w14:paraId="6AABD853" w14:textId="77777777" w:rsidR="00826B3F" w:rsidRDefault="00826B3F" w:rsidP="002012C9">
      <w:pPr>
        <w:pStyle w:val="ListParagraph"/>
        <w:rPr>
          <w:b/>
          <w:bCs/>
        </w:rPr>
      </w:pPr>
    </w:p>
    <w:p w14:paraId="5D96CA62" w14:textId="77777777" w:rsidR="00826B3F" w:rsidRDefault="00826B3F" w:rsidP="002012C9">
      <w:pPr>
        <w:pStyle w:val="ListParagraph"/>
        <w:rPr>
          <w:b/>
          <w:bCs/>
        </w:rPr>
      </w:pPr>
    </w:p>
    <w:p w14:paraId="7CDEF075" w14:textId="77777777" w:rsidR="002012C9" w:rsidRDefault="002012C9" w:rsidP="002012C9">
      <w:pPr>
        <w:pStyle w:val="ListParagraph"/>
        <w:rPr>
          <w:b/>
          <w:bCs/>
        </w:rPr>
      </w:pPr>
    </w:p>
    <w:p w14:paraId="0FBBB710" w14:textId="77777777" w:rsidR="002012C9" w:rsidRDefault="002012C9" w:rsidP="002012C9">
      <w:pPr>
        <w:pStyle w:val="ListParagraph"/>
        <w:numPr>
          <w:ilvl w:val="0"/>
          <w:numId w:val="1"/>
        </w:numPr>
        <w:rPr>
          <w:b/>
          <w:bCs/>
        </w:rPr>
      </w:pPr>
      <w:r>
        <w:rPr>
          <w:b/>
          <w:bCs/>
        </w:rPr>
        <w:t xml:space="preserve">Modelling the change of LC birefringence induced by local fields within ‘hotspots’ </w:t>
      </w:r>
    </w:p>
    <w:p w14:paraId="2F6A8C59" w14:textId="77777777" w:rsidR="00B9159A" w:rsidRDefault="00B9159A" w:rsidP="00B9159A"/>
    <w:p w14:paraId="2596FA44" w14:textId="77777777" w:rsidR="00B9159A" w:rsidRDefault="00B9159A" w:rsidP="00B9159A">
      <w:r>
        <w:t>The hotspots are localised at the ends of the metal patches in the positive MM, as schematically shown in Figure S</w:t>
      </w:r>
      <w:r w:rsidR="0017351A">
        <w:t>3</w:t>
      </w:r>
      <w:r>
        <w:t>. The layer of the NLC covering the MM was assumed to be aligned along the y-axis, except in the hotspots, where maximum localisation of electric field occurs. Birefringent materials such as the NLC experience double refraction, whereby light is split, depending on the incident polarization, into two, i.e. ordinary (</w:t>
      </w:r>
      <m:oMath>
        <m:sSub>
          <m:sSubPr>
            <m:ctrlPr>
              <w:rPr>
                <w:rFonts w:ascii="Cambria Math" w:hAnsi="Cambria Math"/>
                <w:i/>
              </w:rPr>
            </m:ctrlPr>
          </m:sSubPr>
          <m:e>
            <m:r>
              <w:rPr>
                <w:rFonts w:ascii="Cambria Math" w:hAnsi="Cambria Math"/>
              </w:rPr>
              <m:t>n</m:t>
            </m:r>
          </m:e>
          <m:sub>
            <m:r>
              <w:rPr>
                <w:rFonts w:ascii="Cambria Math" w:hAnsi="Cambria Math"/>
              </w:rPr>
              <m:t>o</m:t>
            </m:r>
          </m:sub>
        </m:sSub>
      </m:oMath>
      <w:r>
        <w:t>) and extraordinary (</w:t>
      </w:r>
      <m:oMath>
        <m:sSub>
          <m:sSubPr>
            <m:ctrlPr>
              <w:rPr>
                <w:rFonts w:ascii="Cambria Math" w:hAnsi="Cambria Math"/>
                <w:i/>
              </w:rPr>
            </m:ctrlPr>
          </m:sSubPr>
          <m:e>
            <m:r>
              <w:rPr>
                <w:rFonts w:ascii="Cambria Math" w:hAnsi="Cambria Math"/>
              </w:rPr>
              <m:t>n</m:t>
            </m:r>
          </m:e>
          <m:sub>
            <m:r>
              <w:rPr>
                <w:rFonts w:ascii="Cambria Math" w:hAnsi="Cambria Math"/>
              </w:rPr>
              <m:t>e</m:t>
            </m:r>
          </m:sub>
        </m:sSub>
      </m:oMath>
      <w:r>
        <w:t xml:space="preserve">) polarizations. The extraordinary one is parallel to the LC director, </w:t>
      </w:r>
      <m:oMath>
        <m:acc>
          <m:accPr>
            <m:chr m:val="⃗"/>
            <m:ctrlPr>
              <w:rPr>
                <w:rFonts w:ascii="Cambria Math" w:hAnsi="Cambria Math"/>
                <w:i/>
              </w:rPr>
            </m:ctrlPr>
          </m:accPr>
          <m:e>
            <m:r>
              <w:rPr>
                <w:rFonts w:ascii="Cambria Math" w:hAnsi="Cambria Math"/>
              </w:rPr>
              <m:t>n</m:t>
            </m:r>
          </m:e>
        </m:acc>
      </m:oMath>
      <w:r w:rsidRPr="00B9159A">
        <w:rPr>
          <w:rFonts w:eastAsiaTheme="minorEastAsia"/>
        </w:rPr>
        <w:t>,</w:t>
      </w:r>
      <w:r>
        <w:t xml:space="preserve"> of NLC molecules, pointing along the y-axis, which is the resonant polarization. This leaves the ordinary to be parallel to the x-axis direction. </w:t>
      </w:r>
    </w:p>
    <w:p w14:paraId="2C0BC491" w14:textId="77777777" w:rsidR="002012C9" w:rsidRDefault="002012C9" w:rsidP="002012C9">
      <w:pPr>
        <w:ind w:left="360"/>
        <w:jc w:val="center"/>
        <w:rPr>
          <w:b/>
          <w:bCs/>
        </w:rPr>
      </w:pPr>
      <w:r w:rsidRPr="00406856">
        <w:rPr>
          <w:noProof/>
          <w:lang w:val="en-US"/>
        </w:rPr>
        <w:drawing>
          <wp:inline distT="0" distB="0" distL="0" distR="0" wp14:anchorId="1B3C28D7" wp14:editId="6DF78663">
            <wp:extent cx="3989373" cy="256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016125" cy="2579825"/>
                    </a:xfrm>
                    <a:prstGeom prst="rect">
                      <a:avLst/>
                    </a:prstGeom>
                  </pic:spPr>
                </pic:pic>
              </a:graphicData>
            </a:graphic>
          </wp:inline>
        </w:drawing>
      </w:r>
    </w:p>
    <w:p w14:paraId="5A80BB8D" w14:textId="77777777" w:rsidR="002012C9" w:rsidRDefault="002012C9" w:rsidP="002012C9">
      <w:pPr>
        <w:rPr>
          <w:sz w:val="20"/>
          <w:szCs w:val="20"/>
        </w:rPr>
      </w:pPr>
      <w:r>
        <w:rPr>
          <w:b/>
          <w:bCs/>
          <w:sz w:val="20"/>
          <w:szCs w:val="20"/>
        </w:rPr>
        <w:t>Figure S</w:t>
      </w:r>
      <w:r w:rsidR="00B9159A">
        <w:rPr>
          <w:b/>
          <w:bCs/>
          <w:sz w:val="20"/>
          <w:szCs w:val="20"/>
        </w:rPr>
        <w:t>3</w:t>
      </w:r>
      <w:r w:rsidRPr="000975D0">
        <w:rPr>
          <w:b/>
          <w:bCs/>
          <w:sz w:val="20"/>
          <w:szCs w:val="20"/>
        </w:rPr>
        <w:t xml:space="preserve">. </w:t>
      </w:r>
      <w:r w:rsidRPr="000975D0">
        <w:rPr>
          <w:sz w:val="20"/>
          <w:szCs w:val="20"/>
        </w:rPr>
        <w:t xml:space="preserve">Schematic representation of modelling the anisotropy induced to the NLC molecules </w:t>
      </w:r>
      <w:r>
        <w:rPr>
          <w:sz w:val="20"/>
          <w:szCs w:val="20"/>
        </w:rPr>
        <w:t>i</w:t>
      </w:r>
      <w:r w:rsidRPr="007F3670">
        <w:rPr>
          <w:sz w:val="20"/>
          <w:szCs w:val="20"/>
        </w:rPr>
        <w:t xml:space="preserve">n </w:t>
      </w:r>
      <w:r w:rsidRPr="007F3670">
        <w:rPr>
          <w:b/>
          <w:bCs/>
          <w:sz w:val="20"/>
          <w:szCs w:val="20"/>
        </w:rPr>
        <w:t xml:space="preserve">(a) </w:t>
      </w:r>
      <w:r w:rsidRPr="007F3670">
        <w:rPr>
          <w:sz w:val="20"/>
          <w:szCs w:val="20"/>
        </w:rPr>
        <w:t xml:space="preserve">planar 1 and </w:t>
      </w:r>
      <w:r w:rsidRPr="007F3670">
        <w:rPr>
          <w:b/>
          <w:bCs/>
          <w:sz w:val="20"/>
          <w:szCs w:val="20"/>
        </w:rPr>
        <w:t xml:space="preserve">(b) </w:t>
      </w:r>
      <w:r w:rsidRPr="007F3670">
        <w:rPr>
          <w:sz w:val="20"/>
          <w:szCs w:val="20"/>
        </w:rPr>
        <w:t>planar 2 configuration</w:t>
      </w:r>
      <w:r>
        <w:rPr>
          <w:sz w:val="20"/>
          <w:szCs w:val="20"/>
        </w:rPr>
        <w:t>s</w:t>
      </w:r>
      <w:r w:rsidRPr="000975D0">
        <w:rPr>
          <w:sz w:val="20"/>
          <w:szCs w:val="20"/>
        </w:rPr>
        <w:t xml:space="preserve"> due to the </w:t>
      </w:r>
      <w:r>
        <w:rPr>
          <w:sz w:val="20"/>
          <w:szCs w:val="20"/>
        </w:rPr>
        <w:t>charge</w:t>
      </w:r>
      <w:r w:rsidRPr="000975D0">
        <w:rPr>
          <w:sz w:val="20"/>
          <w:szCs w:val="20"/>
        </w:rPr>
        <w:t xml:space="preserve"> density distribution at the surface of positive </w:t>
      </w:r>
      <w:r>
        <w:rPr>
          <w:sz w:val="20"/>
          <w:szCs w:val="20"/>
        </w:rPr>
        <w:t>MM</w:t>
      </w:r>
      <w:r w:rsidRPr="000975D0">
        <w:rPr>
          <w:sz w:val="20"/>
          <w:szCs w:val="20"/>
        </w:rPr>
        <w:t xml:space="preserve"> patterns</w:t>
      </w:r>
      <w:r>
        <w:rPr>
          <w:sz w:val="20"/>
          <w:szCs w:val="20"/>
        </w:rPr>
        <w:t xml:space="preserve">. </w:t>
      </w:r>
    </w:p>
    <w:p w14:paraId="17A7F800" w14:textId="77777777" w:rsidR="002012C9" w:rsidRPr="000975D0" w:rsidRDefault="002012C9" w:rsidP="002012C9">
      <w:pPr>
        <w:rPr>
          <w:sz w:val="20"/>
          <w:szCs w:val="20"/>
        </w:rPr>
      </w:pPr>
    </w:p>
    <w:p w14:paraId="21E1E16F" w14:textId="77777777" w:rsidR="002012C9" w:rsidRDefault="002012C9" w:rsidP="002012C9">
      <w:r>
        <w:t>In order to model such optical behaviour, a diagonal optical anisotropy must be introduced in our calculations as well as a full tensor relative permittivity approach. Here, tensor refers to a 3-by-3 matrix that has both diagonal (</w:t>
      </w:r>
      <m:oMath>
        <m:sSub>
          <m:sSubPr>
            <m:ctrlPr>
              <w:rPr>
                <w:rFonts w:ascii="Cambria Math" w:hAnsi="Cambria Math"/>
                <w:i/>
              </w:rPr>
            </m:ctrlPr>
          </m:sSubPr>
          <m:e>
            <m:r>
              <w:rPr>
                <w:rFonts w:ascii="Cambria Math" w:hAnsi="Cambria Math"/>
              </w:rPr>
              <m:t>ϵ</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yy</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zz</m:t>
            </m:r>
          </m:sub>
        </m:sSub>
      </m:oMath>
      <w:r>
        <w:t>) and off-diagonal (</w:t>
      </w:r>
      <m:oMath>
        <m:sSub>
          <m:sSubPr>
            <m:ctrlPr>
              <w:rPr>
                <w:rFonts w:ascii="Cambria Math" w:hAnsi="Cambria Math"/>
                <w:i/>
              </w:rPr>
            </m:ctrlPr>
          </m:sSubPr>
          <m:e>
            <m:r>
              <w:rPr>
                <w:rFonts w:ascii="Cambria Math" w:hAnsi="Cambria Math"/>
              </w:rPr>
              <m:t>ϵ</m:t>
            </m:r>
          </m:e>
          <m:sub>
            <m:r>
              <w:rPr>
                <w:rFonts w:ascii="Cambria Math" w:hAnsi="Cambria Math"/>
              </w:rPr>
              <m:t>xy</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xz</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yx</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yz</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zx</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zy</m:t>
            </m:r>
          </m:sub>
        </m:sSub>
      </m:oMath>
      <w:r>
        <w:t>) terms, as shown below.</w:t>
      </w:r>
    </w:p>
    <w:p w14:paraId="71921319" w14:textId="77777777" w:rsidR="002012C9" w:rsidRPr="00AC6371" w:rsidRDefault="002012C9" w:rsidP="002012C9">
      <w:pPr>
        <w:jc w:val="center"/>
        <w:rPr>
          <w:rFonts w:eastAsiaTheme="minorEastAsia"/>
        </w:rPr>
      </w:pPr>
      <m:oMathPara>
        <m:oMath>
          <m:r>
            <w:rPr>
              <w:rFonts w:ascii="Cambria Math" w:hAnsi="Cambria Math"/>
            </w:rPr>
            <m:t>ϵ=</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ϵ</m:t>
                        </m:r>
                      </m:e>
                      <m:sub>
                        <m:r>
                          <w:rPr>
                            <w:rFonts w:ascii="Cambria Math" w:hAnsi="Cambria Math"/>
                          </w:rPr>
                          <m:t>xx</m:t>
                        </m:r>
                      </m:sub>
                    </m:sSub>
                  </m:e>
                  <m:e>
                    <m:sSub>
                      <m:sSubPr>
                        <m:ctrlPr>
                          <w:rPr>
                            <w:rFonts w:ascii="Cambria Math" w:hAnsi="Cambria Math"/>
                            <w:i/>
                          </w:rPr>
                        </m:ctrlPr>
                      </m:sSubPr>
                      <m:e>
                        <m:r>
                          <w:rPr>
                            <w:rFonts w:ascii="Cambria Math" w:hAnsi="Cambria Math"/>
                          </w:rPr>
                          <m:t>ϵ</m:t>
                        </m:r>
                      </m:e>
                      <m:sub>
                        <m:r>
                          <w:rPr>
                            <w:rFonts w:ascii="Cambria Math" w:hAnsi="Cambria Math"/>
                          </w:rPr>
                          <m:t>xy</m:t>
                        </m:r>
                      </m:sub>
                    </m:sSub>
                  </m:e>
                  <m:e>
                    <m:sSub>
                      <m:sSubPr>
                        <m:ctrlPr>
                          <w:rPr>
                            <w:rFonts w:ascii="Cambria Math" w:hAnsi="Cambria Math"/>
                            <w:i/>
                          </w:rPr>
                        </m:ctrlPr>
                      </m:sSubPr>
                      <m:e>
                        <m:r>
                          <w:rPr>
                            <w:rFonts w:ascii="Cambria Math" w:hAnsi="Cambria Math"/>
                          </w:rPr>
                          <m:t>ϵ</m:t>
                        </m:r>
                      </m:e>
                      <m:sub>
                        <m:r>
                          <w:rPr>
                            <w:rFonts w:ascii="Cambria Math" w:hAnsi="Cambria Math"/>
                          </w:rPr>
                          <m:t>xz</m:t>
                        </m:r>
                      </m:sub>
                    </m:sSub>
                  </m:e>
                </m:mr>
                <m:mr>
                  <m:e>
                    <m:sSub>
                      <m:sSubPr>
                        <m:ctrlPr>
                          <w:rPr>
                            <w:rFonts w:ascii="Cambria Math" w:hAnsi="Cambria Math"/>
                            <w:i/>
                          </w:rPr>
                        </m:ctrlPr>
                      </m:sSubPr>
                      <m:e>
                        <m:r>
                          <w:rPr>
                            <w:rFonts w:ascii="Cambria Math" w:hAnsi="Cambria Math"/>
                          </w:rPr>
                          <m:t>ϵ</m:t>
                        </m:r>
                      </m:e>
                      <m:sub>
                        <m:r>
                          <w:rPr>
                            <w:rFonts w:ascii="Cambria Math" w:hAnsi="Cambria Math"/>
                          </w:rPr>
                          <m:t>yx</m:t>
                        </m:r>
                      </m:sub>
                    </m:sSub>
                  </m:e>
                  <m:e>
                    <m:sSub>
                      <m:sSubPr>
                        <m:ctrlPr>
                          <w:rPr>
                            <w:rFonts w:ascii="Cambria Math" w:hAnsi="Cambria Math"/>
                            <w:i/>
                          </w:rPr>
                        </m:ctrlPr>
                      </m:sSubPr>
                      <m:e>
                        <m:r>
                          <w:rPr>
                            <w:rFonts w:ascii="Cambria Math" w:hAnsi="Cambria Math"/>
                          </w:rPr>
                          <m:t>ϵ</m:t>
                        </m:r>
                      </m:e>
                      <m:sub>
                        <m:r>
                          <w:rPr>
                            <w:rFonts w:ascii="Cambria Math" w:hAnsi="Cambria Math"/>
                          </w:rPr>
                          <m:t>yy</m:t>
                        </m:r>
                      </m:sub>
                    </m:sSub>
                  </m:e>
                  <m:e>
                    <m:sSub>
                      <m:sSubPr>
                        <m:ctrlPr>
                          <w:rPr>
                            <w:rFonts w:ascii="Cambria Math" w:hAnsi="Cambria Math"/>
                            <w:i/>
                          </w:rPr>
                        </m:ctrlPr>
                      </m:sSubPr>
                      <m:e>
                        <m:r>
                          <w:rPr>
                            <w:rFonts w:ascii="Cambria Math" w:hAnsi="Cambria Math"/>
                          </w:rPr>
                          <m:t>ϵ</m:t>
                        </m:r>
                      </m:e>
                      <m:sub>
                        <m:r>
                          <w:rPr>
                            <w:rFonts w:ascii="Cambria Math" w:hAnsi="Cambria Math"/>
                          </w:rPr>
                          <m:t>yz</m:t>
                        </m:r>
                      </m:sub>
                    </m:sSub>
                  </m:e>
                </m:mr>
                <m:mr>
                  <m:e>
                    <m:sSub>
                      <m:sSubPr>
                        <m:ctrlPr>
                          <w:rPr>
                            <w:rFonts w:ascii="Cambria Math" w:hAnsi="Cambria Math"/>
                            <w:i/>
                          </w:rPr>
                        </m:ctrlPr>
                      </m:sSubPr>
                      <m:e>
                        <m:r>
                          <w:rPr>
                            <w:rFonts w:ascii="Cambria Math" w:hAnsi="Cambria Math"/>
                          </w:rPr>
                          <m:t>ϵ</m:t>
                        </m:r>
                      </m:e>
                      <m:sub>
                        <m:r>
                          <w:rPr>
                            <w:rFonts w:ascii="Cambria Math" w:hAnsi="Cambria Math"/>
                          </w:rPr>
                          <m:t>zx</m:t>
                        </m:r>
                      </m:sub>
                    </m:sSub>
                  </m:e>
                  <m:e>
                    <m:sSub>
                      <m:sSubPr>
                        <m:ctrlPr>
                          <w:rPr>
                            <w:rFonts w:ascii="Cambria Math" w:hAnsi="Cambria Math"/>
                            <w:i/>
                          </w:rPr>
                        </m:ctrlPr>
                      </m:sSubPr>
                      <m:e>
                        <m:r>
                          <w:rPr>
                            <w:rFonts w:ascii="Cambria Math" w:hAnsi="Cambria Math"/>
                          </w:rPr>
                          <m:t>ϵ</m:t>
                        </m:r>
                      </m:e>
                      <m:sub>
                        <m:r>
                          <w:rPr>
                            <w:rFonts w:ascii="Cambria Math" w:hAnsi="Cambria Math"/>
                          </w:rPr>
                          <m:t>zy</m:t>
                        </m:r>
                      </m:sub>
                    </m:sSub>
                  </m:e>
                  <m:e>
                    <m:sSub>
                      <m:sSubPr>
                        <m:ctrlPr>
                          <w:rPr>
                            <w:rFonts w:ascii="Cambria Math" w:hAnsi="Cambria Math"/>
                            <w:i/>
                          </w:rPr>
                        </m:ctrlPr>
                      </m:sSubPr>
                      <m:e>
                        <m:r>
                          <w:rPr>
                            <w:rFonts w:ascii="Cambria Math" w:hAnsi="Cambria Math"/>
                          </w:rPr>
                          <m:t>ϵ</m:t>
                        </m:r>
                      </m:e>
                      <m:sub>
                        <m:r>
                          <w:rPr>
                            <w:rFonts w:ascii="Cambria Math" w:hAnsi="Cambria Math"/>
                          </w:rPr>
                          <m:t>zz</m:t>
                        </m:r>
                      </m:sub>
                    </m:sSub>
                  </m:e>
                </m:mr>
              </m:m>
            </m:e>
          </m:d>
        </m:oMath>
      </m:oMathPara>
    </w:p>
    <w:p w14:paraId="0BF393A1" w14:textId="77777777" w:rsidR="002012C9" w:rsidRDefault="002012C9" w:rsidP="002012C9">
      <w:pPr>
        <w:rPr>
          <w:rFonts w:eastAsiaTheme="minorEastAsia"/>
        </w:rPr>
      </w:pPr>
      <w:r>
        <w:t xml:space="preserve">NLCs belong to the uniaxial crystals’ category, where only the diagonal elements of permittivity tensor are nonzero. This means that </w:t>
      </w:r>
      <m:oMath>
        <m:sSub>
          <m:sSubPr>
            <m:ctrlPr>
              <w:rPr>
                <w:rFonts w:ascii="Cambria Math" w:hAnsi="Cambria Math"/>
                <w:i/>
              </w:rPr>
            </m:ctrlPr>
          </m:sSubPr>
          <m:e>
            <m:r>
              <w:rPr>
                <w:rFonts w:ascii="Cambria Math" w:hAnsi="Cambria Math"/>
              </w:rPr>
              <m:t>ϵ</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zz</m:t>
            </m:r>
          </m:sub>
        </m:sSub>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n</m:t>
                </m:r>
              </m:e>
              <m:sub>
                <m:r>
                  <w:rPr>
                    <w:rFonts w:ascii="Cambria Math" w:hAnsi="Cambria Math"/>
                  </w:rPr>
                  <m:t>o</m:t>
                </m:r>
              </m:sub>
            </m:sSub>
          </m:e>
          <m:sup>
            <m:r>
              <w:rPr>
                <w:rFonts w:ascii="Cambria Math" w:hAnsi="Cambria Math"/>
              </w:rPr>
              <m:t>2</m:t>
            </m:r>
          </m:sup>
        </m:sSup>
        <m:r>
          <w:rPr>
            <w:rFonts w:ascii="Cambria Math" w:hAnsi="Cambria Math"/>
          </w:rPr>
          <m:t xml:space="preserve"> - </m:t>
        </m:r>
        <m:sSup>
          <m:sSupPr>
            <m:ctrlPr>
              <w:rPr>
                <w:rFonts w:ascii="Cambria Math" w:hAnsi="Cambria Math"/>
                <w:i/>
              </w:rPr>
            </m:ctrlPr>
          </m:sSupPr>
          <m:e>
            <m:sSub>
              <m:sSubPr>
                <m:ctrlPr>
                  <w:rPr>
                    <w:rFonts w:ascii="Cambria Math" w:hAnsi="Cambria Math"/>
                    <w:i/>
                  </w:rPr>
                </m:ctrlPr>
              </m:sSubPr>
              <m:e>
                <m:r>
                  <w:rPr>
                    <w:rFonts w:ascii="Cambria Math" w:hAnsi="Cambria Math"/>
                  </w:rPr>
                  <m:t>k</m:t>
                </m:r>
              </m:e>
              <m:sub>
                <m:r>
                  <w:rPr>
                    <w:rFonts w:ascii="Cambria Math" w:hAnsi="Cambria Math"/>
                  </w:rPr>
                  <m:t>o</m:t>
                </m:r>
              </m:sub>
            </m:sSub>
          </m:e>
          <m:sup>
            <m:r>
              <w:rPr>
                <w:rFonts w:ascii="Cambria Math" w:hAnsi="Cambria Math"/>
              </w:rPr>
              <m:t>2</m:t>
            </m:r>
          </m:sup>
        </m:sSup>
        <m:r>
          <w:rPr>
            <w:rFonts w:ascii="Cambria Math" w:hAnsi="Cambria Math"/>
          </w:rPr>
          <m:t>+2i</m:t>
        </m:r>
        <m:sSub>
          <m:sSubPr>
            <m:ctrlPr>
              <w:rPr>
                <w:rFonts w:ascii="Cambria Math" w:hAnsi="Cambria Math"/>
                <w:i/>
              </w:rPr>
            </m:ctrlPr>
          </m:sSubPr>
          <m:e>
            <m:r>
              <w:rPr>
                <w:rFonts w:ascii="Cambria Math" w:hAnsi="Cambria Math"/>
              </w:rPr>
              <m:t>n</m:t>
            </m:r>
          </m:e>
          <m:sub>
            <m:r>
              <w:rPr>
                <w:rFonts w:ascii="Cambria Math" w:hAnsi="Cambria Math"/>
              </w:rPr>
              <m:t>o</m:t>
            </m:r>
          </m:sub>
        </m:sSub>
        <m:sSub>
          <m:sSubPr>
            <m:ctrlPr>
              <w:rPr>
                <w:rFonts w:ascii="Cambria Math" w:hAnsi="Cambria Math"/>
                <w:i/>
              </w:rPr>
            </m:ctrlPr>
          </m:sSubPr>
          <m:e>
            <m:r>
              <w:rPr>
                <w:rFonts w:ascii="Cambria Math" w:hAnsi="Cambria Math"/>
              </w:rPr>
              <m:t>k</m:t>
            </m:r>
          </m:e>
          <m:sub>
            <m:r>
              <w:rPr>
                <w:rFonts w:ascii="Cambria Math" w:hAnsi="Cambria Math"/>
              </w:rPr>
              <m:t>o</m:t>
            </m:r>
          </m:sub>
        </m:sSub>
        <m:r>
          <w:rPr>
            <w:rFonts w:ascii="Cambria Math" w:hAnsi="Cambria Math"/>
          </w:rPr>
          <m:t xml:space="preserve"> and </m:t>
        </m:r>
        <m:sSub>
          <m:sSubPr>
            <m:ctrlPr>
              <w:rPr>
                <w:rFonts w:ascii="Cambria Math" w:hAnsi="Cambria Math"/>
                <w:i/>
              </w:rPr>
            </m:ctrlPr>
          </m:sSubPr>
          <m:e>
            <m:r>
              <w:rPr>
                <w:rFonts w:ascii="Cambria Math" w:hAnsi="Cambria Math"/>
              </w:rPr>
              <m:t>ϵ</m:t>
            </m:r>
          </m:e>
          <m:sub>
            <m:r>
              <w:rPr>
                <w:rFonts w:ascii="Cambria Math" w:hAnsi="Cambria Math"/>
              </w:rPr>
              <m:t>yy</m:t>
            </m:r>
          </m:sub>
        </m:sSub>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n</m:t>
                </m:r>
              </m:e>
              <m:sub>
                <m:r>
                  <w:rPr>
                    <w:rFonts w:ascii="Cambria Math" w:hAnsi="Cambria Math"/>
                  </w:rPr>
                  <m:t>e</m:t>
                </m:r>
              </m:sub>
            </m:sSub>
          </m:e>
          <m:sup>
            <m:r>
              <w:rPr>
                <w:rFonts w:ascii="Cambria Math" w:hAnsi="Cambria Math"/>
              </w:rPr>
              <m:t>2</m:t>
            </m:r>
          </m:sup>
        </m:sSup>
        <m:r>
          <w:rPr>
            <w:rFonts w:ascii="Cambria Math" w:hAnsi="Cambria Math"/>
          </w:rPr>
          <m:t xml:space="preserve"> - </m:t>
        </m:r>
        <m:sSup>
          <m:sSupPr>
            <m:ctrlPr>
              <w:rPr>
                <w:rFonts w:ascii="Cambria Math" w:hAnsi="Cambria Math"/>
                <w:i/>
              </w:rPr>
            </m:ctrlPr>
          </m:sSupPr>
          <m:e>
            <m:sSub>
              <m:sSubPr>
                <m:ctrlPr>
                  <w:rPr>
                    <w:rFonts w:ascii="Cambria Math" w:hAnsi="Cambria Math"/>
                    <w:i/>
                  </w:rPr>
                </m:ctrlPr>
              </m:sSubPr>
              <m:e>
                <m:r>
                  <w:rPr>
                    <w:rFonts w:ascii="Cambria Math" w:hAnsi="Cambria Math"/>
                  </w:rPr>
                  <m:t>k</m:t>
                </m:r>
              </m:e>
              <m:sub>
                <m:r>
                  <w:rPr>
                    <w:rFonts w:ascii="Cambria Math" w:hAnsi="Cambria Math"/>
                  </w:rPr>
                  <m:t>e</m:t>
                </m:r>
              </m:sub>
            </m:sSub>
          </m:e>
          <m:sup>
            <m:r>
              <w:rPr>
                <w:rFonts w:ascii="Cambria Math" w:hAnsi="Cambria Math"/>
              </w:rPr>
              <m:t>2</m:t>
            </m:r>
          </m:sup>
        </m:sSup>
        <m:r>
          <w:rPr>
            <w:rFonts w:ascii="Cambria Math" w:hAnsi="Cambria Math"/>
          </w:rPr>
          <m:t>+2i</m:t>
        </m:r>
        <m:sSub>
          <m:sSubPr>
            <m:ctrlPr>
              <w:rPr>
                <w:rFonts w:ascii="Cambria Math" w:hAnsi="Cambria Math"/>
                <w:i/>
              </w:rPr>
            </m:ctrlPr>
          </m:sSubPr>
          <m:e>
            <m:r>
              <w:rPr>
                <w:rFonts w:ascii="Cambria Math" w:hAnsi="Cambria Math"/>
              </w:rPr>
              <m:t>n</m:t>
            </m:r>
          </m:e>
          <m:sub>
            <m:r>
              <w:rPr>
                <w:rFonts w:ascii="Cambria Math" w:hAnsi="Cambria Math"/>
              </w:rPr>
              <m:t>e</m:t>
            </m:r>
          </m:sub>
        </m:sSub>
        <m:sSub>
          <m:sSubPr>
            <m:ctrlPr>
              <w:rPr>
                <w:rFonts w:ascii="Cambria Math" w:hAnsi="Cambria Math"/>
                <w:i/>
              </w:rPr>
            </m:ctrlPr>
          </m:sSubPr>
          <m:e>
            <m:r>
              <w:rPr>
                <w:rFonts w:ascii="Cambria Math" w:hAnsi="Cambria Math"/>
              </w:rPr>
              <m:t>k</m:t>
            </m:r>
          </m:e>
          <m:sub>
            <m:r>
              <w:rPr>
                <w:rFonts w:ascii="Cambria Math" w:hAnsi="Cambria Math"/>
              </w:rPr>
              <m:t>e</m:t>
            </m:r>
          </m:sub>
        </m:sSub>
      </m:oMath>
      <w:r>
        <w:rPr>
          <w:rFonts w:eastAsiaTheme="minorEastAsia"/>
        </w:rPr>
        <w:t xml:space="preserve">. The material used in this study, LC1825, was fully investigated by </w:t>
      </w:r>
      <w:r w:rsidRPr="001A7DA6">
        <w:rPr>
          <w:rFonts w:eastAsiaTheme="minorEastAsia"/>
        </w:rPr>
        <w:t>Chodorow, U., et al.</w:t>
      </w:r>
      <w:r>
        <w:rPr>
          <w:rFonts w:eastAsiaTheme="minorEastAsia"/>
        </w:rPr>
        <w:t xml:space="preserve"> </w:t>
      </w:r>
      <w:r w:rsidR="00F574DE">
        <w:rPr>
          <w:rFonts w:eastAsiaTheme="minorEastAsia"/>
        </w:rPr>
        <w:fldChar w:fldCharType="begin"/>
      </w:r>
      <w:r>
        <w:rPr>
          <w:rFonts w:eastAsiaTheme="minorEastAsia"/>
        </w:rPr>
        <w:instrText xml:space="preserve"> ADDIN EN.CITE &lt;EndNote&gt;&lt;Cite&gt;&lt;Author&gt;Chodorow&lt;/Author&gt;&lt;Year&gt;2012&lt;/Year&gt;&lt;RecNum&gt;37&lt;/RecNum&gt;&lt;DisplayText&gt;[27]&lt;/DisplayText&gt;&lt;record&gt;&lt;rec-number&gt;37&lt;/rec-number&gt;&lt;foreign-keys&gt;&lt;key app="EN" db-id="t0extrx9idz52reepwy5xw9vvzpa9fd5fztv" timestamp="1617062206"&gt;37&lt;/key&gt;&lt;/foreign-keys&gt;&lt;ref-type name="Journal Article"&gt;17&lt;/ref-type&gt;&lt;contributors&gt;&lt;authors&gt;&lt;author&gt;Chodorow, U&lt;/author&gt;&lt;author&gt;Parka, Ja&lt;/author&gt;&lt;author&gt;Garbat, K&lt;/author&gt;&lt;author&gt;Pałka, N&lt;/author&gt;&lt;author&gt;Czupryński, K&lt;/author&gt;&lt;/authors&gt;&lt;/contributors&gt;&lt;titles&gt;&lt;title&gt;Spectral investigation of nematic liquid crystals with high optical anisotropy at THz frequency range&lt;/title&gt;&lt;secondary-title&gt;Phase Transit.&lt;/secondary-title&gt;&lt;/titles&gt;&lt;periodical&gt;&lt;full-title&gt;Phase Transit.&lt;/full-title&gt;&lt;/periodical&gt;&lt;pages&gt;337-344&lt;/pages&gt;&lt;volume&gt;85&lt;/volume&gt;&lt;number&gt;4&lt;/number&gt;&lt;dates&gt;&lt;year&gt;2012&lt;/year&gt;&lt;/dates&gt;&lt;isbn&gt;0141-1594&lt;/isbn&gt;&lt;urls&gt;&lt;/urls&gt;&lt;/record&gt;&lt;/Cite&gt;&lt;/EndNote&gt;</w:instrText>
      </w:r>
      <w:r w:rsidR="00F574DE">
        <w:rPr>
          <w:rFonts w:eastAsiaTheme="minorEastAsia"/>
        </w:rPr>
        <w:fldChar w:fldCharType="separate"/>
      </w:r>
      <w:r>
        <w:rPr>
          <w:rFonts w:eastAsiaTheme="minorEastAsia"/>
          <w:noProof/>
        </w:rPr>
        <w:t>[27]</w:t>
      </w:r>
      <w:r w:rsidR="00F574DE">
        <w:rPr>
          <w:rFonts w:eastAsiaTheme="minorEastAsia"/>
        </w:rPr>
        <w:fldChar w:fldCharType="end"/>
      </w:r>
      <w:r>
        <w:rPr>
          <w:rFonts w:eastAsiaTheme="minorEastAsia"/>
        </w:rPr>
        <w:t>, who provided the following characteristics which we used in the simulations:</w:t>
      </w:r>
    </w:p>
    <w:tbl>
      <w:tblPr>
        <w:tblStyle w:val="GridTable7Colorful-Accent31"/>
        <w:tblW w:w="0" w:type="auto"/>
        <w:jc w:val="center"/>
        <w:tblLook w:val="04A0" w:firstRow="1" w:lastRow="0" w:firstColumn="1" w:lastColumn="0" w:noHBand="0" w:noVBand="1"/>
      </w:tblPr>
      <w:tblGrid>
        <w:gridCol w:w="1595"/>
        <w:gridCol w:w="1595"/>
      </w:tblGrid>
      <w:tr w:rsidR="002012C9" w14:paraId="0D565452" w14:textId="77777777" w:rsidTr="00604BDF">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100" w:firstRow="0" w:lastRow="0" w:firstColumn="1" w:lastColumn="0" w:oddVBand="0" w:evenVBand="0" w:oddHBand="0" w:evenHBand="0" w:firstRowFirstColumn="1" w:firstRowLastColumn="0" w:lastRowFirstColumn="0" w:lastRowLastColumn="0"/>
            <w:tcW w:w="1595" w:type="dxa"/>
          </w:tcPr>
          <w:p w14:paraId="1A73508C" w14:textId="77777777" w:rsidR="002012C9" w:rsidRPr="009B1FA0" w:rsidRDefault="002012C9" w:rsidP="00604BDF">
            <w:pPr>
              <w:jc w:val="center"/>
              <w:rPr>
                <w:i w:val="0"/>
                <w:iCs w:val="0"/>
                <w:color w:val="000000" w:themeColor="text1"/>
              </w:rPr>
            </w:pPr>
            <w:r w:rsidRPr="009B1FA0">
              <w:rPr>
                <w:i w:val="0"/>
                <w:iCs w:val="0"/>
                <w:color w:val="000000" w:themeColor="text1"/>
              </w:rPr>
              <w:t>LC1825</w:t>
            </w:r>
          </w:p>
        </w:tc>
        <w:tc>
          <w:tcPr>
            <w:tcW w:w="1595" w:type="dxa"/>
          </w:tcPr>
          <w:p w14:paraId="54E5C228" w14:textId="77777777" w:rsidR="002012C9" w:rsidRPr="009B1FA0" w:rsidRDefault="002012C9" w:rsidP="00604BDF">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9B1FA0">
              <w:rPr>
                <w:color w:val="000000" w:themeColor="text1"/>
              </w:rPr>
              <w:t>1.5 THz</w:t>
            </w:r>
          </w:p>
        </w:tc>
      </w:tr>
      <w:tr w:rsidR="002012C9" w14:paraId="374434BA" w14:textId="77777777" w:rsidTr="00604BDF">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595" w:type="dxa"/>
          </w:tcPr>
          <w:p w14:paraId="43ED94D2" w14:textId="77777777" w:rsidR="002012C9" w:rsidRPr="009B1FA0" w:rsidRDefault="00AF73B9" w:rsidP="00604BDF">
            <w:pPr>
              <w:jc w:val="center"/>
              <w:rPr>
                <w:color w:val="000000" w:themeColor="text1"/>
              </w:rPr>
            </w:pPr>
            <m:oMathPara>
              <m:oMath>
                <m:sSub>
                  <m:sSubPr>
                    <m:ctrlPr>
                      <w:rPr>
                        <w:rFonts w:ascii="Cambria Math" w:hAnsi="Cambria Math"/>
                        <w:iCs w:val="0"/>
                        <w:color w:val="000000" w:themeColor="text1"/>
                      </w:rPr>
                    </m:ctrlPr>
                  </m:sSubPr>
                  <m:e>
                    <m:r>
                      <w:rPr>
                        <w:rFonts w:ascii="Cambria Math" w:hAnsi="Cambria Math"/>
                        <w:color w:val="000000" w:themeColor="text1"/>
                      </w:rPr>
                      <m:t>n</m:t>
                    </m:r>
                  </m:e>
                  <m:sub>
                    <m:r>
                      <w:rPr>
                        <w:rFonts w:ascii="Cambria Math" w:hAnsi="Cambria Math"/>
                        <w:color w:val="000000" w:themeColor="text1"/>
                      </w:rPr>
                      <m:t>o</m:t>
                    </m:r>
                  </m:sub>
                </m:sSub>
              </m:oMath>
            </m:oMathPara>
          </w:p>
        </w:tc>
        <w:tc>
          <w:tcPr>
            <w:tcW w:w="1595" w:type="dxa"/>
          </w:tcPr>
          <w:p w14:paraId="0C731DA0" w14:textId="77777777" w:rsidR="002012C9" w:rsidRPr="009B1FA0" w:rsidRDefault="002012C9" w:rsidP="00604BDF">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B1FA0">
              <w:rPr>
                <w:color w:val="000000" w:themeColor="text1"/>
              </w:rPr>
              <w:t>1.574</w:t>
            </w:r>
          </w:p>
        </w:tc>
      </w:tr>
      <w:tr w:rsidR="002012C9" w14:paraId="1BA4C78B" w14:textId="77777777" w:rsidTr="00604BDF">
        <w:trPr>
          <w:trHeight w:val="253"/>
          <w:jc w:val="center"/>
        </w:trPr>
        <w:tc>
          <w:tcPr>
            <w:cnfStyle w:val="001000000000" w:firstRow="0" w:lastRow="0" w:firstColumn="1" w:lastColumn="0" w:oddVBand="0" w:evenVBand="0" w:oddHBand="0" w:evenHBand="0" w:firstRowFirstColumn="0" w:firstRowLastColumn="0" w:lastRowFirstColumn="0" w:lastRowLastColumn="0"/>
            <w:tcW w:w="1595" w:type="dxa"/>
          </w:tcPr>
          <w:p w14:paraId="4EA7A6DA" w14:textId="77777777" w:rsidR="002012C9" w:rsidRPr="009B1FA0" w:rsidRDefault="00AF73B9" w:rsidP="00604BDF">
            <w:pPr>
              <w:jc w:val="center"/>
              <w:rPr>
                <w:color w:val="000000" w:themeColor="text1"/>
              </w:rPr>
            </w:pPr>
            <m:oMathPara>
              <m:oMath>
                <m:sSub>
                  <m:sSubPr>
                    <m:ctrlPr>
                      <w:rPr>
                        <w:rFonts w:ascii="Cambria Math" w:hAnsi="Cambria Math"/>
                        <w:iCs w:val="0"/>
                        <w:color w:val="000000" w:themeColor="text1"/>
                      </w:rPr>
                    </m:ctrlPr>
                  </m:sSubPr>
                  <m:e>
                    <m:r>
                      <w:rPr>
                        <w:rFonts w:ascii="Cambria Math" w:hAnsi="Cambria Math"/>
                        <w:color w:val="000000" w:themeColor="text1"/>
                      </w:rPr>
                      <m:t>n</m:t>
                    </m:r>
                  </m:e>
                  <m:sub>
                    <m:r>
                      <w:rPr>
                        <w:rFonts w:ascii="Cambria Math" w:hAnsi="Cambria Math"/>
                        <w:color w:val="000000" w:themeColor="text1"/>
                      </w:rPr>
                      <m:t>e</m:t>
                    </m:r>
                  </m:sub>
                </m:sSub>
              </m:oMath>
            </m:oMathPara>
          </w:p>
        </w:tc>
        <w:tc>
          <w:tcPr>
            <w:tcW w:w="1595" w:type="dxa"/>
          </w:tcPr>
          <w:p w14:paraId="10B8C686" w14:textId="77777777" w:rsidR="002012C9" w:rsidRPr="009B1FA0" w:rsidRDefault="002012C9" w:rsidP="00604BD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B1FA0">
              <w:rPr>
                <w:color w:val="000000" w:themeColor="text1"/>
              </w:rPr>
              <w:t>1.951</w:t>
            </w:r>
          </w:p>
        </w:tc>
      </w:tr>
      <w:tr w:rsidR="002012C9" w14:paraId="0ED4B96D" w14:textId="77777777" w:rsidTr="00604BDF">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595" w:type="dxa"/>
          </w:tcPr>
          <w:p w14:paraId="1B87D034" w14:textId="77777777" w:rsidR="002012C9" w:rsidRPr="009B1FA0" w:rsidRDefault="00AF73B9" w:rsidP="00604BDF">
            <w:pPr>
              <w:jc w:val="center"/>
              <w:rPr>
                <w:color w:val="000000" w:themeColor="text1"/>
              </w:rPr>
            </w:pPr>
            <m:oMathPara>
              <m:oMath>
                <m:sSub>
                  <m:sSubPr>
                    <m:ctrlPr>
                      <w:rPr>
                        <w:rFonts w:ascii="Cambria Math" w:hAnsi="Cambria Math"/>
                        <w:iCs w:val="0"/>
                        <w:color w:val="000000" w:themeColor="text1"/>
                      </w:rPr>
                    </m:ctrlPr>
                  </m:sSubPr>
                  <m:e>
                    <m:r>
                      <w:rPr>
                        <w:rFonts w:ascii="Cambria Math" w:hAnsi="Cambria Math"/>
                        <w:color w:val="000000" w:themeColor="text1"/>
                      </w:rPr>
                      <m:t>k</m:t>
                    </m:r>
                  </m:e>
                  <m:sub>
                    <m:r>
                      <w:rPr>
                        <w:rFonts w:ascii="Cambria Math" w:hAnsi="Cambria Math"/>
                        <w:color w:val="000000" w:themeColor="text1"/>
                      </w:rPr>
                      <m:t>o</m:t>
                    </m:r>
                  </m:sub>
                </m:sSub>
              </m:oMath>
            </m:oMathPara>
          </w:p>
        </w:tc>
        <w:tc>
          <w:tcPr>
            <w:tcW w:w="1595" w:type="dxa"/>
          </w:tcPr>
          <w:p w14:paraId="444B10EA" w14:textId="77777777" w:rsidR="002012C9" w:rsidRPr="009B1FA0" w:rsidRDefault="002012C9" w:rsidP="00604BDF">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B1FA0">
              <w:rPr>
                <w:color w:val="000000" w:themeColor="text1"/>
              </w:rPr>
              <w:t>7 [</w:t>
            </w:r>
            <m:oMath>
              <m:f>
                <m:fPr>
                  <m:type m:val="lin"/>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cm</m:t>
                  </m:r>
                </m:den>
              </m:f>
            </m:oMath>
            <w:r w:rsidRPr="009B1FA0">
              <w:rPr>
                <w:color w:val="000000" w:themeColor="text1"/>
              </w:rPr>
              <w:t>]</w:t>
            </w:r>
          </w:p>
        </w:tc>
      </w:tr>
      <w:tr w:rsidR="002012C9" w14:paraId="407F75FC" w14:textId="77777777" w:rsidTr="00604BDF">
        <w:trPr>
          <w:trHeight w:val="253"/>
          <w:jc w:val="center"/>
        </w:trPr>
        <w:tc>
          <w:tcPr>
            <w:cnfStyle w:val="001000000000" w:firstRow="0" w:lastRow="0" w:firstColumn="1" w:lastColumn="0" w:oddVBand="0" w:evenVBand="0" w:oddHBand="0" w:evenHBand="0" w:firstRowFirstColumn="0" w:firstRowLastColumn="0" w:lastRowFirstColumn="0" w:lastRowLastColumn="0"/>
            <w:tcW w:w="1595" w:type="dxa"/>
          </w:tcPr>
          <w:p w14:paraId="11DA4AF7" w14:textId="77777777" w:rsidR="002012C9" w:rsidRPr="009B1FA0" w:rsidRDefault="00AF73B9" w:rsidP="00604BDF">
            <w:pPr>
              <w:jc w:val="center"/>
              <w:rPr>
                <w:color w:val="000000" w:themeColor="text1"/>
              </w:rPr>
            </w:pPr>
            <m:oMathPara>
              <m:oMath>
                <m:sSub>
                  <m:sSubPr>
                    <m:ctrlPr>
                      <w:rPr>
                        <w:rFonts w:ascii="Cambria Math" w:hAnsi="Cambria Math"/>
                        <w:iCs w:val="0"/>
                        <w:color w:val="000000" w:themeColor="text1"/>
                      </w:rPr>
                    </m:ctrlPr>
                  </m:sSubPr>
                  <m:e>
                    <m:r>
                      <w:rPr>
                        <w:rFonts w:ascii="Cambria Math" w:hAnsi="Cambria Math"/>
                        <w:color w:val="000000" w:themeColor="text1"/>
                      </w:rPr>
                      <m:t>k</m:t>
                    </m:r>
                  </m:e>
                  <m:sub>
                    <m:r>
                      <w:rPr>
                        <w:rFonts w:ascii="Cambria Math" w:hAnsi="Cambria Math"/>
                        <w:color w:val="000000" w:themeColor="text1"/>
                      </w:rPr>
                      <m:t>e</m:t>
                    </m:r>
                  </m:sub>
                </m:sSub>
              </m:oMath>
            </m:oMathPara>
          </w:p>
        </w:tc>
        <w:tc>
          <w:tcPr>
            <w:tcW w:w="1595" w:type="dxa"/>
          </w:tcPr>
          <w:p w14:paraId="7E7A9A54" w14:textId="77777777" w:rsidR="002012C9" w:rsidRPr="009B1FA0" w:rsidRDefault="002012C9" w:rsidP="00604BD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B1FA0">
              <w:rPr>
                <w:color w:val="000000" w:themeColor="text1"/>
              </w:rPr>
              <w:t>12 [</w:t>
            </w:r>
            <m:oMath>
              <m:f>
                <m:fPr>
                  <m:type m:val="lin"/>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cm</m:t>
                  </m:r>
                </m:den>
              </m:f>
            </m:oMath>
            <w:r w:rsidRPr="009B1FA0">
              <w:rPr>
                <w:color w:val="000000" w:themeColor="text1"/>
              </w:rPr>
              <w:t>]</w:t>
            </w:r>
          </w:p>
        </w:tc>
      </w:tr>
      <w:tr w:rsidR="002012C9" w14:paraId="40E2BE65" w14:textId="77777777" w:rsidTr="00604BDF">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595" w:type="dxa"/>
          </w:tcPr>
          <w:p w14:paraId="74DE2CEB" w14:textId="77777777" w:rsidR="002012C9" w:rsidRPr="009B1FA0" w:rsidRDefault="002012C9" w:rsidP="00604BDF">
            <w:pPr>
              <w:jc w:val="center"/>
              <w:rPr>
                <w:color w:val="000000" w:themeColor="text1"/>
                <w:lang w:val="en-US"/>
              </w:rPr>
            </w:pPr>
            <m:oMathPara>
              <m:oMath>
                <m:r>
                  <w:rPr>
                    <w:rFonts w:ascii="Cambria Math" w:hAnsi="Cambria Math"/>
                    <w:color w:val="000000" w:themeColor="text1"/>
                  </w:rPr>
                  <m:t>Δn</m:t>
                </m:r>
              </m:oMath>
            </m:oMathPara>
          </w:p>
        </w:tc>
        <w:tc>
          <w:tcPr>
            <w:tcW w:w="1595" w:type="dxa"/>
          </w:tcPr>
          <w:p w14:paraId="0A6E348D" w14:textId="77777777" w:rsidR="002012C9" w:rsidRPr="009B1FA0" w:rsidRDefault="002012C9" w:rsidP="00604BDF">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B1FA0">
              <w:rPr>
                <w:color w:val="000000" w:themeColor="text1"/>
              </w:rPr>
              <w:t>0.38</w:t>
            </w:r>
          </w:p>
        </w:tc>
      </w:tr>
    </w:tbl>
    <w:p w14:paraId="55AEF2DF" w14:textId="77777777" w:rsidR="002012C9" w:rsidRDefault="002012C9" w:rsidP="002012C9">
      <w:r>
        <w:t>So, for planar 1 configuration we introduced the following relative permittivity tensor with diagonal elements.</w:t>
      </w:r>
    </w:p>
    <w:p w14:paraId="33A8281C" w14:textId="77777777" w:rsidR="002012C9" w:rsidRDefault="002012C9" w:rsidP="002012C9">
      <m:oMathPara>
        <m:oMath>
          <m:r>
            <w:rPr>
              <w:rFonts w:ascii="Cambria Math" w:hAnsi="Cambria Math"/>
            </w:rPr>
            <m:t>ϵ=</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ϵ</m:t>
                        </m:r>
                      </m:e>
                      <m:sub>
                        <m:r>
                          <w:rPr>
                            <w:rFonts w:ascii="Cambria Math" w:hAnsi="Cambria Math"/>
                          </w:rPr>
                          <m:t>xx</m:t>
                        </m:r>
                      </m:sub>
                    </m:sSub>
                  </m:e>
                  <m:e>
                    <m:r>
                      <w:rPr>
                        <w:rFonts w:ascii="Cambria Math" w:hAnsi="Cambria Math"/>
                      </w:rPr>
                      <m:t>0</m:t>
                    </m:r>
                  </m:e>
                  <m:e>
                    <m:r>
                      <w:rPr>
                        <w:rFonts w:ascii="Cambria Math" w:hAnsi="Cambria Math"/>
                      </w:rPr>
                      <m:t>0</m:t>
                    </m:r>
                  </m:e>
                </m:mr>
                <m:mr>
                  <m:e>
                    <m:r>
                      <w:rPr>
                        <w:rFonts w:ascii="Cambria Math" w:hAnsi="Cambria Math"/>
                      </w:rPr>
                      <m:t>0</m:t>
                    </m:r>
                  </m:e>
                  <m:e>
                    <m:sSub>
                      <m:sSubPr>
                        <m:ctrlPr>
                          <w:rPr>
                            <w:rFonts w:ascii="Cambria Math" w:hAnsi="Cambria Math"/>
                            <w:i/>
                          </w:rPr>
                        </m:ctrlPr>
                      </m:sSubPr>
                      <m:e>
                        <m:r>
                          <w:rPr>
                            <w:rFonts w:ascii="Cambria Math" w:hAnsi="Cambria Math"/>
                          </w:rPr>
                          <m:t>ϵ</m:t>
                        </m:r>
                      </m:e>
                      <m:sub>
                        <m:r>
                          <w:rPr>
                            <w:rFonts w:ascii="Cambria Math" w:hAnsi="Cambria Math"/>
                          </w:rPr>
                          <m:t>yy</m:t>
                        </m:r>
                      </m:sub>
                    </m:sSub>
                  </m:e>
                  <m:e>
                    <m:r>
                      <w:rPr>
                        <w:rFonts w:ascii="Cambria Math" w:hAnsi="Cambria Math"/>
                      </w:rPr>
                      <m:t>0</m:t>
                    </m:r>
                  </m:e>
                </m:mr>
                <m:mr>
                  <m:e>
                    <m:r>
                      <w:rPr>
                        <w:rFonts w:ascii="Cambria Math" w:hAnsi="Cambria Math"/>
                      </w:rPr>
                      <m:t>0</m:t>
                    </m:r>
                  </m:e>
                  <m:e>
                    <m:r>
                      <w:rPr>
                        <w:rFonts w:ascii="Cambria Math" w:hAnsi="Cambria Math"/>
                      </w:rPr>
                      <m:t>0</m:t>
                    </m:r>
                  </m:e>
                  <m:e>
                    <m:sSub>
                      <m:sSubPr>
                        <m:ctrlPr>
                          <w:rPr>
                            <w:rFonts w:ascii="Cambria Math" w:hAnsi="Cambria Math"/>
                            <w:i/>
                          </w:rPr>
                        </m:ctrlPr>
                      </m:sSubPr>
                      <m:e>
                        <m:r>
                          <w:rPr>
                            <w:rFonts w:ascii="Cambria Math" w:hAnsi="Cambria Math"/>
                          </w:rPr>
                          <m:t>ϵ</m:t>
                        </m:r>
                      </m:e>
                      <m:sub>
                        <m:r>
                          <w:rPr>
                            <w:rFonts w:ascii="Cambria Math" w:hAnsi="Cambria Math"/>
                          </w:rPr>
                          <m:t>zz</m:t>
                        </m:r>
                      </m:sub>
                    </m:sSub>
                  </m:e>
                </m:mr>
              </m:m>
            </m:e>
          </m:d>
        </m:oMath>
      </m:oMathPara>
    </w:p>
    <w:p w14:paraId="55177E81" w14:textId="77777777" w:rsidR="002012C9" w:rsidRDefault="002012C9" w:rsidP="002012C9">
      <w:r>
        <w:t xml:space="preserve">To model the spatial variation of optical anisotropy as specified in figure 3 (a, c), we introduced an off-diagonal transverse anisotropy in the XY plane. When the </w:t>
      </w:r>
      <m:oMath>
        <m:acc>
          <m:accPr>
            <m:chr m:val="⃗"/>
            <m:ctrlPr>
              <w:rPr>
                <w:rFonts w:ascii="Cambria Math" w:hAnsi="Cambria Math"/>
                <w:i/>
              </w:rPr>
            </m:ctrlPr>
          </m:accPr>
          <m:e>
            <m:r>
              <w:rPr>
                <w:rFonts w:ascii="Cambria Math" w:hAnsi="Cambria Math"/>
              </w:rPr>
              <m:t>n</m:t>
            </m:r>
          </m:e>
        </m:acc>
      </m:oMath>
      <w:r>
        <w:t xml:space="preserve"> of NLC lies and rotates in the XY plane, making an angle of </w:t>
      </w:r>
      <m:oMath>
        <m:r>
          <w:rPr>
            <w:rFonts w:ascii="Cambria Math" w:hAnsi="Cambria Math"/>
          </w:rPr>
          <m:t>ϑ</m:t>
        </m:r>
      </m:oMath>
      <w:r>
        <w:rPr>
          <w:rFonts w:eastAsiaTheme="minorEastAsia"/>
        </w:rPr>
        <w:t xml:space="preserve"> with the x-axis (see Figure S</w:t>
      </w:r>
      <w:r w:rsidR="0017351A">
        <w:rPr>
          <w:rFonts w:eastAsiaTheme="minorEastAsia"/>
        </w:rPr>
        <w:t>3</w:t>
      </w:r>
      <w:r>
        <w:rPr>
          <w:rFonts w:eastAsiaTheme="minorEastAsia"/>
        </w:rPr>
        <w:t xml:space="preserve">), the diagonal components </w:t>
      </w:r>
      <w:r>
        <w:t>(</w:t>
      </w:r>
      <m:oMath>
        <m:sSub>
          <m:sSubPr>
            <m:ctrlPr>
              <w:rPr>
                <w:rFonts w:ascii="Cambria Math" w:hAnsi="Cambria Math"/>
                <w:i/>
              </w:rPr>
            </m:ctrlPr>
          </m:sSubPr>
          <m:e>
            <m:r>
              <w:rPr>
                <w:rFonts w:ascii="Cambria Math" w:hAnsi="Cambria Math"/>
              </w:rPr>
              <m:t>ϵ</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yy</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zz</m:t>
            </m:r>
          </m:sub>
        </m:sSub>
      </m:oMath>
      <w:r>
        <w:t xml:space="preserve">) </w:t>
      </w:r>
      <w:r>
        <w:rPr>
          <w:rFonts w:eastAsiaTheme="minorEastAsia"/>
        </w:rPr>
        <w:t xml:space="preserve">and off-diagonal components </w:t>
      </w:r>
      <w:r>
        <w:t>(</w:t>
      </w:r>
      <m:oMath>
        <m:sSub>
          <m:sSubPr>
            <m:ctrlPr>
              <w:rPr>
                <w:rFonts w:ascii="Cambria Math" w:hAnsi="Cambria Math"/>
                <w:i/>
              </w:rPr>
            </m:ctrlPr>
          </m:sSubPr>
          <m:e>
            <m:r>
              <w:rPr>
                <w:rFonts w:ascii="Cambria Math" w:hAnsi="Cambria Math"/>
              </w:rPr>
              <m:t>ϵ</m:t>
            </m:r>
          </m:e>
          <m:sub>
            <m:r>
              <w:rPr>
                <w:rFonts w:ascii="Cambria Math" w:hAnsi="Cambria Math"/>
              </w:rPr>
              <m:t>xy</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yx</m:t>
            </m:r>
          </m:sub>
        </m:sSub>
      </m:oMath>
      <w:r>
        <w:t xml:space="preserve">) </w:t>
      </w:r>
      <w:r>
        <w:rPr>
          <w:rFonts w:eastAsiaTheme="minorEastAsia"/>
        </w:rPr>
        <w:t>are nonzero.</w:t>
      </w:r>
    </w:p>
    <w:p w14:paraId="015D0DE2" w14:textId="77777777" w:rsidR="002012C9" w:rsidRPr="00D25B04" w:rsidRDefault="002012C9" w:rsidP="002012C9">
      <w:pPr>
        <w:rPr>
          <w:rFonts w:eastAsiaTheme="minorEastAsia"/>
        </w:rPr>
      </w:pPr>
      <m:oMathPara>
        <m:oMath>
          <m:r>
            <w:rPr>
              <w:rFonts w:ascii="Cambria Math" w:hAnsi="Cambria Math"/>
            </w:rPr>
            <m:t>ϵ=</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ϵ</m:t>
                        </m:r>
                      </m:e>
                      <m:sub>
                        <m:r>
                          <w:rPr>
                            <w:rFonts w:ascii="Cambria Math" w:hAnsi="Cambria Math"/>
                          </w:rPr>
                          <m:t>xx</m:t>
                        </m:r>
                      </m:sub>
                    </m:sSub>
                  </m:e>
                  <m:e>
                    <m:sSub>
                      <m:sSubPr>
                        <m:ctrlPr>
                          <w:rPr>
                            <w:rFonts w:ascii="Cambria Math" w:hAnsi="Cambria Math"/>
                            <w:i/>
                          </w:rPr>
                        </m:ctrlPr>
                      </m:sSubPr>
                      <m:e>
                        <m:r>
                          <w:rPr>
                            <w:rFonts w:ascii="Cambria Math" w:hAnsi="Cambria Math"/>
                          </w:rPr>
                          <m:t>ϵ</m:t>
                        </m:r>
                      </m:e>
                      <m:sub>
                        <m:r>
                          <w:rPr>
                            <w:rFonts w:ascii="Cambria Math" w:hAnsi="Cambria Math"/>
                          </w:rPr>
                          <m:t>xy</m:t>
                        </m:r>
                      </m:sub>
                    </m:sSub>
                  </m:e>
                  <m:e>
                    <m:r>
                      <w:rPr>
                        <w:rFonts w:ascii="Cambria Math" w:hAnsi="Cambria Math"/>
                      </w:rPr>
                      <m:t>0</m:t>
                    </m:r>
                  </m:e>
                </m:mr>
                <m:mr>
                  <m:e>
                    <m:sSub>
                      <m:sSubPr>
                        <m:ctrlPr>
                          <w:rPr>
                            <w:rFonts w:ascii="Cambria Math" w:hAnsi="Cambria Math"/>
                            <w:i/>
                          </w:rPr>
                        </m:ctrlPr>
                      </m:sSubPr>
                      <m:e>
                        <m:r>
                          <w:rPr>
                            <w:rFonts w:ascii="Cambria Math" w:hAnsi="Cambria Math"/>
                          </w:rPr>
                          <m:t>ϵ</m:t>
                        </m:r>
                      </m:e>
                      <m:sub>
                        <m:r>
                          <w:rPr>
                            <w:rFonts w:ascii="Cambria Math" w:hAnsi="Cambria Math"/>
                          </w:rPr>
                          <m:t>yx</m:t>
                        </m:r>
                      </m:sub>
                    </m:sSub>
                  </m:e>
                  <m:e>
                    <m:sSub>
                      <m:sSubPr>
                        <m:ctrlPr>
                          <w:rPr>
                            <w:rFonts w:ascii="Cambria Math" w:hAnsi="Cambria Math"/>
                            <w:i/>
                          </w:rPr>
                        </m:ctrlPr>
                      </m:sSubPr>
                      <m:e>
                        <m:r>
                          <w:rPr>
                            <w:rFonts w:ascii="Cambria Math" w:hAnsi="Cambria Math"/>
                          </w:rPr>
                          <m:t>ϵ</m:t>
                        </m:r>
                      </m:e>
                      <m:sub>
                        <m:r>
                          <w:rPr>
                            <w:rFonts w:ascii="Cambria Math" w:hAnsi="Cambria Math"/>
                          </w:rPr>
                          <m:t>yy</m:t>
                        </m:r>
                      </m:sub>
                    </m:sSub>
                  </m:e>
                  <m:e>
                    <m:r>
                      <w:rPr>
                        <w:rFonts w:ascii="Cambria Math" w:hAnsi="Cambria Math"/>
                      </w:rPr>
                      <m:t>0</m:t>
                    </m:r>
                  </m:e>
                </m:mr>
                <m:mr>
                  <m:e>
                    <m:r>
                      <w:rPr>
                        <w:rFonts w:ascii="Cambria Math" w:hAnsi="Cambria Math"/>
                      </w:rPr>
                      <m:t>0</m:t>
                    </m:r>
                  </m:e>
                  <m:e>
                    <m:r>
                      <w:rPr>
                        <w:rFonts w:ascii="Cambria Math" w:hAnsi="Cambria Math"/>
                      </w:rPr>
                      <m:t>0</m:t>
                    </m:r>
                  </m:e>
                  <m:e>
                    <m:sSub>
                      <m:sSubPr>
                        <m:ctrlPr>
                          <w:rPr>
                            <w:rFonts w:ascii="Cambria Math" w:hAnsi="Cambria Math"/>
                            <w:i/>
                          </w:rPr>
                        </m:ctrlPr>
                      </m:sSubPr>
                      <m:e>
                        <m:r>
                          <w:rPr>
                            <w:rFonts w:ascii="Cambria Math" w:hAnsi="Cambria Math"/>
                          </w:rPr>
                          <m:t>ϵ</m:t>
                        </m:r>
                      </m:e>
                      <m:sub>
                        <m:r>
                          <w:rPr>
                            <w:rFonts w:ascii="Cambria Math" w:hAnsi="Cambria Math"/>
                          </w:rPr>
                          <m:t>zz</m:t>
                        </m:r>
                      </m:sub>
                    </m:sSub>
                  </m:e>
                </m:mr>
              </m:m>
            </m:e>
          </m:d>
        </m:oMath>
      </m:oMathPara>
    </w:p>
    <w:p w14:paraId="69EA439B" w14:textId="77777777" w:rsidR="002012C9" w:rsidRDefault="002012C9" w:rsidP="002012C9">
      <w:pPr>
        <w:rPr>
          <w:rFonts w:eastAsiaTheme="minorEastAsia"/>
        </w:rPr>
      </w:pPr>
      <w:r>
        <w:t xml:space="preserve">In that case, </w:t>
      </w:r>
      <m:oMath>
        <m:sSub>
          <m:sSubPr>
            <m:ctrlPr>
              <w:rPr>
                <w:rFonts w:ascii="Cambria Math" w:hAnsi="Cambria Math"/>
                <w:i/>
              </w:rPr>
            </m:ctrlPr>
          </m:sSubPr>
          <m:e>
            <m:r>
              <w:rPr>
                <w:rFonts w:ascii="Cambria Math" w:hAnsi="Cambria Math"/>
              </w:rPr>
              <m:t>ϵ</m:t>
            </m:r>
          </m:e>
          <m:sub>
            <m:r>
              <w:rPr>
                <w:rFonts w:ascii="Cambria Math" w:hAnsi="Cambria Math"/>
              </w:rPr>
              <m:t>yy</m:t>
            </m:r>
          </m:sub>
        </m:sSub>
      </m:oMath>
      <w:r>
        <w:rPr>
          <w:rFonts w:eastAsiaTheme="minorEastAsia"/>
        </w:rPr>
        <w:t xml:space="preserve"> is governed by the extraordinary refractive index, because </w:t>
      </w:r>
      <m:oMath>
        <m:acc>
          <m:accPr>
            <m:chr m:val="⃗"/>
            <m:ctrlPr>
              <w:rPr>
                <w:rFonts w:ascii="Cambria Math" w:hAnsi="Cambria Math"/>
                <w:i/>
              </w:rPr>
            </m:ctrlPr>
          </m:accPr>
          <m:e>
            <m:r>
              <w:rPr>
                <w:rFonts w:ascii="Cambria Math" w:hAnsi="Cambria Math"/>
              </w:rPr>
              <m:t>n</m:t>
            </m:r>
          </m:e>
        </m:acc>
      </m:oMath>
      <w:r>
        <w:t xml:space="preserve"> </w:t>
      </w:r>
      <w:r>
        <w:rPr>
          <w:rFonts w:eastAsiaTheme="minorEastAsia"/>
        </w:rPr>
        <w:t xml:space="preserve">lies along the principal y-axis, while </w:t>
      </w:r>
      <m:oMath>
        <m:sSub>
          <m:sSubPr>
            <m:ctrlPr>
              <w:rPr>
                <w:rFonts w:ascii="Cambria Math" w:hAnsi="Cambria Math"/>
                <w:i/>
              </w:rPr>
            </m:ctrlPr>
          </m:sSubPr>
          <m:e>
            <m:r>
              <w:rPr>
                <w:rFonts w:ascii="Cambria Math" w:hAnsi="Cambria Math"/>
              </w:rPr>
              <m:t>ϵ</m:t>
            </m:r>
          </m:e>
          <m:sub>
            <m:r>
              <w:rPr>
                <w:rFonts w:ascii="Cambria Math" w:hAnsi="Cambria Math"/>
              </w:rPr>
              <m:t>xx</m:t>
            </m:r>
          </m:sub>
        </m:sSub>
      </m:oMath>
      <w:r>
        <w:rPr>
          <w:rFonts w:eastAsiaTheme="minorEastAsia"/>
        </w:rPr>
        <w:t xml:space="preserve"> and </w:t>
      </w:r>
      <m:oMath>
        <m:sSub>
          <m:sSubPr>
            <m:ctrlPr>
              <w:rPr>
                <w:rFonts w:ascii="Cambria Math" w:hAnsi="Cambria Math"/>
                <w:i/>
              </w:rPr>
            </m:ctrlPr>
          </m:sSubPr>
          <m:e>
            <m:r>
              <w:rPr>
                <w:rFonts w:ascii="Cambria Math" w:hAnsi="Cambria Math"/>
              </w:rPr>
              <m:t>ϵ</m:t>
            </m:r>
          </m:e>
          <m:sub>
            <m:r>
              <w:rPr>
                <w:rFonts w:ascii="Cambria Math" w:hAnsi="Cambria Math"/>
              </w:rPr>
              <m:t>zz</m:t>
            </m:r>
          </m:sub>
        </m:sSub>
      </m:oMath>
      <w:r>
        <w:rPr>
          <w:rFonts w:eastAsiaTheme="minorEastAsia"/>
        </w:rPr>
        <w:t xml:space="preserve"> are governed by the ordinary refractive index. The off-diagonal elements </w:t>
      </w:r>
      <m:oMath>
        <m:sSub>
          <m:sSubPr>
            <m:ctrlPr>
              <w:rPr>
                <w:rFonts w:ascii="Cambria Math" w:hAnsi="Cambria Math"/>
                <w:i/>
              </w:rPr>
            </m:ctrlPr>
          </m:sSubPr>
          <m:e>
            <m:r>
              <w:rPr>
                <w:rFonts w:ascii="Cambria Math" w:hAnsi="Cambria Math"/>
              </w:rPr>
              <m:t>ϵ</m:t>
            </m:r>
          </m:e>
          <m:sub>
            <m:r>
              <w:rPr>
                <w:rFonts w:ascii="Cambria Math" w:hAnsi="Cambria Math"/>
              </w:rPr>
              <m:t>xy</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yx</m:t>
            </m:r>
          </m:sub>
        </m:sSub>
      </m:oMath>
      <w:r>
        <w:rPr>
          <w:rFonts w:eastAsiaTheme="minorEastAsia"/>
        </w:rPr>
        <w:t xml:space="preserve"> are derived from the multiplication of the matrices as stated below.</w:t>
      </w:r>
    </w:p>
    <w:p w14:paraId="5B308D77" w14:textId="77777777" w:rsidR="002012C9" w:rsidRPr="00472EA0" w:rsidRDefault="002012C9" w:rsidP="002012C9">
      <w:pPr>
        <w:rPr>
          <w:rFonts w:eastAsiaTheme="minorEastAsia"/>
        </w:rPr>
      </w:pPr>
      <m:oMathPara>
        <m:oMath>
          <m:r>
            <w:rPr>
              <w:rFonts w:ascii="Cambria Math" w:hAnsi="Cambria Math"/>
            </w:rPr>
            <m:t>ϵ=</m:t>
          </m:r>
          <m:d>
            <m:dPr>
              <m:begChr m:val="["/>
              <m:endChr m:val="]"/>
              <m:ctrlPr>
                <w:rPr>
                  <w:rFonts w:ascii="Cambria Math" w:hAnsi="Cambria Math"/>
                  <w:i/>
                </w:rPr>
              </m:ctrlPr>
            </m:dPr>
            <m:e>
              <m:m>
                <m:mPr>
                  <m:mcs>
                    <m:mc>
                      <m:mcPr>
                        <m:count m:val="3"/>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r>
                          <w:rPr>
                            <w:rFonts w:ascii="Cambria Math" w:hAnsi="Cambria Math"/>
                          </w:rPr>
                          <m:t>(ϑ</m:t>
                        </m:r>
                      </m:e>
                    </m:func>
                    <m:r>
                      <w:rPr>
                        <w:rFonts w:ascii="Cambria Math" w:hAnsi="Cambria Math"/>
                      </w:rPr>
                      <m:t>)</m:t>
                    </m:r>
                  </m:e>
                  <m:e>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(ϑ)</m:t>
                        </m:r>
                      </m:e>
                    </m:func>
                  </m:e>
                  <m:e>
                    <m:r>
                      <w:rPr>
                        <w:rFonts w:ascii="Cambria Math" w:hAnsi="Cambria Math"/>
                      </w:rPr>
                      <m:t>0</m:t>
                    </m:r>
                  </m:e>
                </m:mr>
                <m:mr>
                  <m:e>
                    <m:func>
                      <m:funcPr>
                        <m:ctrlPr>
                          <w:rPr>
                            <w:rFonts w:ascii="Cambria Math" w:hAnsi="Cambria Math"/>
                            <w:i/>
                          </w:rPr>
                        </m:ctrlPr>
                      </m:funcPr>
                      <m:fName>
                        <m:r>
                          <m:rPr>
                            <m:sty m:val="p"/>
                          </m:rPr>
                          <w:rPr>
                            <w:rFonts w:ascii="Cambria Math" w:hAnsi="Cambria Math"/>
                          </w:rPr>
                          <m:t>sin</m:t>
                        </m:r>
                      </m:fName>
                      <m:e>
                        <m:r>
                          <w:rPr>
                            <w:rFonts w:ascii="Cambria Math" w:hAnsi="Cambria Math"/>
                          </w:rPr>
                          <m:t>(ϑ)</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(ϑ</m:t>
                        </m:r>
                      </m:e>
                    </m:func>
                    <m:r>
                      <w:rPr>
                        <w:rFonts w:ascii="Cambria Math" w:hAnsi="Cambria Math"/>
                      </w:rPr>
                      <m:t>)</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ϵ</m:t>
                        </m:r>
                      </m:e>
                      <m:sub>
                        <m:r>
                          <w:rPr>
                            <w:rFonts w:ascii="Cambria Math" w:hAnsi="Cambria Math"/>
                          </w:rPr>
                          <m:t>xx</m:t>
                        </m:r>
                      </m:sub>
                    </m:sSub>
                  </m:e>
                  <m:e>
                    <m:r>
                      <w:rPr>
                        <w:rFonts w:ascii="Cambria Math" w:hAnsi="Cambria Math"/>
                      </w:rPr>
                      <m:t>0</m:t>
                    </m:r>
                  </m:e>
                  <m:e>
                    <m:r>
                      <w:rPr>
                        <w:rFonts w:ascii="Cambria Math" w:hAnsi="Cambria Math"/>
                      </w:rPr>
                      <m:t>0</m:t>
                    </m:r>
                  </m:e>
                </m:mr>
                <m:mr>
                  <m:e>
                    <m:r>
                      <w:rPr>
                        <w:rFonts w:ascii="Cambria Math" w:hAnsi="Cambria Math"/>
                      </w:rPr>
                      <m:t>0</m:t>
                    </m:r>
                  </m:e>
                  <m:e>
                    <m:sSub>
                      <m:sSubPr>
                        <m:ctrlPr>
                          <w:rPr>
                            <w:rFonts w:ascii="Cambria Math" w:hAnsi="Cambria Math"/>
                            <w:i/>
                          </w:rPr>
                        </m:ctrlPr>
                      </m:sSubPr>
                      <m:e>
                        <m:r>
                          <w:rPr>
                            <w:rFonts w:ascii="Cambria Math" w:hAnsi="Cambria Math"/>
                          </w:rPr>
                          <m:t>ϵ</m:t>
                        </m:r>
                      </m:e>
                      <m:sub>
                        <m:r>
                          <w:rPr>
                            <w:rFonts w:ascii="Cambria Math" w:hAnsi="Cambria Math"/>
                          </w:rPr>
                          <m:t>yy</m:t>
                        </m:r>
                      </m:sub>
                    </m:sSub>
                  </m:e>
                  <m:e>
                    <m:r>
                      <w:rPr>
                        <w:rFonts w:ascii="Cambria Math" w:hAnsi="Cambria Math"/>
                      </w:rPr>
                      <m:t>0</m:t>
                    </m:r>
                  </m:e>
                </m:mr>
                <m:mr>
                  <m:e>
                    <m:r>
                      <w:rPr>
                        <w:rFonts w:ascii="Cambria Math" w:hAnsi="Cambria Math"/>
                      </w:rPr>
                      <m:t>0</m:t>
                    </m:r>
                  </m:e>
                  <m:e>
                    <m:r>
                      <w:rPr>
                        <w:rFonts w:ascii="Cambria Math" w:hAnsi="Cambria Math"/>
                      </w:rPr>
                      <m:t>0</m:t>
                    </m:r>
                  </m:e>
                  <m:e>
                    <m:sSub>
                      <m:sSubPr>
                        <m:ctrlPr>
                          <w:rPr>
                            <w:rFonts w:ascii="Cambria Math" w:hAnsi="Cambria Math"/>
                            <w:i/>
                          </w:rPr>
                        </m:ctrlPr>
                      </m:sSubPr>
                      <m:e>
                        <m:r>
                          <w:rPr>
                            <w:rFonts w:ascii="Cambria Math" w:hAnsi="Cambria Math"/>
                          </w:rPr>
                          <m:t>ϵ</m:t>
                        </m:r>
                      </m:e>
                      <m:sub>
                        <m:r>
                          <w:rPr>
                            <w:rFonts w:ascii="Cambria Math" w:hAnsi="Cambria Math"/>
                          </w:rPr>
                          <m:t>zz</m:t>
                        </m:r>
                      </m:sub>
                    </m:sSub>
                  </m:e>
                </m:mr>
              </m:m>
            </m:e>
          </m:d>
          <m:d>
            <m:dPr>
              <m:begChr m:val="["/>
              <m:endChr m:val="]"/>
              <m:ctrlPr>
                <w:rPr>
                  <w:rFonts w:ascii="Cambria Math" w:hAnsi="Cambria Math"/>
                  <w:i/>
                </w:rPr>
              </m:ctrlPr>
            </m:dPr>
            <m:e>
              <m:m>
                <m:mPr>
                  <m:mcs>
                    <m:mc>
                      <m:mcPr>
                        <m:count m:val="3"/>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r>
                          <w:rPr>
                            <w:rFonts w:ascii="Cambria Math" w:hAnsi="Cambria Math"/>
                          </w:rPr>
                          <m:t>(ϑ)</m:t>
                        </m:r>
                      </m:e>
                    </m:func>
                  </m:e>
                  <m:e>
                    <m:func>
                      <m:funcPr>
                        <m:ctrlPr>
                          <w:rPr>
                            <w:rFonts w:ascii="Cambria Math" w:hAnsi="Cambria Math"/>
                            <w:i/>
                          </w:rPr>
                        </m:ctrlPr>
                      </m:funcPr>
                      <m:fName>
                        <m:r>
                          <m:rPr>
                            <m:sty m:val="p"/>
                          </m:rPr>
                          <w:rPr>
                            <w:rFonts w:ascii="Cambria Math" w:hAnsi="Cambria Math"/>
                          </w:rPr>
                          <m:t>sin</m:t>
                        </m:r>
                      </m:fName>
                      <m:e>
                        <m:r>
                          <w:rPr>
                            <w:rFonts w:ascii="Cambria Math" w:hAnsi="Cambria Math"/>
                          </w:rPr>
                          <m:t>(ϑ)</m:t>
                        </m:r>
                      </m:e>
                    </m:func>
                  </m:e>
                  <m:e>
                    <m:r>
                      <w:rPr>
                        <w:rFonts w:ascii="Cambria Math" w:hAnsi="Cambria Math"/>
                      </w:rPr>
                      <m:t>0</m:t>
                    </m:r>
                  </m:e>
                </m:mr>
                <m:mr>
                  <m:e>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(ϑ)</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(ϑ)</m:t>
                        </m:r>
                      </m:e>
                    </m:func>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xx</m:t>
                        </m:r>
                      </m:sub>
                    </m:sSub>
                    <m:r>
                      <w:rPr>
                        <w:rFonts w:ascii="Cambria Math" w:hAnsi="Cambria Math"/>
                      </w:rPr>
                      <m:t>)</m:t>
                    </m:r>
                    <m:sSup>
                      <m:sSupPr>
                        <m:ctrlPr>
                          <w:rPr>
                            <w:rFonts w:ascii="Cambria Math" w:hAnsi="Cambria Math"/>
                            <w:i/>
                          </w:rPr>
                        </m:ctrlPr>
                      </m:sSupPr>
                      <m:e>
                        <m:r>
                          <w:rPr>
                            <w:rFonts w:ascii="Cambria Math" w:hAnsi="Cambria Math"/>
                            <w:lang w:val="en-US"/>
                          </w:rPr>
                          <m:t>cos</m:t>
                        </m:r>
                      </m:e>
                      <m:sup>
                        <m:r>
                          <w:rPr>
                            <w:rFonts w:ascii="Cambria Math" w:hAnsi="Cambria Math"/>
                          </w:rPr>
                          <m:t>2</m:t>
                        </m:r>
                      </m:sup>
                    </m:sSup>
                    <m:r>
                      <w:rPr>
                        <w:rFonts w:ascii="Cambria Math" w:hAnsi="Cambria Math"/>
                      </w:rPr>
                      <m:t>(ϑ)+(</m:t>
                    </m:r>
                    <m:sSub>
                      <m:sSubPr>
                        <m:ctrlPr>
                          <w:rPr>
                            <w:rFonts w:ascii="Cambria Math" w:hAnsi="Cambria Math"/>
                            <w:i/>
                          </w:rPr>
                        </m:ctrlPr>
                      </m:sSubPr>
                      <m:e>
                        <m:r>
                          <w:rPr>
                            <w:rFonts w:ascii="Cambria Math" w:hAnsi="Cambria Math"/>
                          </w:rPr>
                          <m:t>ϵ</m:t>
                        </m:r>
                      </m:e>
                      <m:sub>
                        <m:r>
                          <w:rPr>
                            <w:rFonts w:ascii="Cambria Math" w:hAnsi="Cambria Math"/>
                          </w:rPr>
                          <m:t>yy</m:t>
                        </m:r>
                      </m:sub>
                    </m:sSub>
                    <m:r>
                      <w:rPr>
                        <w:rFonts w:ascii="Cambria Math" w:hAnsi="Cambria Math"/>
                      </w:rPr>
                      <m:t>)</m:t>
                    </m:r>
                    <m:sSup>
                      <m:sSupPr>
                        <m:ctrlPr>
                          <w:rPr>
                            <w:rFonts w:ascii="Cambria Math" w:hAnsi="Cambria Math"/>
                            <w:i/>
                          </w:rPr>
                        </m:ctrlPr>
                      </m:sSupPr>
                      <m:e>
                        <m:r>
                          <w:rPr>
                            <w:rFonts w:ascii="Cambria Math" w:hAnsi="Cambria Math"/>
                            <w:lang w:val="en-US"/>
                          </w:rPr>
                          <m:t>sin</m:t>
                        </m:r>
                      </m:e>
                      <m:sup>
                        <m:r>
                          <w:rPr>
                            <w:rFonts w:ascii="Cambria Math" w:hAnsi="Cambria Math"/>
                          </w:rPr>
                          <m:t>2</m:t>
                        </m:r>
                      </m:sup>
                    </m:sSup>
                    <m:r>
                      <w:rPr>
                        <w:rFonts w:ascii="Cambria Math" w:hAnsi="Cambria Math"/>
                      </w:rPr>
                      <m:t>(ϑ)</m:t>
                    </m:r>
                  </m:e>
                  <m:e>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xx</m:t>
                        </m:r>
                      </m:sub>
                    </m:sSub>
                    <m:r>
                      <w:rPr>
                        <w:rFonts w:ascii="Cambria Math" w:hAnsi="Cambria Math"/>
                      </w:rPr>
                      <m:t>)sin(ϑ)cos(ϑ)-(</m:t>
                    </m:r>
                    <m:sSub>
                      <m:sSubPr>
                        <m:ctrlPr>
                          <w:rPr>
                            <w:rFonts w:ascii="Cambria Math" w:hAnsi="Cambria Math"/>
                            <w:i/>
                          </w:rPr>
                        </m:ctrlPr>
                      </m:sSubPr>
                      <m:e>
                        <m:r>
                          <w:rPr>
                            <w:rFonts w:ascii="Cambria Math" w:hAnsi="Cambria Math"/>
                          </w:rPr>
                          <m:t>ϵ</m:t>
                        </m:r>
                      </m:e>
                      <m:sub>
                        <m:r>
                          <w:rPr>
                            <w:rFonts w:ascii="Cambria Math" w:hAnsi="Cambria Math"/>
                          </w:rPr>
                          <m:t>yy</m:t>
                        </m:r>
                      </m:sub>
                    </m:sSub>
                    <m:r>
                      <w:rPr>
                        <w:rFonts w:ascii="Cambria Math" w:hAnsi="Cambria Math"/>
                      </w:rPr>
                      <m:t>)sin(ϑ)cos(ϑ)</m:t>
                    </m:r>
                  </m:e>
                  <m:e>
                    <m:r>
                      <w:rPr>
                        <w:rFonts w:ascii="Cambria Math" w:hAnsi="Cambria Math"/>
                      </w:rPr>
                      <m:t>0</m:t>
                    </m:r>
                  </m:e>
                </m:mr>
                <m:mr>
                  <m:e>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xx</m:t>
                        </m:r>
                      </m:sub>
                    </m:sSub>
                    <m:r>
                      <w:rPr>
                        <w:rFonts w:ascii="Cambria Math" w:hAnsi="Cambria Math"/>
                      </w:rPr>
                      <m:t>)sin(ϑ)cos(ϑ)-(</m:t>
                    </m:r>
                    <m:sSub>
                      <m:sSubPr>
                        <m:ctrlPr>
                          <w:rPr>
                            <w:rFonts w:ascii="Cambria Math" w:hAnsi="Cambria Math"/>
                            <w:i/>
                          </w:rPr>
                        </m:ctrlPr>
                      </m:sSubPr>
                      <m:e>
                        <m:r>
                          <w:rPr>
                            <w:rFonts w:ascii="Cambria Math" w:hAnsi="Cambria Math"/>
                          </w:rPr>
                          <m:t>ϵ</m:t>
                        </m:r>
                      </m:e>
                      <m:sub>
                        <m:r>
                          <w:rPr>
                            <w:rFonts w:ascii="Cambria Math" w:hAnsi="Cambria Math"/>
                          </w:rPr>
                          <m:t>yy</m:t>
                        </m:r>
                      </m:sub>
                    </m:sSub>
                    <m:r>
                      <w:rPr>
                        <w:rFonts w:ascii="Cambria Math" w:hAnsi="Cambria Math"/>
                      </w:rPr>
                      <m:t>)sin(ϑ)cos(ϑ)</m:t>
                    </m:r>
                  </m:e>
                  <m:e>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yy</m:t>
                        </m:r>
                      </m:sub>
                    </m:sSub>
                    <m:r>
                      <w:rPr>
                        <w:rFonts w:ascii="Cambria Math" w:hAnsi="Cambria Math"/>
                      </w:rPr>
                      <m:t>)</m:t>
                    </m:r>
                    <m:sSup>
                      <m:sSupPr>
                        <m:ctrlPr>
                          <w:rPr>
                            <w:rFonts w:ascii="Cambria Math" w:hAnsi="Cambria Math"/>
                            <w:i/>
                          </w:rPr>
                        </m:ctrlPr>
                      </m:sSupPr>
                      <m:e>
                        <m:r>
                          <w:rPr>
                            <w:rFonts w:ascii="Cambria Math" w:hAnsi="Cambria Math"/>
                            <w:lang w:val="en-US"/>
                          </w:rPr>
                          <m:t>cos</m:t>
                        </m:r>
                      </m:e>
                      <m:sup>
                        <m:r>
                          <w:rPr>
                            <w:rFonts w:ascii="Cambria Math" w:hAnsi="Cambria Math"/>
                          </w:rPr>
                          <m:t>2</m:t>
                        </m:r>
                      </m:sup>
                    </m:sSup>
                    <m:r>
                      <w:rPr>
                        <w:rFonts w:ascii="Cambria Math" w:hAnsi="Cambria Math"/>
                      </w:rPr>
                      <m:t>(ϑ)+(</m:t>
                    </m:r>
                    <m:sSub>
                      <m:sSubPr>
                        <m:ctrlPr>
                          <w:rPr>
                            <w:rFonts w:ascii="Cambria Math" w:hAnsi="Cambria Math"/>
                            <w:i/>
                          </w:rPr>
                        </m:ctrlPr>
                      </m:sSubPr>
                      <m:e>
                        <m:r>
                          <w:rPr>
                            <w:rFonts w:ascii="Cambria Math" w:hAnsi="Cambria Math"/>
                          </w:rPr>
                          <m:t>ϵ</m:t>
                        </m:r>
                      </m:e>
                      <m:sub>
                        <m:r>
                          <w:rPr>
                            <w:rFonts w:ascii="Cambria Math" w:hAnsi="Cambria Math"/>
                          </w:rPr>
                          <m:t>xx</m:t>
                        </m:r>
                      </m:sub>
                    </m:sSub>
                    <m:r>
                      <w:rPr>
                        <w:rFonts w:ascii="Cambria Math" w:hAnsi="Cambria Math"/>
                      </w:rPr>
                      <m:t>)</m:t>
                    </m:r>
                    <m:sSup>
                      <m:sSupPr>
                        <m:ctrlPr>
                          <w:rPr>
                            <w:rFonts w:ascii="Cambria Math" w:hAnsi="Cambria Math"/>
                            <w:i/>
                          </w:rPr>
                        </m:ctrlPr>
                      </m:sSupPr>
                      <m:e>
                        <m:r>
                          <w:rPr>
                            <w:rFonts w:ascii="Cambria Math" w:hAnsi="Cambria Math"/>
                            <w:lang w:val="en-US"/>
                          </w:rPr>
                          <m:t>sin</m:t>
                        </m:r>
                      </m:e>
                      <m:sup>
                        <m:r>
                          <w:rPr>
                            <w:rFonts w:ascii="Cambria Math" w:hAnsi="Cambria Math"/>
                          </w:rPr>
                          <m:t>2</m:t>
                        </m:r>
                      </m:sup>
                    </m:sSup>
                    <m:r>
                      <w:rPr>
                        <w:rFonts w:ascii="Cambria Math" w:hAnsi="Cambria Math"/>
                      </w:rPr>
                      <m:t>(ϑ)</m:t>
                    </m:r>
                  </m:e>
                  <m:e>
                    <m:r>
                      <w:rPr>
                        <w:rFonts w:ascii="Cambria Math" w:hAnsi="Cambria Math"/>
                      </w:rPr>
                      <m:t>0</m:t>
                    </m:r>
                  </m:e>
                </m:mr>
                <m:mr>
                  <m:e>
                    <m:r>
                      <w:rPr>
                        <w:rFonts w:ascii="Cambria Math" w:hAnsi="Cambria Math"/>
                      </w:rPr>
                      <m:t>0</m:t>
                    </m:r>
                  </m:e>
                  <m:e>
                    <m:r>
                      <w:rPr>
                        <w:rFonts w:ascii="Cambria Math" w:hAnsi="Cambria Math"/>
                      </w:rPr>
                      <m:t>0</m:t>
                    </m:r>
                  </m:e>
                  <m:e>
                    <m:sSub>
                      <m:sSubPr>
                        <m:ctrlPr>
                          <w:rPr>
                            <w:rFonts w:ascii="Cambria Math" w:hAnsi="Cambria Math"/>
                            <w:i/>
                          </w:rPr>
                        </m:ctrlPr>
                      </m:sSubPr>
                      <m:e>
                        <m:r>
                          <w:rPr>
                            <w:rFonts w:ascii="Cambria Math" w:hAnsi="Cambria Math"/>
                          </w:rPr>
                          <m:t>ϵ</m:t>
                        </m:r>
                      </m:e>
                      <m:sub>
                        <m:r>
                          <w:rPr>
                            <w:rFonts w:ascii="Cambria Math" w:hAnsi="Cambria Math"/>
                          </w:rPr>
                          <m:t>zz</m:t>
                        </m:r>
                      </m:sub>
                    </m:sSub>
                  </m:e>
                </m:mr>
              </m:m>
            </m:e>
          </m:d>
        </m:oMath>
      </m:oMathPara>
    </w:p>
    <w:p w14:paraId="70AFF2B5" w14:textId="77777777" w:rsidR="002012C9" w:rsidRDefault="002012C9" w:rsidP="002012C9">
      <w:r>
        <w:t>To model the distortions of LC alignment within the hotspots, we isolated the areas around the edges of MM and built the tensor for each area individually. For convenience, we set a new origin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oMath>
      <w:r>
        <w:t xml:space="preserve">) in each area as a point of reference to rotate the molecules’ alignment, and hence the optical anisotropy, with respect to spatial coordinates. </w:t>
      </w:r>
    </w:p>
    <w:p w14:paraId="28FEF9D9" w14:textId="77777777" w:rsidR="002012C9" w:rsidRDefault="002012C9" w:rsidP="002012C9">
      <w:pPr>
        <w:rPr>
          <w:rFonts w:eastAsiaTheme="minorEastAsia"/>
        </w:rPr>
      </w:pPr>
      <w:r>
        <w:t xml:space="preserve">Rotation angle </w:t>
      </w:r>
      <m:oMath>
        <m:r>
          <w:rPr>
            <w:rFonts w:ascii="Cambria Math" w:hAnsi="Cambria Math"/>
          </w:rPr>
          <m:t>ϑ</m:t>
        </m:r>
      </m:oMath>
      <w:r>
        <w:rPr>
          <w:rFonts w:eastAsiaTheme="minorEastAsia"/>
        </w:rPr>
        <w:t>, will then be:</w:t>
      </w:r>
    </w:p>
    <w:p w14:paraId="58C3C97B" w14:textId="77777777" w:rsidR="002012C9" w:rsidRPr="00852CB4" w:rsidRDefault="00AF73B9" w:rsidP="002012C9">
      <w:pPr>
        <w:rPr>
          <w:rFonts w:eastAsiaTheme="minorEastAsia"/>
        </w:rPr>
      </w:pPr>
      <m:oMathPara>
        <m:oMath>
          <m:acc>
            <m:accPr>
              <m:ctrlPr>
                <w:rPr>
                  <w:rFonts w:ascii="Cambria Math" w:hAnsi="Cambria Math"/>
                  <w:i/>
                </w:rPr>
              </m:ctrlPr>
            </m:accPr>
            <m:e>
              <m:r>
                <w:rPr>
                  <w:rFonts w:ascii="Cambria Math" w:hAnsi="Cambria Math"/>
                </w:rPr>
                <m:t>ϑ</m:t>
              </m:r>
            </m:e>
          </m:acc>
          <m:r>
            <w:rPr>
              <w:rFonts w:ascii="Cambria Math" w:hAnsi="Cambria Math"/>
            </w:rPr>
            <m:t>=</m:t>
          </m:r>
          <m:func>
            <m:funcPr>
              <m:ctrlPr>
                <w:rPr>
                  <w:rFonts w:ascii="Cambria Math" w:hAnsi="Cambria Math"/>
                  <w:i/>
                </w:rPr>
              </m:ctrlPr>
            </m:funcPr>
            <m:fName>
              <m:sSup>
                <m:sSupPr>
                  <m:ctrlPr>
                    <w:rPr>
                      <w:rFonts w:ascii="Cambria Math" w:hAnsi="Cambria Math"/>
                      <w:i/>
                    </w:rPr>
                  </m:ctrlPr>
                </m:sSupPr>
                <m:e>
                  <m:acc>
                    <m:accPr>
                      <m:ctrlPr>
                        <w:rPr>
                          <w:rFonts w:ascii="Cambria Math" w:hAnsi="Cambria Math"/>
                        </w:rPr>
                      </m:ctrlPr>
                    </m:accPr>
                    <m:e>
                      <m:r>
                        <w:rPr>
                          <w:rFonts w:ascii="Cambria Math" w:hAnsi="Cambria Math"/>
                        </w:rPr>
                        <m:t>φ</m:t>
                      </m:r>
                    </m:e>
                  </m:acc>
                  <m:r>
                    <m:rPr>
                      <m:sty m:val="p"/>
                    </m:rPr>
                    <w:rPr>
                      <w:rFonts w:ascii="Cambria Math" w:hAnsi="Cambria Math"/>
                    </w:rPr>
                    <m:t>-tan</m:t>
                  </m:r>
                </m:e>
                <m:sup>
                  <m:r>
                    <w:rPr>
                      <w:rFonts w:ascii="Cambria Math" w:hAnsi="Cambria Math"/>
                    </w:rPr>
                    <m:t>-1</m:t>
                  </m:r>
                </m:sup>
              </m:sSup>
            </m:fName>
            <m:e>
              <m:d>
                <m:dPr>
                  <m:begChr m:val="["/>
                  <m:endChr m:val="]"/>
                  <m:ctrlPr>
                    <w:rPr>
                      <w:rFonts w:ascii="Cambria Math" w:hAnsi="Cambria Math"/>
                      <w:i/>
                    </w:rPr>
                  </m:ctrlPr>
                </m:dPr>
                <m:e>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0</m:t>
                          </m:r>
                        </m:sub>
                      </m:sSub>
                    </m:e>
                  </m:d>
                </m:e>
              </m:d>
            </m:e>
          </m:func>
          <m:r>
            <w:rPr>
              <w:rFonts w:ascii="Cambria Math" w:hAnsi="Cambria Math"/>
            </w:rPr>
            <m:t>,</m:t>
          </m:r>
        </m:oMath>
      </m:oMathPara>
    </w:p>
    <w:p w14:paraId="6A1550BE" w14:textId="77777777" w:rsidR="002012C9" w:rsidRDefault="002012C9" w:rsidP="002012C9">
      <w:pPr>
        <w:rPr>
          <w:rFonts w:eastAsiaTheme="minorEastAsia"/>
        </w:rPr>
      </w:pPr>
      <w:r>
        <w:t xml:space="preserve">The resulting rotating angle </w:t>
      </w:r>
      <m:oMath>
        <m:r>
          <w:rPr>
            <w:rFonts w:ascii="Cambria Math" w:hAnsi="Cambria Math"/>
          </w:rPr>
          <m:t>ϑ</m:t>
        </m:r>
      </m:oMath>
      <w:r>
        <w:rPr>
          <w:rFonts w:eastAsiaTheme="minorEastAsia"/>
        </w:rPr>
        <w:t xml:space="preserve"> varies from 135 to 45 degrees for planar 1 configuration (see Fig. 3b) and from 45 to </w:t>
      </w:r>
      <m:oMath>
        <m:r>
          <w:rPr>
            <w:rFonts w:ascii="Cambria Math" w:eastAsiaTheme="minorEastAsia" w:hAnsi="Cambria Math"/>
          </w:rPr>
          <m:t>-45</m:t>
        </m:r>
      </m:oMath>
      <w:r>
        <w:rPr>
          <w:rFonts w:eastAsiaTheme="minorEastAsia"/>
        </w:rPr>
        <w:t xml:space="preserve"> degrees for planar 2 configuration (see Fig. 3d), showing a realistic idea of what we expected, as schematically shown in Figure S</w:t>
      </w:r>
      <w:r w:rsidR="0017351A">
        <w:rPr>
          <w:rFonts w:eastAsiaTheme="minorEastAsia"/>
        </w:rPr>
        <w:t>3</w:t>
      </w:r>
      <w:r>
        <w:rPr>
          <w:rFonts w:eastAsiaTheme="minorEastAsia"/>
        </w:rPr>
        <w:t xml:space="preserve"> (a, b) respectively. </w:t>
      </w:r>
      <w:r>
        <w:t xml:space="preserve">Angle </w:t>
      </w:r>
      <m:oMath>
        <m:r>
          <w:rPr>
            <w:rFonts w:ascii="Cambria Math" w:hAnsi="Cambria Math"/>
          </w:rPr>
          <m:t>φ</m:t>
        </m:r>
      </m:oMath>
      <w:r>
        <w:rPr>
          <w:rFonts w:eastAsiaTheme="minorEastAsia"/>
        </w:rPr>
        <w:t xml:space="preserve">, defines </w:t>
      </w:r>
      <w:r>
        <w:t>whether the variation axis symmetry exists at 90</w:t>
      </w:r>
      <w:r>
        <w:rPr>
          <w:rFonts w:cstheme="minorHAnsi"/>
        </w:rPr>
        <w:t>°</w:t>
      </w:r>
      <w:r>
        <w:t xml:space="preserve"> along </w:t>
      </w:r>
      <m:oMath>
        <m:sSub>
          <m:sSubPr>
            <m:ctrlPr>
              <w:rPr>
                <w:rFonts w:ascii="Cambria Math" w:hAnsi="Cambria Math"/>
                <w:i/>
              </w:rPr>
            </m:ctrlPr>
          </m:sSubPr>
          <m:e>
            <m:r>
              <w:rPr>
                <w:rFonts w:ascii="Cambria Math" w:hAnsi="Cambria Math"/>
              </w:rPr>
              <m:t>n</m:t>
            </m:r>
          </m:e>
          <m:sub>
            <m:r>
              <m:rPr>
                <m:sty m:val="p"/>
              </m:rPr>
              <w:rPr>
                <w:rFonts w:ascii="Cambria Math" w:hAnsi="Cambria Math"/>
              </w:rPr>
              <m:t>planar 1</m:t>
            </m:r>
          </m:sub>
        </m:sSub>
      </m:oMath>
      <w:r>
        <w:t xml:space="preserve"> or at 0</w:t>
      </w:r>
      <w:r>
        <w:rPr>
          <w:rFonts w:cstheme="minorHAnsi"/>
        </w:rPr>
        <w:t>°</w:t>
      </w:r>
      <w:r>
        <w:t xml:space="preserve"> along </w:t>
      </w:r>
      <m:oMath>
        <m:sSub>
          <m:sSubPr>
            <m:ctrlPr>
              <w:rPr>
                <w:rFonts w:ascii="Cambria Math" w:hAnsi="Cambria Math"/>
                <w:i/>
              </w:rPr>
            </m:ctrlPr>
          </m:sSubPr>
          <m:e>
            <m:r>
              <w:rPr>
                <w:rFonts w:ascii="Cambria Math" w:hAnsi="Cambria Math"/>
              </w:rPr>
              <m:t>n</m:t>
            </m:r>
          </m:e>
          <m:sub>
            <m:r>
              <m:rPr>
                <m:sty m:val="p"/>
              </m:rPr>
              <w:rPr>
                <w:rFonts w:ascii="Cambria Math" w:hAnsi="Cambria Math"/>
              </w:rPr>
              <m:t>planar 2</m:t>
            </m:r>
          </m:sub>
        </m:sSub>
      </m:oMath>
      <w:r>
        <w:t>.</w:t>
      </w:r>
    </w:p>
    <w:p w14:paraId="4EC779CA" w14:textId="77777777" w:rsidR="002012C9" w:rsidRDefault="002012C9" w:rsidP="002012C9">
      <w:pPr>
        <w:rPr>
          <w:rFonts w:eastAsiaTheme="minorEastAsia"/>
        </w:rPr>
      </w:pPr>
    </w:p>
    <w:p w14:paraId="55982262" w14:textId="77777777" w:rsidR="00DD4EFC" w:rsidRDefault="00CE10FF" w:rsidP="002012C9">
      <w:pPr>
        <w:pStyle w:val="ListParagraph"/>
        <w:numPr>
          <w:ilvl w:val="0"/>
          <w:numId w:val="1"/>
        </w:numPr>
        <w:rPr>
          <w:b/>
          <w:bCs/>
        </w:rPr>
      </w:pPr>
      <w:r>
        <w:rPr>
          <w:b/>
          <w:bCs/>
        </w:rPr>
        <w:t>H</w:t>
      </w:r>
      <w:r w:rsidRPr="00CE10FF">
        <w:rPr>
          <w:b/>
          <w:bCs/>
        </w:rPr>
        <w:t>eating of MM metal elements in the hotspots</w:t>
      </w:r>
      <w:r>
        <w:rPr>
          <w:b/>
          <w:bCs/>
        </w:rPr>
        <w:t xml:space="preserve"> (HS)</w:t>
      </w:r>
    </w:p>
    <w:p w14:paraId="486BE7F0" w14:textId="77777777" w:rsidR="00CE10FF" w:rsidRPr="00475069" w:rsidRDefault="00475069" w:rsidP="00CE10FF">
      <w:r w:rsidRPr="00475069">
        <w:t>T</w:t>
      </w:r>
      <w:r w:rsidR="00860D87" w:rsidRPr="00475069">
        <w:t>he heating of LC</w:t>
      </w:r>
      <w:r w:rsidRPr="00475069">
        <w:t>s</w:t>
      </w:r>
      <w:r w:rsidR="00860D87" w:rsidRPr="00475069">
        <w:t xml:space="preserve"> within hotspots could well serve as an alternative mechanism of LC nonlinear response and, therefore, might also affect the spectral shift of the metamaterial resonance. The temperature effect, in particular in the area of the hotspots, was considered. Firstly, LC 1825 has high phase transition temperature, with the nematic to isotropic clearing point as high as 133</w:t>
      </w:r>
      <w:r w:rsidR="00860D87" w:rsidRPr="00475069">
        <w:rPr>
          <w:vertAlign w:val="superscript"/>
        </w:rPr>
        <w:t>o</w:t>
      </w:r>
      <w:r w:rsidR="00860D87" w:rsidRPr="00475069">
        <w:t xml:space="preserve">C. Our experiments were carried out at room temperature and this LC has negligible absorption in the THz range (the THz source had low power). Hence, direct heating of the LC through its absorption was assumed to be negligible. Secondly, heating of MM metal elements in the hotspots could, indeed, be another source of temperature variation. However, </w:t>
      </w:r>
      <w:r w:rsidR="00FB355D">
        <w:t>our modelling</w:t>
      </w:r>
      <w:r w:rsidR="00860D87" w:rsidRPr="00475069">
        <w:t xml:space="preserve"> shows that in the case of local heating</w:t>
      </w:r>
      <w:r w:rsidR="00C4057E">
        <w:t xml:space="preserve">, </w:t>
      </w:r>
      <w:r w:rsidR="00860D87" w:rsidRPr="00475069">
        <w:t>when the temperature increase is enough to induce the isotropic phase within the hotspots</w:t>
      </w:r>
      <w:r w:rsidR="00C4057E">
        <w:t>,</w:t>
      </w:r>
      <w:r w:rsidR="00C4057E" w:rsidRPr="00475069">
        <w:t xml:space="preserve"> </w:t>
      </w:r>
      <w:r w:rsidR="00860D87" w:rsidRPr="00475069">
        <w:t>the spectral shift would in fact occur in the opposite direction</w:t>
      </w:r>
      <w:r w:rsidR="00FB355D">
        <w:t xml:space="preserve"> (see Figure S4)</w:t>
      </w:r>
      <w:r w:rsidR="00860D87" w:rsidRPr="00475069">
        <w:t>.</w:t>
      </w:r>
    </w:p>
    <w:p w14:paraId="6EADAFF6" w14:textId="77777777" w:rsidR="00DD4EFC" w:rsidRDefault="00DD4EFC" w:rsidP="00705A7A">
      <w:pPr>
        <w:keepNext/>
      </w:pPr>
      <w:r w:rsidRPr="00340832">
        <w:rPr>
          <w:noProof/>
          <w:lang w:val="en-US"/>
        </w:rPr>
        <w:drawing>
          <wp:inline distT="0" distB="0" distL="0" distR="0" wp14:anchorId="5F8C73D1" wp14:editId="2A4409FF">
            <wp:extent cx="5778500" cy="24238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2645" t="5282" r="4762"/>
                    <a:stretch/>
                  </pic:blipFill>
                  <pic:spPr bwMode="auto">
                    <a:xfrm>
                      <a:off x="0" y="0"/>
                      <a:ext cx="5780144" cy="2424568"/>
                    </a:xfrm>
                    <a:prstGeom prst="rect">
                      <a:avLst/>
                    </a:prstGeom>
                    <a:ln>
                      <a:noFill/>
                    </a:ln>
                    <a:extLst>
                      <a:ext uri="{53640926-AAD7-44D8-BBD7-CCE9431645EC}">
                        <a14:shadowObscured xmlns:a14="http://schemas.microsoft.com/office/drawing/2010/main"/>
                      </a:ext>
                    </a:extLst>
                  </pic:spPr>
                </pic:pic>
              </a:graphicData>
            </a:graphic>
          </wp:inline>
        </w:drawing>
      </w:r>
    </w:p>
    <w:p w14:paraId="18445F0A" w14:textId="77777777" w:rsidR="00DD4EFC" w:rsidRPr="00DE2439" w:rsidRDefault="00DD4EFC" w:rsidP="00DD4EFC">
      <w:pPr>
        <w:rPr>
          <w:i/>
          <w:iCs/>
          <w:sz w:val="20"/>
          <w:szCs w:val="20"/>
        </w:rPr>
      </w:pPr>
      <w:r w:rsidRPr="00DE2439">
        <w:rPr>
          <w:b/>
          <w:bCs/>
          <w:sz w:val="20"/>
          <w:szCs w:val="20"/>
        </w:rPr>
        <w:t xml:space="preserve">Figure </w:t>
      </w:r>
      <w:r w:rsidR="00DE2439">
        <w:rPr>
          <w:b/>
          <w:bCs/>
          <w:sz w:val="20"/>
          <w:szCs w:val="20"/>
        </w:rPr>
        <w:t>S4</w:t>
      </w:r>
      <w:r w:rsidRPr="00DE2439">
        <w:rPr>
          <w:b/>
          <w:bCs/>
          <w:sz w:val="20"/>
          <w:szCs w:val="20"/>
        </w:rPr>
        <w:t>. (a)</w:t>
      </w:r>
      <w:r w:rsidRPr="00DE2439">
        <w:rPr>
          <w:sz w:val="20"/>
          <w:szCs w:val="20"/>
        </w:rPr>
        <w:t xml:space="preserve"> Transmission spectra measured experimentally (open triangles) and simulated (thick solid lines) for positive MM including also the initial homogeneous planar 1 LC orientation (green line), the orientational optical nonlinearity caused by the enhanced near-field around MM hotspots (HS) (red line) and the isotropic LC alignment around MM HS caused by the hypothetical temperature increment (magenta line). </w:t>
      </w:r>
      <w:r w:rsidRPr="00AF73B9">
        <w:rPr>
          <w:b/>
          <w:sz w:val="20"/>
          <w:szCs w:val="20"/>
        </w:rPr>
        <w:t>(b)</w:t>
      </w:r>
      <w:r w:rsidRPr="00DE2439">
        <w:rPr>
          <w:sz w:val="20"/>
          <w:szCs w:val="20"/>
        </w:rPr>
        <w:t xml:space="preserve"> Same as (a), but for the initial planar 2 alignment of LC molecules. </w:t>
      </w:r>
    </w:p>
    <w:p w14:paraId="11FEC10D" w14:textId="77777777" w:rsidR="00236282" w:rsidRPr="00DD4EFC" w:rsidRDefault="00236282" w:rsidP="00DD4EFC"/>
    <w:p w14:paraId="7540CEF6" w14:textId="77777777" w:rsidR="002012C9" w:rsidRDefault="002012C9" w:rsidP="002012C9">
      <w:pPr>
        <w:pStyle w:val="ListParagraph"/>
        <w:numPr>
          <w:ilvl w:val="0"/>
          <w:numId w:val="1"/>
        </w:numPr>
      </w:pPr>
      <w:r>
        <w:rPr>
          <w:b/>
          <w:bCs/>
        </w:rPr>
        <w:t>Varying the extent of LC re-alignment within the hotspots</w:t>
      </w:r>
      <w:r w:rsidRPr="001638B6">
        <w:rPr>
          <w:b/>
          <w:bCs/>
        </w:rPr>
        <w:t xml:space="preserve">  </w:t>
      </w:r>
    </w:p>
    <w:p w14:paraId="525098E5" w14:textId="77777777" w:rsidR="00F10214" w:rsidRDefault="00F10214" w:rsidP="00AF73B9">
      <w:pPr>
        <w:pStyle w:val="ListParagraph"/>
        <w:ind w:left="0"/>
      </w:pPr>
    </w:p>
    <w:p w14:paraId="790667D3" w14:textId="77777777" w:rsidR="00F10214" w:rsidRPr="005B5C02" w:rsidRDefault="00F10214" w:rsidP="00F10214">
      <w:pPr>
        <w:rPr>
          <w:sz w:val="20"/>
          <w:szCs w:val="20"/>
        </w:rPr>
      </w:pPr>
      <w:r>
        <w:rPr>
          <w:sz w:val="20"/>
          <w:szCs w:val="20"/>
        </w:rPr>
        <w:t>We simulated</w:t>
      </w:r>
      <w:r w:rsidRPr="005B5C02">
        <w:rPr>
          <w:sz w:val="20"/>
          <w:szCs w:val="20"/>
        </w:rPr>
        <w:t xml:space="preserve"> different angular ranges</w:t>
      </w:r>
      <w:r>
        <w:rPr>
          <w:sz w:val="20"/>
          <w:szCs w:val="20"/>
        </w:rPr>
        <w:t xml:space="preserve"> of possible </w:t>
      </w:r>
      <w:r w:rsidR="000A08BE">
        <w:rPr>
          <w:sz w:val="20"/>
          <w:szCs w:val="20"/>
        </w:rPr>
        <w:t xml:space="preserve">LC </w:t>
      </w:r>
      <w:r w:rsidRPr="005B5C02">
        <w:rPr>
          <w:sz w:val="20"/>
          <w:szCs w:val="20"/>
        </w:rPr>
        <w:t xml:space="preserve">re-alignment for both planar 1 and planar 2 configurations </w:t>
      </w:r>
      <w:r>
        <w:rPr>
          <w:sz w:val="20"/>
          <w:szCs w:val="20"/>
        </w:rPr>
        <w:t xml:space="preserve">in an attempt </w:t>
      </w:r>
      <w:r w:rsidRPr="005B5C02">
        <w:rPr>
          <w:sz w:val="20"/>
          <w:szCs w:val="20"/>
        </w:rPr>
        <w:t xml:space="preserve">to match the experimental data. Evidently, re-orientation </w:t>
      </w:r>
      <w:r w:rsidR="000A08BE">
        <w:rPr>
          <w:sz w:val="20"/>
          <w:szCs w:val="20"/>
        </w:rPr>
        <w:t xml:space="preserve">of LC molecules </w:t>
      </w:r>
      <w:r>
        <w:rPr>
          <w:sz w:val="20"/>
          <w:szCs w:val="20"/>
        </w:rPr>
        <w:t>within</w:t>
      </w:r>
      <w:r w:rsidRPr="005B5C02">
        <w:rPr>
          <w:sz w:val="20"/>
          <w:szCs w:val="20"/>
        </w:rPr>
        <w:t xml:space="preserve"> </w:t>
      </w:r>
      <w:r w:rsidRPr="005B5C02">
        <w:rPr>
          <w:rFonts w:cstheme="minorHAnsi"/>
          <w:sz w:val="20"/>
          <w:szCs w:val="20"/>
        </w:rPr>
        <w:t>± 45°</w:t>
      </w:r>
      <w:r w:rsidRPr="005B5C02">
        <w:rPr>
          <w:sz w:val="20"/>
          <w:szCs w:val="20"/>
        </w:rPr>
        <w:t xml:space="preserve"> (90°±45° and 0°±45°, respectively) found to </w:t>
      </w:r>
      <w:r>
        <w:rPr>
          <w:sz w:val="20"/>
          <w:szCs w:val="20"/>
        </w:rPr>
        <w:t>produce best possible match</w:t>
      </w:r>
      <w:r w:rsidRPr="005B5C02">
        <w:rPr>
          <w:sz w:val="20"/>
          <w:szCs w:val="20"/>
        </w:rPr>
        <w:t xml:space="preserve"> to the experiment</w:t>
      </w:r>
      <w:r w:rsidR="000A08BE">
        <w:rPr>
          <w:sz w:val="20"/>
          <w:szCs w:val="20"/>
        </w:rPr>
        <w:t xml:space="preserve"> (see Figure S5)</w:t>
      </w:r>
      <w:r w:rsidRPr="005B5C02">
        <w:rPr>
          <w:sz w:val="20"/>
          <w:szCs w:val="20"/>
        </w:rPr>
        <w:t>.</w:t>
      </w:r>
      <w:r>
        <w:rPr>
          <w:sz w:val="20"/>
          <w:szCs w:val="20"/>
        </w:rPr>
        <w:t xml:space="preserve"> </w:t>
      </w:r>
      <w:r w:rsidRPr="005B5C02">
        <w:rPr>
          <w:sz w:val="20"/>
          <w:szCs w:val="20"/>
        </w:rPr>
        <w:t xml:space="preserve">A re-orientation of </w:t>
      </w:r>
      <w:r w:rsidRPr="005B5C02">
        <w:rPr>
          <w:rFonts w:cstheme="minorHAnsi"/>
          <w:sz w:val="20"/>
          <w:szCs w:val="20"/>
        </w:rPr>
        <w:t xml:space="preserve">± 90° opposes the initial strong surface anchoring energy </w:t>
      </w:r>
      <w:r>
        <w:rPr>
          <w:rFonts w:cstheme="minorHAnsi"/>
          <w:sz w:val="20"/>
          <w:szCs w:val="20"/>
        </w:rPr>
        <w:t>due to</w:t>
      </w:r>
      <w:r w:rsidRPr="005B5C02">
        <w:rPr>
          <w:rFonts w:cstheme="minorHAnsi"/>
          <w:sz w:val="20"/>
          <w:szCs w:val="20"/>
        </w:rPr>
        <w:t xml:space="preserve"> rubbing and</w:t>
      </w:r>
      <w:r>
        <w:rPr>
          <w:rFonts w:cstheme="minorHAnsi"/>
          <w:sz w:val="20"/>
          <w:szCs w:val="20"/>
        </w:rPr>
        <w:t>,</w:t>
      </w:r>
      <w:r w:rsidRPr="005B5C02">
        <w:rPr>
          <w:rFonts w:cstheme="minorHAnsi"/>
          <w:sz w:val="20"/>
          <w:szCs w:val="20"/>
        </w:rPr>
        <w:t xml:space="preserve"> hence, seems </w:t>
      </w:r>
      <w:r>
        <w:rPr>
          <w:rFonts w:cstheme="minorHAnsi"/>
          <w:sz w:val="20"/>
          <w:szCs w:val="20"/>
        </w:rPr>
        <w:t xml:space="preserve">unlikely </w:t>
      </w:r>
      <w:r w:rsidRPr="005B5C02">
        <w:rPr>
          <w:rFonts w:cstheme="minorHAnsi"/>
          <w:sz w:val="20"/>
          <w:szCs w:val="20"/>
        </w:rPr>
        <w:t xml:space="preserve">to </w:t>
      </w:r>
      <w:r>
        <w:rPr>
          <w:rFonts w:cstheme="minorHAnsi"/>
          <w:sz w:val="20"/>
          <w:szCs w:val="20"/>
        </w:rPr>
        <w:t>occur in our experiments</w:t>
      </w:r>
      <w:r w:rsidRPr="005B5C02">
        <w:rPr>
          <w:rFonts w:cstheme="minorHAnsi"/>
          <w:sz w:val="20"/>
          <w:szCs w:val="20"/>
        </w:rPr>
        <w:t xml:space="preserve">. Indeed, as it is shown in </w:t>
      </w:r>
      <w:r>
        <w:rPr>
          <w:rFonts w:cstheme="minorHAnsi"/>
          <w:sz w:val="20"/>
          <w:szCs w:val="20"/>
        </w:rPr>
        <w:t>Figure S5</w:t>
      </w:r>
      <w:r w:rsidR="000A08BE">
        <w:rPr>
          <w:rFonts w:cstheme="minorHAnsi"/>
          <w:sz w:val="20"/>
          <w:szCs w:val="20"/>
        </w:rPr>
        <w:t>,</w:t>
      </w:r>
      <w:r w:rsidRPr="005B5C02">
        <w:rPr>
          <w:rFonts w:cstheme="minorHAnsi"/>
          <w:sz w:val="20"/>
          <w:szCs w:val="20"/>
        </w:rPr>
        <w:t xml:space="preserve"> </w:t>
      </w:r>
      <w:r w:rsidRPr="005B5C02">
        <w:rPr>
          <w:sz w:val="20"/>
          <w:szCs w:val="20"/>
        </w:rPr>
        <w:t xml:space="preserve">re-orientation of </w:t>
      </w:r>
      <w:r w:rsidRPr="005B5C02">
        <w:rPr>
          <w:rFonts w:cstheme="minorHAnsi"/>
          <w:sz w:val="20"/>
          <w:szCs w:val="20"/>
        </w:rPr>
        <w:t xml:space="preserve">± 90° </w:t>
      </w:r>
      <w:r w:rsidR="000A08BE">
        <w:rPr>
          <w:rFonts w:cstheme="minorHAnsi"/>
          <w:sz w:val="20"/>
          <w:szCs w:val="20"/>
        </w:rPr>
        <w:t>yields</w:t>
      </w:r>
      <w:r w:rsidRPr="005B5C02">
        <w:rPr>
          <w:rFonts w:cstheme="minorHAnsi"/>
          <w:sz w:val="20"/>
          <w:szCs w:val="20"/>
        </w:rPr>
        <w:t xml:space="preserve"> larger transmittance than </w:t>
      </w:r>
      <w:r w:rsidR="000A08BE">
        <w:rPr>
          <w:rFonts w:cstheme="minorHAnsi"/>
          <w:sz w:val="20"/>
          <w:szCs w:val="20"/>
        </w:rPr>
        <w:t>observed in the</w:t>
      </w:r>
      <w:r w:rsidRPr="005B5C02">
        <w:rPr>
          <w:rFonts w:cstheme="minorHAnsi"/>
          <w:sz w:val="20"/>
          <w:szCs w:val="20"/>
        </w:rPr>
        <w:t xml:space="preserve"> experiment. On the other hand, </w:t>
      </w:r>
      <w:r w:rsidRPr="005B5C02">
        <w:rPr>
          <w:sz w:val="20"/>
          <w:szCs w:val="20"/>
        </w:rPr>
        <w:t xml:space="preserve">a smaller re-orientation range of </w:t>
      </w:r>
      <w:r w:rsidRPr="005B5C02">
        <w:rPr>
          <w:rFonts w:cstheme="minorHAnsi"/>
          <w:sz w:val="20"/>
          <w:szCs w:val="20"/>
        </w:rPr>
        <w:t>± 30° shows a weaker response</w:t>
      </w:r>
      <w:r>
        <w:rPr>
          <w:rFonts w:cstheme="minorHAnsi"/>
          <w:sz w:val="20"/>
          <w:szCs w:val="20"/>
        </w:rPr>
        <w:t xml:space="preserve">. We thus conclude that the best fit is </w:t>
      </w:r>
      <w:r w:rsidR="000A08BE">
        <w:rPr>
          <w:rFonts w:cstheme="minorHAnsi"/>
          <w:sz w:val="20"/>
          <w:szCs w:val="20"/>
        </w:rPr>
        <w:t>obtained</w:t>
      </w:r>
      <w:r>
        <w:rPr>
          <w:rFonts w:cstheme="minorHAnsi"/>
          <w:sz w:val="20"/>
          <w:szCs w:val="20"/>
        </w:rPr>
        <w:t xml:space="preserve"> </w:t>
      </w:r>
      <w:r w:rsidR="000A08BE">
        <w:rPr>
          <w:rFonts w:cstheme="minorHAnsi"/>
          <w:sz w:val="20"/>
          <w:szCs w:val="20"/>
        </w:rPr>
        <w:t>for</w:t>
      </w:r>
      <w:r>
        <w:rPr>
          <w:rFonts w:cstheme="minorHAnsi"/>
          <w:sz w:val="20"/>
          <w:szCs w:val="20"/>
        </w:rPr>
        <w:t xml:space="preserve"> the </w:t>
      </w:r>
      <w:r w:rsidRPr="005B5C02">
        <w:rPr>
          <w:sz w:val="20"/>
          <w:szCs w:val="20"/>
        </w:rPr>
        <w:t xml:space="preserve">re-orientation </w:t>
      </w:r>
      <w:r w:rsidR="004D582F">
        <w:rPr>
          <w:sz w:val="20"/>
          <w:szCs w:val="20"/>
        </w:rPr>
        <w:t xml:space="preserve">of LC molecules occurring within the hotspots in the </w:t>
      </w:r>
      <w:r>
        <w:rPr>
          <w:sz w:val="20"/>
          <w:szCs w:val="20"/>
        </w:rPr>
        <w:t xml:space="preserve">range </w:t>
      </w:r>
      <w:r w:rsidRPr="005B5C02">
        <w:rPr>
          <w:sz w:val="20"/>
          <w:szCs w:val="20"/>
        </w:rPr>
        <w:t xml:space="preserve">of </w:t>
      </w:r>
      <w:r w:rsidRPr="005B5C02">
        <w:rPr>
          <w:rFonts w:cstheme="minorHAnsi"/>
          <w:sz w:val="20"/>
          <w:szCs w:val="20"/>
        </w:rPr>
        <w:t>± 45°</w:t>
      </w:r>
      <w:r>
        <w:rPr>
          <w:rFonts w:cstheme="minorHAnsi"/>
          <w:sz w:val="20"/>
          <w:szCs w:val="20"/>
        </w:rPr>
        <w:t>.</w:t>
      </w:r>
    </w:p>
    <w:p w14:paraId="05C9F34E" w14:textId="77777777" w:rsidR="00F10214" w:rsidRDefault="00F10214" w:rsidP="00AF73B9">
      <w:pPr>
        <w:pStyle w:val="ListParagraph"/>
        <w:ind w:left="0"/>
      </w:pPr>
    </w:p>
    <w:p w14:paraId="2F87AF4F" w14:textId="77777777" w:rsidR="002012C9" w:rsidRPr="003D22F5" w:rsidRDefault="002012C9" w:rsidP="002012C9">
      <w:pPr>
        <w:pStyle w:val="ListParagraph"/>
        <w:ind w:left="0"/>
        <w:jc w:val="center"/>
      </w:pPr>
      <w:bookmarkStart w:id="4" w:name="_GoBack"/>
      <w:r w:rsidRPr="005B5C02">
        <w:rPr>
          <w:noProof/>
          <w:lang w:val="en-US"/>
        </w:rPr>
        <w:drawing>
          <wp:inline distT="0" distB="0" distL="0" distR="0" wp14:anchorId="0F4032CA" wp14:editId="2CE916DF">
            <wp:extent cx="5731510" cy="2562860"/>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731510" cy="2562860"/>
                    </a:xfrm>
                    <a:prstGeom prst="rect">
                      <a:avLst/>
                    </a:prstGeom>
                  </pic:spPr>
                </pic:pic>
              </a:graphicData>
            </a:graphic>
          </wp:inline>
        </w:drawing>
      </w:r>
      <w:bookmarkEnd w:id="4"/>
    </w:p>
    <w:p w14:paraId="035D377B" w14:textId="77777777" w:rsidR="002012C9" w:rsidRPr="005B5C02" w:rsidRDefault="002012C9" w:rsidP="002012C9">
      <w:pPr>
        <w:rPr>
          <w:sz w:val="20"/>
          <w:szCs w:val="20"/>
        </w:rPr>
      </w:pPr>
      <w:r>
        <w:rPr>
          <w:b/>
          <w:bCs/>
          <w:sz w:val="20"/>
          <w:szCs w:val="20"/>
        </w:rPr>
        <w:t>Figure S</w:t>
      </w:r>
      <w:r w:rsidR="00DE2439">
        <w:rPr>
          <w:b/>
          <w:bCs/>
          <w:sz w:val="20"/>
          <w:szCs w:val="20"/>
        </w:rPr>
        <w:t>5</w:t>
      </w:r>
      <w:r w:rsidRPr="007F3670">
        <w:rPr>
          <w:b/>
          <w:bCs/>
          <w:sz w:val="20"/>
          <w:szCs w:val="20"/>
        </w:rPr>
        <w:t xml:space="preserve">. </w:t>
      </w:r>
      <w:r w:rsidRPr="007F3670">
        <w:rPr>
          <w:sz w:val="20"/>
          <w:szCs w:val="20"/>
        </w:rPr>
        <w:t xml:space="preserve">Transmission spectra of </w:t>
      </w:r>
      <w:r>
        <w:rPr>
          <w:sz w:val="20"/>
          <w:szCs w:val="20"/>
        </w:rPr>
        <w:t xml:space="preserve">measured experimentally </w:t>
      </w:r>
      <w:r w:rsidRPr="007F3670">
        <w:rPr>
          <w:sz w:val="20"/>
          <w:szCs w:val="20"/>
        </w:rPr>
        <w:t>(</w:t>
      </w:r>
      <w:r>
        <w:rPr>
          <w:sz w:val="20"/>
          <w:szCs w:val="20"/>
        </w:rPr>
        <w:t>open triangles</w:t>
      </w:r>
      <w:r w:rsidRPr="007F3670">
        <w:rPr>
          <w:sz w:val="20"/>
          <w:szCs w:val="20"/>
        </w:rPr>
        <w:t xml:space="preserve">) and </w:t>
      </w:r>
      <w:r>
        <w:rPr>
          <w:sz w:val="20"/>
          <w:szCs w:val="20"/>
        </w:rPr>
        <w:t>simulated</w:t>
      </w:r>
      <w:r w:rsidRPr="007F3670">
        <w:rPr>
          <w:sz w:val="20"/>
          <w:szCs w:val="20"/>
        </w:rPr>
        <w:t xml:space="preserve"> (</w:t>
      </w:r>
      <w:r>
        <w:rPr>
          <w:sz w:val="20"/>
          <w:szCs w:val="20"/>
        </w:rPr>
        <w:t>thick solid</w:t>
      </w:r>
      <w:r w:rsidRPr="007F3670">
        <w:rPr>
          <w:sz w:val="20"/>
          <w:szCs w:val="20"/>
        </w:rPr>
        <w:t xml:space="preserve"> lines) for LC-loaded positive MM in </w:t>
      </w:r>
      <w:r w:rsidRPr="007F3670">
        <w:rPr>
          <w:b/>
          <w:bCs/>
          <w:sz w:val="20"/>
          <w:szCs w:val="20"/>
        </w:rPr>
        <w:t xml:space="preserve">(a) </w:t>
      </w:r>
      <w:r w:rsidRPr="007F3670">
        <w:rPr>
          <w:sz w:val="20"/>
          <w:szCs w:val="20"/>
        </w:rPr>
        <w:t xml:space="preserve">planar </w:t>
      </w:r>
      <w:proofErr w:type="gramStart"/>
      <w:r w:rsidRPr="007F3670">
        <w:rPr>
          <w:sz w:val="20"/>
          <w:szCs w:val="20"/>
        </w:rPr>
        <w:t>1</w:t>
      </w:r>
      <w:proofErr w:type="gramEnd"/>
      <w:r w:rsidRPr="007F3670">
        <w:rPr>
          <w:sz w:val="20"/>
          <w:szCs w:val="20"/>
        </w:rPr>
        <w:t xml:space="preserve"> and </w:t>
      </w:r>
      <w:r w:rsidRPr="007F3670">
        <w:rPr>
          <w:b/>
          <w:bCs/>
          <w:sz w:val="20"/>
          <w:szCs w:val="20"/>
        </w:rPr>
        <w:t xml:space="preserve">(b) </w:t>
      </w:r>
      <w:r w:rsidRPr="007F3670">
        <w:rPr>
          <w:sz w:val="20"/>
          <w:szCs w:val="20"/>
        </w:rPr>
        <w:t>planar 2 configuration</w:t>
      </w:r>
      <w:r>
        <w:rPr>
          <w:sz w:val="20"/>
          <w:szCs w:val="20"/>
        </w:rPr>
        <w:t>s</w:t>
      </w:r>
      <w:r w:rsidRPr="007F3670">
        <w:rPr>
          <w:sz w:val="20"/>
          <w:szCs w:val="20"/>
        </w:rPr>
        <w:t xml:space="preserve">. </w:t>
      </w:r>
    </w:p>
    <w:p w14:paraId="2A260BA1" w14:textId="77777777" w:rsidR="002012C9" w:rsidRDefault="002012C9"/>
    <w:sectPr w:rsidR="002012C9" w:rsidSect="001B52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264CE"/>
    <w:multiLevelType w:val="hybridMultilevel"/>
    <w:tmpl w:val="90AEE71C"/>
    <w:lvl w:ilvl="0" w:tplc="43DE202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C05617"/>
    <w:multiLevelType w:val="hybridMultilevel"/>
    <w:tmpl w:val="AEAEE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C9"/>
    <w:rsid w:val="000A08BE"/>
    <w:rsid w:val="00141984"/>
    <w:rsid w:val="0017351A"/>
    <w:rsid w:val="001C6DD1"/>
    <w:rsid w:val="002012C9"/>
    <w:rsid w:val="00236282"/>
    <w:rsid w:val="00344306"/>
    <w:rsid w:val="003C5157"/>
    <w:rsid w:val="00451BA4"/>
    <w:rsid w:val="00475069"/>
    <w:rsid w:val="004D582F"/>
    <w:rsid w:val="0056156D"/>
    <w:rsid w:val="00705A7A"/>
    <w:rsid w:val="007077D6"/>
    <w:rsid w:val="00786D1F"/>
    <w:rsid w:val="00812220"/>
    <w:rsid w:val="00826B3F"/>
    <w:rsid w:val="00853092"/>
    <w:rsid w:val="00860D87"/>
    <w:rsid w:val="00A55A16"/>
    <w:rsid w:val="00AF73B9"/>
    <w:rsid w:val="00B85A23"/>
    <w:rsid w:val="00B9159A"/>
    <w:rsid w:val="00C1105D"/>
    <w:rsid w:val="00C4057E"/>
    <w:rsid w:val="00CA1AA3"/>
    <w:rsid w:val="00CE10FF"/>
    <w:rsid w:val="00D07F32"/>
    <w:rsid w:val="00DB5845"/>
    <w:rsid w:val="00DD4EFC"/>
    <w:rsid w:val="00DE2439"/>
    <w:rsid w:val="00E170EB"/>
    <w:rsid w:val="00F10214"/>
    <w:rsid w:val="00F574DE"/>
    <w:rsid w:val="00FB3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291B"/>
  <w15:docId w15:val="{99B02074-72E7-4C4A-AAD1-37C3DB37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2C9"/>
    <w:pPr>
      <w:jc w:val="both"/>
    </w:pPr>
  </w:style>
  <w:style w:type="paragraph" w:styleId="Heading1">
    <w:name w:val="heading 1"/>
    <w:basedOn w:val="Normal"/>
    <w:next w:val="Normal"/>
    <w:link w:val="Heading1Char"/>
    <w:uiPriority w:val="9"/>
    <w:qFormat/>
    <w:rsid w:val="00D07F32"/>
    <w:pPr>
      <w:keepNext/>
      <w:keepLines/>
      <w:spacing w:before="120" w:after="12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2C9"/>
    <w:pPr>
      <w:ind w:left="720"/>
      <w:contextualSpacing/>
    </w:pPr>
  </w:style>
  <w:style w:type="table" w:customStyle="1" w:styleId="GridTable7Colorful-Accent31">
    <w:name w:val="Grid Table 7 Colorful - Accent 31"/>
    <w:basedOn w:val="TableNormal"/>
    <w:uiPriority w:val="52"/>
    <w:rsid w:val="002012C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Caption">
    <w:name w:val="caption"/>
    <w:basedOn w:val="Normal"/>
    <w:next w:val="Normal"/>
    <w:uiPriority w:val="35"/>
    <w:unhideWhenUsed/>
    <w:qFormat/>
    <w:rsid w:val="00141984"/>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141984"/>
    <w:rPr>
      <w:sz w:val="16"/>
      <w:szCs w:val="16"/>
    </w:rPr>
  </w:style>
  <w:style w:type="paragraph" w:styleId="CommentText">
    <w:name w:val="annotation text"/>
    <w:basedOn w:val="Normal"/>
    <w:link w:val="CommentTextChar"/>
    <w:uiPriority w:val="99"/>
    <w:semiHidden/>
    <w:unhideWhenUsed/>
    <w:rsid w:val="00141984"/>
    <w:pPr>
      <w:spacing w:line="240" w:lineRule="auto"/>
    </w:pPr>
    <w:rPr>
      <w:sz w:val="20"/>
      <w:szCs w:val="20"/>
    </w:rPr>
  </w:style>
  <w:style w:type="character" w:customStyle="1" w:styleId="CommentTextChar">
    <w:name w:val="Comment Text Char"/>
    <w:basedOn w:val="DefaultParagraphFont"/>
    <w:link w:val="CommentText"/>
    <w:uiPriority w:val="99"/>
    <w:semiHidden/>
    <w:rsid w:val="00141984"/>
    <w:rPr>
      <w:sz w:val="20"/>
      <w:szCs w:val="20"/>
    </w:rPr>
  </w:style>
  <w:style w:type="character" w:customStyle="1" w:styleId="Heading1Char">
    <w:name w:val="Heading 1 Char"/>
    <w:basedOn w:val="DefaultParagraphFont"/>
    <w:link w:val="Heading1"/>
    <w:uiPriority w:val="9"/>
    <w:rsid w:val="00D07F32"/>
    <w:rPr>
      <w:rFonts w:eastAsiaTheme="majorEastAsia" w:cstheme="majorBidi"/>
      <w:b/>
      <w:sz w:val="28"/>
      <w:szCs w:val="32"/>
    </w:rPr>
  </w:style>
  <w:style w:type="paragraph" w:styleId="BalloonText">
    <w:name w:val="Balloon Text"/>
    <w:basedOn w:val="Normal"/>
    <w:link w:val="BalloonTextChar"/>
    <w:uiPriority w:val="99"/>
    <w:semiHidden/>
    <w:unhideWhenUsed/>
    <w:rsid w:val="00C40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4" ma:contentTypeDescription="Create a new document." ma:contentTypeScope="" ma:versionID="7b9b3267d0dbfa8f391961df331a24dc">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c2c9019f3ee16185720486b869100040"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5D74D-B904-4F0A-AAD2-3C914C735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7CC03-B71B-4D6E-8025-49D14BFA30B9}">
  <ds:schemaRefs>
    <ds:schemaRef ds:uri="http://schemas.microsoft.com/sharepoint/v3/contenttype/forms"/>
  </ds:schemaRefs>
</ds:datastoreItem>
</file>

<file path=customXml/itemProps3.xml><?xml version="1.0" encoding="utf-8"?>
<ds:datastoreItem xmlns:ds="http://schemas.openxmlformats.org/officeDocument/2006/customXml" ds:itemID="{4E8008A6-4208-4356-A9A2-55E308EE4B0D}">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37396e4b-b707-40c3-8dda-e1f78ee2f09f"/>
    <ds:schemaRef ds:uri="http://purl.org/dc/dcmitype/"/>
    <ds:schemaRef ds:uri="b0f6475e-2cc9-447f-8629-dddac7be514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9367</Characters>
  <Application>Microsoft Office Word</Application>
  <DocSecurity>4</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Perivolari</dc:creator>
  <cp:keywords/>
  <dc:description/>
  <cp:lastModifiedBy>Perivolari, Eleni</cp:lastModifiedBy>
  <cp:revision>2</cp:revision>
  <dcterms:created xsi:type="dcterms:W3CDTF">2022-04-06T10:09:00Z</dcterms:created>
  <dcterms:modified xsi:type="dcterms:W3CDTF">2022-04-06T10:09:00Z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0x0101003E0995F54516D64F9C6EF6D732A6DAF7</vt:lpwstr>
  </property>
</Properties>
</file>