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CC61B" w14:textId="77777777" w:rsidR="00923FD4" w:rsidRPr="0019723B" w:rsidRDefault="00923FD4" w:rsidP="00923FD4">
      <w:pPr>
        <w:pStyle w:val="Title2"/>
        <w:rPr>
          <w:b w:val="0"/>
          <w:sz w:val="32"/>
          <w:szCs w:val="32"/>
        </w:rPr>
      </w:pPr>
      <w:r w:rsidRPr="0019723B">
        <w:rPr>
          <w:b w:val="0"/>
          <w:sz w:val="32"/>
          <w:szCs w:val="32"/>
        </w:rPr>
        <w:t xml:space="preserve">Supporting Information </w:t>
      </w:r>
    </w:p>
    <w:p w14:paraId="61C8C782" w14:textId="77777777" w:rsidR="00923FD4" w:rsidRPr="0019723B" w:rsidRDefault="00923FD4" w:rsidP="00923FD4">
      <w:pPr>
        <w:pStyle w:val="Tableofcontents"/>
      </w:pPr>
    </w:p>
    <w:p w14:paraId="6E9AADED" w14:textId="77777777" w:rsidR="00923FD4" w:rsidRPr="0019723B" w:rsidRDefault="00923FD4" w:rsidP="00923FD4">
      <w:pPr>
        <w:pStyle w:val="Tableofcontents"/>
      </w:pPr>
    </w:p>
    <w:p w14:paraId="6CEBDB27" w14:textId="77777777" w:rsidR="00C036EB" w:rsidRPr="00871F15" w:rsidRDefault="00C036EB" w:rsidP="00C036EB">
      <w:pPr>
        <w:rPr>
          <w:b/>
          <w:lang w:val="en-US"/>
        </w:rPr>
      </w:pPr>
      <w:r>
        <w:rPr>
          <w:b/>
          <w:lang w:val="en-US"/>
        </w:rPr>
        <w:t>U</w:t>
      </w:r>
      <w:r w:rsidRPr="00871F15">
        <w:rPr>
          <w:b/>
          <w:lang w:val="en-US"/>
        </w:rPr>
        <w:t>ltra-secure optical encryption</w:t>
      </w:r>
      <w:r>
        <w:rPr>
          <w:b/>
          <w:lang w:val="en-US"/>
        </w:rPr>
        <w:t xml:space="preserve"> </w:t>
      </w:r>
      <w:r w:rsidRPr="001C6953">
        <w:rPr>
          <w:b/>
          <w:lang w:val="en-US"/>
        </w:rPr>
        <w:t>based on tightly focused perfect optical vortex beams</w:t>
      </w:r>
    </w:p>
    <w:p w14:paraId="47FA4D12" w14:textId="77777777" w:rsidR="00923FD4" w:rsidRPr="00C036EB" w:rsidRDefault="00923FD4" w:rsidP="00923FD4">
      <w:pPr>
        <w:pStyle w:val="Title2"/>
        <w:rPr>
          <w:b w:val="0"/>
        </w:rPr>
      </w:pPr>
    </w:p>
    <w:p w14:paraId="2AE78F18" w14:textId="106958E6" w:rsidR="00923FD4" w:rsidRPr="00CE0CF8" w:rsidRDefault="00923FD4" w:rsidP="00923FD4">
      <w:pPr>
        <w:spacing w:line="360" w:lineRule="auto"/>
        <w:rPr>
          <w:i/>
          <w:lang w:val="en-US"/>
        </w:rPr>
      </w:pPr>
      <w:proofErr w:type="spellStart"/>
      <w:r w:rsidRPr="00CE0CF8">
        <w:rPr>
          <w:i/>
          <w:lang w:val="en-US"/>
        </w:rPr>
        <w:t>Qingshuai</w:t>
      </w:r>
      <w:proofErr w:type="spellEnd"/>
      <w:r w:rsidRPr="00CE0CF8">
        <w:rPr>
          <w:i/>
          <w:lang w:val="en-US"/>
        </w:rPr>
        <w:t xml:space="preserve"> Yang, </w:t>
      </w:r>
      <w:proofErr w:type="spellStart"/>
      <w:r w:rsidRPr="00CE0CF8">
        <w:rPr>
          <w:i/>
          <w:lang w:val="en-US"/>
        </w:rPr>
        <w:t>Zijian</w:t>
      </w:r>
      <w:proofErr w:type="spellEnd"/>
      <w:r w:rsidRPr="00CE0CF8">
        <w:rPr>
          <w:i/>
          <w:lang w:val="en-US"/>
        </w:rPr>
        <w:t xml:space="preserve"> </w:t>
      </w:r>
      <w:proofErr w:type="spellStart"/>
      <w:r w:rsidRPr="00CE0CF8">
        <w:rPr>
          <w:i/>
          <w:lang w:val="en-US"/>
        </w:rPr>
        <w:t>Xie</w:t>
      </w:r>
      <w:proofErr w:type="spellEnd"/>
      <w:r w:rsidRPr="00CE0CF8">
        <w:rPr>
          <w:i/>
          <w:lang w:val="en-US"/>
        </w:rPr>
        <w:t xml:space="preserve">, </w:t>
      </w:r>
      <w:proofErr w:type="spellStart"/>
      <w:r w:rsidRPr="00CE0CF8">
        <w:rPr>
          <w:i/>
          <w:lang w:val="en-US"/>
        </w:rPr>
        <w:t>Mengrui</w:t>
      </w:r>
      <w:proofErr w:type="spellEnd"/>
      <w:r w:rsidRPr="00CE0CF8">
        <w:rPr>
          <w:i/>
          <w:lang w:val="en-US"/>
        </w:rPr>
        <w:t xml:space="preserve"> Zhang, Xu Ouyang, Yi Xu, </w:t>
      </w:r>
      <w:proofErr w:type="spellStart"/>
      <w:r w:rsidRPr="00CE0CF8">
        <w:rPr>
          <w:i/>
          <w:lang w:val="en-US"/>
        </w:rPr>
        <w:t>Yaoyu</w:t>
      </w:r>
      <w:proofErr w:type="spellEnd"/>
      <w:r w:rsidRPr="00CE0CF8">
        <w:rPr>
          <w:i/>
          <w:lang w:val="en-US"/>
        </w:rPr>
        <w:t xml:space="preserve"> Cao, </w:t>
      </w:r>
      <w:proofErr w:type="spellStart"/>
      <w:r w:rsidRPr="00CE0CF8">
        <w:rPr>
          <w:i/>
          <w:lang w:val="en-US"/>
        </w:rPr>
        <w:t>Sicong</w:t>
      </w:r>
      <w:proofErr w:type="spellEnd"/>
      <w:r w:rsidRPr="00CE0CF8">
        <w:rPr>
          <w:i/>
          <w:lang w:val="en-US"/>
        </w:rPr>
        <w:t xml:space="preserve"> Wang, </w:t>
      </w:r>
      <w:proofErr w:type="spellStart"/>
      <w:r w:rsidRPr="00CE0CF8">
        <w:rPr>
          <w:i/>
          <w:lang w:val="en-US"/>
        </w:rPr>
        <w:t>Linwei</w:t>
      </w:r>
      <w:proofErr w:type="spellEnd"/>
      <w:r w:rsidRPr="00CE0CF8">
        <w:rPr>
          <w:i/>
          <w:lang w:val="en-US"/>
        </w:rPr>
        <w:t xml:space="preserve"> Zhu</w:t>
      </w:r>
      <w:r>
        <w:rPr>
          <w:i/>
          <w:lang w:val="en-US"/>
        </w:rPr>
        <w:t>,</w:t>
      </w:r>
      <w:r w:rsidRPr="00CE0CF8">
        <w:rPr>
          <w:i/>
          <w:lang w:val="en-US"/>
        </w:rPr>
        <w:t xml:space="preserve"> and </w:t>
      </w:r>
      <w:proofErr w:type="spellStart"/>
      <w:r w:rsidRPr="00CE0CF8">
        <w:rPr>
          <w:i/>
          <w:lang w:val="en-US"/>
        </w:rPr>
        <w:t>Xiangping</w:t>
      </w:r>
      <w:proofErr w:type="spellEnd"/>
      <w:r w:rsidRPr="00CE0CF8">
        <w:rPr>
          <w:i/>
          <w:lang w:val="en-US"/>
        </w:rPr>
        <w:t xml:space="preserve"> Li*</w:t>
      </w:r>
    </w:p>
    <w:p w14:paraId="7E19E0BA" w14:textId="77777777" w:rsidR="00923FD4" w:rsidRPr="00923FD4" w:rsidRDefault="00923FD4" w:rsidP="00923FD4">
      <w:pPr>
        <w:pStyle w:val="Tableofcontents"/>
      </w:pPr>
    </w:p>
    <w:p w14:paraId="41CF4AA3" w14:textId="4A290325" w:rsidR="00923FD4" w:rsidRPr="009C575C" w:rsidRDefault="00BC5212" w:rsidP="00BB60F2">
      <w:pPr>
        <w:pStyle w:val="Head1"/>
        <w:numPr>
          <w:ilvl w:val="0"/>
          <w:numId w:val="4"/>
        </w:numPr>
      </w:pPr>
      <w:r w:rsidRPr="009C575C">
        <w:t xml:space="preserve">Intensity patterns of the generated perfect optical </w:t>
      </w:r>
      <w:r w:rsidR="007E0771" w:rsidRPr="009C575C">
        <w:rPr>
          <w:rFonts w:hint="eastAsia"/>
        </w:rPr>
        <w:t>vortex</w:t>
      </w:r>
      <w:r w:rsidR="007E0771" w:rsidRPr="009C575C">
        <w:t xml:space="preserve"> </w:t>
      </w:r>
      <w:r w:rsidR="007E0771" w:rsidRPr="009C575C">
        <w:rPr>
          <w:rFonts w:hint="eastAsia"/>
        </w:rPr>
        <w:t>beams</w:t>
      </w:r>
      <w:r w:rsidRPr="009C575C">
        <w:t xml:space="preserve"> with different radius</w:t>
      </w:r>
    </w:p>
    <w:p w14:paraId="4FA87F5A" w14:textId="1209D094" w:rsidR="007E0771" w:rsidRPr="00BA27CD" w:rsidRDefault="00BA27CD" w:rsidP="002E683F">
      <w:pPr>
        <w:spacing w:line="480" w:lineRule="auto"/>
        <w:jc w:val="both"/>
      </w:pPr>
      <w:r w:rsidRPr="00BA27CD">
        <w:rPr>
          <w:rFonts w:hint="eastAsia"/>
        </w:rPr>
        <w:t>I</w:t>
      </w:r>
      <w:r w:rsidRPr="00BA27CD">
        <w:t xml:space="preserve">n </w:t>
      </w:r>
      <w:r w:rsidRPr="005B71B2">
        <w:rPr>
          <w:b/>
          <w:bCs/>
        </w:rPr>
        <w:t>Fi</w:t>
      </w:r>
      <w:r w:rsidR="00C70EC5" w:rsidRPr="005B71B2">
        <w:rPr>
          <w:b/>
          <w:bCs/>
        </w:rPr>
        <w:t>gure</w:t>
      </w:r>
      <w:r w:rsidRPr="005B71B2">
        <w:rPr>
          <w:b/>
          <w:bCs/>
        </w:rPr>
        <w:t xml:space="preserve"> S1</w:t>
      </w:r>
      <w:r w:rsidRPr="00BA27CD">
        <w:t>, we present POV with different radius which could be realized by modifying the parameters of the</w:t>
      </w:r>
      <w:r>
        <w:t xml:space="preserve"> </w:t>
      </w:r>
      <w:r w:rsidRPr="00BA27CD">
        <w:t>phase-only formula. The corresponding coaxial interference patterns obtained by making the POV interfere with  Gaussian beam. The number of spiral fringes is the same as the topological charge, and the shapes will change with the radius.</w:t>
      </w:r>
    </w:p>
    <w:p w14:paraId="72F9E828" w14:textId="4567E2A5" w:rsidR="00BC5212" w:rsidRDefault="007E0771" w:rsidP="007E0771">
      <w:pPr>
        <w:pStyle w:val="Maintext0"/>
      </w:pPr>
      <w:r>
        <w:rPr>
          <w:noProof/>
        </w:rPr>
        <w:drawing>
          <wp:inline distT="0" distB="0" distL="0" distR="0" wp14:anchorId="0FA1CDF9" wp14:editId="4C85D956">
            <wp:extent cx="5760720" cy="32404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A6E0930" w14:textId="26E9A5A6" w:rsidR="007E0771" w:rsidRPr="007E0771" w:rsidRDefault="007E0771" w:rsidP="007E0771">
      <w:pPr>
        <w:jc w:val="both"/>
      </w:pPr>
      <w:r w:rsidRPr="007E0771">
        <w:rPr>
          <w:rFonts w:hint="eastAsia"/>
          <w:b/>
          <w:bCs/>
        </w:rPr>
        <w:t>F</w:t>
      </w:r>
      <w:r w:rsidR="00F12A73">
        <w:rPr>
          <w:b/>
          <w:bCs/>
        </w:rPr>
        <w:t xml:space="preserve">igure </w:t>
      </w:r>
      <w:r w:rsidRPr="007E0771">
        <w:rPr>
          <w:b/>
          <w:bCs/>
        </w:rPr>
        <w:t xml:space="preserve">S1. </w:t>
      </w:r>
      <w:r w:rsidRPr="007E0771">
        <w:t>a) and c) are the POV’s intensity distributions in the focal plane with various radii (R = 4</w:t>
      </w:r>
      <w:r w:rsidRPr="007E0771">
        <w:sym w:font="Symbol" w:char="F06D"/>
      </w:r>
      <w:r w:rsidRPr="007E0771">
        <w:t>m</w:t>
      </w:r>
      <w:r w:rsidRPr="007E0771">
        <w:rPr>
          <w:rFonts w:hint="eastAsia"/>
        </w:rPr>
        <w:t>,</w:t>
      </w:r>
      <w:r w:rsidRPr="007E0771">
        <w:t>6</w:t>
      </w:r>
      <w:r w:rsidRPr="007E0771">
        <w:sym w:font="Symbol" w:char="F06D"/>
      </w:r>
      <w:r w:rsidRPr="007E0771">
        <w:t>m,8</w:t>
      </w:r>
      <w:r w:rsidRPr="007E0771">
        <w:sym w:font="Symbol" w:char="F06D"/>
      </w:r>
      <w:r w:rsidRPr="007E0771">
        <w:t xml:space="preserve">m), corresponding to </w:t>
      </w:r>
      <m:oMath>
        <m:r>
          <w:rPr>
            <w:rFonts w:ascii="Cambria Math" w:hAnsi="Cambria Math"/>
          </w:rPr>
          <m:t>l</m:t>
        </m:r>
        <m:r>
          <m:rPr>
            <m:sty m:val="p"/>
          </m:rPr>
          <w:rPr>
            <w:rFonts w:ascii="Cambria Math" w:hAnsi="Cambria Math"/>
          </w:rPr>
          <m:t>=5</m:t>
        </m:r>
      </m:oMath>
      <w:r w:rsidRPr="007E0771">
        <w:t xml:space="preserve"> and </w:t>
      </w:r>
      <m:oMath>
        <m:r>
          <w:rPr>
            <w:rFonts w:ascii="Cambria Math" w:hAnsi="Cambria Math"/>
          </w:rPr>
          <m:t>l</m:t>
        </m:r>
        <m:r>
          <m:rPr>
            <m:sty m:val="p"/>
          </m:rPr>
          <w:rPr>
            <w:rFonts w:ascii="Cambria Math" w:hAnsi="Cambria Math"/>
          </w:rPr>
          <m:t>=-5,</m:t>
        </m:r>
      </m:oMath>
      <w:r w:rsidRPr="007E0771">
        <w:t xml:space="preserve"> respectively. b) and d) are interference patterns of perfect vortex beam and Gaussian beam. Scale bars in three columns denote: 4 </w:t>
      </w:r>
      <w:r w:rsidRPr="007E0771">
        <w:sym w:font="Symbol" w:char="F06D"/>
      </w:r>
      <w:r w:rsidRPr="007E0771">
        <w:t>m</w:t>
      </w:r>
      <w:r w:rsidRPr="007E0771">
        <w:rPr>
          <w:rFonts w:hint="eastAsia"/>
        </w:rPr>
        <w:t>,</w:t>
      </w:r>
      <w:r w:rsidRPr="007E0771">
        <w:t xml:space="preserve"> 6 </w:t>
      </w:r>
      <w:r w:rsidRPr="007E0771">
        <w:sym w:font="Symbol" w:char="F06D"/>
      </w:r>
      <w:r w:rsidRPr="007E0771">
        <w:t xml:space="preserve">m, 8 </w:t>
      </w:r>
      <w:r w:rsidRPr="007E0771">
        <w:sym w:font="Symbol" w:char="F06D"/>
      </w:r>
      <w:r w:rsidRPr="007E0771">
        <w:t xml:space="preserve">m. </w:t>
      </w:r>
    </w:p>
    <w:p w14:paraId="3D6EBBDE" w14:textId="01B028D1" w:rsidR="007E0771" w:rsidRDefault="007E0771" w:rsidP="007E0771">
      <w:pPr>
        <w:pStyle w:val="Maintext0"/>
      </w:pPr>
    </w:p>
    <w:p w14:paraId="3DC918E8" w14:textId="3B930261" w:rsidR="007E0771" w:rsidRDefault="007E0771" w:rsidP="00BB60F2">
      <w:pPr>
        <w:pStyle w:val="Head1"/>
      </w:pPr>
      <w:r>
        <w:t>T</w:t>
      </w:r>
      <w:r w:rsidRPr="007E0771">
        <w:t xml:space="preserve">he inclination of </w:t>
      </w:r>
      <w:r w:rsidRPr="007E0771">
        <w:rPr>
          <w:rFonts w:hint="eastAsia"/>
        </w:rPr>
        <w:t>p</w:t>
      </w:r>
      <w:r w:rsidRPr="007E0771">
        <w:t xml:space="preserve">olarization ellipses on the </w:t>
      </w:r>
      <m:oMath>
        <m:r>
          <m:rPr>
            <m:sty m:val="bi"/>
          </m:rPr>
          <w:rPr>
            <w:rFonts w:ascii="Cambria Math" w:hAnsi="Cambria Math"/>
          </w:rPr>
          <m:t>xy</m:t>
        </m:r>
      </m:oMath>
      <w:r w:rsidRPr="007E0771">
        <w:rPr>
          <w:rFonts w:hint="eastAsia"/>
        </w:rPr>
        <w:t>、</w:t>
      </w:r>
      <m:oMath>
        <m:r>
          <m:rPr>
            <m:sty m:val="bi"/>
          </m:rPr>
          <w:rPr>
            <w:rFonts w:ascii="Cambria Math" w:hAnsi="Cambria Math" w:hint="eastAsia"/>
          </w:rPr>
          <m:t>xz</m:t>
        </m:r>
      </m:oMath>
      <w:r w:rsidRPr="007E0771">
        <w:rPr>
          <w:rFonts w:hint="eastAsia"/>
        </w:rPr>
        <w:t>、</w:t>
      </w:r>
      <m:oMath>
        <m:r>
          <m:rPr>
            <m:sty m:val="bi"/>
          </m:rPr>
          <w:rPr>
            <w:rFonts w:ascii="Cambria Math" w:hAnsi="Cambria Math" w:hint="eastAsia"/>
          </w:rPr>
          <m:t>yz</m:t>
        </m:r>
      </m:oMath>
      <w:r w:rsidRPr="007E0771">
        <w:rPr>
          <w:rFonts w:hint="eastAsia"/>
        </w:rPr>
        <w:t xml:space="preserve"> </w:t>
      </w:r>
      <w:r w:rsidRPr="007E0771">
        <w:t>cross sections</w:t>
      </w:r>
    </w:p>
    <w:p w14:paraId="2F2633ED" w14:textId="0E8230E0" w:rsidR="007E0771" w:rsidRPr="007E0771" w:rsidRDefault="007E0771" w:rsidP="002E683F">
      <w:pPr>
        <w:spacing w:line="480" w:lineRule="auto"/>
        <w:jc w:val="both"/>
      </w:pPr>
      <w:r w:rsidRPr="007E0771">
        <w:t xml:space="preserve">In </w:t>
      </w:r>
      <w:r w:rsidRPr="00C70EC5">
        <w:rPr>
          <w:b/>
          <w:bCs/>
        </w:rPr>
        <w:t>F</w:t>
      </w:r>
      <w:r w:rsidR="00C70EC5" w:rsidRPr="00C70EC5">
        <w:rPr>
          <w:b/>
          <w:bCs/>
        </w:rPr>
        <w:t>igure</w:t>
      </w:r>
      <w:r w:rsidRPr="00C70EC5">
        <w:rPr>
          <w:b/>
          <w:bCs/>
        </w:rPr>
        <w:t xml:space="preserve"> S2</w:t>
      </w:r>
      <w:r w:rsidRPr="007E0771">
        <w:t xml:space="preserve">(a), we show a schematic diagram of the inclination of the polarization ellipse, which represents the angle </w:t>
      </w:r>
      <w:r w:rsidRPr="007E0771">
        <w:rPr>
          <w:rFonts w:hint="eastAsia"/>
        </w:rPr>
        <w:t>(</w:t>
      </w:r>
      <m:oMath>
        <m:r>
          <w:rPr>
            <w:rFonts w:ascii="Cambria Math" w:hAnsi="Cambria Math"/>
          </w:rPr>
          <m:t>θ</m:t>
        </m:r>
      </m:oMath>
      <w:r w:rsidRPr="007E0771">
        <w:t>) between the major axis of the ellipse and the horizontal</w:t>
      </w:r>
      <w:r w:rsidRPr="007E0771" w:rsidDel="000B108C">
        <w:t xml:space="preserve"> </w:t>
      </w:r>
      <w:r w:rsidRPr="007E0771">
        <w:t>axis. The expression of the inclination angle (</w:t>
      </w:r>
      <m:oMath>
        <m:r>
          <w:rPr>
            <w:rFonts w:ascii="Cambria Math" w:hAnsi="Cambria Math"/>
          </w:rPr>
          <m:t>θ</m:t>
        </m:r>
      </m:oMath>
      <w:r w:rsidRPr="007E0771">
        <w:t>) can be defined as:</w:t>
      </w:r>
    </w:p>
    <w:p w14:paraId="67A2D2BA" w14:textId="5DE4A7AE" w:rsidR="007E0771" w:rsidRPr="007E0771" w:rsidRDefault="007E0771" w:rsidP="00CA58A0">
      <w:pPr>
        <w:jc w:val="right"/>
      </w:pPr>
      <m:oMath>
        <m:r>
          <w:rPr>
            <w:rFonts w:ascii="Cambria Math" w:hAnsi="Cambria Math"/>
          </w:rPr>
          <w:lastRenderedPageBreak/>
          <m:t>tan</m:t>
        </m:r>
        <m:r>
          <m:rPr>
            <m:sty m:val="p"/>
          </m:rPr>
          <w:rPr>
            <w:rFonts w:ascii="Cambria Math" w:hAnsi="Cambria Math"/>
          </w:rPr>
          <m:t>2</m:t>
        </m:r>
        <m:r>
          <w:rPr>
            <w:rFonts w:ascii="Cambria Math" w:hAnsi="Cambria Math"/>
          </w:rPr>
          <m:t>θ</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E</m:t>
                </m:r>
              </m:e>
              <m:sub>
                <m:r>
                  <m:rPr>
                    <m:sty m:val="p"/>
                  </m:rPr>
                  <w:rPr>
                    <w:rFonts w:ascii="Cambria Math" w:hAnsi="Cambria Math"/>
                  </w:rPr>
                  <m:t>0</m:t>
                </m:r>
                <m:r>
                  <w:rPr>
                    <w:rFonts w:ascii="Cambria Math" w:hAnsi="Cambria Math"/>
                  </w:rPr>
                  <m:t>x</m:t>
                </m:r>
              </m:sub>
            </m:sSub>
            <m:sSub>
              <m:sSubPr>
                <m:ctrlPr>
                  <w:rPr>
                    <w:rFonts w:ascii="Cambria Math" w:hAnsi="Cambria Math"/>
                  </w:rPr>
                </m:ctrlPr>
              </m:sSubPr>
              <m:e>
                <m:r>
                  <w:rPr>
                    <w:rFonts w:ascii="Cambria Math" w:hAnsi="Cambria Math"/>
                  </w:rPr>
                  <m:t>E</m:t>
                </m:r>
              </m:e>
              <m:sub>
                <m:r>
                  <m:rPr>
                    <m:sty m:val="p"/>
                  </m:rPr>
                  <w:rPr>
                    <w:rFonts w:ascii="Cambria Math" w:hAnsi="Cambria Math"/>
                  </w:rPr>
                  <m:t>0</m:t>
                </m:r>
                <m:r>
                  <w:rPr>
                    <w:rFonts w:ascii="Cambria Math" w:hAnsi="Cambria Math"/>
                  </w:rPr>
                  <m:t>y</m:t>
                </m:r>
              </m:sub>
            </m:sSub>
            <m:r>
              <w:rPr>
                <w:rFonts w:ascii="Cambria Math" w:hAnsi="Cambria Math"/>
              </w:rPr>
              <m:t>cosψ</m:t>
            </m:r>
          </m:num>
          <m:den>
            <m:sSup>
              <m:sSupPr>
                <m:ctrlPr>
                  <w:rPr>
                    <w:rFonts w:ascii="Cambria Math" w:hAnsi="Cambria Math"/>
                  </w:rPr>
                </m:ctrlPr>
              </m:sSupPr>
              <m:e>
                <m:sSub>
                  <m:sSubPr>
                    <m:ctrlPr>
                      <w:rPr>
                        <w:rFonts w:ascii="Cambria Math" w:hAnsi="Cambria Math"/>
                      </w:rPr>
                    </m:ctrlPr>
                  </m:sSubPr>
                  <m:e>
                    <m:r>
                      <w:rPr>
                        <w:rFonts w:ascii="Cambria Math" w:hAnsi="Cambria Math"/>
                      </w:rPr>
                      <m:t>E</m:t>
                    </m:r>
                  </m:e>
                  <m:sub>
                    <m:r>
                      <m:rPr>
                        <m:sty m:val="p"/>
                      </m:rPr>
                      <w:rPr>
                        <w:rFonts w:ascii="Cambria Math" w:hAnsi="Cambria Math"/>
                      </w:rPr>
                      <m:t>0</m:t>
                    </m:r>
                    <m:r>
                      <w:rPr>
                        <w:rFonts w:ascii="Cambria Math" w:hAnsi="Cambria Math"/>
                      </w:rPr>
                      <m:t>x</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E</m:t>
                    </m:r>
                  </m:e>
                  <m:sub>
                    <m:r>
                      <m:rPr>
                        <m:sty m:val="p"/>
                      </m:rPr>
                      <w:rPr>
                        <w:rFonts w:ascii="Cambria Math" w:hAnsi="Cambria Math"/>
                      </w:rPr>
                      <m:t>0</m:t>
                    </m:r>
                    <m:r>
                      <w:rPr>
                        <w:rFonts w:ascii="Cambria Math" w:hAnsi="Cambria Math"/>
                      </w:rPr>
                      <m:t>y</m:t>
                    </m:r>
                  </m:sub>
                </m:sSub>
              </m:e>
              <m:sup>
                <m:r>
                  <m:rPr>
                    <m:sty m:val="p"/>
                  </m:rPr>
                  <w:rPr>
                    <w:rFonts w:ascii="Cambria Math" w:hAnsi="Cambria Math"/>
                  </w:rPr>
                  <m:t>2</m:t>
                </m:r>
              </m:sup>
            </m:sSup>
          </m:den>
        </m:f>
      </m:oMath>
      <w:r w:rsidRPr="007E0771">
        <w:rPr>
          <w:rFonts w:hint="eastAsia"/>
        </w:rPr>
        <w:t xml:space="preserve"> </w:t>
      </w:r>
      <w:r w:rsidR="00CA58A0">
        <w:t xml:space="preserve">                                                           </w:t>
      </w:r>
      <w:r w:rsidRPr="007E0771">
        <w:t>(1)</w:t>
      </w:r>
    </w:p>
    <w:p w14:paraId="6C7B1C48" w14:textId="77777777" w:rsidR="007E0771" w:rsidRPr="007E0771" w:rsidRDefault="007E0771" w:rsidP="002E683F">
      <w:pPr>
        <w:spacing w:line="480" w:lineRule="auto"/>
        <w:jc w:val="both"/>
      </w:pPr>
      <w:r w:rsidRPr="007E0771">
        <w:t xml:space="preserve">Where </w:t>
      </w:r>
      <m:oMath>
        <m:r>
          <w:rPr>
            <w:rFonts w:ascii="Cambria Math" w:hAnsi="Cambria Math"/>
          </w:rPr>
          <m:t>ψ</m:t>
        </m:r>
      </m:oMath>
      <w:r w:rsidRPr="007E0771">
        <w:rPr>
          <w:rFonts w:hint="eastAsia"/>
        </w:rPr>
        <w:t xml:space="preserve"> </w:t>
      </w:r>
      <w:r w:rsidRPr="007E0771">
        <w:t xml:space="preserve">is phase difference between </w:t>
      </w:r>
      <m:oMath>
        <m:sSub>
          <m:sSubPr>
            <m:ctrlPr>
              <w:rPr>
                <w:rFonts w:ascii="Cambria Math" w:hAnsi="Cambria Math"/>
              </w:rPr>
            </m:ctrlPr>
          </m:sSubPr>
          <m:e>
            <m:r>
              <w:rPr>
                <w:rFonts w:ascii="Cambria Math" w:hAnsi="Cambria Math"/>
              </w:rPr>
              <m:t>E</m:t>
            </m:r>
          </m:e>
          <m:sub>
            <m:r>
              <w:rPr>
                <w:rFonts w:ascii="Cambria Math" w:hAnsi="Cambria Math"/>
              </w:rPr>
              <m:t>x</m:t>
            </m:r>
          </m:sub>
        </m:sSub>
      </m:oMath>
      <w:r w:rsidRPr="007E0771">
        <w:t xml:space="preserve"> and </w:t>
      </w:r>
      <m:oMath>
        <m:sSub>
          <m:sSubPr>
            <m:ctrlPr>
              <w:rPr>
                <w:rFonts w:ascii="Cambria Math" w:hAnsi="Cambria Math"/>
              </w:rPr>
            </m:ctrlPr>
          </m:sSubPr>
          <m:e>
            <m:r>
              <w:rPr>
                <w:rFonts w:ascii="Cambria Math" w:hAnsi="Cambria Math"/>
              </w:rPr>
              <m:t>E</m:t>
            </m:r>
          </m:e>
          <m:sub>
            <m:r>
              <w:rPr>
                <w:rFonts w:ascii="Cambria Math" w:hAnsi="Cambria Math"/>
              </w:rPr>
              <m:t>y</m:t>
            </m:r>
          </m:sub>
        </m:sSub>
      </m:oMath>
      <w:r w:rsidRPr="007E0771">
        <w:t xml:space="preserve">; </w:t>
      </w:r>
      <m:oMath>
        <m:sSub>
          <m:sSubPr>
            <m:ctrlPr>
              <w:rPr>
                <w:rFonts w:ascii="Cambria Math" w:hAnsi="Cambria Math"/>
              </w:rPr>
            </m:ctrlPr>
          </m:sSubPr>
          <m:e>
            <m:r>
              <w:rPr>
                <w:rFonts w:ascii="Cambria Math" w:hAnsi="Cambria Math"/>
              </w:rPr>
              <m:t>E</m:t>
            </m:r>
          </m:e>
          <m:sub>
            <m:r>
              <m:rPr>
                <m:sty m:val="p"/>
              </m:rPr>
              <w:rPr>
                <w:rFonts w:ascii="Cambria Math" w:hAnsi="Cambria Math"/>
              </w:rPr>
              <m:t>0</m:t>
            </m:r>
            <m:r>
              <w:rPr>
                <w:rFonts w:ascii="Cambria Math" w:hAnsi="Cambria Math"/>
              </w:rPr>
              <m:t>x</m:t>
            </m:r>
          </m:sub>
        </m:sSub>
      </m:oMath>
      <w:r w:rsidRPr="007E0771">
        <w:rPr>
          <w:rFonts w:hint="eastAsia"/>
        </w:rPr>
        <w:t xml:space="preserve"> </w:t>
      </w:r>
      <w:r w:rsidRPr="007E0771">
        <w:t xml:space="preserve">and  </w:t>
      </w:r>
      <m:oMath>
        <m:sSub>
          <m:sSubPr>
            <m:ctrlPr>
              <w:rPr>
                <w:rFonts w:ascii="Cambria Math" w:hAnsi="Cambria Math"/>
              </w:rPr>
            </m:ctrlPr>
          </m:sSubPr>
          <m:e>
            <m:r>
              <w:rPr>
                <w:rFonts w:ascii="Cambria Math" w:hAnsi="Cambria Math"/>
              </w:rPr>
              <m:t>E</m:t>
            </m:r>
          </m:e>
          <m:sub>
            <m:r>
              <m:rPr>
                <m:sty m:val="p"/>
              </m:rPr>
              <w:rPr>
                <w:rFonts w:ascii="Cambria Math" w:hAnsi="Cambria Math"/>
              </w:rPr>
              <m:t>0</m:t>
            </m:r>
            <m:r>
              <w:rPr>
                <w:rFonts w:ascii="Cambria Math" w:hAnsi="Cambria Math"/>
              </w:rPr>
              <m:t>y</m:t>
            </m:r>
          </m:sub>
        </m:sSub>
      </m:oMath>
      <w:r w:rsidRPr="007E0771">
        <w:rPr>
          <w:rFonts w:hint="eastAsia"/>
        </w:rPr>
        <w:t xml:space="preserve"> </w:t>
      </w:r>
      <w:r w:rsidRPr="007E0771">
        <w:t xml:space="preserve">are the amplitudes of </w:t>
      </w:r>
      <m:oMath>
        <m:sSub>
          <m:sSubPr>
            <m:ctrlPr>
              <w:rPr>
                <w:rFonts w:ascii="Cambria Math" w:hAnsi="Cambria Math"/>
              </w:rPr>
            </m:ctrlPr>
          </m:sSubPr>
          <m:e>
            <m:r>
              <w:rPr>
                <w:rFonts w:ascii="Cambria Math" w:hAnsi="Cambria Math"/>
              </w:rPr>
              <m:t>E</m:t>
            </m:r>
          </m:e>
          <m:sub>
            <m:r>
              <w:rPr>
                <w:rFonts w:ascii="Cambria Math" w:hAnsi="Cambria Math"/>
              </w:rPr>
              <m:t>x</m:t>
            </m:r>
          </m:sub>
        </m:sSub>
      </m:oMath>
      <w:r w:rsidRPr="007E0771">
        <w:t xml:space="preserve"> and </w:t>
      </w:r>
      <m:oMath>
        <m:sSub>
          <m:sSubPr>
            <m:ctrlPr>
              <w:rPr>
                <w:rFonts w:ascii="Cambria Math" w:hAnsi="Cambria Math"/>
              </w:rPr>
            </m:ctrlPr>
          </m:sSubPr>
          <m:e>
            <m:r>
              <w:rPr>
                <w:rFonts w:ascii="Cambria Math" w:hAnsi="Cambria Math"/>
              </w:rPr>
              <m:t>E</m:t>
            </m:r>
          </m:e>
          <m:sub>
            <m:r>
              <w:rPr>
                <w:rFonts w:ascii="Cambria Math" w:hAnsi="Cambria Math"/>
              </w:rPr>
              <m:t>y</m:t>
            </m:r>
          </m:sub>
        </m:sSub>
      </m:oMath>
      <w:r w:rsidRPr="007E0771">
        <w:t xml:space="preserve"> , respectively. </w:t>
      </w:r>
    </w:p>
    <w:p w14:paraId="49F8F9E1" w14:textId="479173EB" w:rsidR="007E0771" w:rsidRPr="007E0771" w:rsidRDefault="007E0771" w:rsidP="002E683F">
      <w:pPr>
        <w:spacing w:line="480" w:lineRule="auto"/>
        <w:ind w:firstLineChars="200" w:firstLine="480"/>
        <w:jc w:val="both"/>
      </w:pPr>
      <w:r w:rsidRPr="007E0771">
        <w:t>We have shown the polarization ellipse distributions in the corresponding sections in Fig</w:t>
      </w:r>
      <w:r w:rsidR="00C70EC5">
        <w:t>ure</w:t>
      </w:r>
      <w:r w:rsidRPr="007E0771">
        <w:t xml:space="preserve"> 3(a). To highlight the difference of electric fields with topological charge of different symbols and values, we plot the inclination of polarization ellipses corresponding to different sections, as shown in Fig</w:t>
      </w:r>
      <w:r w:rsidR="00C70EC5">
        <w:t>ure</w:t>
      </w:r>
      <w:r w:rsidRPr="007E0771">
        <w:t xml:space="preserve"> S2(b). It is clearly seen that there are obvious changes between the cross sections in the electric field of different topological charges and the calculation result has a variation range of 180 degrees, which is consistent with the definition. </w:t>
      </w:r>
    </w:p>
    <w:p w14:paraId="5E1A9B6A" w14:textId="3C116EAF" w:rsidR="007E0771" w:rsidRDefault="00F12A73" w:rsidP="007E0771">
      <w:pPr>
        <w:pStyle w:val="Maintext0"/>
      </w:pPr>
      <w:r>
        <w:rPr>
          <w:noProof/>
        </w:rPr>
        <w:drawing>
          <wp:inline distT="0" distB="0" distL="0" distR="0" wp14:anchorId="30CE2F0D" wp14:editId="392ADA9C">
            <wp:extent cx="5760720" cy="26530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653030"/>
                    </a:xfrm>
                    <a:prstGeom prst="rect">
                      <a:avLst/>
                    </a:prstGeom>
                  </pic:spPr>
                </pic:pic>
              </a:graphicData>
            </a:graphic>
          </wp:inline>
        </w:drawing>
      </w:r>
    </w:p>
    <w:p w14:paraId="73EFE6B4" w14:textId="274B43BD" w:rsidR="00F12A73" w:rsidRPr="00F12A73" w:rsidRDefault="00F12A73" w:rsidP="00F12A73">
      <w:pPr>
        <w:jc w:val="both"/>
      </w:pPr>
      <w:r w:rsidRPr="00F12A73">
        <w:rPr>
          <w:rFonts w:hint="eastAsia"/>
          <w:b/>
          <w:bCs/>
        </w:rPr>
        <w:t>F</w:t>
      </w:r>
      <w:r w:rsidRPr="00F12A73">
        <w:rPr>
          <w:b/>
          <w:bCs/>
        </w:rPr>
        <w:t>igure S2.</w:t>
      </w:r>
      <w:r w:rsidRPr="00F12A73">
        <w:t xml:space="preserve"> a) Schematic diagram of the ellipse inclination </w:t>
      </w:r>
      <m:oMath>
        <m:r>
          <w:rPr>
            <w:rFonts w:ascii="Cambria Math" w:hAnsi="Cambria Math"/>
          </w:rPr>
          <m:t>θ</m:t>
        </m:r>
      </m:oMath>
      <w:r w:rsidR="00C70EC5">
        <w:rPr>
          <w:rFonts w:eastAsiaTheme="minorEastAsia"/>
          <w:iCs/>
          <w:lang w:eastAsia="zh-CN"/>
        </w:rPr>
        <w:t>.</w:t>
      </w:r>
      <w:r w:rsidRPr="00F12A73">
        <w:rPr>
          <w:rFonts w:hint="eastAsia"/>
        </w:rPr>
        <w:t xml:space="preserve"> </w:t>
      </w:r>
      <w:r w:rsidRPr="00F12A73">
        <w:t xml:space="preserve">b) The distribution of inclinations </w:t>
      </w:r>
      <m:oMath>
        <m:r>
          <w:rPr>
            <w:rFonts w:ascii="Cambria Math" w:hAnsi="Cambria Math"/>
          </w:rPr>
          <m:t>θ</m:t>
        </m:r>
      </m:oMath>
      <w:r w:rsidRPr="00F12A73">
        <w:t xml:space="preserve"> on </w:t>
      </w:r>
      <w:r w:rsidRPr="00F12A73">
        <w:rPr>
          <w:rFonts w:hint="eastAsia"/>
        </w:rPr>
        <w:t>the</w:t>
      </w:r>
      <w:r w:rsidRPr="00F12A73">
        <w:t xml:space="preserve"> </w:t>
      </w:r>
      <m:oMath>
        <m:r>
          <w:rPr>
            <w:rFonts w:ascii="Cambria Math" w:hAnsi="Cambria Math"/>
          </w:rPr>
          <m:t>xy</m:t>
        </m:r>
      </m:oMath>
      <w:r w:rsidRPr="00F12A73">
        <w:rPr>
          <w:rFonts w:hint="eastAsia"/>
        </w:rPr>
        <w:t>、</w:t>
      </w:r>
      <m:oMath>
        <m:r>
          <w:rPr>
            <w:rFonts w:ascii="Cambria Math" w:hAnsi="Cambria Math" w:hint="eastAsia"/>
          </w:rPr>
          <m:t>xz</m:t>
        </m:r>
      </m:oMath>
      <w:r w:rsidRPr="00F12A73">
        <w:rPr>
          <w:rFonts w:hint="eastAsia"/>
        </w:rPr>
        <w:t>、</w:t>
      </w:r>
      <m:oMath>
        <m:r>
          <w:rPr>
            <w:rFonts w:ascii="Cambria Math" w:hAnsi="Cambria Math" w:hint="eastAsia"/>
          </w:rPr>
          <m:t>yz</m:t>
        </m:r>
      </m:oMath>
      <w:r w:rsidRPr="00F12A73">
        <w:rPr>
          <w:rFonts w:hint="eastAsia"/>
        </w:rPr>
        <w:t xml:space="preserve"> </w:t>
      </w:r>
      <w:r w:rsidRPr="00F12A73">
        <w:t xml:space="preserve">cross-sections, which are offset by 100nm from the focal point of the light field. </w:t>
      </w:r>
    </w:p>
    <w:p w14:paraId="03D00B84" w14:textId="77777777" w:rsidR="00F12A73" w:rsidRPr="00F12A73" w:rsidRDefault="00F12A73" w:rsidP="007E0771">
      <w:pPr>
        <w:pStyle w:val="Maintext0"/>
      </w:pPr>
    </w:p>
    <w:p w14:paraId="7D057B39" w14:textId="045BB010" w:rsidR="00F12A73" w:rsidRDefault="00F12A73" w:rsidP="00BB60F2">
      <w:pPr>
        <w:pStyle w:val="Head1"/>
      </w:pPr>
      <w:r w:rsidRPr="00F12A73">
        <w:t>The optical setup</w:t>
      </w:r>
      <w:r w:rsidRPr="00BC5212">
        <w:t xml:space="preserve"> </w:t>
      </w:r>
    </w:p>
    <w:p w14:paraId="4C7E0CE2" w14:textId="3CA3CBEF" w:rsidR="005B0235" w:rsidRPr="005B0235" w:rsidRDefault="005B0235" w:rsidP="002E683F">
      <w:pPr>
        <w:spacing w:line="480" w:lineRule="auto"/>
        <w:jc w:val="both"/>
      </w:pPr>
      <w:r w:rsidRPr="005B0235">
        <w:t>We perform the</w:t>
      </w:r>
      <w:r w:rsidRPr="005B0235">
        <w:rPr>
          <w:rFonts w:hint="eastAsia"/>
        </w:rPr>
        <w:t xml:space="preserve"> </w:t>
      </w:r>
      <w:r w:rsidRPr="005B0235">
        <w:t xml:space="preserve">optical encryption experiment with our homemade setup shown in </w:t>
      </w:r>
      <w:r w:rsidRPr="00C70EC5">
        <w:rPr>
          <w:b/>
          <w:bCs/>
        </w:rPr>
        <w:t>Fig</w:t>
      </w:r>
      <w:r w:rsidR="00C70EC5" w:rsidRPr="00C70EC5">
        <w:rPr>
          <w:b/>
          <w:bCs/>
        </w:rPr>
        <w:t>ure</w:t>
      </w:r>
      <w:r w:rsidRPr="00C70EC5">
        <w:rPr>
          <w:b/>
          <w:bCs/>
        </w:rPr>
        <w:t xml:space="preserve"> S3</w:t>
      </w:r>
      <w:r w:rsidRPr="005B0235">
        <w:t xml:space="preserve">. The 800nm fs laser from </w:t>
      </w:r>
      <w:r w:rsidRPr="005B0235">
        <w:rPr>
          <w:rFonts w:hint="eastAsia"/>
        </w:rPr>
        <w:t>a</w:t>
      </w:r>
      <w:r w:rsidRPr="005B0235">
        <w:t xml:space="preserve"> Ti:sapphire oscillator (Chameleon, Coherent)</w:t>
      </w:r>
      <w:r w:rsidRPr="00E4013D">
        <w:t xml:space="preserve"> </w:t>
      </w:r>
      <w:r w:rsidRPr="005B0235">
        <w:t xml:space="preserve"> is expanded and collimated onto a half-wave plate and a Glan prism to adjust the power of laser and control the direction of polarization of the outgoing light.  The output light oblique incident into the phase-only space light modulator (HOLOEYE, Pluto LC-R2500) and then through the 4F system and dichromatic mirror (FF735-Di02-25 × 36, Semrock). Finally, the laser focused to the sample </w:t>
      </w:r>
      <w:r w:rsidRPr="005B0235">
        <w:lastRenderedPageBreak/>
        <w:t xml:space="preserve">placed on a three-dimensional stage (P-563.3CD, Physik Instrumente) by an objective. The  nonlinear upconversion luminescence of the sample was collected by the same objective and detected by an avalanche photo-diode (SPCM-AQRH-14-FC, Excelitas Technologies), which is placed in the position of the CCD in the diagram. </w:t>
      </w:r>
    </w:p>
    <w:p w14:paraId="20343834" w14:textId="22A45F96" w:rsidR="00BC5212" w:rsidRDefault="00D111ED" w:rsidP="007E0771">
      <w:pPr>
        <w:pStyle w:val="Maintext0"/>
        <w:rPr>
          <w:lang w:val="de-DE"/>
        </w:rPr>
      </w:pPr>
      <w:r>
        <w:rPr>
          <w:noProof/>
          <w:lang w:val="de-DE"/>
        </w:rPr>
        <w:drawing>
          <wp:inline distT="0" distB="0" distL="0" distR="0" wp14:anchorId="582F9708" wp14:editId="381898A2">
            <wp:extent cx="5760720" cy="28809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80995"/>
                    </a:xfrm>
                    <a:prstGeom prst="rect">
                      <a:avLst/>
                    </a:prstGeom>
                  </pic:spPr>
                </pic:pic>
              </a:graphicData>
            </a:graphic>
          </wp:inline>
        </w:drawing>
      </w:r>
    </w:p>
    <w:p w14:paraId="69EB9CD0" w14:textId="59268ADE" w:rsidR="005B0235" w:rsidRDefault="005B0235" w:rsidP="005B0235">
      <w:r w:rsidRPr="005B0235">
        <w:rPr>
          <w:rFonts w:hint="eastAsia"/>
          <w:b/>
          <w:bCs/>
        </w:rPr>
        <w:t>F</w:t>
      </w:r>
      <w:r w:rsidRPr="005B0235">
        <w:rPr>
          <w:b/>
          <w:bCs/>
        </w:rPr>
        <w:t>igure S3.</w:t>
      </w:r>
      <w:r>
        <w:t xml:space="preserve"> </w:t>
      </w:r>
      <w:r w:rsidRPr="005B0235">
        <w:t xml:space="preserve">The schematic of the optical setup used in the optical encryption experiment. </w:t>
      </w:r>
      <w:r w:rsidRPr="005B0235">
        <w:rPr>
          <w:rFonts w:hint="eastAsia"/>
        </w:rPr>
        <w:t>f</w:t>
      </w:r>
      <w:r w:rsidRPr="005B0235">
        <w:t xml:space="preserve">s </w:t>
      </w:r>
      <w:r w:rsidRPr="005B0235">
        <w:rPr>
          <w:rFonts w:hint="eastAsia"/>
        </w:rPr>
        <w:t>laser</w:t>
      </w:r>
      <w:r w:rsidRPr="005B0235">
        <w:t xml:space="preserve">: femtosecond laser; SLM: spatial light modulator; CCD: charge coupled device. </w:t>
      </w:r>
    </w:p>
    <w:p w14:paraId="27882F64" w14:textId="77777777" w:rsidR="008465AB" w:rsidRPr="005B0235" w:rsidRDefault="008465AB" w:rsidP="005B0235">
      <w:pPr>
        <w:rPr>
          <w:rFonts w:hint="eastAsia"/>
        </w:rPr>
      </w:pPr>
    </w:p>
    <w:p w14:paraId="26F8C284" w14:textId="52C900E3" w:rsidR="005B0235" w:rsidRPr="005B0235" w:rsidRDefault="005B0235" w:rsidP="00BB60F2">
      <w:pPr>
        <w:pStyle w:val="Head1"/>
      </w:pPr>
      <w:r w:rsidRPr="005B0235">
        <w:rPr>
          <w:rFonts w:hint="eastAsia"/>
        </w:rPr>
        <w:t>T</w:t>
      </w:r>
      <w:r w:rsidRPr="005B0235">
        <w:t>he data processing method</w:t>
      </w:r>
    </w:p>
    <w:p w14:paraId="0B93ECDE" w14:textId="61A12860" w:rsidR="005B0235" w:rsidRPr="005B0235" w:rsidRDefault="005B0235" w:rsidP="002E683F">
      <w:pPr>
        <w:spacing w:line="480" w:lineRule="auto"/>
        <w:jc w:val="both"/>
      </w:pPr>
      <w:r w:rsidRPr="005B0235">
        <w:t xml:space="preserve">We take one of the pictures of image encryption experiments as an example to illustrate the process of original data processing, which is shown in </w:t>
      </w:r>
      <w:r w:rsidRPr="00C70EC5">
        <w:rPr>
          <w:b/>
          <w:bCs/>
        </w:rPr>
        <w:t>Fig</w:t>
      </w:r>
      <w:r w:rsidR="00C70EC5" w:rsidRPr="00C70EC5">
        <w:rPr>
          <w:b/>
          <w:bCs/>
        </w:rPr>
        <w:t>ure</w:t>
      </w:r>
      <w:r w:rsidRPr="00C70EC5">
        <w:rPr>
          <w:b/>
          <w:bCs/>
        </w:rPr>
        <w:t xml:space="preserve"> S</w:t>
      </w:r>
      <w:r w:rsidR="00C70EC5" w:rsidRPr="00C70EC5">
        <w:rPr>
          <w:b/>
          <w:bCs/>
        </w:rPr>
        <w:t>4</w:t>
      </w:r>
      <w:r w:rsidRPr="005B0235">
        <w:t xml:space="preserve">. Firstly, we code a program to scan the recording area to acquire the corresponding nonlinear upconversion luminescence intensity distribution, as shown in </w:t>
      </w:r>
      <w:r w:rsidRPr="00C70EC5">
        <w:t>Fi</w:t>
      </w:r>
      <w:r w:rsidR="00C70EC5" w:rsidRPr="00C70EC5">
        <w:t>gure</w:t>
      </w:r>
      <w:r w:rsidRPr="00C70EC5">
        <w:t xml:space="preserve"> S</w:t>
      </w:r>
      <w:r w:rsidR="00C70EC5" w:rsidRPr="00C70EC5">
        <w:t>4</w:t>
      </w:r>
      <w:r w:rsidRPr="005B0235">
        <w:t xml:space="preserve">(a). Then, </w:t>
      </w:r>
      <w:r w:rsidRPr="005B0235">
        <w:rPr>
          <w:rFonts w:hint="eastAsia"/>
        </w:rPr>
        <w:t>w</w:t>
      </w:r>
      <w:r w:rsidRPr="005B0235">
        <w:t>e calculate the bit error rate corresponding to different thresholds, and select the appropriate threshold to binarize the nonlinear upconversion luminescence image, which is shown in Fig</w:t>
      </w:r>
      <w:r w:rsidR="00C70EC5">
        <w:t>ure</w:t>
      </w:r>
      <w:r w:rsidRPr="005B0235">
        <w:t xml:space="preserve"> S</w:t>
      </w:r>
      <w:r w:rsidR="00C70EC5">
        <w:t>4</w:t>
      </w:r>
      <w:r w:rsidRPr="005B0235">
        <w:t xml:space="preserve">(b). The bit error rate (BER) can be defined as: </w:t>
      </w:r>
    </w:p>
    <w:p w14:paraId="44F2AFB4" w14:textId="59860096" w:rsidR="005B0235" w:rsidRPr="005B0235" w:rsidRDefault="005B0235" w:rsidP="00CA58A0">
      <w:pPr>
        <w:jc w:val="right"/>
      </w:pPr>
      <m:oMath>
        <m:r>
          <w:rPr>
            <w:rFonts w:ascii="Cambria Math" w:hAnsi="Cambria Math"/>
          </w:rPr>
          <m:t>e</m:t>
        </m:r>
        <m:r>
          <m:rPr>
            <m:sty m:val="p"/>
          </m:rPr>
          <w:rPr>
            <w:rFonts w:ascii="Cambria Math" w:hAnsi="Cambria Math"/>
          </w:rPr>
          <m:t>=</m:t>
        </m:r>
        <m:f>
          <m:fPr>
            <m:ctrlPr>
              <w:rPr>
                <w:rFonts w:ascii="Cambria Math" w:hAnsi="Cambria Math"/>
              </w:rPr>
            </m:ctrlPr>
          </m:fPr>
          <m:num>
            <m:nary>
              <m:naryPr>
                <m:chr m:val="∑"/>
                <m:supHide m:val="1"/>
                <m:ctrlPr>
                  <w:rPr>
                    <w:rFonts w:ascii="Cambria Math" w:hAnsi="Cambria Math"/>
                  </w:rPr>
                </m:ctrlPr>
              </m:naryPr>
              <m:sub>
                <m:r>
                  <w:rPr>
                    <w:rFonts w:ascii="Cambria Math" w:hAnsi="Cambria Math"/>
                  </w:rPr>
                  <m:t>m</m:t>
                </m:r>
              </m:sub>
              <m:sup/>
              <m:e>
                <m:nary>
                  <m:naryPr>
                    <m:chr m:val="∑"/>
                    <m:supHide m:val="1"/>
                    <m:ctrlPr>
                      <w:rPr>
                        <w:rFonts w:ascii="Cambria Math" w:hAnsi="Cambria Math"/>
                      </w:rPr>
                    </m:ctrlPr>
                  </m:naryPr>
                  <m:sub>
                    <m:r>
                      <w:rPr>
                        <w:rFonts w:ascii="Cambria Math" w:hAnsi="Cambria Math"/>
                      </w:rPr>
                      <m:t>n</m:t>
                    </m:r>
                  </m:sub>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mn</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mn</m:t>
                            </m:r>
                          </m:sub>
                        </m:sSub>
                      </m:e>
                    </m:d>
                  </m:e>
                </m:nary>
              </m:e>
            </m:nary>
          </m:num>
          <m:den>
            <m:r>
              <w:rPr>
                <w:rFonts w:ascii="Cambria Math" w:hAnsi="Cambria Math"/>
              </w:rPr>
              <m:t>N</m:t>
            </m:r>
          </m:den>
        </m:f>
      </m:oMath>
      <w:r w:rsidRPr="005B0235">
        <w:t xml:space="preserve">  </w:t>
      </w:r>
      <w:r w:rsidR="00CA58A0">
        <w:t xml:space="preserve">                                                        </w:t>
      </w:r>
      <w:r w:rsidRPr="005B0235">
        <w:t>(2)</w:t>
      </w:r>
    </w:p>
    <w:p w14:paraId="2D4B68EE" w14:textId="77777777" w:rsidR="005B0235" w:rsidRPr="005B0235" w:rsidRDefault="005B0235" w:rsidP="002E683F">
      <w:pPr>
        <w:spacing w:line="480" w:lineRule="auto"/>
        <w:jc w:val="both"/>
      </w:pPr>
      <w:r w:rsidRPr="005B0235">
        <w:t xml:space="preserve">where </w:t>
      </w:r>
      <m:oMath>
        <m:r>
          <m:rPr>
            <m:sty m:val="p"/>
          </m:rPr>
          <w:rPr>
            <w:rFonts w:ascii="Cambria Math" w:hAnsi="Cambria Math" w:hint="eastAsia"/>
          </w:rPr>
          <m:t>|</m:t>
        </m:r>
        <m:sSub>
          <m:sSubPr>
            <m:ctrlPr>
              <w:rPr>
                <w:rFonts w:ascii="Cambria Math" w:hAnsi="Cambria Math"/>
              </w:rPr>
            </m:ctrlPr>
          </m:sSubPr>
          <m:e>
            <m:r>
              <w:rPr>
                <w:rFonts w:ascii="Cambria Math" w:hAnsi="Cambria Math"/>
              </w:rPr>
              <m:t>A</m:t>
            </m:r>
          </m:e>
          <m:sub>
            <m:r>
              <w:rPr>
                <w:rFonts w:ascii="Cambria Math" w:hAnsi="Cambria Math" w:hint="eastAsia"/>
              </w:rPr>
              <m:t>mn</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mn</m:t>
            </m:r>
          </m:sub>
        </m:sSub>
        <m:r>
          <m:rPr>
            <m:sty m:val="p"/>
          </m:rPr>
          <w:rPr>
            <w:rFonts w:ascii="Cambria Math" w:hAnsi="Cambria Math" w:hint="eastAsia"/>
          </w:rPr>
          <m:t>|</m:t>
        </m:r>
      </m:oMath>
      <w:r w:rsidRPr="005B0235">
        <w:rPr>
          <w:rFonts w:hint="eastAsia"/>
        </w:rPr>
        <w:t xml:space="preserve"> </w:t>
      </w:r>
      <w:r w:rsidRPr="005B0235">
        <w:t>denotes the error bit between the original data and the extracted binarization data of all the information units. N is the total number of information units.</w:t>
      </w:r>
    </w:p>
    <w:p w14:paraId="41053273" w14:textId="2E8EE173" w:rsidR="005B0235" w:rsidRDefault="005B0235" w:rsidP="002E683F">
      <w:pPr>
        <w:spacing w:line="480" w:lineRule="auto"/>
        <w:jc w:val="both"/>
      </w:pPr>
      <w:r w:rsidRPr="005B0235">
        <w:lastRenderedPageBreak/>
        <w:t>For the statistical graph of the nonlinear upconversion luminescence intensity distribution of each pixel in Fig</w:t>
      </w:r>
      <w:r w:rsidR="00C70EC5">
        <w:t>ure</w:t>
      </w:r>
      <w:r w:rsidRPr="005B0235">
        <w:t xml:space="preserve"> S</w:t>
      </w:r>
      <w:r w:rsidR="00C70EC5">
        <w:t>4</w:t>
      </w:r>
      <w:r w:rsidRPr="005B0235">
        <w:t>(a), there are two Gaussian distributions corresponding to the recorded points and the non-recorded points, as shown in Fig</w:t>
      </w:r>
      <w:r w:rsidR="00C70EC5">
        <w:t>ure</w:t>
      </w:r>
      <w:r w:rsidRPr="005B0235">
        <w:t xml:space="preserve"> S</w:t>
      </w:r>
      <w:r w:rsidR="00C70EC5">
        <w:t>4</w:t>
      </w:r>
      <w:r w:rsidRPr="005B0235">
        <w:t>(d). Fig</w:t>
      </w:r>
      <w:r w:rsidR="00C70EC5">
        <w:t>ure</w:t>
      </w:r>
      <w:r w:rsidRPr="005B0235">
        <w:t xml:space="preserve"> S</w:t>
      </w:r>
      <w:r w:rsidR="00C70EC5">
        <w:t>4</w:t>
      </w:r>
      <w:r w:rsidRPr="005B0235">
        <w:t xml:space="preserve">(b) shows the binarized pattern at the threshold intensity Ith = 0.2894. The bit error rate corresponding to this set of data is 0.0044 and this result demonstrate that our concept can be used for encryption with high-quality and low crosstalk. </w:t>
      </w:r>
    </w:p>
    <w:p w14:paraId="3A6BD59D" w14:textId="77777777" w:rsidR="008465AB" w:rsidRPr="005B0235" w:rsidRDefault="008465AB" w:rsidP="002E683F">
      <w:pPr>
        <w:spacing w:line="480" w:lineRule="auto"/>
        <w:jc w:val="both"/>
      </w:pPr>
    </w:p>
    <w:p w14:paraId="16F3C414" w14:textId="5D97E9AD" w:rsidR="00D111ED" w:rsidRDefault="005B0235" w:rsidP="007E0771">
      <w:pPr>
        <w:pStyle w:val="Maintext0"/>
      </w:pPr>
      <w:r>
        <w:rPr>
          <w:rFonts w:hint="eastAsia"/>
          <w:noProof/>
        </w:rPr>
        <w:drawing>
          <wp:inline distT="0" distB="0" distL="0" distR="0" wp14:anchorId="356278D9" wp14:editId="167D3CF3">
            <wp:extent cx="5760720" cy="52806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280660"/>
                    </a:xfrm>
                    <a:prstGeom prst="rect">
                      <a:avLst/>
                    </a:prstGeom>
                  </pic:spPr>
                </pic:pic>
              </a:graphicData>
            </a:graphic>
          </wp:inline>
        </w:drawing>
      </w:r>
    </w:p>
    <w:p w14:paraId="25682DF7" w14:textId="55EEC3E5" w:rsidR="005B0235" w:rsidRDefault="005B0235" w:rsidP="005B0235">
      <w:pPr>
        <w:jc w:val="both"/>
        <w:rPr>
          <w:rFonts w:hint="eastAsia"/>
        </w:rPr>
      </w:pPr>
      <w:r w:rsidRPr="005B0235">
        <w:rPr>
          <w:rFonts w:hint="eastAsia"/>
          <w:b/>
          <w:bCs/>
        </w:rPr>
        <w:t>F</w:t>
      </w:r>
      <w:r w:rsidRPr="005B0235">
        <w:rPr>
          <w:b/>
          <w:bCs/>
        </w:rPr>
        <w:t>igure S</w:t>
      </w:r>
      <w:r>
        <w:rPr>
          <w:b/>
          <w:bCs/>
        </w:rPr>
        <w:t>4</w:t>
      </w:r>
      <w:r w:rsidRPr="005B0235">
        <w:rPr>
          <w:b/>
          <w:bCs/>
        </w:rPr>
        <w:t>.</w:t>
      </w:r>
      <w:r w:rsidRPr="005B0235">
        <w:t xml:space="preserve"> a) The pattern obtained by detecting the nonlinear upconversion luminescenceintensities of all the information units. The size of the recording region was 45 × 45 </w:t>
      </w:r>
      <w:r w:rsidRPr="005B0235">
        <w:rPr>
          <w:rFonts w:hint="eastAsia"/>
        </w:rPr>
        <w:t>μ</w:t>
      </w:r>
      <w:r w:rsidRPr="005B0235">
        <w:t>m with 30 ×30 pixels. b) The result of binarizing the nonlinear upconversion luminescence image by selecting an appropriate threshold. c) The original pattern used for data recording. d) The distribution of the nonlinear upconversion luminescence intensities of all the information units in the recording region. The calculated fidelity (a = 0.9956) and threshold (Ith = 0.2894) for the extracted pattern is also provided.</w:t>
      </w:r>
    </w:p>
    <w:p w14:paraId="3A665B00" w14:textId="76B14505" w:rsidR="005B0235" w:rsidRPr="00BB60F2" w:rsidRDefault="00C57D1E" w:rsidP="00BB60F2">
      <w:pPr>
        <w:pStyle w:val="Head1"/>
      </w:pPr>
      <w:r w:rsidRPr="00BB60F2">
        <w:lastRenderedPageBreak/>
        <w:t xml:space="preserve">The </w:t>
      </w:r>
      <w:r w:rsidRPr="00BB60F2">
        <w:rPr>
          <w:rFonts w:hint="eastAsia"/>
        </w:rPr>
        <w:t>nonlinear</w:t>
      </w:r>
      <w:r w:rsidRPr="00BB60F2">
        <w:t xml:space="preserve"> upconversion luminescence intensity distributions</w:t>
      </w:r>
    </w:p>
    <w:p w14:paraId="27EC82EB" w14:textId="20F9FA8A" w:rsidR="005B0235" w:rsidRDefault="00C57D1E" w:rsidP="007E0771">
      <w:pPr>
        <w:pStyle w:val="Maintext0"/>
      </w:pPr>
      <w:r>
        <w:rPr>
          <w:rFonts w:hint="eastAsia"/>
          <w:noProof/>
        </w:rPr>
        <w:drawing>
          <wp:inline distT="0" distB="0" distL="0" distR="0" wp14:anchorId="2BEFE929" wp14:editId="21E31DC6">
            <wp:extent cx="5760267" cy="3232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267" cy="3232150"/>
                    </a:xfrm>
                    <a:prstGeom prst="rect">
                      <a:avLst/>
                    </a:prstGeom>
                  </pic:spPr>
                </pic:pic>
              </a:graphicData>
            </a:graphic>
          </wp:inline>
        </w:drawing>
      </w:r>
    </w:p>
    <w:p w14:paraId="5DE87AE6" w14:textId="69BBB394" w:rsidR="001D7540" w:rsidRDefault="001D7540" w:rsidP="001D7540">
      <w:pPr>
        <w:jc w:val="both"/>
        <w:rPr>
          <w:noProof/>
        </w:rPr>
      </w:pPr>
      <w:r w:rsidRPr="00C70EC5">
        <w:rPr>
          <w:rFonts w:hint="eastAsia"/>
          <w:b/>
          <w:bCs/>
          <w:noProof/>
        </w:rPr>
        <w:t>F</w:t>
      </w:r>
      <w:r w:rsidRPr="00C70EC5">
        <w:rPr>
          <w:b/>
          <w:bCs/>
          <w:noProof/>
        </w:rPr>
        <w:t>igure S5.</w:t>
      </w:r>
      <w:r w:rsidRPr="001D7540">
        <w:rPr>
          <w:noProof/>
        </w:rPr>
        <w:t xml:space="preserve"> The nonlinear upconversion luminescence images corresponding to every polarization and topological charge combinations in Fig</w:t>
      </w:r>
      <w:r w:rsidR="00C70EC5">
        <w:rPr>
          <w:noProof/>
        </w:rPr>
        <w:t>ure</w:t>
      </w:r>
      <w:r w:rsidRPr="001D7540">
        <w:rPr>
          <w:noProof/>
        </w:rPr>
        <w:t xml:space="preserve"> 4(c)</w:t>
      </w:r>
      <w:r w:rsidRPr="001D7540">
        <w:rPr>
          <w:rFonts w:hint="eastAsia"/>
          <w:noProof/>
        </w:rPr>
        <w:t>.</w:t>
      </w:r>
      <w:r w:rsidRPr="001D7540">
        <w:rPr>
          <w:noProof/>
        </w:rPr>
        <w:t xml:space="preserve"> The insets represent the reconstructed image after processing.</w:t>
      </w:r>
    </w:p>
    <w:p w14:paraId="60E53677" w14:textId="77777777" w:rsidR="008465AB" w:rsidRPr="001D7540" w:rsidRDefault="008465AB" w:rsidP="001D7540">
      <w:pPr>
        <w:jc w:val="both"/>
        <w:rPr>
          <w:noProof/>
        </w:rPr>
      </w:pPr>
    </w:p>
    <w:p w14:paraId="716FD142" w14:textId="495A3C68" w:rsidR="008465AB" w:rsidRPr="001F32E3" w:rsidRDefault="008465AB" w:rsidP="00BB60F2">
      <w:pPr>
        <w:pStyle w:val="Head1"/>
      </w:pPr>
      <w:r w:rsidRPr="00BB60F2">
        <w:rPr>
          <w:color w:val="FF0000"/>
        </w:rPr>
        <w:t xml:space="preserve">The </w:t>
      </w:r>
      <w:r w:rsidRPr="00BB60F2">
        <w:rPr>
          <w:rFonts w:hint="eastAsia"/>
          <w:color w:val="FF0000"/>
        </w:rPr>
        <w:t>nonlinear</w:t>
      </w:r>
      <w:r w:rsidRPr="00BB60F2">
        <w:rPr>
          <w:color w:val="FF0000"/>
        </w:rPr>
        <w:t xml:space="preserve"> upconversion luminescence </w:t>
      </w:r>
      <w:r w:rsidRPr="00BB60F2">
        <w:rPr>
          <w:color w:val="FF0000"/>
        </w:rPr>
        <w:t>spectra</w:t>
      </w:r>
    </w:p>
    <w:p w14:paraId="0E7BB502" w14:textId="43DE1C8E" w:rsidR="004A7D3E" w:rsidRDefault="008465AB" w:rsidP="007E0771">
      <w:pPr>
        <w:pStyle w:val="Maintext0"/>
        <w:rPr>
          <w:lang w:val="de-DE"/>
        </w:rPr>
      </w:pPr>
      <w:r>
        <w:rPr>
          <w:noProof/>
          <w:lang w:val="de-DE"/>
        </w:rPr>
        <w:drawing>
          <wp:inline distT="0" distB="0" distL="0" distR="0" wp14:anchorId="56674880" wp14:editId="194F9037">
            <wp:extent cx="5760720" cy="40741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0ACEFFDB" w14:textId="55EA7186" w:rsidR="008465AB" w:rsidRPr="00BB60F2" w:rsidRDefault="008465AB" w:rsidP="008465AB">
      <w:pPr>
        <w:jc w:val="both"/>
        <w:rPr>
          <w:noProof/>
          <w:color w:val="FF0000"/>
        </w:rPr>
      </w:pPr>
      <w:r w:rsidRPr="00BB60F2">
        <w:rPr>
          <w:rFonts w:hint="eastAsia"/>
          <w:b/>
          <w:bCs/>
          <w:noProof/>
          <w:color w:val="FF0000"/>
        </w:rPr>
        <w:t>F</w:t>
      </w:r>
      <w:r w:rsidRPr="00BB60F2">
        <w:rPr>
          <w:b/>
          <w:bCs/>
          <w:noProof/>
          <w:color w:val="FF0000"/>
        </w:rPr>
        <w:t>igure S</w:t>
      </w:r>
      <w:r w:rsidRPr="00BB60F2">
        <w:rPr>
          <w:b/>
          <w:bCs/>
          <w:noProof/>
          <w:color w:val="FF0000"/>
        </w:rPr>
        <w:t>6</w:t>
      </w:r>
      <w:r w:rsidRPr="00BB60F2">
        <w:rPr>
          <w:b/>
          <w:bCs/>
          <w:noProof/>
          <w:color w:val="FF0000"/>
        </w:rPr>
        <w:t>.</w:t>
      </w:r>
      <w:r w:rsidRPr="00BB60F2">
        <w:rPr>
          <w:noProof/>
          <w:color w:val="FF0000"/>
        </w:rPr>
        <w:t xml:space="preserve"> The nonlinear upconversion luminescence </w:t>
      </w:r>
      <w:r w:rsidR="006E75E5" w:rsidRPr="00BB60F2">
        <w:rPr>
          <w:noProof/>
          <w:color w:val="FF0000"/>
        </w:rPr>
        <w:t>spectra</w:t>
      </w:r>
      <w:r w:rsidRPr="00BB60F2">
        <w:rPr>
          <w:noProof/>
          <w:color w:val="FF0000"/>
        </w:rPr>
        <w:t xml:space="preserve"> </w:t>
      </w:r>
      <w:r w:rsidR="006E75E5" w:rsidRPr="00BB60F2">
        <w:rPr>
          <w:rFonts w:hint="eastAsia"/>
          <w:noProof/>
          <w:color w:val="FF0000"/>
        </w:rPr>
        <w:t>from</w:t>
      </w:r>
      <w:r w:rsidR="006E75E5" w:rsidRPr="00BB60F2">
        <w:rPr>
          <w:noProof/>
          <w:color w:val="FF0000"/>
        </w:rPr>
        <w:t xml:space="preserve"> the gold rod samples</w:t>
      </w:r>
      <w:r w:rsidR="006E75E5" w:rsidRPr="00BB60F2">
        <w:rPr>
          <w:noProof/>
          <w:color w:val="FF0000"/>
        </w:rPr>
        <w:t>.</w:t>
      </w:r>
    </w:p>
    <w:p w14:paraId="3AFA50CC" w14:textId="77777777" w:rsidR="008465AB" w:rsidRPr="008465AB" w:rsidRDefault="008465AB" w:rsidP="007E0771">
      <w:pPr>
        <w:pStyle w:val="Maintext0"/>
        <w:rPr>
          <w:rFonts w:hint="eastAsia"/>
          <w:lang w:val="de-DE"/>
        </w:rPr>
      </w:pPr>
    </w:p>
    <w:sectPr w:rsidR="008465AB" w:rsidRPr="008465AB" w:rsidSect="00404548">
      <w:headerReference w:type="default" r:id="rId18"/>
      <w:footerReference w:type="default" r:id="rId1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B368" w14:textId="77777777" w:rsidR="00D5377A" w:rsidRDefault="00D5377A">
      <w:r>
        <w:separator/>
      </w:r>
    </w:p>
  </w:endnote>
  <w:endnote w:type="continuationSeparator" w:id="0">
    <w:p w14:paraId="1317FA96" w14:textId="77777777" w:rsidR="00D5377A" w:rsidRDefault="00D5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8A4A9" w14:textId="77777777" w:rsidR="00D5377A" w:rsidRDefault="00D5377A">
      <w:r>
        <w:separator/>
      </w:r>
    </w:p>
  </w:footnote>
  <w:footnote w:type="continuationSeparator" w:id="0">
    <w:p w14:paraId="3B125332" w14:textId="77777777" w:rsidR="00D5377A" w:rsidRDefault="00D5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2FAF9ED3" w:rsidR="00562E2B" w:rsidRPr="009B44CC" w:rsidRDefault="00562E2B" w:rsidP="009B44CC">
    <w:pPr>
      <w:pStyle w:val="a5"/>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0117C"/>
    <w:multiLevelType w:val="multilevel"/>
    <w:tmpl w:val="9B6ABE0E"/>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E1D2264"/>
    <w:multiLevelType w:val="hybridMultilevel"/>
    <w:tmpl w:val="F7CE1A6E"/>
    <w:lvl w:ilvl="0" w:tplc="48E00610">
      <w:start w:val="1"/>
      <w:numFmt w:val="decimal"/>
      <w:pStyle w:val="Head1"/>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E340966"/>
    <w:multiLevelType w:val="multilevel"/>
    <w:tmpl w:val="6E34096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 Drug Delivery Rev 复制&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t95rdsvs0t0ned5p0x0x0ipa5wp9ss9aer&quot;&gt;我的EndNote库&lt;record-ids&gt;&lt;item&gt;12&lt;/item&gt;&lt;item&gt;13&lt;/item&gt;&lt;item&gt;14&lt;/item&gt;&lt;item&gt;15&lt;/item&gt;&lt;item&gt;18&lt;/item&gt;&lt;item&gt;19&lt;/item&gt;&lt;item&gt;20&lt;/item&gt;&lt;item&gt;21&lt;/item&gt;&lt;item&gt;22&lt;/item&gt;&lt;item&gt;23&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record-ids&gt;&lt;/item&gt;&lt;/Libraries&gt;"/>
  </w:docVars>
  <w:rsids>
    <w:rsidRoot w:val="002D16A0"/>
    <w:rsid w:val="000003BB"/>
    <w:rsid w:val="0000374D"/>
    <w:rsid w:val="00004A23"/>
    <w:rsid w:val="00006A0A"/>
    <w:rsid w:val="0000703E"/>
    <w:rsid w:val="00007DA7"/>
    <w:rsid w:val="0001048D"/>
    <w:rsid w:val="000112FC"/>
    <w:rsid w:val="000118B0"/>
    <w:rsid w:val="00011F40"/>
    <w:rsid w:val="0001454A"/>
    <w:rsid w:val="0001683C"/>
    <w:rsid w:val="000172E7"/>
    <w:rsid w:val="000214A8"/>
    <w:rsid w:val="00023F64"/>
    <w:rsid w:val="00025C95"/>
    <w:rsid w:val="00027FB5"/>
    <w:rsid w:val="000314D2"/>
    <w:rsid w:val="0003318F"/>
    <w:rsid w:val="0004094E"/>
    <w:rsid w:val="00040B7B"/>
    <w:rsid w:val="00041C1B"/>
    <w:rsid w:val="000437F7"/>
    <w:rsid w:val="00050985"/>
    <w:rsid w:val="0005501E"/>
    <w:rsid w:val="00055883"/>
    <w:rsid w:val="0006044D"/>
    <w:rsid w:val="00060D37"/>
    <w:rsid w:val="00062324"/>
    <w:rsid w:val="00063C0E"/>
    <w:rsid w:val="00072EA7"/>
    <w:rsid w:val="00076EAD"/>
    <w:rsid w:val="0008287E"/>
    <w:rsid w:val="00083031"/>
    <w:rsid w:val="00085347"/>
    <w:rsid w:val="0008740B"/>
    <w:rsid w:val="000904D3"/>
    <w:rsid w:val="0009309C"/>
    <w:rsid w:val="00093F1B"/>
    <w:rsid w:val="00094AE8"/>
    <w:rsid w:val="000A1F4B"/>
    <w:rsid w:val="000A21A9"/>
    <w:rsid w:val="000A3E93"/>
    <w:rsid w:val="000A472C"/>
    <w:rsid w:val="000A5773"/>
    <w:rsid w:val="000A682F"/>
    <w:rsid w:val="000B05A0"/>
    <w:rsid w:val="000B33EE"/>
    <w:rsid w:val="000B4293"/>
    <w:rsid w:val="000C1086"/>
    <w:rsid w:val="000C259E"/>
    <w:rsid w:val="000C3E0C"/>
    <w:rsid w:val="000C6252"/>
    <w:rsid w:val="000C6DCF"/>
    <w:rsid w:val="000C6F8A"/>
    <w:rsid w:val="000C75F2"/>
    <w:rsid w:val="000D2AB2"/>
    <w:rsid w:val="000D2D4B"/>
    <w:rsid w:val="000D45F4"/>
    <w:rsid w:val="000D5AB4"/>
    <w:rsid w:val="000D66DB"/>
    <w:rsid w:val="000D7EBA"/>
    <w:rsid w:val="000E788B"/>
    <w:rsid w:val="000E7A5B"/>
    <w:rsid w:val="000E7BBA"/>
    <w:rsid w:val="000F512F"/>
    <w:rsid w:val="00100BC3"/>
    <w:rsid w:val="001013F4"/>
    <w:rsid w:val="001054D4"/>
    <w:rsid w:val="0010686C"/>
    <w:rsid w:val="00107C5F"/>
    <w:rsid w:val="00107CCC"/>
    <w:rsid w:val="00110011"/>
    <w:rsid w:val="001105BD"/>
    <w:rsid w:val="00113638"/>
    <w:rsid w:val="00116C82"/>
    <w:rsid w:val="00117948"/>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43AD"/>
    <w:rsid w:val="0015563E"/>
    <w:rsid w:val="00155F66"/>
    <w:rsid w:val="0016390D"/>
    <w:rsid w:val="0016401F"/>
    <w:rsid w:val="00164057"/>
    <w:rsid w:val="00165B37"/>
    <w:rsid w:val="00170369"/>
    <w:rsid w:val="00173492"/>
    <w:rsid w:val="00173757"/>
    <w:rsid w:val="00174176"/>
    <w:rsid w:val="00181D92"/>
    <w:rsid w:val="001823B6"/>
    <w:rsid w:val="001848EB"/>
    <w:rsid w:val="00187DB9"/>
    <w:rsid w:val="0019077D"/>
    <w:rsid w:val="0019194D"/>
    <w:rsid w:val="0019723B"/>
    <w:rsid w:val="001A28DA"/>
    <w:rsid w:val="001A4240"/>
    <w:rsid w:val="001A6821"/>
    <w:rsid w:val="001A734D"/>
    <w:rsid w:val="001B4224"/>
    <w:rsid w:val="001B7472"/>
    <w:rsid w:val="001C10AC"/>
    <w:rsid w:val="001C2BA3"/>
    <w:rsid w:val="001C55FB"/>
    <w:rsid w:val="001C6953"/>
    <w:rsid w:val="001D12BC"/>
    <w:rsid w:val="001D561D"/>
    <w:rsid w:val="001D7540"/>
    <w:rsid w:val="001E18CC"/>
    <w:rsid w:val="001E3D2D"/>
    <w:rsid w:val="001E4605"/>
    <w:rsid w:val="001E5F4E"/>
    <w:rsid w:val="001F2689"/>
    <w:rsid w:val="001F2930"/>
    <w:rsid w:val="001F2AB7"/>
    <w:rsid w:val="001F32E3"/>
    <w:rsid w:val="001F3C9B"/>
    <w:rsid w:val="001F3E77"/>
    <w:rsid w:val="001F4BD1"/>
    <w:rsid w:val="001F5110"/>
    <w:rsid w:val="001F5702"/>
    <w:rsid w:val="001F65A2"/>
    <w:rsid w:val="001F7842"/>
    <w:rsid w:val="002002FC"/>
    <w:rsid w:val="00201F71"/>
    <w:rsid w:val="00203934"/>
    <w:rsid w:val="0020446B"/>
    <w:rsid w:val="00204BA7"/>
    <w:rsid w:val="002072AB"/>
    <w:rsid w:val="00210140"/>
    <w:rsid w:val="00211942"/>
    <w:rsid w:val="00211F5B"/>
    <w:rsid w:val="00214D95"/>
    <w:rsid w:val="00215531"/>
    <w:rsid w:val="002155E0"/>
    <w:rsid w:val="002162B2"/>
    <w:rsid w:val="002165BA"/>
    <w:rsid w:val="00216F54"/>
    <w:rsid w:val="00220933"/>
    <w:rsid w:val="00220C72"/>
    <w:rsid w:val="0022540C"/>
    <w:rsid w:val="00226AA4"/>
    <w:rsid w:val="00230974"/>
    <w:rsid w:val="00233C8A"/>
    <w:rsid w:val="00236036"/>
    <w:rsid w:val="002369F4"/>
    <w:rsid w:val="00240D90"/>
    <w:rsid w:val="00253094"/>
    <w:rsid w:val="00253CB1"/>
    <w:rsid w:val="002543F9"/>
    <w:rsid w:val="00257ADD"/>
    <w:rsid w:val="00263723"/>
    <w:rsid w:val="00263CF8"/>
    <w:rsid w:val="00265635"/>
    <w:rsid w:val="00266389"/>
    <w:rsid w:val="002675F7"/>
    <w:rsid w:val="002725A5"/>
    <w:rsid w:val="0027314F"/>
    <w:rsid w:val="0028289F"/>
    <w:rsid w:val="00284157"/>
    <w:rsid w:val="00284F4C"/>
    <w:rsid w:val="00285631"/>
    <w:rsid w:val="00290D94"/>
    <w:rsid w:val="0029203C"/>
    <w:rsid w:val="00294873"/>
    <w:rsid w:val="002A4A81"/>
    <w:rsid w:val="002A73A2"/>
    <w:rsid w:val="002A7CE8"/>
    <w:rsid w:val="002B0671"/>
    <w:rsid w:val="002B262F"/>
    <w:rsid w:val="002B3553"/>
    <w:rsid w:val="002B3BA2"/>
    <w:rsid w:val="002B4E01"/>
    <w:rsid w:val="002B5E06"/>
    <w:rsid w:val="002C0CFF"/>
    <w:rsid w:val="002D09B9"/>
    <w:rsid w:val="002D16A0"/>
    <w:rsid w:val="002D19EB"/>
    <w:rsid w:val="002D2930"/>
    <w:rsid w:val="002D2DFF"/>
    <w:rsid w:val="002D3D6D"/>
    <w:rsid w:val="002D5BF8"/>
    <w:rsid w:val="002D5F9E"/>
    <w:rsid w:val="002D7ECC"/>
    <w:rsid w:val="002E1B8F"/>
    <w:rsid w:val="002E2DEF"/>
    <w:rsid w:val="002E3CE0"/>
    <w:rsid w:val="002E3F24"/>
    <w:rsid w:val="002E4E3E"/>
    <w:rsid w:val="002E683F"/>
    <w:rsid w:val="002E76B2"/>
    <w:rsid w:val="002E79A2"/>
    <w:rsid w:val="002F2FA1"/>
    <w:rsid w:val="002F4F4B"/>
    <w:rsid w:val="002F55FD"/>
    <w:rsid w:val="002F594C"/>
    <w:rsid w:val="002F6568"/>
    <w:rsid w:val="00301984"/>
    <w:rsid w:val="00301B0B"/>
    <w:rsid w:val="00301E84"/>
    <w:rsid w:val="00302E7A"/>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4D2B"/>
    <w:rsid w:val="003664F1"/>
    <w:rsid w:val="00367E3F"/>
    <w:rsid w:val="00370BF8"/>
    <w:rsid w:val="00370DC6"/>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513"/>
    <w:rsid w:val="003A0F30"/>
    <w:rsid w:val="003A4C44"/>
    <w:rsid w:val="003A5AD0"/>
    <w:rsid w:val="003A6CE3"/>
    <w:rsid w:val="003A7899"/>
    <w:rsid w:val="003B07F2"/>
    <w:rsid w:val="003B15EE"/>
    <w:rsid w:val="003B517D"/>
    <w:rsid w:val="003B60EC"/>
    <w:rsid w:val="003C00ED"/>
    <w:rsid w:val="003C1C0A"/>
    <w:rsid w:val="003C35DF"/>
    <w:rsid w:val="003C4A68"/>
    <w:rsid w:val="003C554F"/>
    <w:rsid w:val="003C61DD"/>
    <w:rsid w:val="003D4B38"/>
    <w:rsid w:val="003D63E7"/>
    <w:rsid w:val="003E05F1"/>
    <w:rsid w:val="003E113B"/>
    <w:rsid w:val="003E5092"/>
    <w:rsid w:val="003E715D"/>
    <w:rsid w:val="003F103E"/>
    <w:rsid w:val="003F2E48"/>
    <w:rsid w:val="003F440C"/>
    <w:rsid w:val="003F525A"/>
    <w:rsid w:val="003F7BE6"/>
    <w:rsid w:val="004006A9"/>
    <w:rsid w:val="00404548"/>
    <w:rsid w:val="004052AE"/>
    <w:rsid w:val="004103C1"/>
    <w:rsid w:val="004118A5"/>
    <w:rsid w:val="00413672"/>
    <w:rsid w:val="00414041"/>
    <w:rsid w:val="00414465"/>
    <w:rsid w:val="00414729"/>
    <w:rsid w:val="00414C80"/>
    <w:rsid w:val="00414F4B"/>
    <w:rsid w:val="00415EF9"/>
    <w:rsid w:val="00416629"/>
    <w:rsid w:val="00417DA1"/>
    <w:rsid w:val="00420716"/>
    <w:rsid w:val="00423478"/>
    <w:rsid w:val="00425B76"/>
    <w:rsid w:val="004260A2"/>
    <w:rsid w:val="00426CEF"/>
    <w:rsid w:val="00426FC6"/>
    <w:rsid w:val="004273BC"/>
    <w:rsid w:val="00427C5F"/>
    <w:rsid w:val="00443413"/>
    <w:rsid w:val="004459E3"/>
    <w:rsid w:val="00447FE2"/>
    <w:rsid w:val="004507E5"/>
    <w:rsid w:val="004519AD"/>
    <w:rsid w:val="0045459A"/>
    <w:rsid w:val="004545DB"/>
    <w:rsid w:val="0045786A"/>
    <w:rsid w:val="00460F76"/>
    <w:rsid w:val="00462F12"/>
    <w:rsid w:val="00463050"/>
    <w:rsid w:val="0046340F"/>
    <w:rsid w:val="00466168"/>
    <w:rsid w:val="0046778B"/>
    <w:rsid w:val="004714D4"/>
    <w:rsid w:val="00475712"/>
    <w:rsid w:val="00480C16"/>
    <w:rsid w:val="00480CCE"/>
    <w:rsid w:val="00482FAA"/>
    <w:rsid w:val="0049075F"/>
    <w:rsid w:val="00492DA8"/>
    <w:rsid w:val="004942E8"/>
    <w:rsid w:val="004A0888"/>
    <w:rsid w:val="004A43B6"/>
    <w:rsid w:val="004A70EE"/>
    <w:rsid w:val="004A774E"/>
    <w:rsid w:val="004A7D3E"/>
    <w:rsid w:val="004A7FF9"/>
    <w:rsid w:val="004B1F37"/>
    <w:rsid w:val="004B379D"/>
    <w:rsid w:val="004B5F0C"/>
    <w:rsid w:val="004B6031"/>
    <w:rsid w:val="004C046E"/>
    <w:rsid w:val="004C1609"/>
    <w:rsid w:val="004C216B"/>
    <w:rsid w:val="004C5DD3"/>
    <w:rsid w:val="004D30F9"/>
    <w:rsid w:val="004D4A32"/>
    <w:rsid w:val="004D64AB"/>
    <w:rsid w:val="004E26D7"/>
    <w:rsid w:val="004E7CE8"/>
    <w:rsid w:val="004F271D"/>
    <w:rsid w:val="004F5114"/>
    <w:rsid w:val="004F6435"/>
    <w:rsid w:val="004F756C"/>
    <w:rsid w:val="005001FA"/>
    <w:rsid w:val="005019AF"/>
    <w:rsid w:val="0050488D"/>
    <w:rsid w:val="00504D12"/>
    <w:rsid w:val="0050527A"/>
    <w:rsid w:val="0050535A"/>
    <w:rsid w:val="0050628A"/>
    <w:rsid w:val="005106F5"/>
    <w:rsid w:val="00511192"/>
    <w:rsid w:val="005118AD"/>
    <w:rsid w:val="00512353"/>
    <w:rsid w:val="0051389A"/>
    <w:rsid w:val="00515215"/>
    <w:rsid w:val="00521C15"/>
    <w:rsid w:val="005220C2"/>
    <w:rsid w:val="00522E88"/>
    <w:rsid w:val="00523317"/>
    <w:rsid w:val="00523369"/>
    <w:rsid w:val="0052398F"/>
    <w:rsid w:val="00532960"/>
    <w:rsid w:val="0054009C"/>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35D2"/>
    <w:rsid w:val="00594644"/>
    <w:rsid w:val="0059526F"/>
    <w:rsid w:val="00596F36"/>
    <w:rsid w:val="00597174"/>
    <w:rsid w:val="005A1741"/>
    <w:rsid w:val="005A231B"/>
    <w:rsid w:val="005A235F"/>
    <w:rsid w:val="005A3209"/>
    <w:rsid w:val="005A751F"/>
    <w:rsid w:val="005A7719"/>
    <w:rsid w:val="005A77C2"/>
    <w:rsid w:val="005B0235"/>
    <w:rsid w:val="005B291B"/>
    <w:rsid w:val="005B71B2"/>
    <w:rsid w:val="005B76C5"/>
    <w:rsid w:val="005B7AF0"/>
    <w:rsid w:val="005B7B8A"/>
    <w:rsid w:val="005C09C6"/>
    <w:rsid w:val="005C458D"/>
    <w:rsid w:val="005C491E"/>
    <w:rsid w:val="005C5E0A"/>
    <w:rsid w:val="005C6C0C"/>
    <w:rsid w:val="005D06B6"/>
    <w:rsid w:val="005D123F"/>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251F"/>
    <w:rsid w:val="006045BA"/>
    <w:rsid w:val="006053D9"/>
    <w:rsid w:val="0060583A"/>
    <w:rsid w:val="00611649"/>
    <w:rsid w:val="00611A0E"/>
    <w:rsid w:val="006130F3"/>
    <w:rsid w:val="00614154"/>
    <w:rsid w:val="00614BD3"/>
    <w:rsid w:val="00623A77"/>
    <w:rsid w:val="006256F5"/>
    <w:rsid w:val="0063097B"/>
    <w:rsid w:val="006364B8"/>
    <w:rsid w:val="00636A64"/>
    <w:rsid w:val="00636B93"/>
    <w:rsid w:val="00637E86"/>
    <w:rsid w:val="00640550"/>
    <w:rsid w:val="0064326A"/>
    <w:rsid w:val="00644D5D"/>
    <w:rsid w:val="00646DC7"/>
    <w:rsid w:val="006511FB"/>
    <w:rsid w:val="00651A9D"/>
    <w:rsid w:val="006537FE"/>
    <w:rsid w:val="00654C93"/>
    <w:rsid w:val="00656092"/>
    <w:rsid w:val="0065741C"/>
    <w:rsid w:val="00657F27"/>
    <w:rsid w:val="00660B85"/>
    <w:rsid w:val="006622E0"/>
    <w:rsid w:val="00662DCE"/>
    <w:rsid w:val="00664F6D"/>
    <w:rsid w:val="006650B8"/>
    <w:rsid w:val="00666329"/>
    <w:rsid w:val="006672EE"/>
    <w:rsid w:val="0067011F"/>
    <w:rsid w:val="0067015E"/>
    <w:rsid w:val="00675BFA"/>
    <w:rsid w:val="00680330"/>
    <w:rsid w:val="00680453"/>
    <w:rsid w:val="00682526"/>
    <w:rsid w:val="00683555"/>
    <w:rsid w:val="00683BB1"/>
    <w:rsid w:val="00686F1D"/>
    <w:rsid w:val="00692F7A"/>
    <w:rsid w:val="00695E06"/>
    <w:rsid w:val="00696315"/>
    <w:rsid w:val="006A0D51"/>
    <w:rsid w:val="006A1C05"/>
    <w:rsid w:val="006A225B"/>
    <w:rsid w:val="006A30D2"/>
    <w:rsid w:val="006A5A6A"/>
    <w:rsid w:val="006A5FE3"/>
    <w:rsid w:val="006B2394"/>
    <w:rsid w:val="006B23B2"/>
    <w:rsid w:val="006B4845"/>
    <w:rsid w:val="006B635C"/>
    <w:rsid w:val="006C1708"/>
    <w:rsid w:val="006C1C29"/>
    <w:rsid w:val="006C3782"/>
    <w:rsid w:val="006C3CDE"/>
    <w:rsid w:val="006C4745"/>
    <w:rsid w:val="006D0EE8"/>
    <w:rsid w:val="006D19DD"/>
    <w:rsid w:val="006D1BE7"/>
    <w:rsid w:val="006D3162"/>
    <w:rsid w:val="006D37E7"/>
    <w:rsid w:val="006D5146"/>
    <w:rsid w:val="006D59D6"/>
    <w:rsid w:val="006D5A92"/>
    <w:rsid w:val="006D5C04"/>
    <w:rsid w:val="006D665E"/>
    <w:rsid w:val="006D7508"/>
    <w:rsid w:val="006E0F2F"/>
    <w:rsid w:val="006E19D7"/>
    <w:rsid w:val="006E288D"/>
    <w:rsid w:val="006E71B9"/>
    <w:rsid w:val="006E75E5"/>
    <w:rsid w:val="006F39B2"/>
    <w:rsid w:val="006F5384"/>
    <w:rsid w:val="006F6604"/>
    <w:rsid w:val="006F71D8"/>
    <w:rsid w:val="006F7D1A"/>
    <w:rsid w:val="00702F6F"/>
    <w:rsid w:val="0070346C"/>
    <w:rsid w:val="007039AE"/>
    <w:rsid w:val="007051A0"/>
    <w:rsid w:val="00706496"/>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A33F2"/>
    <w:rsid w:val="007A35E7"/>
    <w:rsid w:val="007B05DC"/>
    <w:rsid w:val="007B1EEE"/>
    <w:rsid w:val="007B249B"/>
    <w:rsid w:val="007B6324"/>
    <w:rsid w:val="007B6D4D"/>
    <w:rsid w:val="007B6FAF"/>
    <w:rsid w:val="007B7A09"/>
    <w:rsid w:val="007C0F09"/>
    <w:rsid w:val="007C0F7A"/>
    <w:rsid w:val="007D24A9"/>
    <w:rsid w:val="007D27FA"/>
    <w:rsid w:val="007D2C25"/>
    <w:rsid w:val="007D30B5"/>
    <w:rsid w:val="007D3AFF"/>
    <w:rsid w:val="007D6218"/>
    <w:rsid w:val="007D6699"/>
    <w:rsid w:val="007D7E30"/>
    <w:rsid w:val="007E0771"/>
    <w:rsid w:val="007E0A75"/>
    <w:rsid w:val="007E6419"/>
    <w:rsid w:val="007F6815"/>
    <w:rsid w:val="007F6BA8"/>
    <w:rsid w:val="00801F18"/>
    <w:rsid w:val="0080681B"/>
    <w:rsid w:val="0080738C"/>
    <w:rsid w:val="00810B77"/>
    <w:rsid w:val="0081164C"/>
    <w:rsid w:val="008117EE"/>
    <w:rsid w:val="0081434E"/>
    <w:rsid w:val="00817436"/>
    <w:rsid w:val="00822217"/>
    <w:rsid w:val="0082542D"/>
    <w:rsid w:val="00827834"/>
    <w:rsid w:val="00832835"/>
    <w:rsid w:val="00835110"/>
    <w:rsid w:val="008351FC"/>
    <w:rsid w:val="00841F50"/>
    <w:rsid w:val="00843A0E"/>
    <w:rsid w:val="00845DFE"/>
    <w:rsid w:val="008465AB"/>
    <w:rsid w:val="00846E17"/>
    <w:rsid w:val="0085200A"/>
    <w:rsid w:val="00854283"/>
    <w:rsid w:val="008573E3"/>
    <w:rsid w:val="00861E81"/>
    <w:rsid w:val="008645FF"/>
    <w:rsid w:val="00866D42"/>
    <w:rsid w:val="0087030E"/>
    <w:rsid w:val="00870AAC"/>
    <w:rsid w:val="00870D5F"/>
    <w:rsid w:val="00871F15"/>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18EA"/>
    <w:rsid w:val="008B2303"/>
    <w:rsid w:val="008B34A0"/>
    <w:rsid w:val="008B5740"/>
    <w:rsid w:val="008C0B84"/>
    <w:rsid w:val="008C41DA"/>
    <w:rsid w:val="008C553A"/>
    <w:rsid w:val="008C588E"/>
    <w:rsid w:val="008C7226"/>
    <w:rsid w:val="008C7A14"/>
    <w:rsid w:val="008D1E92"/>
    <w:rsid w:val="008D1F60"/>
    <w:rsid w:val="008D3192"/>
    <w:rsid w:val="008D40AB"/>
    <w:rsid w:val="008D7B80"/>
    <w:rsid w:val="008E21D3"/>
    <w:rsid w:val="008E4184"/>
    <w:rsid w:val="008E549F"/>
    <w:rsid w:val="008E6301"/>
    <w:rsid w:val="008F10BC"/>
    <w:rsid w:val="008F1935"/>
    <w:rsid w:val="008F2052"/>
    <w:rsid w:val="008F26ED"/>
    <w:rsid w:val="008F2A38"/>
    <w:rsid w:val="008F3012"/>
    <w:rsid w:val="008F592B"/>
    <w:rsid w:val="00901D14"/>
    <w:rsid w:val="00903775"/>
    <w:rsid w:val="00905834"/>
    <w:rsid w:val="009109F7"/>
    <w:rsid w:val="00912137"/>
    <w:rsid w:val="00915BED"/>
    <w:rsid w:val="00916B64"/>
    <w:rsid w:val="0092145D"/>
    <w:rsid w:val="00923FD4"/>
    <w:rsid w:val="009245DE"/>
    <w:rsid w:val="00930762"/>
    <w:rsid w:val="00930C0C"/>
    <w:rsid w:val="00936B81"/>
    <w:rsid w:val="0093758A"/>
    <w:rsid w:val="00937ABC"/>
    <w:rsid w:val="00944701"/>
    <w:rsid w:val="00950ED1"/>
    <w:rsid w:val="00952A7A"/>
    <w:rsid w:val="00953A02"/>
    <w:rsid w:val="0095444E"/>
    <w:rsid w:val="00955C67"/>
    <w:rsid w:val="00957B65"/>
    <w:rsid w:val="00960AFF"/>
    <w:rsid w:val="00963F62"/>
    <w:rsid w:val="00965EFC"/>
    <w:rsid w:val="0097161B"/>
    <w:rsid w:val="0097314D"/>
    <w:rsid w:val="009762D2"/>
    <w:rsid w:val="009762F1"/>
    <w:rsid w:val="0097692D"/>
    <w:rsid w:val="009776D2"/>
    <w:rsid w:val="00977EA8"/>
    <w:rsid w:val="0098140D"/>
    <w:rsid w:val="00981CED"/>
    <w:rsid w:val="00987225"/>
    <w:rsid w:val="0099084D"/>
    <w:rsid w:val="00990870"/>
    <w:rsid w:val="00990DCF"/>
    <w:rsid w:val="009920F5"/>
    <w:rsid w:val="00992B56"/>
    <w:rsid w:val="00992CDA"/>
    <w:rsid w:val="00993175"/>
    <w:rsid w:val="00993342"/>
    <w:rsid w:val="00996CE4"/>
    <w:rsid w:val="009A0FB3"/>
    <w:rsid w:val="009A309E"/>
    <w:rsid w:val="009A3F36"/>
    <w:rsid w:val="009A48D8"/>
    <w:rsid w:val="009A6C59"/>
    <w:rsid w:val="009A7878"/>
    <w:rsid w:val="009B0888"/>
    <w:rsid w:val="009B33DF"/>
    <w:rsid w:val="009B4270"/>
    <w:rsid w:val="009B44CC"/>
    <w:rsid w:val="009B5651"/>
    <w:rsid w:val="009B62E4"/>
    <w:rsid w:val="009C12B5"/>
    <w:rsid w:val="009C4319"/>
    <w:rsid w:val="009C575C"/>
    <w:rsid w:val="009D109E"/>
    <w:rsid w:val="009D1CD9"/>
    <w:rsid w:val="009D1F28"/>
    <w:rsid w:val="009D28E5"/>
    <w:rsid w:val="009D4830"/>
    <w:rsid w:val="009D797A"/>
    <w:rsid w:val="009E026A"/>
    <w:rsid w:val="009E3B56"/>
    <w:rsid w:val="009E49B5"/>
    <w:rsid w:val="009E551E"/>
    <w:rsid w:val="009E7066"/>
    <w:rsid w:val="009F1EF8"/>
    <w:rsid w:val="009F2701"/>
    <w:rsid w:val="009F4604"/>
    <w:rsid w:val="009F4B78"/>
    <w:rsid w:val="009F606B"/>
    <w:rsid w:val="009F6E66"/>
    <w:rsid w:val="009F7FCF"/>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0F43"/>
    <w:rsid w:val="00A41135"/>
    <w:rsid w:val="00A41FEB"/>
    <w:rsid w:val="00A42FBA"/>
    <w:rsid w:val="00A44DA6"/>
    <w:rsid w:val="00A50921"/>
    <w:rsid w:val="00A5160D"/>
    <w:rsid w:val="00A53434"/>
    <w:rsid w:val="00A56CA4"/>
    <w:rsid w:val="00A65F04"/>
    <w:rsid w:val="00A65F2E"/>
    <w:rsid w:val="00A71AD5"/>
    <w:rsid w:val="00A76A71"/>
    <w:rsid w:val="00A8073E"/>
    <w:rsid w:val="00A80883"/>
    <w:rsid w:val="00A81BED"/>
    <w:rsid w:val="00A82FC6"/>
    <w:rsid w:val="00A85A0D"/>
    <w:rsid w:val="00A92270"/>
    <w:rsid w:val="00AA10AE"/>
    <w:rsid w:val="00AA329F"/>
    <w:rsid w:val="00AA4109"/>
    <w:rsid w:val="00AA7B6A"/>
    <w:rsid w:val="00AB593E"/>
    <w:rsid w:val="00AB5D37"/>
    <w:rsid w:val="00AB683F"/>
    <w:rsid w:val="00AC4A2E"/>
    <w:rsid w:val="00AD1885"/>
    <w:rsid w:val="00AD1BF1"/>
    <w:rsid w:val="00AD50BA"/>
    <w:rsid w:val="00AE02E7"/>
    <w:rsid w:val="00AE0F75"/>
    <w:rsid w:val="00AE319E"/>
    <w:rsid w:val="00AE3B2C"/>
    <w:rsid w:val="00AE3B4E"/>
    <w:rsid w:val="00AE676F"/>
    <w:rsid w:val="00AE709C"/>
    <w:rsid w:val="00AE7DD9"/>
    <w:rsid w:val="00AF2B38"/>
    <w:rsid w:val="00AF37B6"/>
    <w:rsid w:val="00AF65A7"/>
    <w:rsid w:val="00B004C1"/>
    <w:rsid w:val="00B0168B"/>
    <w:rsid w:val="00B03458"/>
    <w:rsid w:val="00B04B8E"/>
    <w:rsid w:val="00B06579"/>
    <w:rsid w:val="00B1072F"/>
    <w:rsid w:val="00B15820"/>
    <w:rsid w:val="00B215D8"/>
    <w:rsid w:val="00B2218A"/>
    <w:rsid w:val="00B246ED"/>
    <w:rsid w:val="00B26DD0"/>
    <w:rsid w:val="00B338C8"/>
    <w:rsid w:val="00B341CC"/>
    <w:rsid w:val="00B34476"/>
    <w:rsid w:val="00B35321"/>
    <w:rsid w:val="00B35505"/>
    <w:rsid w:val="00B35CB3"/>
    <w:rsid w:val="00B35E0A"/>
    <w:rsid w:val="00B3783F"/>
    <w:rsid w:val="00B40124"/>
    <w:rsid w:val="00B40B86"/>
    <w:rsid w:val="00B416CF"/>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67CC6"/>
    <w:rsid w:val="00B73979"/>
    <w:rsid w:val="00B751B0"/>
    <w:rsid w:val="00B762E0"/>
    <w:rsid w:val="00B86188"/>
    <w:rsid w:val="00B86C54"/>
    <w:rsid w:val="00B874C4"/>
    <w:rsid w:val="00B925B0"/>
    <w:rsid w:val="00B970D8"/>
    <w:rsid w:val="00B97AA2"/>
    <w:rsid w:val="00B97B8E"/>
    <w:rsid w:val="00BA00A8"/>
    <w:rsid w:val="00BA0378"/>
    <w:rsid w:val="00BA23E4"/>
    <w:rsid w:val="00BA27CD"/>
    <w:rsid w:val="00BA37A4"/>
    <w:rsid w:val="00BA4FB0"/>
    <w:rsid w:val="00BA5469"/>
    <w:rsid w:val="00BA59FD"/>
    <w:rsid w:val="00BA6138"/>
    <w:rsid w:val="00BB1930"/>
    <w:rsid w:val="00BB3478"/>
    <w:rsid w:val="00BB4A8D"/>
    <w:rsid w:val="00BB60F2"/>
    <w:rsid w:val="00BC2247"/>
    <w:rsid w:val="00BC4C6D"/>
    <w:rsid w:val="00BC5212"/>
    <w:rsid w:val="00BC5572"/>
    <w:rsid w:val="00BD43C4"/>
    <w:rsid w:val="00BD497C"/>
    <w:rsid w:val="00BD57EE"/>
    <w:rsid w:val="00BE4E8A"/>
    <w:rsid w:val="00BE5E64"/>
    <w:rsid w:val="00BE6ED6"/>
    <w:rsid w:val="00BF2A79"/>
    <w:rsid w:val="00BF375F"/>
    <w:rsid w:val="00C00BEB"/>
    <w:rsid w:val="00C02372"/>
    <w:rsid w:val="00C036EB"/>
    <w:rsid w:val="00C044C3"/>
    <w:rsid w:val="00C07B1A"/>
    <w:rsid w:val="00C10453"/>
    <w:rsid w:val="00C110E3"/>
    <w:rsid w:val="00C115C4"/>
    <w:rsid w:val="00C13BCA"/>
    <w:rsid w:val="00C141B9"/>
    <w:rsid w:val="00C147BF"/>
    <w:rsid w:val="00C158CF"/>
    <w:rsid w:val="00C15AFB"/>
    <w:rsid w:val="00C16518"/>
    <w:rsid w:val="00C16C5F"/>
    <w:rsid w:val="00C1787D"/>
    <w:rsid w:val="00C20F14"/>
    <w:rsid w:val="00C22B7C"/>
    <w:rsid w:val="00C23B8E"/>
    <w:rsid w:val="00C3184D"/>
    <w:rsid w:val="00C331FD"/>
    <w:rsid w:val="00C3439A"/>
    <w:rsid w:val="00C34DCB"/>
    <w:rsid w:val="00C36219"/>
    <w:rsid w:val="00C36D0C"/>
    <w:rsid w:val="00C3708D"/>
    <w:rsid w:val="00C4138A"/>
    <w:rsid w:val="00C440B4"/>
    <w:rsid w:val="00C446F9"/>
    <w:rsid w:val="00C462CB"/>
    <w:rsid w:val="00C46F39"/>
    <w:rsid w:val="00C472EA"/>
    <w:rsid w:val="00C47AFE"/>
    <w:rsid w:val="00C5067F"/>
    <w:rsid w:val="00C515C3"/>
    <w:rsid w:val="00C51AA2"/>
    <w:rsid w:val="00C52E43"/>
    <w:rsid w:val="00C56CD4"/>
    <w:rsid w:val="00C57D1E"/>
    <w:rsid w:val="00C609C3"/>
    <w:rsid w:val="00C60E16"/>
    <w:rsid w:val="00C648F4"/>
    <w:rsid w:val="00C64DF6"/>
    <w:rsid w:val="00C65E4E"/>
    <w:rsid w:val="00C66610"/>
    <w:rsid w:val="00C66648"/>
    <w:rsid w:val="00C66FEF"/>
    <w:rsid w:val="00C67693"/>
    <w:rsid w:val="00C70CB4"/>
    <w:rsid w:val="00C70EC5"/>
    <w:rsid w:val="00C727A7"/>
    <w:rsid w:val="00C728D5"/>
    <w:rsid w:val="00C72CF7"/>
    <w:rsid w:val="00C73DB3"/>
    <w:rsid w:val="00C75119"/>
    <w:rsid w:val="00C7656F"/>
    <w:rsid w:val="00C76DD6"/>
    <w:rsid w:val="00C90B62"/>
    <w:rsid w:val="00C91C08"/>
    <w:rsid w:val="00C959F3"/>
    <w:rsid w:val="00C95E2F"/>
    <w:rsid w:val="00C97F0E"/>
    <w:rsid w:val="00CA06AC"/>
    <w:rsid w:val="00CA1D9E"/>
    <w:rsid w:val="00CA242A"/>
    <w:rsid w:val="00CA27BD"/>
    <w:rsid w:val="00CA2AB6"/>
    <w:rsid w:val="00CA36DE"/>
    <w:rsid w:val="00CA4BCC"/>
    <w:rsid w:val="00CA5313"/>
    <w:rsid w:val="00CA58A0"/>
    <w:rsid w:val="00CB01D6"/>
    <w:rsid w:val="00CB13B7"/>
    <w:rsid w:val="00CB15B7"/>
    <w:rsid w:val="00CB311E"/>
    <w:rsid w:val="00CB71E1"/>
    <w:rsid w:val="00CC0ED3"/>
    <w:rsid w:val="00CC1894"/>
    <w:rsid w:val="00CC29FB"/>
    <w:rsid w:val="00CC2EE2"/>
    <w:rsid w:val="00CC3D03"/>
    <w:rsid w:val="00CC45DB"/>
    <w:rsid w:val="00CC5651"/>
    <w:rsid w:val="00CC73FF"/>
    <w:rsid w:val="00CD141E"/>
    <w:rsid w:val="00CD45DA"/>
    <w:rsid w:val="00CE0CF8"/>
    <w:rsid w:val="00CE2EA4"/>
    <w:rsid w:val="00CE5714"/>
    <w:rsid w:val="00CE6138"/>
    <w:rsid w:val="00CE6F59"/>
    <w:rsid w:val="00CE7AAB"/>
    <w:rsid w:val="00CF2673"/>
    <w:rsid w:val="00CF2DA1"/>
    <w:rsid w:val="00CF43B1"/>
    <w:rsid w:val="00CF56ED"/>
    <w:rsid w:val="00D009FD"/>
    <w:rsid w:val="00D01BB2"/>
    <w:rsid w:val="00D0614B"/>
    <w:rsid w:val="00D06AD1"/>
    <w:rsid w:val="00D111ED"/>
    <w:rsid w:val="00D17549"/>
    <w:rsid w:val="00D24D97"/>
    <w:rsid w:val="00D275F5"/>
    <w:rsid w:val="00D36E25"/>
    <w:rsid w:val="00D376F1"/>
    <w:rsid w:val="00D43CA8"/>
    <w:rsid w:val="00D4523D"/>
    <w:rsid w:val="00D4593F"/>
    <w:rsid w:val="00D45BD4"/>
    <w:rsid w:val="00D464E9"/>
    <w:rsid w:val="00D4775B"/>
    <w:rsid w:val="00D47AB8"/>
    <w:rsid w:val="00D5377A"/>
    <w:rsid w:val="00D55D94"/>
    <w:rsid w:val="00D56566"/>
    <w:rsid w:val="00D57E9C"/>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47CF"/>
    <w:rsid w:val="00D8540E"/>
    <w:rsid w:val="00D85C4D"/>
    <w:rsid w:val="00D8730B"/>
    <w:rsid w:val="00D9072A"/>
    <w:rsid w:val="00D94852"/>
    <w:rsid w:val="00DA0396"/>
    <w:rsid w:val="00DA039C"/>
    <w:rsid w:val="00DA10B4"/>
    <w:rsid w:val="00DA6EBE"/>
    <w:rsid w:val="00DB0719"/>
    <w:rsid w:val="00DB27CC"/>
    <w:rsid w:val="00DB2A54"/>
    <w:rsid w:val="00DB4EF9"/>
    <w:rsid w:val="00DC29FE"/>
    <w:rsid w:val="00DC430C"/>
    <w:rsid w:val="00DC60FB"/>
    <w:rsid w:val="00DC7319"/>
    <w:rsid w:val="00DC742E"/>
    <w:rsid w:val="00DD38DC"/>
    <w:rsid w:val="00DD63FF"/>
    <w:rsid w:val="00DE7E3C"/>
    <w:rsid w:val="00DF0895"/>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4D1F"/>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3205"/>
    <w:rsid w:val="00E75977"/>
    <w:rsid w:val="00E76431"/>
    <w:rsid w:val="00E766E5"/>
    <w:rsid w:val="00E7686D"/>
    <w:rsid w:val="00E813BA"/>
    <w:rsid w:val="00E8590C"/>
    <w:rsid w:val="00E85F76"/>
    <w:rsid w:val="00E87CD6"/>
    <w:rsid w:val="00E93590"/>
    <w:rsid w:val="00E94506"/>
    <w:rsid w:val="00E95A7B"/>
    <w:rsid w:val="00E969E9"/>
    <w:rsid w:val="00EA0082"/>
    <w:rsid w:val="00EA01A0"/>
    <w:rsid w:val="00EA155A"/>
    <w:rsid w:val="00EA24D4"/>
    <w:rsid w:val="00EA2851"/>
    <w:rsid w:val="00EA3515"/>
    <w:rsid w:val="00EA55FE"/>
    <w:rsid w:val="00EB0B4F"/>
    <w:rsid w:val="00EB1593"/>
    <w:rsid w:val="00EB1B59"/>
    <w:rsid w:val="00EB4384"/>
    <w:rsid w:val="00EB6065"/>
    <w:rsid w:val="00EC0826"/>
    <w:rsid w:val="00EC4E99"/>
    <w:rsid w:val="00EC7E23"/>
    <w:rsid w:val="00ED3A21"/>
    <w:rsid w:val="00ED54F9"/>
    <w:rsid w:val="00ED6982"/>
    <w:rsid w:val="00EE0218"/>
    <w:rsid w:val="00EE0E54"/>
    <w:rsid w:val="00EE1033"/>
    <w:rsid w:val="00EE114E"/>
    <w:rsid w:val="00EE6106"/>
    <w:rsid w:val="00EF1254"/>
    <w:rsid w:val="00EF24BB"/>
    <w:rsid w:val="00EF2B90"/>
    <w:rsid w:val="00EF2D07"/>
    <w:rsid w:val="00EF32F6"/>
    <w:rsid w:val="00EF4114"/>
    <w:rsid w:val="00EF448F"/>
    <w:rsid w:val="00EF4634"/>
    <w:rsid w:val="00EF472E"/>
    <w:rsid w:val="00EF4A5A"/>
    <w:rsid w:val="00EF4EC4"/>
    <w:rsid w:val="00EF627A"/>
    <w:rsid w:val="00EF66A9"/>
    <w:rsid w:val="00EF74D8"/>
    <w:rsid w:val="00F01898"/>
    <w:rsid w:val="00F05EE0"/>
    <w:rsid w:val="00F06985"/>
    <w:rsid w:val="00F07DE8"/>
    <w:rsid w:val="00F11C15"/>
    <w:rsid w:val="00F12A73"/>
    <w:rsid w:val="00F1382F"/>
    <w:rsid w:val="00F156B3"/>
    <w:rsid w:val="00F15FD8"/>
    <w:rsid w:val="00F21A1A"/>
    <w:rsid w:val="00F22813"/>
    <w:rsid w:val="00F22FC8"/>
    <w:rsid w:val="00F257CB"/>
    <w:rsid w:val="00F27F36"/>
    <w:rsid w:val="00F32B8C"/>
    <w:rsid w:val="00F33383"/>
    <w:rsid w:val="00F33D5B"/>
    <w:rsid w:val="00F4030B"/>
    <w:rsid w:val="00F42F65"/>
    <w:rsid w:val="00F4447D"/>
    <w:rsid w:val="00F444F5"/>
    <w:rsid w:val="00F4602E"/>
    <w:rsid w:val="00F46BCF"/>
    <w:rsid w:val="00F515AF"/>
    <w:rsid w:val="00F53E05"/>
    <w:rsid w:val="00F5550A"/>
    <w:rsid w:val="00F55A56"/>
    <w:rsid w:val="00F56088"/>
    <w:rsid w:val="00F57C5A"/>
    <w:rsid w:val="00F6031D"/>
    <w:rsid w:val="00F61033"/>
    <w:rsid w:val="00F61303"/>
    <w:rsid w:val="00F65350"/>
    <w:rsid w:val="00F65606"/>
    <w:rsid w:val="00F66614"/>
    <w:rsid w:val="00F67764"/>
    <w:rsid w:val="00F71232"/>
    <w:rsid w:val="00F74722"/>
    <w:rsid w:val="00F75F45"/>
    <w:rsid w:val="00F82957"/>
    <w:rsid w:val="00F83BD2"/>
    <w:rsid w:val="00F857CA"/>
    <w:rsid w:val="00F858D4"/>
    <w:rsid w:val="00F92A63"/>
    <w:rsid w:val="00F92C2B"/>
    <w:rsid w:val="00F94241"/>
    <w:rsid w:val="00F945CD"/>
    <w:rsid w:val="00F95ECF"/>
    <w:rsid w:val="00F9792C"/>
    <w:rsid w:val="00F97AAA"/>
    <w:rsid w:val="00FA4AD8"/>
    <w:rsid w:val="00FB3597"/>
    <w:rsid w:val="00FB4D13"/>
    <w:rsid w:val="00FB53CA"/>
    <w:rsid w:val="00FC3750"/>
    <w:rsid w:val="00FC487C"/>
    <w:rsid w:val="00FC4CEC"/>
    <w:rsid w:val="00FC51A5"/>
    <w:rsid w:val="00FD0B36"/>
    <w:rsid w:val="00FD168A"/>
    <w:rsid w:val="00FD3643"/>
    <w:rsid w:val="00FD553C"/>
    <w:rsid w:val="00FD69A8"/>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36EB"/>
    <w:rPr>
      <w:sz w:val="24"/>
      <w:szCs w:val="24"/>
      <w:lang w:val="de-DE" w:eastAsia="ja-JP"/>
    </w:rPr>
  </w:style>
  <w:style w:type="paragraph" w:styleId="2">
    <w:name w:val="heading 2"/>
    <w:basedOn w:val="a"/>
    <w:next w:val="a"/>
    <w:link w:val="20"/>
    <w:uiPriority w:val="99"/>
    <w:qFormat/>
    <w:rsid w:val="00871F15"/>
    <w:pPr>
      <w:keepNext/>
      <w:widowControl w:val="0"/>
      <w:spacing w:line="480" w:lineRule="auto"/>
      <w:jc w:val="both"/>
      <w:outlineLvl w:val="1"/>
    </w:pPr>
    <w:rPr>
      <w:rFonts w:eastAsia="宋体"/>
      <w:b/>
      <w:bCs/>
      <w:sz w:val="22"/>
      <w:szCs w:val="22"/>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BB60F2"/>
    <w:pPr>
      <w:numPr>
        <w:numId w:val="3"/>
      </w:numPr>
      <w:spacing w:line="360" w:lineRule="auto"/>
    </w:pPr>
    <w:rPr>
      <w:b/>
      <w:bC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7E0771"/>
    <w:rPr>
      <w:lang w:val="en-US"/>
    </w:rPr>
  </w:style>
  <w:style w:type="character" w:customStyle="1" w:styleId="MaintextChar0">
    <w:name w:val="Main text Char"/>
    <w:link w:val="Maintext0"/>
    <w:rsid w:val="007E0771"/>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character" w:customStyle="1" w:styleId="20">
    <w:name w:val="标题 2 字符"/>
    <w:basedOn w:val="a0"/>
    <w:link w:val="2"/>
    <w:uiPriority w:val="99"/>
    <w:rsid w:val="00871F15"/>
    <w:rPr>
      <w:rFonts w:eastAsia="宋体"/>
      <w:b/>
      <w:bCs/>
      <w:sz w:val="22"/>
      <w:szCs w:val="22"/>
      <w:lang w:eastAsia="zh-CN"/>
    </w:rPr>
  </w:style>
  <w:style w:type="character" w:styleId="ae">
    <w:name w:val="Hyperlink"/>
    <w:basedOn w:val="a0"/>
    <w:uiPriority w:val="99"/>
    <w:semiHidden/>
    <w:unhideWhenUsed/>
    <w:rsid w:val="002155E0"/>
    <w:rPr>
      <w:color w:val="0000FF"/>
      <w:u w:val="single"/>
    </w:rPr>
  </w:style>
  <w:style w:type="paragraph" w:customStyle="1" w:styleId="OSABody">
    <w:name w:val="OSA Body"/>
    <w:basedOn w:val="a"/>
    <w:next w:val="a"/>
    <w:link w:val="OSABodyChar"/>
    <w:autoRedefine/>
    <w:qFormat/>
    <w:rsid w:val="00D01BB2"/>
    <w:pPr>
      <w:jc w:val="both"/>
    </w:pPr>
    <w:rPr>
      <w:rFonts w:ascii="Cambria" w:eastAsiaTheme="minorEastAsia" w:hAnsi="Cambria"/>
      <w:spacing w:val="-8"/>
      <w:sz w:val="19"/>
      <w:szCs w:val="16"/>
      <w:lang w:val="en-US" w:eastAsia="zh-CN"/>
    </w:rPr>
  </w:style>
  <w:style w:type="character" w:customStyle="1" w:styleId="OSABodyChar">
    <w:name w:val="OSA Body Char"/>
    <w:link w:val="OSABody"/>
    <w:rsid w:val="00D01BB2"/>
    <w:rPr>
      <w:rFonts w:ascii="Cambria" w:eastAsiaTheme="minorEastAsia" w:hAnsi="Cambria"/>
      <w:spacing w:val="-8"/>
      <w:sz w:val="19"/>
      <w:szCs w:val="16"/>
      <w:lang w:val="en-US" w:eastAsia="zh-CN"/>
    </w:rPr>
  </w:style>
  <w:style w:type="paragraph" w:styleId="af">
    <w:name w:val="List Paragraph"/>
    <w:basedOn w:val="a"/>
    <w:uiPriority w:val="34"/>
    <w:qFormat/>
    <w:rsid w:val="00BD43C4"/>
    <w:pPr>
      <w:widowControl w:val="0"/>
      <w:ind w:firstLineChars="200" w:firstLine="420"/>
      <w:jc w:val="both"/>
    </w:pPr>
    <w:rPr>
      <w:rFonts w:asciiTheme="minorHAnsi" w:eastAsiaTheme="minorEastAsia" w:hAnsiTheme="minorHAnsi" w:cstheme="minorBidi"/>
      <w:kern w:val="2"/>
      <w:sz w:val="21"/>
      <w:szCs w:val="22"/>
      <w:lang w:val="en-US" w:eastAsia="zh-CN"/>
    </w:rPr>
  </w:style>
  <w:style w:type="paragraph" w:customStyle="1" w:styleId="EndNoteBibliographyTitle">
    <w:name w:val="EndNote Bibliography Title"/>
    <w:basedOn w:val="a"/>
    <w:link w:val="EndNoteBibliographyTitle0"/>
    <w:rsid w:val="00B67CC6"/>
    <w:pPr>
      <w:jc w:val="center"/>
    </w:pPr>
    <w:rPr>
      <w:noProof/>
    </w:rPr>
  </w:style>
  <w:style w:type="character" w:customStyle="1" w:styleId="EndNoteBibliographyTitle0">
    <w:name w:val="EndNote Bibliography Title 字符"/>
    <w:basedOn w:val="a0"/>
    <w:link w:val="EndNoteBibliographyTitle"/>
    <w:rsid w:val="00B67CC6"/>
    <w:rPr>
      <w:noProof/>
      <w:sz w:val="24"/>
      <w:szCs w:val="24"/>
      <w:lang w:val="de-DE" w:eastAsia="ja-JP"/>
    </w:rPr>
  </w:style>
  <w:style w:type="paragraph" w:customStyle="1" w:styleId="EndNoteBibliography">
    <w:name w:val="EndNote Bibliography"/>
    <w:basedOn w:val="a"/>
    <w:link w:val="EndNoteBibliography0"/>
    <w:rsid w:val="00B67CC6"/>
    <w:rPr>
      <w:noProof/>
    </w:rPr>
  </w:style>
  <w:style w:type="character" w:customStyle="1" w:styleId="EndNoteBibliography0">
    <w:name w:val="EndNote Bibliography 字符"/>
    <w:basedOn w:val="a0"/>
    <w:link w:val="EndNoteBibliography"/>
    <w:rsid w:val="00B67CC6"/>
    <w:rPr>
      <w:noProof/>
      <w:sz w:val="24"/>
      <w:szCs w:val="24"/>
      <w:lang w:val="de-DE" w:eastAsia="ja-JP"/>
    </w:rPr>
  </w:style>
  <w:style w:type="paragraph" w:customStyle="1" w:styleId="1">
    <w:name w:val="正文1"/>
    <w:rsid w:val="005B0235"/>
    <w:pPr>
      <w:jc w:val="both"/>
    </w:pPr>
    <w:rPr>
      <w:rFonts w:ascii="Calibri" w:eastAsia="宋体" w:hAnsi="Calibri" w:cs="Calibri"/>
      <w:kern w:val="2"/>
      <w:sz w:val="21"/>
      <w:szCs w:val="21"/>
      <w:lang w:val="en-US" w:eastAsia="zh-CN"/>
    </w:rPr>
  </w:style>
  <w:style w:type="paragraph" w:customStyle="1" w:styleId="RSCB03MathematicsGreeketc">
    <w:name w:val="RSC B03 Mathematics/Greek etc"/>
    <w:basedOn w:val="a"/>
    <w:link w:val="RSCB03MathematicsGreeketcChar"/>
    <w:qFormat/>
    <w:rsid w:val="005B0235"/>
    <w:pPr>
      <w:tabs>
        <w:tab w:val="center" w:pos="2268"/>
        <w:tab w:val="right" w:pos="4536"/>
      </w:tabs>
      <w:spacing w:before="160" w:after="160"/>
    </w:pPr>
    <w:rPr>
      <w:rFonts w:eastAsiaTheme="minorEastAsia" w:cstheme="minorBidi"/>
      <w:sz w:val="18"/>
      <w:szCs w:val="22"/>
      <w:lang w:val="en-GB" w:eastAsia="en-US"/>
    </w:rPr>
  </w:style>
  <w:style w:type="character" w:customStyle="1" w:styleId="RSCB03MathematicsGreeketcChar">
    <w:name w:val="RSC B03 Mathematics/Greek etc Char"/>
    <w:basedOn w:val="a0"/>
    <w:link w:val="RSCB03MathematicsGreeketc"/>
    <w:rsid w:val="005B0235"/>
    <w:rPr>
      <w:rFonts w:eastAsiaTheme="minorEastAsia" w:cstheme="minorBidi"/>
      <w:sz w:val="18"/>
      <w:szCs w:val="22"/>
      <w:lang w:eastAsia="en-US"/>
    </w:rPr>
  </w:style>
  <w:style w:type="paragraph" w:styleId="af0">
    <w:name w:val="Revision"/>
    <w:hidden/>
    <w:uiPriority w:val="99"/>
    <w:semiHidden/>
    <w:rsid w:val="00CF56ED"/>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446C3525B3CB46BD92ABA5C2617223" ma:contentTypeVersion="12" ma:contentTypeDescription="Create a new document." ma:contentTypeScope="" ma:versionID="0d9e554da4927b860e5f07724327eaf6">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a7e62f4257e4f0ea935a53209ab68767"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B1CF82-D555-4485-AE5C-1DC25B8727C6}">
  <ds:schemaRefs>
    <ds:schemaRef ds:uri="http://schemas.openxmlformats.org/officeDocument/2006/bibliography"/>
  </ds:schemaRefs>
</ds:datastoreItem>
</file>

<file path=customXml/itemProps3.xml><?xml version="1.0" encoding="utf-8"?>
<ds:datastoreItem xmlns:ds="http://schemas.openxmlformats.org/officeDocument/2006/customXml" ds:itemID="{F10FA278-80C1-4919-97CF-D69885245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5.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2021-12-04T12:36:00Z</dcterms:created>
  <dcterms:modified xsi:type="dcterms:W3CDTF">2022-01-12T12:18:00Z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