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CFFDA" w14:textId="14768D98" w:rsidR="00823CAC" w:rsidRPr="00713D9D" w:rsidRDefault="00823CAC" w:rsidP="00713D9D">
      <w:pPr>
        <w:spacing w:after="120" w:line="240" w:lineRule="auto"/>
        <w:jc w:val="center"/>
        <w:rPr>
          <w:rFonts w:ascii="Calibri" w:eastAsia="Calibri" w:hAnsi="Calibri" w:cs="Calibri"/>
          <w:b/>
          <w:sz w:val="24"/>
          <w:szCs w:val="24"/>
          <w:lang w:val="en-US"/>
        </w:rPr>
      </w:pPr>
      <w:r w:rsidRPr="00892170">
        <w:rPr>
          <w:rFonts w:ascii="Calibri" w:eastAsia="Calibri" w:hAnsi="Calibri" w:cs="Times New Roman"/>
          <w:sz w:val="24"/>
          <w:szCs w:val="24"/>
          <w:lang w:val="en-US"/>
        </w:rPr>
        <w:t>Supplementary information to</w:t>
      </w:r>
      <w:r w:rsidRPr="00D3438F">
        <w:rPr>
          <w:rFonts w:ascii="Calibri" w:eastAsia="Calibri" w:hAnsi="Calibri" w:cs="Times New Roman"/>
          <w:sz w:val="24"/>
          <w:szCs w:val="24"/>
          <w:lang w:val="en-US"/>
        </w:rPr>
        <w:t xml:space="preserve">: </w:t>
      </w:r>
      <w:bookmarkStart w:id="0" w:name="_Hlk71721406"/>
      <w:r w:rsidR="00713D9D" w:rsidRPr="00713D9D">
        <w:rPr>
          <w:rFonts w:ascii="Calibri" w:eastAsia="Calibri" w:hAnsi="Calibri" w:cs="Times New Roman"/>
          <w:b/>
          <w:sz w:val="24"/>
          <w:szCs w:val="24"/>
          <w:lang w:val="en-US"/>
        </w:rPr>
        <w:t>Spectral tuning of diamond photonic crystal slabs by deposition of a thin layer with silicon vacancy centers</w:t>
      </w:r>
      <w:bookmarkEnd w:id="0"/>
    </w:p>
    <w:p w14:paraId="5A9288A5" w14:textId="77777777" w:rsidR="00892170" w:rsidRPr="00763FB8" w:rsidRDefault="00892170" w:rsidP="00892170">
      <w:pPr>
        <w:spacing w:after="0" w:line="240" w:lineRule="auto"/>
        <w:jc w:val="center"/>
        <w:rPr>
          <w:rFonts w:ascii="Calibri" w:eastAsia="MS Mincho" w:hAnsi="Calibri" w:cs="Calibri"/>
          <w:vertAlign w:val="superscript"/>
          <w:lang w:val="en-US" w:eastAsia="ja-JP"/>
        </w:rPr>
      </w:pPr>
      <w:r w:rsidRPr="00763FB8">
        <w:rPr>
          <w:rFonts w:ascii="Calibri" w:eastAsia="MS Mincho" w:hAnsi="Calibri" w:cs="Calibri"/>
          <w:lang w:val="en-US" w:eastAsia="ja-JP"/>
        </w:rPr>
        <w:t>Jan Fait*</w:t>
      </w:r>
      <w:r w:rsidRPr="00763FB8">
        <w:rPr>
          <w:rFonts w:ascii="Calibri" w:eastAsia="MS Mincho" w:hAnsi="Calibri" w:cs="Calibri"/>
          <w:vertAlign w:val="superscript"/>
          <w:lang w:val="en-US" w:eastAsia="ja-JP"/>
        </w:rPr>
        <w:t>,1</w:t>
      </w:r>
      <w:r w:rsidRPr="00763FB8">
        <w:rPr>
          <w:rFonts w:ascii="Calibri" w:eastAsia="MS Mincho" w:hAnsi="Calibri" w:cs="Calibri"/>
          <w:lang w:val="en-US" w:eastAsia="ja-JP"/>
        </w:rPr>
        <w:t xml:space="preserve">, </w:t>
      </w:r>
      <w:proofErr w:type="spellStart"/>
      <w:r w:rsidRPr="00763FB8">
        <w:rPr>
          <w:rFonts w:ascii="Calibri" w:eastAsia="MS Mincho" w:hAnsi="Calibri" w:cs="Calibri"/>
          <w:lang w:val="en-US" w:eastAsia="ja-JP"/>
        </w:rPr>
        <w:t>Marián</w:t>
      </w:r>
      <w:proofErr w:type="spellEnd"/>
      <w:r w:rsidRPr="00763FB8">
        <w:rPr>
          <w:rFonts w:ascii="Calibri" w:eastAsia="MS Mincho" w:hAnsi="Calibri" w:cs="Calibri"/>
          <w:lang w:val="en-US" w:eastAsia="ja-JP"/>
        </w:rPr>
        <w:t xml:space="preserve"> Varga</w:t>
      </w:r>
      <w:r w:rsidRPr="00763FB8">
        <w:rPr>
          <w:rFonts w:ascii="Calibri" w:eastAsia="MS Mincho" w:hAnsi="Calibri" w:cs="Calibri"/>
          <w:vertAlign w:val="superscript"/>
          <w:lang w:val="en-US" w:eastAsia="ja-JP"/>
        </w:rPr>
        <w:t>1</w:t>
      </w:r>
      <w:r>
        <w:rPr>
          <w:rFonts w:ascii="Calibri" w:eastAsia="MS Mincho" w:hAnsi="Calibri" w:cs="Calibri"/>
          <w:vertAlign w:val="superscript"/>
          <w:lang w:val="en-US" w:eastAsia="ja-JP"/>
        </w:rPr>
        <w:t>,2</w:t>
      </w:r>
      <w:r w:rsidRPr="00763FB8">
        <w:rPr>
          <w:rFonts w:ascii="Calibri" w:eastAsia="MS Mincho" w:hAnsi="Calibri" w:cs="Calibri"/>
          <w:lang w:val="en-US" w:eastAsia="ja-JP"/>
        </w:rPr>
        <w:t>, Karel Hruška</w:t>
      </w:r>
      <w:r w:rsidRPr="00763FB8">
        <w:rPr>
          <w:rFonts w:ascii="Calibri" w:eastAsia="MS Mincho" w:hAnsi="Calibri" w:cs="Calibri"/>
          <w:vertAlign w:val="superscript"/>
          <w:lang w:val="en-US" w:eastAsia="ja-JP"/>
        </w:rPr>
        <w:t>1</w:t>
      </w:r>
      <w:r w:rsidRPr="00763FB8">
        <w:rPr>
          <w:rFonts w:ascii="Calibri" w:eastAsia="MS Mincho" w:hAnsi="Calibri" w:cs="Calibri"/>
          <w:lang w:val="en-US" w:eastAsia="ja-JP"/>
        </w:rPr>
        <w:t>, Alexander Kromka</w:t>
      </w:r>
      <w:r w:rsidRPr="00763FB8">
        <w:rPr>
          <w:rFonts w:ascii="Calibri" w:eastAsia="MS Mincho" w:hAnsi="Calibri" w:cs="Calibri"/>
          <w:vertAlign w:val="superscript"/>
          <w:lang w:val="en-US" w:eastAsia="ja-JP"/>
        </w:rPr>
        <w:t>1</w:t>
      </w:r>
      <w:r w:rsidRPr="00763FB8">
        <w:rPr>
          <w:rFonts w:ascii="Calibri" w:eastAsia="MS Mincho" w:hAnsi="Calibri" w:cs="Calibri"/>
          <w:lang w:val="en-US" w:eastAsia="ja-JP"/>
        </w:rPr>
        <w:t>, Bohuslav Rezek</w:t>
      </w:r>
      <w:r>
        <w:rPr>
          <w:rFonts w:ascii="Calibri" w:eastAsia="MS Mincho" w:hAnsi="Calibri" w:cs="Calibri"/>
          <w:vertAlign w:val="superscript"/>
          <w:lang w:val="en-US" w:eastAsia="ja-JP"/>
        </w:rPr>
        <w:t>3</w:t>
      </w:r>
      <w:r w:rsidRPr="00763FB8">
        <w:rPr>
          <w:rFonts w:ascii="Calibri" w:eastAsia="MS Mincho" w:hAnsi="Calibri" w:cs="Calibri"/>
          <w:vertAlign w:val="superscript"/>
          <w:lang w:val="en-US" w:eastAsia="ja-JP"/>
        </w:rPr>
        <w:t xml:space="preserve"> </w:t>
      </w:r>
      <w:r w:rsidRPr="00763FB8">
        <w:rPr>
          <w:rFonts w:ascii="Calibri" w:eastAsia="MS Mincho" w:hAnsi="Calibri" w:cs="Calibri"/>
          <w:lang w:val="en-US" w:eastAsia="ja-JP"/>
        </w:rPr>
        <w:t xml:space="preserve">and </w:t>
      </w:r>
      <w:proofErr w:type="spellStart"/>
      <w:r w:rsidRPr="00763FB8">
        <w:rPr>
          <w:rFonts w:ascii="Calibri" w:eastAsia="MS Mincho" w:hAnsi="Calibri" w:cs="Calibri"/>
          <w:lang w:val="en-US" w:eastAsia="ja-JP"/>
        </w:rPr>
        <w:t>Lukáš</w:t>
      </w:r>
      <w:proofErr w:type="spellEnd"/>
      <w:r w:rsidRPr="00763FB8">
        <w:rPr>
          <w:rFonts w:ascii="Calibri" w:eastAsia="MS Mincho" w:hAnsi="Calibri" w:cs="Calibri"/>
          <w:lang w:val="en-US" w:eastAsia="ja-JP"/>
        </w:rPr>
        <w:t xml:space="preserve"> Ondič</w:t>
      </w:r>
      <w:r w:rsidRPr="00763FB8">
        <w:rPr>
          <w:rFonts w:ascii="Calibri" w:eastAsia="MS Mincho" w:hAnsi="Calibri" w:cs="Calibri"/>
          <w:vertAlign w:val="superscript"/>
          <w:lang w:val="en-US" w:eastAsia="ja-JP"/>
        </w:rPr>
        <w:t>1</w:t>
      </w:r>
    </w:p>
    <w:p w14:paraId="42910080" w14:textId="77777777" w:rsidR="00892170" w:rsidRPr="00763FB8" w:rsidRDefault="00892170" w:rsidP="00892170">
      <w:pPr>
        <w:spacing w:after="0" w:line="240" w:lineRule="auto"/>
        <w:jc w:val="center"/>
        <w:rPr>
          <w:rFonts w:ascii="Calibri" w:eastAsia="MS Mincho" w:hAnsi="Calibri" w:cs="Calibri"/>
          <w:lang w:val="en-US" w:eastAsia="ja-JP"/>
        </w:rPr>
      </w:pPr>
    </w:p>
    <w:p w14:paraId="4FCD112E" w14:textId="77777777" w:rsidR="00892170" w:rsidRDefault="00892170" w:rsidP="00892170">
      <w:pPr>
        <w:spacing w:after="0" w:line="240" w:lineRule="auto"/>
        <w:jc w:val="center"/>
        <w:rPr>
          <w:rFonts w:ascii="Calibri" w:eastAsia="MS Mincho" w:hAnsi="Calibri" w:cs="Calibri"/>
          <w:lang w:val="en-US" w:eastAsia="ja-JP"/>
        </w:rPr>
      </w:pPr>
      <w:r w:rsidRPr="00763FB8">
        <w:rPr>
          <w:rFonts w:ascii="Calibri" w:eastAsia="MS Mincho" w:hAnsi="Calibri" w:cs="Calibri"/>
          <w:vertAlign w:val="superscript"/>
          <w:lang w:val="en-US" w:eastAsia="ja-JP"/>
        </w:rPr>
        <w:t>1</w:t>
      </w:r>
      <w:r w:rsidRPr="00763FB8">
        <w:rPr>
          <w:rFonts w:ascii="Calibri" w:eastAsia="MS Mincho" w:hAnsi="Calibri" w:cs="Calibri"/>
          <w:lang w:val="en-US" w:eastAsia="ja-JP"/>
        </w:rPr>
        <w:t xml:space="preserve"> Institute of Physics CAS, </w:t>
      </w:r>
      <w:proofErr w:type="spellStart"/>
      <w:r w:rsidRPr="00763FB8">
        <w:rPr>
          <w:rFonts w:ascii="Calibri" w:eastAsia="MS Mincho" w:hAnsi="Calibri" w:cs="Calibri"/>
          <w:lang w:val="en-US" w:eastAsia="ja-JP"/>
        </w:rPr>
        <w:t>Cukrovarnická</w:t>
      </w:r>
      <w:proofErr w:type="spellEnd"/>
      <w:r w:rsidRPr="00763FB8">
        <w:rPr>
          <w:rFonts w:ascii="Calibri" w:eastAsia="MS Mincho" w:hAnsi="Calibri" w:cs="Calibri"/>
          <w:lang w:val="en-US" w:eastAsia="ja-JP"/>
        </w:rPr>
        <w:t xml:space="preserve"> 10, 16200 Prague, Czech Republic</w:t>
      </w:r>
    </w:p>
    <w:p w14:paraId="0918F405" w14:textId="77777777" w:rsidR="00892170" w:rsidRPr="00763FB8" w:rsidRDefault="00892170" w:rsidP="00892170">
      <w:pPr>
        <w:spacing w:after="0" w:line="240" w:lineRule="auto"/>
        <w:jc w:val="center"/>
        <w:rPr>
          <w:rFonts w:ascii="Calibri" w:eastAsia="MS Mincho" w:hAnsi="Calibri" w:cs="Calibri"/>
          <w:lang w:val="en-US" w:eastAsia="ja-JP"/>
        </w:rPr>
      </w:pPr>
      <w:r>
        <w:rPr>
          <w:rFonts w:ascii="Calibri" w:eastAsia="MS Mincho" w:hAnsi="Calibri" w:cs="Calibri"/>
          <w:vertAlign w:val="superscript"/>
          <w:lang w:val="en-US" w:eastAsia="ja-JP"/>
        </w:rPr>
        <w:t>2</w:t>
      </w:r>
      <w:r w:rsidRPr="00763FB8">
        <w:rPr>
          <w:rFonts w:ascii="Calibri" w:eastAsia="MS Mincho" w:hAnsi="Calibri" w:cs="Calibri"/>
          <w:lang w:val="en-US" w:eastAsia="ja-JP"/>
        </w:rPr>
        <w:t xml:space="preserve"> </w:t>
      </w:r>
      <w:r w:rsidRPr="000B7933">
        <w:rPr>
          <w:rFonts w:ascii="Calibri" w:eastAsia="MS Mincho" w:hAnsi="Calibri" w:cs="Calibri"/>
          <w:lang w:val="en-US" w:eastAsia="ja-JP"/>
        </w:rPr>
        <w:t xml:space="preserve">Institute of Electrical Engineering, Slovak Academy of Sciences, </w:t>
      </w:r>
      <w:proofErr w:type="spellStart"/>
      <w:r w:rsidRPr="000B7933">
        <w:rPr>
          <w:rFonts w:ascii="Calibri" w:eastAsia="MS Mincho" w:hAnsi="Calibri" w:cs="Calibri"/>
          <w:lang w:val="en-US" w:eastAsia="ja-JP"/>
        </w:rPr>
        <w:t>Dúbravská</w:t>
      </w:r>
      <w:proofErr w:type="spellEnd"/>
      <w:r w:rsidRPr="000B7933">
        <w:rPr>
          <w:rFonts w:ascii="Calibri" w:eastAsia="MS Mincho" w:hAnsi="Calibri" w:cs="Calibri"/>
          <w:lang w:val="en-US" w:eastAsia="ja-JP"/>
        </w:rPr>
        <w:t xml:space="preserve"> </w:t>
      </w:r>
      <w:proofErr w:type="spellStart"/>
      <w:r w:rsidRPr="000B7933">
        <w:rPr>
          <w:rFonts w:ascii="Calibri" w:eastAsia="MS Mincho" w:hAnsi="Calibri" w:cs="Calibri"/>
          <w:lang w:val="en-US" w:eastAsia="ja-JP"/>
        </w:rPr>
        <w:t>cesta</w:t>
      </w:r>
      <w:proofErr w:type="spellEnd"/>
      <w:r w:rsidRPr="000B7933">
        <w:rPr>
          <w:rFonts w:ascii="Calibri" w:eastAsia="MS Mincho" w:hAnsi="Calibri" w:cs="Calibri"/>
          <w:lang w:val="en-US" w:eastAsia="ja-JP"/>
        </w:rPr>
        <w:t xml:space="preserve"> 9, 841 04 Bratislava,</w:t>
      </w:r>
      <w:r>
        <w:rPr>
          <w:rFonts w:ascii="Calibri" w:eastAsia="MS Mincho" w:hAnsi="Calibri" w:cs="Calibri"/>
          <w:lang w:val="en-US" w:eastAsia="ja-JP"/>
        </w:rPr>
        <w:t xml:space="preserve"> </w:t>
      </w:r>
      <w:r w:rsidRPr="000B7933">
        <w:rPr>
          <w:rFonts w:ascii="Calibri" w:eastAsia="MS Mincho" w:hAnsi="Calibri" w:cs="Calibri"/>
          <w:lang w:val="en-US" w:eastAsia="ja-JP"/>
        </w:rPr>
        <w:t>Slovak Republic</w:t>
      </w:r>
    </w:p>
    <w:p w14:paraId="36FE76AD" w14:textId="1D562348" w:rsidR="00823CAC" w:rsidRPr="00D3438F" w:rsidRDefault="00892170" w:rsidP="00892170">
      <w:pPr>
        <w:spacing w:after="0" w:line="240" w:lineRule="auto"/>
        <w:jc w:val="center"/>
        <w:rPr>
          <w:rFonts w:ascii="Calibri" w:eastAsia="MS Mincho" w:hAnsi="Calibri" w:cs="Calibri"/>
          <w:lang w:val="en-US" w:eastAsia="ja-JP"/>
        </w:rPr>
      </w:pPr>
      <w:r>
        <w:rPr>
          <w:rFonts w:ascii="Calibri" w:eastAsia="MS Mincho" w:hAnsi="Calibri" w:cs="Calibri"/>
          <w:vertAlign w:val="superscript"/>
          <w:lang w:val="en-US" w:eastAsia="ja-JP"/>
        </w:rPr>
        <w:t>3</w:t>
      </w:r>
      <w:r w:rsidRPr="00763FB8">
        <w:rPr>
          <w:rFonts w:ascii="Calibri" w:eastAsia="MS Mincho" w:hAnsi="Calibri" w:cs="Calibri"/>
          <w:lang w:val="en-US" w:eastAsia="ja-JP"/>
        </w:rPr>
        <w:t xml:space="preserve"> Faculty of Electrical Engineering, Czech Technical University in Prague, </w:t>
      </w:r>
      <w:proofErr w:type="spellStart"/>
      <w:r w:rsidRPr="00763FB8">
        <w:rPr>
          <w:rFonts w:ascii="Calibri" w:eastAsia="MS Mincho" w:hAnsi="Calibri" w:cs="Calibri"/>
          <w:lang w:val="en-US" w:eastAsia="ja-JP"/>
        </w:rPr>
        <w:t>Technická</w:t>
      </w:r>
      <w:proofErr w:type="spellEnd"/>
      <w:r w:rsidRPr="00763FB8">
        <w:rPr>
          <w:rFonts w:ascii="Calibri" w:eastAsia="MS Mincho" w:hAnsi="Calibri" w:cs="Calibri"/>
          <w:lang w:val="en-US" w:eastAsia="ja-JP"/>
        </w:rPr>
        <w:t xml:space="preserve"> 2, 16627 Prague, Czech Republic</w:t>
      </w:r>
    </w:p>
    <w:p w14:paraId="5B1BAB47" w14:textId="77777777" w:rsidR="00823CAC" w:rsidRPr="00D3438F" w:rsidRDefault="00823CAC" w:rsidP="00823CAC">
      <w:pPr>
        <w:spacing w:after="0" w:line="240" w:lineRule="auto"/>
        <w:jc w:val="center"/>
        <w:rPr>
          <w:rFonts w:ascii="Calibri" w:eastAsia="MS Mincho" w:hAnsi="Calibri" w:cs="Calibri"/>
          <w:lang w:val="en-US" w:eastAsia="ja-JP"/>
        </w:rPr>
      </w:pPr>
      <w:r w:rsidRPr="00D3438F">
        <w:rPr>
          <w:rFonts w:ascii="Calibri" w:eastAsia="MS Mincho" w:hAnsi="Calibri" w:cs="Calibri"/>
          <w:lang w:val="en-US" w:eastAsia="ja-JP"/>
        </w:rPr>
        <w:t xml:space="preserve">*Corresponding author: e-mail </w:t>
      </w:r>
      <w:r w:rsidRPr="00D3438F">
        <w:rPr>
          <w:rFonts w:ascii="Calibri" w:eastAsia="MS Mincho" w:hAnsi="Calibri" w:cs="Calibri"/>
          <w:u w:val="single"/>
          <w:lang w:val="en-US" w:eastAsia="ja-JP"/>
        </w:rPr>
        <w:t>fait@fzu.cz</w:t>
      </w:r>
      <w:r w:rsidRPr="00D3438F">
        <w:rPr>
          <w:rFonts w:ascii="Calibri" w:eastAsia="MS Mincho" w:hAnsi="Calibri" w:cs="Calibri"/>
          <w:lang w:val="en-US" w:eastAsia="ja-JP"/>
        </w:rPr>
        <w:t>, phone +420 220 318 475</w:t>
      </w:r>
    </w:p>
    <w:p w14:paraId="4F86BA3A" w14:textId="77777777" w:rsidR="00007FEC" w:rsidRPr="00D3438F" w:rsidRDefault="00007FEC">
      <w:pPr>
        <w:rPr>
          <w:lang w:val="en-US"/>
        </w:rPr>
      </w:pPr>
    </w:p>
    <w:p w14:paraId="7EA33170" w14:textId="77777777" w:rsidR="003029ED" w:rsidRPr="00D3438F" w:rsidRDefault="003029ED" w:rsidP="003029ED">
      <w:pPr>
        <w:pStyle w:val="ListParagraph"/>
        <w:numPr>
          <w:ilvl w:val="0"/>
          <w:numId w:val="2"/>
        </w:numPr>
        <w:rPr>
          <w:b/>
          <w:lang w:val="en-US"/>
        </w:rPr>
      </w:pPr>
      <w:r w:rsidRPr="00D3438F">
        <w:rPr>
          <w:b/>
          <w:lang w:val="en-US"/>
        </w:rPr>
        <w:t>Refractive index of diamond layers</w:t>
      </w:r>
    </w:p>
    <w:p w14:paraId="55AC84E1" w14:textId="743A3F12" w:rsidR="003029ED" w:rsidRPr="00D3438F" w:rsidRDefault="00F27C97" w:rsidP="003029ED">
      <w:pPr>
        <w:rPr>
          <w:lang w:val="en-US"/>
        </w:rPr>
      </w:pPr>
      <w:r w:rsidRPr="00D3438F">
        <w:rPr>
          <w:lang w:val="en-US"/>
        </w:rPr>
        <w:t>Refractive index data</w:t>
      </w:r>
      <w:r w:rsidR="00C30701" w:rsidRPr="00D3438F">
        <w:rPr>
          <w:lang w:val="en-US"/>
        </w:rPr>
        <w:t xml:space="preserve"> used for the simulation shown in Fig. 2 in the main text are shown in Fig. S1. Specifically</w:t>
      </w:r>
      <w:r w:rsidR="003029ED" w:rsidRPr="00D3438F">
        <w:rPr>
          <w:lang w:val="en-US"/>
        </w:rPr>
        <w:t>,</w:t>
      </w:r>
      <w:r w:rsidR="00C30701" w:rsidRPr="00D3438F">
        <w:rPr>
          <w:lang w:val="en-US"/>
        </w:rPr>
        <w:t xml:space="preserve"> we used the measured refractive index for the layer deposited by </w:t>
      </w:r>
      <w:r w:rsidR="003029ED" w:rsidRPr="00D3438F">
        <w:rPr>
          <w:rFonts w:cstheme="minorHAnsi"/>
          <w:bCs/>
          <w:color w:val="000000"/>
          <w:lang w:val="en-US" w:eastAsia="de-AT"/>
        </w:rPr>
        <w:t xml:space="preserve">linear antenna </w:t>
      </w:r>
      <w:r w:rsidR="00DF260E" w:rsidRPr="00D3438F">
        <w:rPr>
          <w:rFonts w:cstheme="minorHAnsi"/>
          <w:bCs/>
          <w:color w:val="000000"/>
          <w:lang w:val="en-US" w:eastAsia="de-AT"/>
        </w:rPr>
        <w:t>microwave (</w:t>
      </w:r>
      <w:r w:rsidR="003029ED" w:rsidRPr="00D3438F">
        <w:rPr>
          <w:rFonts w:cstheme="minorHAnsi"/>
          <w:bCs/>
          <w:color w:val="000000"/>
          <w:lang w:val="en-US" w:eastAsia="de-AT"/>
        </w:rPr>
        <w:t>MW</w:t>
      </w:r>
      <w:r w:rsidR="00DF260E" w:rsidRPr="00D3438F">
        <w:rPr>
          <w:rFonts w:cstheme="minorHAnsi"/>
          <w:bCs/>
          <w:color w:val="000000"/>
          <w:lang w:val="en-US" w:eastAsia="de-AT"/>
        </w:rPr>
        <w:t>)</w:t>
      </w:r>
      <w:r w:rsidR="003029ED" w:rsidRPr="00D3438F">
        <w:rPr>
          <w:rFonts w:cstheme="minorHAnsi"/>
          <w:bCs/>
          <w:color w:val="000000"/>
          <w:lang w:val="en-US" w:eastAsia="de-AT"/>
        </w:rPr>
        <w:t xml:space="preserve"> plasma system (black curve), and constant refractive index of 2.41 (black dashed curve). The refractive index of the overgrown layer, which was deposited by focused MW plasma reactor, is slightly higher (red curve) </w:t>
      </w:r>
      <w:r w:rsidR="008858EE">
        <w:rPr>
          <w:rFonts w:cstheme="minorHAnsi"/>
          <w:bCs/>
          <w:color w:val="000000"/>
          <w:lang w:val="en-US" w:eastAsia="de-AT"/>
        </w:rPr>
        <w:t xml:space="preserve">than in linear antenna system </w:t>
      </w:r>
      <w:r w:rsidR="003029ED" w:rsidRPr="00D3438F">
        <w:rPr>
          <w:rFonts w:cstheme="minorHAnsi"/>
          <w:bCs/>
          <w:color w:val="000000"/>
          <w:lang w:val="en-US" w:eastAsia="de-AT"/>
        </w:rPr>
        <w:t xml:space="preserve">as we </w:t>
      </w:r>
      <w:r w:rsidR="00CE3A4E">
        <w:rPr>
          <w:rFonts w:cstheme="minorHAnsi"/>
          <w:bCs/>
          <w:color w:val="000000"/>
          <w:lang w:val="en-US" w:eastAsia="de-AT"/>
        </w:rPr>
        <w:t>measur</w:t>
      </w:r>
      <w:r w:rsidR="003029ED" w:rsidRPr="00D3438F">
        <w:rPr>
          <w:rFonts w:cstheme="minorHAnsi"/>
          <w:bCs/>
          <w:color w:val="000000"/>
          <w:lang w:val="en-US" w:eastAsia="de-AT"/>
        </w:rPr>
        <w:t xml:space="preserve">ed on a reference sample. Note that the refractive index depends not only on the deposition system but also on the parameters of the deposition. The blue curve in Fig. S1 is the refractive index of monocrystalline diamond as measured in </w:t>
      </w:r>
      <w:r w:rsidR="003029ED" w:rsidRPr="00D3438F">
        <w:rPr>
          <w:lang w:val="en-US"/>
        </w:rPr>
        <w:fldChar w:fldCharType="begin"/>
      </w:r>
      <w:r w:rsidR="003029ED" w:rsidRPr="00D3438F">
        <w:rPr>
          <w:lang w:val="en-US"/>
        </w:rPr>
        <w:instrText xml:space="preserve"> ADDIN ZOTERO_ITEM CSL_CITATION {"citationID":"BlCSRxg7","properties":{"formattedCitation":"[1]","plainCitation":"[1]","noteIndex":0},"citationItems":[{"id":1874,"uris":["http://zotero.org/users/3408848/items/J6M4KRAH"],"uri":["http://zotero.org/users/3408848/items/J6M4KRAH"],"itemData":{"id":1874,"type":"article-journal","abstract":"The use of the Kramers-Kronig relation in the analysis of reflectance data is discussed briefly. The recent results of Walker and Osantowski for diamond are reanalyzed and found to be in some error. New data are presented which appear more consistent with the expected optical behavior of diamond.","container-title":"Physical Review","DOI":"10.1103/PhysRev.136.A1445","issue":"5A","journalAbbreviation":"Phys. Rev.","note":"publisher: American Physical Society","page":"A1445-A1448","source":"APS","title":"Kramers-Kronig Analysis of Reflectance Data for Diamond","volume":"136","author":[{"family":"Phillip","given":"H. R."},{"family":"Taft","given":"E. A."}],"issued":{"date-parts":[["1964",11,30]]}}}],"schema":"https://github.com/citation-style-language/schema/raw/master/csl-citation.json"} </w:instrText>
      </w:r>
      <w:r w:rsidR="003029ED" w:rsidRPr="00D3438F">
        <w:rPr>
          <w:lang w:val="en-US"/>
        </w:rPr>
        <w:fldChar w:fldCharType="separate"/>
      </w:r>
      <w:r w:rsidR="008858EE" w:rsidRPr="008858EE">
        <w:rPr>
          <w:rFonts w:ascii="Calibri" w:hAnsi="Calibri" w:cs="Calibri"/>
        </w:rPr>
        <w:t>[1]</w:t>
      </w:r>
      <w:r w:rsidR="003029ED" w:rsidRPr="00D3438F">
        <w:rPr>
          <w:lang w:val="en-US"/>
        </w:rPr>
        <w:fldChar w:fldCharType="end"/>
      </w:r>
      <w:r w:rsidR="003029ED" w:rsidRPr="00D3438F">
        <w:rPr>
          <w:lang w:val="en-US"/>
        </w:rPr>
        <w:t>, and that is close to 2.41 value in the red part of spectra.</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C30701" w:rsidRPr="00D3438F" w14:paraId="25E72B07" w14:textId="77777777" w:rsidTr="00C30701">
        <w:tc>
          <w:tcPr>
            <w:tcW w:w="9072" w:type="dxa"/>
            <w:tcBorders>
              <w:top w:val="nil"/>
              <w:left w:val="nil"/>
              <w:right w:val="nil"/>
            </w:tcBorders>
          </w:tcPr>
          <w:p w14:paraId="56729ADB" w14:textId="77777777" w:rsidR="00C30701" w:rsidRPr="00D3438F" w:rsidRDefault="00C30701" w:rsidP="00C30701">
            <w:pPr>
              <w:ind w:firstLine="0"/>
              <w:jc w:val="center"/>
              <w:rPr>
                <w:rFonts w:ascii="Arial" w:hAnsi="Arial" w:cs="Arial"/>
                <w:b/>
                <w:bCs/>
                <w:sz w:val="20"/>
                <w:szCs w:val="20"/>
                <w:lang w:val="en-US"/>
              </w:rPr>
            </w:pPr>
            <w:r w:rsidRPr="00D3438F">
              <w:rPr>
                <w:rFonts w:ascii="Arial" w:hAnsi="Arial" w:cs="Arial"/>
                <w:b/>
                <w:bCs/>
                <w:noProof/>
                <w:sz w:val="20"/>
                <w:szCs w:val="20"/>
                <w:lang w:val="en-US"/>
              </w:rPr>
              <w:drawing>
                <wp:inline distT="0" distB="0" distL="0" distR="0" wp14:anchorId="7956AB74" wp14:editId="0CFC7AC1">
                  <wp:extent cx="2883408" cy="21092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refrind.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3408" cy="2109216"/>
                          </a:xfrm>
                          <a:prstGeom prst="rect">
                            <a:avLst/>
                          </a:prstGeom>
                        </pic:spPr>
                      </pic:pic>
                    </a:graphicData>
                  </a:graphic>
                </wp:inline>
              </w:drawing>
            </w:r>
          </w:p>
          <w:p w14:paraId="05ABABB6" w14:textId="6269E018" w:rsidR="00C30701" w:rsidRPr="00D3438F" w:rsidRDefault="00C30701" w:rsidP="00C30701">
            <w:pPr>
              <w:pStyle w:val="Popis"/>
              <w:rPr>
                <w:szCs w:val="20"/>
              </w:rPr>
            </w:pPr>
            <w:r w:rsidRPr="00D3438F">
              <w:rPr>
                <w:b/>
                <w:bCs/>
              </w:rPr>
              <w:t>Figure S1</w:t>
            </w:r>
            <w:r w:rsidRPr="00D3438F">
              <w:t xml:space="preserve">: </w:t>
            </w:r>
            <w:r w:rsidR="003029ED" w:rsidRPr="00D3438F">
              <w:t>Re</w:t>
            </w:r>
            <w:r w:rsidR="00DF260E" w:rsidRPr="00D3438F">
              <w:t xml:space="preserve">fractive index of diamond: black solid – refractive index of the layer deposited by </w:t>
            </w:r>
            <w:r w:rsidR="00DF260E" w:rsidRPr="00D3438F">
              <w:rPr>
                <w:rFonts w:cstheme="minorHAnsi"/>
                <w:bCs/>
                <w:color w:val="000000"/>
                <w:lang w:eastAsia="de-AT"/>
              </w:rPr>
              <w:t>linear antenna MW plasma system; red –</w:t>
            </w:r>
            <w:r w:rsidR="00DF260E" w:rsidRPr="00D3438F">
              <w:t xml:space="preserve"> refractive index of the layer deposited by</w:t>
            </w:r>
            <w:r w:rsidR="00DF260E" w:rsidRPr="00D3438F">
              <w:rPr>
                <w:rFonts w:cstheme="minorHAnsi"/>
                <w:bCs/>
                <w:color w:val="000000"/>
                <w:lang w:eastAsia="de-AT"/>
              </w:rPr>
              <w:t xml:space="preserve"> focused MW plasma </w:t>
            </w:r>
            <w:r w:rsidR="008858EE">
              <w:rPr>
                <w:rFonts w:cstheme="minorHAnsi"/>
                <w:bCs/>
                <w:color w:val="000000"/>
                <w:lang w:eastAsia="de-AT"/>
              </w:rPr>
              <w:t>system</w:t>
            </w:r>
            <w:r w:rsidR="00DF260E" w:rsidRPr="00D3438F">
              <w:rPr>
                <w:rFonts w:cstheme="minorHAnsi"/>
                <w:bCs/>
                <w:color w:val="000000"/>
                <w:lang w:eastAsia="de-AT"/>
              </w:rPr>
              <w:t xml:space="preserve">; blue – refractive index of monocrystalline diamond as measured in </w:t>
            </w:r>
            <w:r w:rsidR="00DF260E" w:rsidRPr="00D3438F">
              <w:fldChar w:fldCharType="begin"/>
            </w:r>
            <w:r w:rsidR="00CE3A4E">
              <w:instrText xml:space="preserve"> ADDIN ZOTERO_ITEM CSL_CITATION {"citationID":"Ecj7MgzW","properties":{"formattedCitation":"[1]","plainCitation":"[1]","noteIndex":0},"citationItems":[{"id":1874,"uris":["http://zotero.org/users/3408848/items/J6M4KRAH"],"uri":["http://zotero.org/users/3408848/items/J6M4KRAH"],"itemData":{"id":1874,"type":"article-journal","abstract":"The use of the Kramers-Kronig relation in the analysis of reflectance data is discussed briefly. The recent results of Walker and Osantowski for diamond are reanalyzed and found to be in some error. New data are presented which appear more consistent with the expected optical behavior of diamond.","container-title":"Physical Review","DOI":"10.1103/PhysRev.136.A1445","issue":"5A","journalAbbreviation":"Phys. Rev.","note":"publisher: American Physical Society","page":"A1445-A1448","source":"APS","title":"Kramers-Kronig Analysis of Reflectance Data for Diamond","volume":"136","author":[{"family":"Phillip","given":"H. R."},{"family":"Taft","given":"E. A."}],"issued":{"date-parts":[["1964",11,30]]}}}],"schema":"https://github.com/citation-style-language/schema/raw/master/csl-citation.json"} </w:instrText>
            </w:r>
            <w:r w:rsidR="00DF260E" w:rsidRPr="00D3438F">
              <w:fldChar w:fldCharType="separate"/>
            </w:r>
            <w:r w:rsidR="008858EE" w:rsidRPr="008858EE">
              <w:rPr>
                <w:rFonts w:ascii="Calibri" w:hAnsi="Calibri" w:cs="Calibri"/>
              </w:rPr>
              <w:t>[1]</w:t>
            </w:r>
            <w:r w:rsidR="00DF260E" w:rsidRPr="00D3438F">
              <w:fldChar w:fldCharType="end"/>
            </w:r>
            <w:r w:rsidR="00DF260E" w:rsidRPr="00D3438F">
              <w:t>; black dashed – constant refractive index of 2.41 that was used for one of the simulations in Fig. 2 in the m</w:t>
            </w:r>
            <w:r w:rsidR="00CE3A4E">
              <w:t>a</w:t>
            </w:r>
            <w:r w:rsidR="00DF260E" w:rsidRPr="00D3438F">
              <w:t>in text.</w:t>
            </w:r>
          </w:p>
        </w:tc>
      </w:tr>
    </w:tbl>
    <w:p w14:paraId="306A7114" w14:textId="002ECA6D" w:rsidR="00C30701" w:rsidRDefault="00C30701">
      <w:pPr>
        <w:rPr>
          <w:lang w:val="en-US"/>
        </w:rPr>
      </w:pPr>
    </w:p>
    <w:p w14:paraId="1E18689A" w14:textId="2971ADD8" w:rsidR="005C7156" w:rsidRDefault="005C7156">
      <w:pPr>
        <w:rPr>
          <w:lang w:val="en-US"/>
        </w:rPr>
      </w:pPr>
    </w:p>
    <w:p w14:paraId="09270DCA" w14:textId="3A48BB73" w:rsidR="005C7156" w:rsidRDefault="005C7156">
      <w:pPr>
        <w:rPr>
          <w:lang w:val="en-US"/>
        </w:rPr>
      </w:pPr>
    </w:p>
    <w:p w14:paraId="134C060B" w14:textId="6690909C" w:rsidR="005C7156" w:rsidRDefault="005C7156">
      <w:pPr>
        <w:rPr>
          <w:lang w:val="en-US"/>
        </w:rPr>
      </w:pPr>
    </w:p>
    <w:p w14:paraId="5308AEDA" w14:textId="0F28B68B" w:rsidR="005C7156" w:rsidRDefault="005C7156">
      <w:pPr>
        <w:rPr>
          <w:lang w:val="en-US"/>
        </w:rPr>
      </w:pPr>
    </w:p>
    <w:p w14:paraId="27EFA1B4" w14:textId="2F1B3A80" w:rsidR="005C7156" w:rsidRDefault="005C7156">
      <w:pPr>
        <w:rPr>
          <w:lang w:val="en-US"/>
        </w:rPr>
      </w:pPr>
    </w:p>
    <w:p w14:paraId="42A01E9C" w14:textId="77777777" w:rsidR="005C7156" w:rsidRDefault="005C7156">
      <w:pPr>
        <w:rPr>
          <w:lang w:val="en-US"/>
        </w:rPr>
      </w:pPr>
    </w:p>
    <w:p w14:paraId="7FAA6E65" w14:textId="5DBEB616" w:rsidR="00E83E0A" w:rsidRPr="00E83E0A" w:rsidRDefault="00156A65" w:rsidP="00E83E0A">
      <w:pPr>
        <w:pStyle w:val="ListParagraph"/>
        <w:numPr>
          <w:ilvl w:val="0"/>
          <w:numId w:val="2"/>
        </w:numPr>
        <w:rPr>
          <w:b/>
          <w:lang w:val="en-US"/>
        </w:rPr>
      </w:pPr>
      <w:r>
        <w:rPr>
          <w:b/>
          <w:lang w:val="en-US"/>
        </w:rPr>
        <w:lastRenderedPageBreak/>
        <w:t>Original</w:t>
      </w:r>
      <w:r w:rsidR="00E83E0A" w:rsidRPr="00E83E0A">
        <w:rPr>
          <w:b/>
          <w:lang w:val="en-US"/>
        </w:rPr>
        <w:t xml:space="preserve"> layer photoluminescence</w:t>
      </w:r>
    </w:p>
    <w:p w14:paraId="53E70CE0" w14:textId="21663ABA" w:rsidR="00E83E0A" w:rsidRPr="00156A65" w:rsidRDefault="00E83E0A" w:rsidP="00156A65">
      <w:pPr>
        <w:rPr>
          <w:lang w:val="en-US" w:eastAsia="de-AT"/>
        </w:rPr>
      </w:pPr>
      <w:r w:rsidRPr="00156A65">
        <w:rPr>
          <w:lang w:val="en-US" w:eastAsia="de-AT"/>
        </w:rPr>
        <w:t xml:space="preserve">The </w:t>
      </w:r>
      <w:r w:rsidR="00156A65">
        <w:rPr>
          <w:lang w:val="en-US" w:eastAsia="de-AT"/>
        </w:rPr>
        <w:t>PL</w:t>
      </w:r>
      <w:r w:rsidRPr="00156A65">
        <w:rPr>
          <w:lang w:val="en-US" w:eastAsia="de-AT"/>
        </w:rPr>
        <w:t xml:space="preserve"> of the original layer deposited by </w:t>
      </w:r>
      <w:r w:rsidR="009777A7" w:rsidRPr="00156A65">
        <w:rPr>
          <w:lang w:val="en-US" w:eastAsia="de-AT"/>
        </w:rPr>
        <w:t>linear antenna MW plasma system (see</w:t>
      </w:r>
      <w:r w:rsidR="00156A65" w:rsidRPr="00156A65">
        <w:rPr>
          <w:lang w:val="en-US" w:eastAsia="de-AT"/>
        </w:rPr>
        <w:t xml:space="preserve"> </w:t>
      </w:r>
      <w:r w:rsidR="009777A7" w:rsidRPr="00156A65">
        <w:rPr>
          <w:lang w:val="en-US" w:eastAsia="de-AT"/>
        </w:rPr>
        <w:t>Materials and methods section in the main text for details) is shown in Fig. S2.</w:t>
      </w:r>
      <w:r w:rsidR="00156A65">
        <w:rPr>
          <w:lang w:val="en-US" w:eastAsia="de-AT"/>
        </w:rPr>
        <w:t xml:space="preserve"> The spectr</w:t>
      </w:r>
      <w:r w:rsidR="009A0A55">
        <w:rPr>
          <w:lang w:val="en-US" w:eastAsia="de-AT"/>
        </w:rPr>
        <w:t>um</w:t>
      </w:r>
      <w:r w:rsidR="00156A65">
        <w:rPr>
          <w:lang w:val="en-US" w:eastAsia="de-AT"/>
        </w:rPr>
        <w:t xml:space="preserve"> w</w:t>
      </w:r>
      <w:r w:rsidR="009A0A55">
        <w:rPr>
          <w:lang w:val="en-US" w:eastAsia="de-AT"/>
        </w:rPr>
        <w:t>as</w:t>
      </w:r>
      <w:r w:rsidR="00156A65">
        <w:rPr>
          <w:lang w:val="en-US" w:eastAsia="de-AT"/>
        </w:rPr>
        <w:t xml:space="preserve"> measured with 100x objective (NA = 0.9) in order to </w:t>
      </w:r>
      <w:r w:rsidR="00747363">
        <w:rPr>
          <w:lang w:val="en-US" w:eastAsia="de-AT"/>
        </w:rPr>
        <w:t>collect</w:t>
      </w:r>
      <w:r w:rsidR="00156A65">
        <w:rPr>
          <w:lang w:val="en-US" w:eastAsia="de-AT"/>
        </w:rPr>
        <w:t xml:space="preserve"> </w:t>
      </w:r>
      <w:r w:rsidR="00747363">
        <w:rPr>
          <w:lang w:val="en-US" w:eastAsia="de-AT"/>
        </w:rPr>
        <w:t>the maximal</w:t>
      </w:r>
      <w:r w:rsidR="00156A65">
        <w:rPr>
          <w:lang w:val="en-US" w:eastAsia="de-AT"/>
        </w:rPr>
        <w:t xml:space="preserve"> signal. The SiV peak is </w:t>
      </w:r>
      <w:r w:rsidR="00747363">
        <w:rPr>
          <w:lang w:val="en-US" w:eastAsia="de-AT"/>
        </w:rPr>
        <w:t>ab</w:t>
      </w:r>
      <w:r w:rsidR="00156A65">
        <w:rPr>
          <w:lang w:val="en-US" w:eastAsia="de-AT"/>
        </w:rPr>
        <w:t>sent in the spectrum of the original layer</w:t>
      </w:r>
      <w:r w:rsidR="00747363">
        <w:rPr>
          <w:lang w:val="en-US" w:eastAsia="de-AT"/>
        </w:rPr>
        <w:t xml:space="preserve">, which is enabled by the use of deposition system with plasma </w:t>
      </w:r>
      <w:r w:rsidR="00747363" w:rsidRPr="004B7A49">
        <w:rPr>
          <w:lang w:val="en-US" w:eastAsia="de-AT"/>
        </w:rPr>
        <w:t>located further away from the sample</w:t>
      </w:r>
      <w:r w:rsidR="00156A65">
        <w:rPr>
          <w:lang w:val="en-US" w:eastAsia="de-AT"/>
        </w:rPr>
        <w:t xml:space="preserve">. The broad PL band originates from </w:t>
      </w:r>
      <w:r w:rsidR="00156A65" w:rsidRPr="005D140F">
        <w:rPr>
          <w:lang w:val="en-US"/>
        </w:rPr>
        <w:t>intrinsic defects of the nanocrystalline diamond</w:t>
      </w:r>
      <w:r w:rsidR="00747363">
        <w:rPr>
          <w:lang w:val="en-US"/>
        </w:rPr>
        <w:t xml:space="preserve"> layer.</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156A65" w:rsidRPr="00D3438F" w14:paraId="154DBC69" w14:textId="77777777" w:rsidTr="00D63EDB">
        <w:tc>
          <w:tcPr>
            <w:tcW w:w="9072" w:type="dxa"/>
            <w:tcBorders>
              <w:top w:val="nil"/>
              <w:left w:val="nil"/>
              <w:right w:val="nil"/>
            </w:tcBorders>
          </w:tcPr>
          <w:p w14:paraId="62AFD6D4" w14:textId="5329C7A1" w:rsidR="00156A65" w:rsidRPr="00D3438F" w:rsidRDefault="00CF1C29" w:rsidP="00D63EDB">
            <w:pPr>
              <w:ind w:firstLine="0"/>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04DC4807" wp14:editId="5B2BFD8F">
                  <wp:extent cx="2700528" cy="2014728"/>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528" cy="2014728"/>
                          </a:xfrm>
                          <a:prstGeom prst="rect">
                            <a:avLst/>
                          </a:prstGeom>
                        </pic:spPr>
                      </pic:pic>
                    </a:graphicData>
                  </a:graphic>
                </wp:inline>
              </w:drawing>
            </w:r>
          </w:p>
          <w:p w14:paraId="0ED17A4E" w14:textId="35A722D2" w:rsidR="00156A65" w:rsidRPr="00D3438F" w:rsidRDefault="00156A65" w:rsidP="00D63EDB">
            <w:pPr>
              <w:pStyle w:val="Popis"/>
              <w:rPr>
                <w:szCs w:val="20"/>
              </w:rPr>
            </w:pPr>
            <w:r w:rsidRPr="00D3438F">
              <w:rPr>
                <w:b/>
                <w:bCs/>
              </w:rPr>
              <w:t>Figure S</w:t>
            </w:r>
            <w:r>
              <w:rPr>
                <w:b/>
                <w:bCs/>
              </w:rPr>
              <w:t>2</w:t>
            </w:r>
            <w:r w:rsidRPr="00D3438F">
              <w:t xml:space="preserve">: </w:t>
            </w:r>
            <w:r w:rsidRPr="005D140F">
              <w:t xml:space="preserve"> PL spectra measured on the original structu</w:t>
            </w:r>
            <w:r w:rsidR="00CF1C29">
              <w:t>re. Arrow denotes the position of SiV ZPL that is absent in the spectra.</w:t>
            </w:r>
          </w:p>
        </w:tc>
      </w:tr>
    </w:tbl>
    <w:p w14:paraId="3C2E0AC6" w14:textId="13C325E9" w:rsidR="00E83E0A" w:rsidRDefault="00E83E0A" w:rsidP="00E83E0A">
      <w:pPr>
        <w:ind w:left="284" w:firstLine="0"/>
        <w:rPr>
          <w:lang w:val="en-US"/>
        </w:rPr>
      </w:pPr>
    </w:p>
    <w:p w14:paraId="409209F3" w14:textId="3D9492DC" w:rsidR="005C7156" w:rsidRDefault="005C7156" w:rsidP="00E83E0A">
      <w:pPr>
        <w:ind w:left="284" w:firstLine="0"/>
        <w:rPr>
          <w:lang w:val="en-US"/>
        </w:rPr>
      </w:pPr>
    </w:p>
    <w:p w14:paraId="07D2C4C3" w14:textId="3BD32137" w:rsidR="005C7156" w:rsidRDefault="005C7156" w:rsidP="00E83E0A">
      <w:pPr>
        <w:ind w:left="284" w:firstLine="0"/>
        <w:rPr>
          <w:lang w:val="en-US"/>
        </w:rPr>
      </w:pPr>
    </w:p>
    <w:p w14:paraId="2DAE138C" w14:textId="0A30B02A" w:rsidR="005C7156" w:rsidRDefault="005C7156" w:rsidP="00E83E0A">
      <w:pPr>
        <w:ind w:left="284" w:firstLine="0"/>
        <w:rPr>
          <w:lang w:val="en-US"/>
        </w:rPr>
      </w:pPr>
    </w:p>
    <w:p w14:paraId="08E2E79E" w14:textId="03DC6042" w:rsidR="005C7156" w:rsidRDefault="005C7156" w:rsidP="00E83E0A">
      <w:pPr>
        <w:ind w:left="284" w:firstLine="0"/>
        <w:rPr>
          <w:lang w:val="en-US"/>
        </w:rPr>
      </w:pPr>
    </w:p>
    <w:p w14:paraId="38657EDF" w14:textId="28C10203" w:rsidR="005C7156" w:rsidRDefault="005C7156" w:rsidP="00E83E0A">
      <w:pPr>
        <w:ind w:left="284" w:firstLine="0"/>
        <w:rPr>
          <w:lang w:val="en-US"/>
        </w:rPr>
      </w:pPr>
    </w:p>
    <w:p w14:paraId="0F76EE22" w14:textId="609A34F0" w:rsidR="005C7156" w:rsidRDefault="005C7156" w:rsidP="00E83E0A">
      <w:pPr>
        <w:ind w:left="284" w:firstLine="0"/>
        <w:rPr>
          <w:lang w:val="en-US"/>
        </w:rPr>
      </w:pPr>
    </w:p>
    <w:p w14:paraId="16EDC9EF" w14:textId="3B689B22" w:rsidR="005C7156" w:rsidRDefault="005C7156" w:rsidP="00E83E0A">
      <w:pPr>
        <w:ind w:left="284" w:firstLine="0"/>
        <w:rPr>
          <w:lang w:val="en-US"/>
        </w:rPr>
      </w:pPr>
    </w:p>
    <w:p w14:paraId="371441DE" w14:textId="1F2FA550" w:rsidR="005C7156" w:rsidRDefault="005C7156" w:rsidP="00E83E0A">
      <w:pPr>
        <w:ind w:left="284" w:firstLine="0"/>
        <w:rPr>
          <w:lang w:val="en-US"/>
        </w:rPr>
      </w:pPr>
    </w:p>
    <w:p w14:paraId="01E5A25E" w14:textId="61929B61" w:rsidR="005C7156" w:rsidRDefault="005C7156" w:rsidP="00E83E0A">
      <w:pPr>
        <w:ind w:left="284" w:firstLine="0"/>
        <w:rPr>
          <w:lang w:val="en-US"/>
        </w:rPr>
      </w:pPr>
    </w:p>
    <w:p w14:paraId="505FD106" w14:textId="06E2BC88" w:rsidR="005C7156" w:rsidRDefault="005C7156" w:rsidP="00E83E0A">
      <w:pPr>
        <w:ind w:left="284" w:firstLine="0"/>
        <w:rPr>
          <w:lang w:val="en-US"/>
        </w:rPr>
      </w:pPr>
    </w:p>
    <w:p w14:paraId="43676FB8" w14:textId="7235B62A" w:rsidR="005C7156" w:rsidRDefault="005C7156" w:rsidP="00E83E0A">
      <w:pPr>
        <w:ind w:left="284" w:firstLine="0"/>
        <w:rPr>
          <w:lang w:val="en-US"/>
        </w:rPr>
      </w:pPr>
    </w:p>
    <w:p w14:paraId="119A5EAC" w14:textId="6A2EB83C" w:rsidR="005C7156" w:rsidRDefault="005C7156" w:rsidP="00E83E0A">
      <w:pPr>
        <w:ind w:left="284" w:firstLine="0"/>
        <w:rPr>
          <w:lang w:val="en-US"/>
        </w:rPr>
      </w:pPr>
    </w:p>
    <w:p w14:paraId="1D5EC824" w14:textId="5830C799" w:rsidR="005C7156" w:rsidRDefault="005C7156" w:rsidP="00E83E0A">
      <w:pPr>
        <w:ind w:left="284" w:firstLine="0"/>
        <w:rPr>
          <w:lang w:val="en-US"/>
        </w:rPr>
      </w:pPr>
    </w:p>
    <w:p w14:paraId="62660D19" w14:textId="00117418" w:rsidR="005C7156" w:rsidRDefault="005C7156" w:rsidP="00E83E0A">
      <w:pPr>
        <w:ind w:left="284" w:firstLine="0"/>
        <w:rPr>
          <w:lang w:val="en-US"/>
        </w:rPr>
      </w:pPr>
    </w:p>
    <w:p w14:paraId="389F616F" w14:textId="5569B950" w:rsidR="005C7156" w:rsidRDefault="005C7156" w:rsidP="00E83E0A">
      <w:pPr>
        <w:ind w:left="284" w:firstLine="0"/>
        <w:rPr>
          <w:lang w:val="en-US"/>
        </w:rPr>
      </w:pPr>
    </w:p>
    <w:p w14:paraId="53F71F4F" w14:textId="77777777" w:rsidR="005C7156" w:rsidRPr="00E83E0A" w:rsidRDefault="005C7156" w:rsidP="00E83E0A">
      <w:pPr>
        <w:ind w:left="284" w:firstLine="0"/>
        <w:rPr>
          <w:lang w:val="en-US"/>
        </w:rPr>
      </w:pPr>
    </w:p>
    <w:p w14:paraId="7E80D551" w14:textId="77777777" w:rsidR="002F18AD" w:rsidRPr="00D3438F" w:rsidRDefault="002F18AD" w:rsidP="002F18AD">
      <w:pPr>
        <w:pStyle w:val="ListParagraph"/>
        <w:numPr>
          <w:ilvl w:val="0"/>
          <w:numId w:val="2"/>
        </w:numPr>
        <w:rPr>
          <w:b/>
          <w:lang w:val="en-US"/>
        </w:rPr>
      </w:pPr>
      <w:r w:rsidRPr="00D3438F">
        <w:rPr>
          <w:b/>
          <w:lang w:val="en-US"/>
        </w:rPr>
        <w:lastRenderedPageBreak/>
        <w:t>Reference diamond layer</w:t>
      </w:r>
    </w:p>
    <w:p w14:paraId="5E427143" w14:textId="64099CBB" w:rsidR="007535EA" w:rsidRPr="00D3438F" w:rsidRDefault="002F18AD" w:rsidP="007535EA">
      <w:pPr>
        <w:rPr>
          <w:lang w:val="en-US"/>
        </w:rPr>
      </w:pPr>
      <w:r w:rsidRPr="00D3438F">
        <w:rPr>
          <w:lang w:val="en-US"/>
        </w:rPr>
        <w:t>Fig</w:t>
      </w:r>
      <w:r w:rsidR="00EC5FEF">
        <w:rPr>
          <w:lang w:val="en-US"/>
        </w:rPr>
        <w:t>ure</w:t>
      </w:r>
      <w:r w:rsidRPr="00D3438F">
        <w:rPr>
          <w:lang w:val="en-US"/>
        </w:rPr>
        <w:t xml:space="preserve"> S</w:t>
      </w:r>
      <w:r w:rsidR="009777A7">
        <w:rPr>
          <w:lang w:val="en-US"/>
        </w:rPr>
        <w:t>3</w:t>
      </w:r>
      <w:r w:rsidRPr="00D3438F">
        <w:rPr>
          <w:lang w:val="en-US"/>
        </w:rPr>
        <w:t xml:space="preserve"> shows the SEM morphology of </w:t>
      </w:r>
      <w:r w:rsidR="00D97DBD">
        <w:rPr>
          <w:lang w:val="en-US"/>
        </w:rPr>
        <w:t xml:space="preserve">the </w:t>
      </w:r>
      <w:r w:rsidRPr="00D3438F">
        <w:rPr>
          <w:lang w:val="en-US"/>
        </w:rPr>
        <w:t xml:space="preserve">reference diamond layer without PhC patterning before and after the </w:t>
      </w:r>
      <w:r w:rsidR="00D97DBD">
        <w:rPr>
          <w:lang w:val="en-US"/>
        </w:rPr>
        <w:t>deposition of tuning layer</w:t>
      </w:r>
      <w:r w:rsidRPr="00D3438F">
        <w:rPr>
          <w:lang w:val="en-US"/>
        </w:rPr>
        <w:t>. The thickness of the layer before and after overgrown is 160</w:t>
      </w:r>
      <w:r w:rsidR="00D97DBD">
        <w:rPr>
          <w:lang w:val="en-US"/>
        </w:rPr>
        <w:t> </w:t>
      </w:r>
      <w:r w:rsidRPr="00D3438F">
        <w:rPr>
          <w:lang w:val="en-US"/>
        </w:rPr>
        <w:t>nm and 220 nm, respectively. The part of the sample used for reference was masked during the fabrication of</w:t>
      </w:r>
      <w:r w:rsidR="00D97DBD">
        <w:rPr>
          <w:lang w:val="en-US"/>
        </w:rPr>
        <w:t xml:space="preserve"> the</w:t>
      </w:r>
      <w:r w:rsidRPr="00D3438F">
        <w:rPr>
          <w:lang w:val="en-US"/>
        </w:rPr>
        <w:t xml:space="preserve"> PhC slab using reactive ion etching.</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2F18AD" w:rsidRPr="00D3438F" w14:paraId="2CD568DE" w14:textId="77777777" w:rsidTr="00891046">
        <w:tc>
          <w:tcPr>
            <w:tcW w:w="9072" w:type="dxa"/>
            <w:tcBorders>
              <w:top w:val="nil"/>
              <w:left w:val="nil"/>
              <w:right w:val="nil"/>
            </w:tcBorders>
          </w:tcPr>
          <w:p w14:paraId="0A737FB8" w14:textId="77777777" w:rsidR="002F18AD" w:rsidRPr="00D3438F" w:rsidRDefault="002F18AD" w:rsidP="00891046">
            <w:pPr>
              <w:ind w:firstLine="0"/>
              <w:jc w:val="center"/>
              <w:rPr>
                <w:rFonts w:ascii="Arial" w:hAnsi="Arial" w:cs="Arial"/>
                <w:b/>
                <w:bCs/>
                <w:sz w:val="20"/>
                <w:szCs w:val="20"/>
                <w:lang w:val="en-US"/>
              </w:rPr>
            </w:pPr>
            <w:r w:rsidRPr="00D3438F">
              <w:rPr>
                <w:rFonts w:ascii="Arial" w:hAnsi="Arial" w:cs="Arial"/>
                <w:b/>
                <w:bCs/>
                <w:noProof/>
                <w:sz w:val="20"/>
                <w:szCs w:val="20"/>
                <w:lang w:val="en-US"/>
              </w:rPr>
              <w:drawing>
                <wp:inline distT="0" distB="0" distL="0" distR="0" wp14:anchorId="4CFDEA19" wp14:editId="77231F0A">
                  <wp:extent cx="5400000" cy="27014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SEM-ref.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2701446"/>
                          </a:xfrm>
                          <a:prstGeom prst="rect">
                            <a:avLst/>
                          </a:prstGeom>
                        </pic:spPr>
                      </pic:pic>
                    </a:graphicData>
                  </a:graphic>
                </wp:inline>
              </w:drawing>
            </w:r>
          </w:p>
          <w:p w14:paraId="0BF76474" w14:textId="4894668B" w:rsidR="002F18AD" w:rsidRPr="00D3438F" w:rsidRDefault="002F18AD" w:rsidP="00891046">
            <w:pPr>
              <w:pStyle w:val="Popis"/>
              <w:rPr>
                <w:szCs w:val="20"/>
              </w:rPr>
            </w:pPr>
            <w:r w:rsidRPr="00D3438F">
              <w:rPr>
                <w:b/>
                <w:bCs/>
              </w:rPr>
              <w:t>Figure S</w:t>
            </w:r>
            <w:r w:rsidR="009777A7">
              <w:rPr>
                <w:b/>
                <w:bCs/>
              </w:rPr>
              <w:t>3</w:t>
            </w:r>
            <w:r w:rsidRPr="00D3438F">
              <w:t xml:space="preserve">: SEM morphology of </w:t>
            </w:r>
            <w:r w:rsidR="00D97DBD">
              <w:t xml:space="preserve">the </w:t>
            </w:r>
            <w:r w:rsidRPr="00D3438F">
              <w:t>reference diamond layer</w:t>
            </w:r>
            <w:r w:rsidR="005C7156">
              <w:t xml:space="preserve"> before </w:t>
            </w:r>
            <w:r w:rsidR="005C7156" w:rsidRPr="005C7156">
              <w:rPr>
                <w:b/>
              </w:rPr>
              <w:t>(a)</w:t>
            </w:r>
            <w:r w:rsidR="005C7156">
              <w:t xml:space="preserve"> and after </w:t>
            </w:r>
            <w:r w:rsidR="005C7156" w:rsidRPr="005C7156">
              <w:rPr>
                <w:b/>
              </w:rPr>
              <w:t>(b)</w:t>
            </w:r>
            <w:r w:rsidR="005C7156">
              <w:t xml:space="preserve"> deposition of the tuning layer</w:t>
            </w:r>
            <w:r w:rsidR="00713D9D">
              <w:t>.</w:t>
            </w:r>
          </w:p>
        </w:tc>
      </w:tr>
    </w:tbl>
    <w:p w14:paraId="49BF66F3" w14:textId="4A78ED18" w:rsidR="007535EA" w:rsidRDefault="007535EA" w:rsidP="007535EA">
      <w:pPr>
        <w:pStyle w:val="ListParagraph"/>
        <w:ind w:left="644" w:firstLine="0"/>
        <w:rPr>
          <w:b/>
          <w:lang w:val="en-US"/>
        </w:rPr>
      </w:pPr>
    </w:p>
    <w:p w14:paraId="1C2C91EE" w14:textId="74E713A0" w:rsidR="005C7156" w:rsidRDefault="005C7156" w:rsidP="007535EA">
      <w:pPr>
        <w:pStyle w:val="ListParagraph"/>
        <w:ind w:left="644" w:firstLine="0"/>
        <w:rPr>
          <w:b/>
          <w:lang w:val="en-US"/>
        </w:rPr>
      </w:pPr>
    </w:p>
    <w:p w14:paraId="5FE8DBDB" w14:textId="03474EC8" w:rsidR="005C7156" w:rsidRDefault="005C7156" w:rsidP="007535EA">
      <w:pPr>
        <w:pStyle w:val="ListParagraph"/>
        <w:ind w:left="644" w:firstLine="0"/>
        <w:rPr>
          <w:b/>
          <w:lang w:val="en-US"/>
        </w:rPr>
      </w:pPr>
    </w:p>
    <w:p w14:paraId="61A6098C" w14:textId="39C93739" w:rsidR="005C7156" w:rsidRDefault="005C7156" w:rsidP="007535EA">
      <w:pPr>
        <w:pStyle w:val="ListParagraph"/>
        <w:ind w:left="644" w:firstLine="0"/>
        <w:rPr>
          <w:b/>
          <w:lang w:val="en-US"/>
        </w:rPr>
      </w:pPr>
    </w:p>
    <w:p w14:paraId="77585DBF" w14:textId="141152A3" w:rsidR="005C7156" w:rsidRDefault="005C7156" w:rsidP="007535EA">
      <w:pPr>
        <w:pStyle w:val="ListParagraph"/>
        <w:ind w:left="644" w:firstLine="0"/>
        <w:rPr>
          <w:b/>
          <w:lang w:val="en-US"/>
        </w:rPr>
      </w:pPr>
    </w:p>
    <w:p w14:paraId="779C0091" w14:textId="36CEB436" w:rsidR="005C7156" w:rsidRDefault="005C7156" w:rsidP="007535EA">
      <w:pPr>
        <w:pStyle w:val="ListParagraph"/>
        <w:ind w:left="644" w:firstLine="0"/>
        <w:rPr>
          <w:b/>
          <w:lang w:val="en-US"/>
        </w:rPr>
      </w:pPr>
    </w:p>
    <w:p w14:paraId="32E44712" w14:textId="7A875401" w:rsidR="005C7156" w:rsidRDefault="005C7156" w:rsidP="007535EA">
      <w:pPr>
        <w:pStyle w:val="ListParagraph"/>
        <w:ind w:left="644" w:firstLine="0"/>
        <w:rPr>
          <w:b/>
          <w:lang w:val="en-US"/>
        </w:rPr>
      </w:pPr>
    </w:p>
    <w:p w14:paraId="34AE9BBB" w14:textId="29992808" w:rsidR="005C7156" w:rsidRDefault="005C7156" w:rsidP="007535EA">
      <w:pPr>
        <w:pStyle w:val="ListParagraph"/>
        <w:ind w:left="644" w:firstLine="0"/>
        <w:rPr>
          <w:b/>
          <w:lang w:val="en-US"/>
        </w:rPr>
      </w:pPr>
    </w:p>
    <w:p w14:paraId="73A17F3D" w14:textId="159B3A2E" w:rsidR="005C7156" w:rsidRDefault="005C7156" w:rsidP="007535EA">
      <w:pPr>
        <w:pStyle w:val="ListParagraph"/>
        <w:ind w:left="644" w:firstLine="0"/>
        <w:rPr>
          <w:b/>
          <w:lang w:val="en-US"/>
        </w:rPr>
      </w:pPr>
    </w:p>
    <w:p w14:paraId="7F13A34A" w14:textId="2F6C5102" w:rsidR="005C7156" w:rsidRDefault="005C7156" w:rsidP="007535EA">
      <w:pPr>
        <w:pStyle w:val="ListParagraph"/>
        <w:ind w:left="644" w:firstLine="0"/>
        <w:rPr>
          <w:b/>
          <w:lang w:val="en-US"/>
        </w:rPr>
      </w:pPr>
    </w:p>
    <w:p w14:paraId="696C8EC5" w14:textId="04ADFBA1" w:rsidR="005C7156" w:rsidRDefault="005C7156" w:rsidP="007535EA">
      <w:pPr>
        <w:pStyle w:val="ListParagraph"/>
        <w:ind w:left="644" w:firstLine="0"/>
        <w:rPr>
          <w:b/>
          <w:lang w:val="en-US"/>
        </w:rPr>
      </w:pPr>
    </w:p>
    <w:p w14:paraId="219AFDB9" w14:textId="52045874" w:rsidR="005C7156" w:rsidRDefault="005C7156" w:rsidP="007535EA">
      <w:pPr>
        <w:pStyle w:val="ListParagraph"/>
        <w:ind w:left="644" w:firstLine="0"/>
        <w:rPr>
          <w:b/>
          <w:lang w:val="en-US"/>
        </w:rPr>
      </w:pPr>
    </w:p>
    <w:p w14:paraId="0BC24777" w14:textId="373C543B" w:rsidR="005C7156" w:rsidRDefault="005C7156" w:rsidP="007535EA">
      <w:pPr>
        <w:pStyle w:val="ListParagraph"/>
        <w:ind w:left="644" w:firstLine="0"/>
        <w:rPr>
          <w:b/>
          <w:lang w:val="en-US"/>
        </w:rPr>
      </w:pPr>
    </w:p>
    <w:p w14:paraId="20783786" w14:textId="3EF6CC39" w:rsidR="005C7156" w:rsidRDefault="005C7156" w:rsidP="007535EA">
      <w:pPr>
        <w:pStyle w:val="ListParagraph"/>
        <w:ind w:left="644" w:firstLine="0"/>
        <w:rPr>
          <w:b/>
          <w:lang w:val="en-US"/>
        </w:rPr>
      </w:pPr>
    </w:p>
    <w:p w14:paraId="1D05778F" w14:textId="75C85C0C" w:rsidR="005C7156" w:rsidRDefault="005C7156" w:rsidP="007535EA">
      <w:pPr>
        <w:pStyle w:val="ListParagraph"/>
        <w:ind w:left="644" w:firstLine="0"/>
        <w:rPr>
          <w:b/>
          <w:lang w:val="en-US"/>
        </w:rPr>
      </w:pPr>
    </w:p>
    <w:p w14:paraId="228033EB" w14:textId="2B548614" w:rsidR="005C7156" w:rsidRDefault="005C7156" w:rsidP="007535EA">
      <w:pPr>
        <w:pStyle w:val="ListParagraph"/>
        <w:ind w:left="644" w:firstLine="0"/>
        <w:rPr>
          <w:b/>
          <w:lang w:val="en-US"/>
        </w:rPr>
      </w:pPr>
    </w:p>
    <w:p w14:paraId="64A88095" w14:textId="2F59D3BC" w:rsidR="005C7156" w:rsidRDefault="005C7156" w:rsidP="007535EA">
      <w:pPr>
        <w:pStyle w:val="ListParagraph"/>
        <w:ind w:left="644" w:firstLine="0"/>
        <w:rPr>
          <w:b/>
          <w:lang w:val="en-US"/>
        </w:rPr>
      </w:pPr>
    </w:p>
    <w:p w14:paraId="241C9396" w14:textId="7756B57C" w:rsidR="005C7156" w:rsidRDefault="005C7156" w:rsidP="007535EA">
      <w:pPr>
        <w:pStyle w:val="ListParagraph"/>
        <w:ind w:left="644" w:firstLine="0"/>
        <w:rPr>
          <w:b/>
          <w:lang w:val="en-US"/>
        </w:rPr>
      </w:pPr>
    </w:p>
    <w:p w14:paraId="547D47A3" w14:textId="65322023" w:rsidR="005C7156" w:rsidRDefault="005C7156" w:rsidP="007535EA">
      <w:pPr>
        <w:pStyle w:val="ListParagraph"/>
        <w:ind w:left="644" w:firstLine="0"/>
        <w:rPr>
          <w:b/>
          <w:lang w:val="en-US"/>
        </w:rPr>
      </w:pPr>
    </w:p>
    <w:p w14:paraId="4F07DC72" w14:textId="7BA0D34F" w:rsidR="005C7156" w:rsidRDefault="005C7156" w:rsidP="007535EA">
      <w:pPr>
        <w:pStyle w:val="ListParagraph"/>
        <w:ind w:left="644" w:firstLine="0"/>
        <w:rPr>
          <w:b/>
          <w:lang w:val="en-US"/>
        </w:rPr>
      </w:pPr>
    </w:p>
    <w:p w14:paraId="63D76BFE" w14:textId="5A56D77F" w:rsidR="005C7156" w:rsidRDefault="005C7156" w:rsidP="007535EA">
      <w:pPr>
        <w:pStyle w:val="ListParagraph"/>
        <w:ind w:left="644" w:firstLine="0"/>
        <w:rPr>
          <w:b/>
          <w:lang w:val="en-US"/>
        </w:rPr>
      </w:pPr>
    </w:p>
    <w:p w14:paraId="50961660" w14:textId="28E548A7" w:rsidR="005C7156" w:rsidRDefault="005C7156" w:rsidP="007535EA">
      <w:pPr>
        <w:pStyle w:val="ListParagraph"/>
        <w:ind w:left="644" w:firstLine="0"/>
        <w:rPr>
          <w:b/>
          <w:lang w:val="en-US"/>
        </w:rPr>
      </w:pPr>
    </w:p>
    <w:p w14:paraId="7F20F818" w14:textId="2EDAB139" w:rsidR="005C7156" w:rsidRDefault="005C7156" w:rsidP="007535EA">
      <w:pPr>
        <w:pStyle w:val="ListParagraph"/>
        <w:ind w:left="644" w:firstLine="0"/>
        <w:rPr>
          <w:b/>
          <w:lang w:val="en-US"/>
        </w:rPr>
      </w:pPr>
    </w:p>
    <w:p w14:paraId="16CD9EF7" w14:textId="77777777" w:rsidR="005C7156" w:rsidRDefault="005C7156" w:rsidP="007535EA">
      <w:pPr>
        <w:pStyle w:val="ListParagraph"/>
        <w:ind w:left="644" w:firstLine="0"/>
        <w:rPr>
          <w:b/>
          <w:lang w:val="en-US"/>
        </w:rPr>
      </w:pPr>
    </w:p>
    <w:p w14:paraId="2C7FFD06" w14:textId="431C1459" w:rsidR="002F18AD" w:rsidRPr="00D3438F" w:rsidRDefault="008858EE" w:rsidP="002F18AD">
      <w:pPr>
        <w:pStyle w:val="ListParagraph"/>
        <w:numPr>
          <w:ilvl w:val="0"/>
          <w:numId w:val="2"/>
        </w:numPr>
        <w:rPr>
          <w:b/>
          <w:lang w:val="en-US"/>
        </w:rPr>
      </w:pPr>
      <w:r>
        <w:rPr>
          <w:b/>
          <w:lang w:val="en-US"/>
        </w:rPr>
        <w:lastRenderedPageBreak/>
        <w:t>E</w:t>
      </w:r>
      <w:r w:rsidR="002F18AD" w:rsidRPr="00D3438F">
        <w:rPr>
          <w:b/>
          <w:lang w:val="en-US"/>
        </w:rPr>
        <w:t xml:space="preserve">lectric field </w:t>
      </w:r>
      <w:r>
        <w:rPr>
          <w:b/>
          <w:lang w:val="en-US"/>
        </w:rPr>
        <w:t xml:space="preserve">distribution of </w:t>
      </w:r>
      <w:r w:rsidR="002F18AD" w:rsidRPr="00D3438F">
        <w:rPr>
          <w:b/>
          <w:lang w:val="en-US"/>
        </w:rPr>
        <w:t>the leaky modes</w:t>
      </w:r>
    </w:p>
    <w:p w14:paraId="451A99A9" w14:textId="13CEE5D8" w:rsidR="002F18AD" w:rsidRPr="00D3438F" w:rsidRDefault="002F18AD" w:rsidP="002F18AD">
      <w:pPr>
        <w:rPr>
          <w:lang w:val="en-US"/>
        </w:rPr>
      </w:pPr>
      <w:r w:rsidRPr="00D3438F">
        <w:rPr>
          <w:lang w:val="en-US"/>
        </w:rPr>
        <w:t xml:space="preserve">The </w:t>
      </w:r>
      <w:r w:rsidR="007535EA">
        <w:rPr>
          <w:lang w:val="en-US"/>
        </w:rPr>
        <w:t>simulated</w:t>
      </w:r>
      <w:r w:rsidR="00FC2092">
        <w:rPr>
          <w:lang w:val="en-US"/>
        </w:rPr>
        <w:t xml:space="preserve"> (RCWA)</w:t>
      </w:r>
      <w:r w:rsidR="007535EA">
        <w:rPr>
          <w:lang w:val="en-US"/>
        </w:rPr>
        <w:t xml:space="preserve"> </w:t>
      </w:r>
      <w:r w:rsidRPr="00D3438F">
        <w:rPr>
          <w:lang w:val="en-US"/>
        </w:rPr>
        <w:t>distribution of the electric field of the</w:t>
      </w:r>
      <w:r w:rsidR="007535EA">
        <w:rPr>
          <w:lang w:val="en-US"/>
        </w:rPr>
        <w:t xml:space="preserve"> TE</w:t>
      </w:r>
      <w:r w:rsidR="007535EA" w:rsidRPr="007535EA">
        <w:rPr>
          <w:vertAlign w:val="subscript"/>
          <w:lang w:val="en-US"/>
        </w:rPr>
        <w:t>0</w:t>
      </w:r>
      <w:r w:rsidRPr="00D3438F">
        <w:rPr>
          <w:lang w:val="en-US"/>
        </w:rPr>
        <w:t xml:space="preserve"> </w:t>
      </w:r>
      <w:r w:rsidR="009F51BE">
        <w:rPr>
          <w:lang w:val="en-US"/>
        </w:rPr>
        <w:t>and TM</w:t>
      </w:r>
      <w:r w:rsidR="009F51BE" w:rsidRPr="009F51BE">
        <w:rPr>
          <w:vertAlign w:val="subscript"/>
          <w:lang w:val="en-US"/>
        </w:rPr>
        <w:t>0</w:t>
      </w:r>
      <w:r w:rsidR="009F51BE">
        <w:rPr>
          <w:lang w:val="en-US"/>
        </w:rPr>
        <w:t xml:space="preserve"> </w:t>
      </w:r>
      <w:r w:rsidRPr="00D3438F">
        <w:rPr>
          <w:lang w:val="en-US"/>
        </w:rPr>
        <w:t xml:space="preserve">leaky mode </w:t>
      </w:r>
      <w:r w:rsidR="00F30DAF" w:rsidRPr="00D3438F">
        <w:rPr>
          <w:lang w:val="en-US"/>
        </w:rPr>
        <w:t>is shown in Fig</w:t>
      </w:r>
      <w:r w:rsidR="00EC5FEF">
        <w:rPr>
          <w:lang w:val="en-US"/>
        </w:rPr>
        <w:t>s</w:t>
      </w:r>
      <w:r w:rsidR="00F30DAF" w:rsidRPr="00D3438F">
        <w:rPr>
          <w:lang w:val="en-US"/>
        </w:rPr>
        <w:t>. S</w:t>
      </w:r>
      <w:r w:rsidR="009777A7">
        <w:rPr>
          <w:lang w:val="en-US"/>
        </w:rPr>
        <w:t>4</w:t>
      </w:r>
      <w:r w:rsidR="009F51BE">
        <w:rPr>
          <w:lang w:val="en-US"/>
        </w:rPr>
        <w:t xml:space="preserve"> and S</w:t>
      </w:r>
      <w:r w:rsidR="009777A7">
        <w:rPr>
          <w:lang w:val="en-US"/>
        </w:rPr>
        <w:t>5</w:t>
      </w:r>
      <w:r w:rsidR="009F51BE">
        <w:rPr>
          <w:lang w:val="en-US"/>
        </w:rPr>
        <w:t>, respectively</w:t>
      </w:r>
      <w:r w:rsidR="007F783B">
        <w:rPr>
          <w:lang w:val="en-US"/>
        </w:rPr>
        <w:t xml:space="preserve">, for </w:t>
      </w:r>
      <w:r w:rsidR="0043091E">
        <w:rPr>
          <w:lang w:val="en-US"/>
        </w:rPr>
        <w:t>one cut of the unit cell</w:t>
      </w:r>
      <w:r w:rsidRPr="00D3438F">
        <w:rPr>
          <w:lang w:val="en-US"/>
        </w:rPr>
        <w:t xml:space="preserve">. </w:t>
      </w:r>
      <w:r w:rsidR="00971727" w:rsidRPr="00D3438F">
        <w:rPr>
          <w:lang w:val="en-US"/>
        </w:rPr>
        <w:t>The real sample</w:t>
      </w:r>
      <w:r w:rsidR="007535EA">
        <w:rPr>
          <w:lang w:val="en-US"/>
        </w:rPr>
        <w:t xml:space="preserve"> shape (</w:t>
      </w:r>
      <w:r w:rsidR="00713D9D">
        <w:rPr>
          <w:lang w:val="en-US"/>
        </w:rPr>
        <w:t xml:space="preserve">estimated by </w:t>
      </w:r>
      <w:r w:rsidR="007535EA">
        <w:rPr>
          <w:lang w:val="en-US"/>
        </w:rPr>
        <w:t>black dashed line)</w:t>
      </w:r>
      <w:r w:rsidR="00971727" w:rsidRPr="00D3438F">
        <w:rPr>
          <w:lang w:val="en-US"/>
        </w:rPr>
        <w:t xml:space="preserve"> deviates from th</w:t>
      </w:r>
      <w:r w:rsidR="00F30DAF" w:rsidRPr="00D3438F">
        <w:rPr>
          <w:lang w:val="en-US"/>
        </w:rPr>
        <w:t>e</w:t>
      </w:r>
      <w:r w:rsidR="00971727" w:rsidRPr="00D3438F">
        <w:rPr>
          <w:lang w:val="en-US"/>
        </w:rPr>
        <w:t xml:space="preserve"> ideal shape used for the simulation</w:t>
      </w:r>
      <w:r w:rsidR="007535EA">
        <w:rPr>
          <w:lang w:val="en-US"/>
        </w:rPr>
        <w:t xml:space="preserve"> (</w:t>
      </w:r>
      <w:r w:rsidR="00F30DAF" w:rsidRPr="00D3438F">
        <w:rPr>
          <w:lang w:val="en-US"/>
        </w:rPr>
        <w:t>white lines</w:t>
      </w:r>
      <w:r w:rsidR="007535EA">
        <w:rPr>
          <w:lang w:val="en-US"/>
        </w:rPr>
        <w:t>)</w:t>
      </w:r>
      <w:r w:rsidR="00971727" w:rsidRPr="00D3438F">
        <w:rPr>
          <w:lang w:val="en-US"/>
        </w:rPr>
        <w:t xml:space="preserve">. </w:t>
      </w:r>
      <w:r w:rsidR="007535EA">
        <w:rPr>
          <w:lang w:val="en-US"/>
        </w:rPr>
        <w:t>The SiV centers are located only in the top part of the PhC (above dashed red line) and their average coupling efficiency to leaky modes thus differs from the continuous PL background with emitters located throughout the whole diamond layer.</w:t>
      </w:r>
      <w:r w:rsidR="0043091E">
        <w:rPr>
          <w:lang w:val="en-US"/>
        </w:rPr>
        <w:t xml:space="preserve"> Fields at other cuts (between columns) can be found in the attached gif files.</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971727" w:rsidRPr="00D3438F" w14:paraId="6AC13721" w14:textId="77777777" w:rsidTr="00891046">
        <w:tc>
          <w:tcPr>
            <w:tcW w:w="9072" w:type="dxa"/>
            <w:tcBorders>
              <w:top w:val="nil"/>
              <w:left w:val="nil"/>
              <w:right w:val="nil"/>
            </w:tcBorders>
          </w:tcPr>
          <w:p w14:paraId="2885B100" w14:textId="7CAB7B08" w:rsidR="00971727" w:rsidRPr="00D3438F" w:rsidRDefault="00230B9D" w:rsidP="00891046">
            <w:pPr>
              <w:ind w:firstLine="0"/>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599BCFD3" wp14:editId="4BF09CD3">
                  <wp:extent cx="3600000" cy="2105623"/>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el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105623"/>
                          </a:xfrm>
                          <a:prstGeom prst="rect">
                            <a:avLst/>
                          </a:prstGeom>
                        </pic:spPr>
                      </pic:pic>
                    </a:graphicData>
                  </a:graphic>
                </wp:inline>
              </w:drawing>
            </w:r>
          </w:p>
          <w:p w14:paraId="2BE42737" w14:textId="0A66350D" w:rsidR="00971727" w:rsidRPr="00D3438F" w:rsidRDefault="00971727" w:rsidP="00891046">
            <w:pPr>
              <w:pStyle w:val="Popis"/>
              <w:rPr>
                <w:szCs w:val="20"/>
              </w:rPr>
            </w:pPr>
            <w:r w:rsidRPr="00D3438F">
              <w:rPr>
                <w:b/>
                <w:bCs/>
              </w:rPr>
              <w:t>Figure S</w:t>
            </w:r>
            <w:r w:rsidR="009777A7">
              <w:rPr>
                <w:b/>
                <w:bCs/>
              </w:rPr>
              <w:t>4</w:t>
            </w:r>
            <w:r w:rsidRPr="00D3438F">
              <w:t>: Simulated profile of the TE</w:t>
            </w:r>
            <w:r w:rsidRPr="00D3438F">
              <w:rPr>
                <w:vertAlign w:val="subscript"/>
              </w:rPr>
              <w:t>0</w:t>
            </w:r>
            <w:r w:rsidRPr="00D3438F">
              <w:t xml:space="preserve"> mode</w:t>
            </w:r>
            <w:r w:rsidR="00230B9D">
              <w:t xml:space="preserve"> electric field</w:t>
            </w:r>
            <w:r w:rsidR="00E23A2A">
              <w:t xml:space="preserve"> (</w:t>
            </w:r>
            <w:proofErr w:type="spellStart"/>
            <w:r w:rsidR="00E23A2A">
              <w:t>E</w:t>
            </w:r>
            <w:r w:rsidR="00E23A2A" w:rsidRPr="00E23A2A">
              <w:rPr>
                <w:vertAlign w:val="subscript"/>
              </w:rPr>
              <w:t>y</w:t>
            </w:r>
            <w:proofErr w:type="spellEnd"/>
            <w:r w:rsidR="00E23A2A">
              <w:t xml:space="preserve"> component)</w:t>
            </w:r>
            <w:r w:rsidRPr="00D3438F">
              <w:t xml:space="preserve"> for wavelengths above (a) and below (b) 757 nm</w:t>
            </w:r>
            <w:r w:rsidR="00F30DAF" w:rsidRPr="00D3438F">
              <w:t xml:space="preserve"> at the y = 0 cut of the PhC unit cell</w:t>
            </w:r>
            <w:r w:rsidRPr="00D3438F">
              <w:t xml:space="preserve">. </w:t>
            </w:r>
            <w:r w:rsidR="00F30DAF" w:rsidRPr="00D3438F">
              <w:t>White lines indicate the edges of the</w:t>
            </w:r>
            <w:r w:rsidR="007535EA">
              <w:t xml:space="preserve"> unit cell of the simulated structure. Black dashed line estimates the real sample dimensions. Red dashed line separates the original structure on the bottom (without SiV centers) and the tuning layer (with SiV centers).</w:t>
            </w:r>
          </w:p>
        </w:tc>
      </w:tr>
    </w:tbl>
    <w:p w14:paraId="116F6B6F" w14:textId="3FB6FDF0" w:rsidR="00A05420" w:rsidRDefault="00A05420" w:rsidP="00A05420">
      <w:pPr>
        <w:rPr>
          <w:lang w:val="en-US"/>
        </w:rPr>
      </w:pP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9F51BE" w:rsidRPr="00D3438F" w14:paraId="19A9389E" w14:textId="77777777" w:rsidTr="00BD55B1">
        <w:tc>
          <w:tcPr>
            <w:tcW w:w="9072" w:type="dxa"/>
            <w:tcBorders>
              <w:top w:val="nil"/>
              <w:left w:val="nil"/>
              <w:right w:val="nil"/>
            </w:tcBorders>
          </w:tcPr>
          <w:p w14:paraId="1F33D9F9" w14:textId="1BD35374" w:rsidR="009F51BE" w:rsidRPr="00D3438F" w:rsidRDefault="00230B9D" w:rsidP="00BD55B1">
            <w:pPr>
              <w:ind w:firstLine="0"/>
              <w:jc w:val="center"/>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153559EB" wp14:editId="620DD011">
                  <wp:extent cx="3600000" cy="44037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fieldT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4403748"/>
                          </a:xfrm>
                          <a:prstGeom prst="rect">
                            <a:avLst/>
                          </a:prstGeom>
                        </pic:spPr>
                      </pic:pic>
                    </a:graphicData>
                  </a:graphic>
                </wp:inline>
              </w:drawing>
            </w:r>
          </w:p>
          <w:p w14:paraId="233DEC91" w14:textId="45B64959" w:rsidR="009F51BE" w:rsidRPr="00D3438F" w:rsidRDefault="009F51BE" w:rsidP="00BD55B1">
            <w:pPr>
              <w:pStyle w:val="Popis"/>
              <w:rPr>
                <w:szCs w:val="20"/>
              </w:rPr>
            </w:pPr>
            <w:r w:rsidRPr="00D3438F">
              <w:rPr>
                <w:b/>
                <w:bCs/>
              </w:rPr>
              <w:t>Figure S</w:t>
            </w:r>
            <w:r w:rsidR="009777A7">
              <w:rPr>
                <w:b/>
                <w:bCs/>
              </w:rPr>
              <w:t>5</w:t>
            </w:r>
            <w:r w:rsidRPr="00D3438F">
              <w:t>: Simulated profile of the T</w:t>
            </w:r>
            <w:r w:rsidR="00230B9D">
              <w:t>M</w:t>
            </w:r>
            <w:r w:rsidRPr="00D3438F">
              <w:rPr>
                <w:vertAlign w:val="subscript"/>
              </w:rPr>
              <w:t>0</w:t>
            </w:r>
            <w:r w:rsidRPr="00D3438F">
              <w:t xml:space="preserve"> mode </w:t>
            </w:r>
            <w:r w:rsidR="00E23A2A">
              <w:t xml:space="preserve">electric field for </w:t>
            </w:r>
            <w:r w:rsidRPr="00D3438F">
              <w:t xml:space="preserve">wavelengths above </w:t>
            </w:r>
            <w:r w:rsidRPr="00E23A2A">
              <w:rPr>
                <w:b/>
              </w:rPr>
              <w:t>(a)</w:t>
            </w:r>
            <w:r w:rsidR="00230B9D">
              <w:t xml:space="preserve"> E</w:t>
            </w:r>
            <w:r w:rsidR="00230B9D" w:rsidRPr="00230B9D">
              <w:rPr>
                <w:vertAlign w:val="subscript"/>
              </w:rPr>
              <w:t>x</w:t>
            </w:r>
            <w:r w:rsidR="00230B9D">
              <w:t xml:space="preserve"> component, </w:t>
            </w:r>
            <w:r w:rsidR="00230B9D" w:rsidRPr="00E23A2A">
              <w:rPr>
                <w:b/>
              </w:rPr>
              <w:t>(c)</w:t>
            </w:r>
            <w:r w:rsidR="00230B9D">
              <w:t xml:space="preserve"> E</w:t>
            </w:r>
            <w:r w:rsidR="00230B9D" w:rsidRPr="00230B9D">
              <w:rPr>
                <w:vertAlign w:val="subscript"/>
              </w:rPr>
              <w:t>z</w:t>
            </w:r>
            <w:r w:rsidR="00230B9D">
              <w:t xml:space="preserve"> component</w:t>
            </w:r>
            <w:r w:rsidRPr="00D3438F">
              <w:t xml:space="preserve"> and below </w:t>
            </w:r>
            <w:r w:rsidRPr="00E23A2A">
              <w:rPr>
                <w:b/>
              </w:rPr>
              <w:t>(b)</w:t>
            </w:r>
            <w:r w:rsidR="00230B9D">
              <w:t xml:space="preserve"> E</w:t>
            </w:r>
            <w:r w:rsidR="00230B9D" w:rsidRPr="00230B9D">
              <w:rPr>
                <w:vertAlign w:val="subscript"/>
              </w:rPr>
              <w:t>x</w:t>
            </w:r>
            <w:r w:rsidR="00230B9D">
              <w:t xml:space="preserve"> component, </w:t>
            </w:r>
            <w:r w:rsidR="00230B9D" w:rsidRPr="00E23A2A">
              <w:rPr>
                <w:b/>
              </w:rPr>
              <w:t>(d)</w:t>
            </w:r>
            <w:r w:rsidR="00230B9D">
              <w:t xml:space="preserve"> </w:t>
            </w:r>
            <w:proofErr w:type="spellStart"/>
            <w:r w:rsidR="00230B9D">
              <w:t>E</w:t>
            </w:r>
            <w:r w:rsidR="00230B9D">
              <w:rPr>
                <w:vertAlign w:val="subscript"/>
              </w:rPr>
              <w:t>z</w:t>
            </w:r>
            <w:proofErr w:type="spellEnd"/>
            <w:r w:rsidR="00230B9D">
              <w:t xml:space="preserve"> component</w:t>
            </w:r>
            <w:r w:rsidR="00230B9D" w:rsidRPr="00D3438F">
              <w:t xml:space="preserve"> </w:t>
            </w:r>
            <w:r w:rsidR="00383748">
              <w:t>693</w:t>
            </w:r>
            <w:r w:rsidRPr="00D3438F">
              <w:t xml:space="preserve"> nm at the y = 0 cut of the PhC unit cell. White lines indicate the edges of the</w:t>
            </w:r>
            <w:r>
              <w:t xml:space="preserve"> unit cell of the simulated structure. Black dashed line estimates the real sample dimensions. Red dashed line separates the original structure on the bottom (without SiV centers) and the tuning layer (with SiV centers).</w:t>
            </w:r>
          </w:p>
        </w:tc>
      </w:tr>
    </w:tbl>
    <w:p w14:paraId="6A38C6E9" w14:textId="6958399A" w:rsidR="009F51BE" w:rsidRDefault="009F51BE" w:rsidP="00A05420">
      <w:pPr>
        <w:rPr>
          <w:lang w:val="en-US"/>
        </w:rPr>
      </w:pPr>
    </w:p>
    <w:p w14:paraId="78A6BAE8" w14:textId="2F5D610D" w:rsidR="005C7156" w:rsidRDefault="005C7156" w:rsidP="00A05420">
      <w:pPr>
        <w:rPr>
          <w:lang w:val="en-US"/>
        </w:rPr>
      </w:pPr>
    </w:p>
    <w:p w14:paraId="2C60F27C" w14:textId="1E4352D2" w:rsidR="005C7156" w:rsidRDefault="005C7156" w:rsidP="00A05420">
      <w:pPr>
        <w:rPr>
          <w:lang w:val="en-US"/>
        </w:rPr>
      </w:pPr>
    </w:p>
    <w:p w14:paraId="17CCF89D" w14:textId="2D6A6CF6" w:rsidR="005C7156" w:rsidRDefault="005C7156" w:rsidP="00A05420">
      <w:pPr>
        <w:rPr>
          <w:lang w:val="en-US"/>
        </w:rPr>
      </w:pPr>
    </w:p>
    <w:p w14:paraId="66E2EF9C" w14:textId="2B0F1023" w:rsidR="005C7156" w:rsidRDefault="005C7156" w:rsidP="00A05420">
      <w:pPr>
        <w:rPr>
          <w:lang w:val="en-US"/>
        </w:rPr>
      </w:pPr>
    </w:p>
    <w:p w14:paraId="7BEAC7BB" w14:textId="78FD59E6" w:rsidR="005C7156" w:rsidRDefault="005C7156" w:rsidP="00A05420">
      <w:pPr>
        <w:rPr>
          <w:lang w:val="en-US"/>
        </w:rPr>
      </w:pPr>
    </w:p>
    <w:p w14:paraId="2A6ECE42" w14:textId="77EB7DA2" w:rsidR="005C7156" w:rsidRDefault="005C7156" w:rsidP="00A05420">
      <w:pPr>
        <w:rPr>
          <w:lang w:val="en-US"/>
        </w:rPr>
      </w:pPr>
    </w:p>
    <w:p w14:paraId="203FB0E1" w14:textId="4671797C" w:rsidR="005C7156" w:rsidRDefault="005C7156" w:rsidP="00A05420">
      <w:pPr>
        <w:rPr>
          <w:lang w:val="en-US"/>
        </w:rPr>
      </w:pPr>
    </w:p>
    <w:p w14:paraId="0A4E6A69" w14:textId="7D54E1E2" w:rsidR="005C7156" w:rsidRDefault="005C7156" w:rsidP="00A05420">
      <w:pPr>
        <w:rPr>
          <w:lang w:val="en-US"/>
        </w:rPr>
      </w:pPr>
    </w:p>
    <w:p w14:paraId="3C6A8D98" w14:textId="5EC6C8AC" w:rsidR="005C7156" w:rsidRDefault="005C7156" w:rsidP="00A05420">
      <w:pPr>
        <w:rPr>
          <w:lang w:val="en-US"/>
        </w:rPr>
      </w:pPr>
    </w:p>
    <w:p w14:paraId="717D9310" w14:textId="797FD15C" w:rsidR="005C7156" w:rsidRDefault="005C7156" w:rsidP="00A05420">
      <w:pPr>
        <w:rPr>
          <w:lang w:val="en-US"/>
        </w:rPr>
      </w:pPr>
    </w:p>
    <w:p w14:paraId="378F9CB3" w14:textId="77777777" w:rsidR="005C7156" w:rsidRDefault="005C7156" w:rsidP="00A05420">
      <w:pPr>
        <w:rPr>
          <w:lang w:val="en-US"/>
        </w:rPr>
      </w:pPr>
    </w:p>
    <w:p w14:paraId="67357017" w14:textId="36AA34EF" w:rsidR="00C25374" w:rsidRPr="00C25374" w:rsidRDefault="00C25374" w:rsidP="00C25374">
      <w:pPr>
        <w:pStyle w:val="ListParagraph"/>
        <w:numPr>
          <w:ilvl w:val="0"/>
          <w:numId w:val="2"/>
        </w:numPr>
        <w:rPr>
          <w:b/>
          <w:lang w:val="en-US"/>
        </w:rPr>
      </w:pPr>
      <w:r>
        <w:rPr>
          <w:b/>
          <w:lang w:val="en-US"/>
        </w:rPr>
        <w:lastRenderedPageBreak/>
        <w:t>Extraction circles</w:t>
      </w:r>
    </w:p>
    <w:p w14:paraId="081A0E08" w14:textId="4B1AD9D8" w:rsidR="00C25374" w:rsidRPr="00BA0428" w:rsidRDefault="008C122F" w:rsidP="00C25374">
      <w:pPr>
        <w:rPr>
          <w:lang w:val="en-US"/>
        </w:rPr>
      </w:pPr>
      <w:r w:rsidRPr="002B15EA">
        <w:rPr>
          <w:lang w:val="en-US"/>
        </w:rPr>
        <w:t>Fig</w:t>
      </w:r>
      <w:r w:rsidR="00EC5FEF">
        <w:rPr>
          <w:lang w:val="en-US"/>
        </w:rPr>
        <w:t>ure</w:t>
      </w:r>
      <w:r w:rsidRPr="002B15EA">
        <w:rPr>
          <w:lang w:val="en-US"/>
        </w:rPr>
        <w:t xml:space="preserve"> S</w:t>
      </w:r>
      <w:r w:rsidR="009777A7">
        <w:rPr>
          <w:lang w:val="en-US"/>
        </w:rPr>
        <w:t>6</w:t>
      </w:r>
      <w:r w:rsidRPr="002B15EA">
        <w:rPr>
          <w:lang w:val="en-US"/>
        </w:rPr>
        <w:t xml:space="preserve"> shows the RCWA</w:t>
      </w:r>
      <w:r w:rsidR="00FC2092" w:rsidRPr="002B15EA">
        <w:rPr>
          <w:lang w:val="en-US"/>
        </w:rPr>
        <w:t xml:space="preserve"> simulation of </w:t>
      </w:r>
      <w:r w:rsidR="008858EE">
        <w:rPr>
          <w:lang w:val="en-US"/>
        </w:rPr>
        <w:t xml:space="preserve">the </w:t>
      </w:r>
      <w:r w:rsidR="00FC2092" w:rsidRPr="002B15EA">
        <w:rPr>
          <w:lang w:val="en-US"/>
        </w:rPr>
        <w:t>angle resolved transmission efficiency for selected wavelengths. The circles show the whole area of escape cone, where the modes are leaky. The central point corresponds to the vertical direction. The edge of the circle corresponds to extraction into the tangential direction, which is inconvenient for the collection. For wavelengths in region I</w:t>
      </w:r>
      <w:r w:rsidR="00713D9D">
        <w:rPr>
          <w:lang w:val="en-US"/>
        </w:rPr>
        <w:t>I</w:t>
      </w:r>
      <w:r w:rsidR="00FC2092" w:rsidRPr="002B15EA">
        <w:rPr>
          <w:lang w:val="en-US"/>
        </w:rPr>
        <w:t>. (roughly between 720 nm and 780 nm for the sample with tuning layer, see the main text), the highest fraction of leaky modes is collected with low NA objectives. Higher NA objectives are needed to collect the light in regions I. and III.</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C25374" w:rsidRPr="00D3438F" w14:paraId="11DEC8D7" w14:textId="77777777" w:rsidTr="00BD55B1">
        <w:tc>
          <w:tcPr>
            <w:tcW w:w="9072" w:type="dxa"/>
            <w:tcBorders>
              <w:top w:val="nil"/>
              <w:left w:val="nil"/>
              <w:right w:val="nil"/>
            </w:tcBorders>
          </w:tcPr>
          <w:p w14:paraId="6A98FD0E" w14:textId="1E6408B4" w:rsidR="00C25374" w:rsidRPr="00D3438F" w:rsidRDefault="00E6781A" w:rsidP="00BD55B1">
            <w:pPr>
              <w:ind w:firstLine="0"/>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7EAE959D" wp14:editId="67C993A1">
                  <wp:extent cx="5708905" cy="3675888"/>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extr-circl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8905" cy="3675888"/>
                          </a:xfrm>
                          <a:prstGeom prst="rect">
                            <a:avLst/>
                          </a:prstGeom>
                        </pic:spPr>
                      </pic:pic>
                    </a:graphicData>
                  </a:graphic>
                </wp:inline>
              </w:drawing>
            </w:r>
          </w:p>
          <w:p w14:paraId="0A30EC1D" w14:textId="5C86DBFC" w:rsidR="00C25374" w:rsidRPr="00E23A2A" w:rsidRDefault="00C25374" w:rsidP="00BD55B1">
            <w:pPr>
              <w:pStyle w:val="Popis"/>
              <w:rPr>
                <w:szCs w:val="20"/>
              </w:rPr>
            </w:pPr>
            <w:r w:rsidRPr="00D3438F">
              <w:rPr>
                <w:b/>
                <w:bCs/>
              </w:rPr>
              <w:t>Figure S</w:t>
            </w:r>
            <w:r w:rsidR="009777A7">
              <w:rPr>
                <w:b/>
                <w:bCs/>
              </w:rPr>
              <w:t>6</w:t>
            </w:r>
            <w:r w:rsidRPr="00D3438F">
              <w:t xml:space="preserve">: </w:t>
            </w:r>
            <w:r w:rsidR="00E23A2A" w:rsidRPr="00E23A2A">
              <w:t>Simulation of angle-resolved transmission efficiency: center of circles corresponds to vertical direction and edge of the circle to 90</w:t>
            </w:r>
            <w:r w:rsidR="00E23A2A" w:rsidRPr="00E23A2A">
              <w:rPr>
                <w:lang w:val="cs-CZ"/>
              </w:rPr>
              <w:t xml:space="preserve">° </w:t>
            </w:r>
            <w:r w:rsidR="00E23A2A" w:rsidRPr="00E23A2A">
              <w:t>angle of incidence. The dashed circles denote the maximal collection of angles of objectives with 0.12 (black), 0.4 (red), 0.5 (green), and 0.9 (blue) NA.</w:t>
            </w:r>
          </w:p>
        </w:tc>
      </w:tr>
    </w:tbl>
    <w:p w14:paraId="651A568E" w14:textId="1B7B569F" w:rsidR="00E23A2A" w:rsidRDefault="00E23A2A" w:rsidP="00A05420">
      <w:pPr>
        <w:rPr>
          <w:lang w:val="en-US"/>
        </w:rPr>
      </w:pPr>
    </w:p>
    <w:p w14:paraId="65B6D233" w14:textId="31AAD076" w:rsidR="005C7156" w:rsidRDefault="005C7156" w:rsidP="00A05420">
      <w:pPr>
        <w:rPr>
          <w:lang w:val="en-US"/>
        </w:rPr>
      </w:pPr>
    </w:p>
    <w:p w14:paraId="010C01DB" w14:textId="44AFF0DF" w:rsidR="005C7156" w:rsidRDefault="005C7156" w:rsidP="00A05420">
      <w:pPr>
        <w:rPr>
          <w:lang w:val="en-US"/>
        </w:rPr>
      </w:pPr>
    </w:p>
    <w:p w14:paraId="2CB86B56" w14:textId="39FA9CC2" w:rsidR="005C7156" w:rsidRDefault="005C7156" w:rsidP="00A05420">
      <w:pPr>
        <w:rPr>
          <w:lang w:val="en-US"/>
        </w:rPr>
      </w:pPr>
    </w:p>
    <w:p w14:paraId="5E5C8223" w14:textId="1DF95361" w:rsidR="005C7156" w:rsidRDefault="005C7156" w:rsidP="00A05420">
      <w:pPr>
        <w:rPr>
          <w:lang w:val="en-US"/>
        </w:rPr>
      </w:pPr>
    </w:p>
    <w:p w14:paraId="010081D7" w14:textId="0B81C12B" w:rsidR="005C7156" w:rsidRDefault="005C7156" w:rsidP="00A05420">
      <w:pPr>
        <w:rPr>
          <w:lang w:val="en-US"/>
        </w:rPr>
      </w:pPr>
    </w:p>
    <w:p w14:paraId="0BDC3A9C" w14:textId="1AC12331" w:rsidR="005C7156" w:rsidRDefault="005C7156" w:rsidP="00A05420">
      <w:pPr>
        <w:rPr>
          <w:lang w:val="en-US"/>
        </w:rPr>
      </w:pPr>
    </w:p>
    <w:p w14:paraId="7E6FC695" w14:textId="21223808" w:rsidR="005C7156" w:rsidRDefault="005C7156" w:rsidP="00A05420">
      <w:pPr>
        <w:rPr>
          <w:lang w:val="en-US"/>
        </w:rPr>
      </w:pPr>
    </w:p>
    <w:p w14:paraId="7DF345BE" w14:textId="78C77EC2" w:rsidR="005C7156" w:rsidRDefault="005C7156" w:rsidP="00A05420">
      <w:pPr>
        <w:rPr>
          <w:lang w:val="en-US"/>
        </w:rPr>
      </w:pPr>
    </w:p>
    <w:p w14:paraId="1856D8AE" w14:textId="77777777" w:rsidR="005C7156" w:rsidRDefault="005C7156" w:rsidP="00A05420">
      <w:pPr>
        <w:rPr>
          <w:lang w:val="en-US"/>
        </w:rPr>
      </w:pPr>
    </w:p>
    <w:p w14:paraId="0AC9C7B9" w14:textId="4C0CE0A9" w:rsidR="00E23A2A" w:rsidRPr="00E23A2A" w:rsidRDefault="00E23A2A" w:rsidP="00E23A2A">
      <w:pPr>
        <w:pStyle w:val="ListParagraph"/>
        <w:numPr>
          <w:ilvl w:val="0"/>
          <w:numId w:val="2"/>
        </w:numPr>
        <w:rPr>
          <w:b/>
          <w:lang w:val="en-US"/>
        </w:rPr>
      </w:pPr>
      <w:r w:rsidRPr="00E23A2A">
        <w:rPr>
          <w:b/>
          <w:lang w:val="en-US"/>
        </w:rPr>
        <w:lastRenderedPageBreak/>
        <w:t>Homogeneity of the PhC slab</w:t>
      </w:r>
    </w:p>
    <w:p w14:paraId="16A67140" w14:textId="1A5DA3A4" w:rsidR="00A05420" w:rsidRPr="00BA0428" w:rsidRDefault="00A05420" w:rsidP="00A05420">
      <w:pPr>
        <w:rPr>
          <w:lang w:val="en-US"/>
        </w:rPr>
      </w:pPr>
      <w:r w:rsidRPr="00BA0428">
        <w:rPr>
          <w:lang w:val="en-US"/>
        </w:rPr>
        <w:t>Graph of the PL intensity measured on 6 different places over the 1 x 1 mm</w:t>
      </w:r>
      <w:r w:rsidRPr="00BA0428">
        <w:rPr>
          <w:vertAlign w:val="superscript"/>
          <w:lang w:val="en-US"/>
        </w:rPr>
        <w:t>2</w:t>
      </w:r>
      <w:r w:rsidRPr="00BA0428">
        <w:rPr>
          <w:lang w:val="en-US"/>
        </w:rPr>
        <w:t xml:space="preserve"> large PhC slab structure (with </w:t>
      </w:r>
      <w:r w:rsidR="00A41D25" w:rsidRPr="00BA0428">
        <w:rPr>
          <w:lang w:val="en-US"/>
        </w:rPr>
        <w:t xml:space="preserve">NA = 0.12 and </w:t>
      </w:r>
      <w:r w:rsidRPr="00BA0428">
        <w:rPr>
          <w:lang w:val="en-US"/>
        </w:rPr>
        <w:t xml:space="preserve">NA = </w:t>
      </w:r>
      <w:r w:rsidR="00A41D25" w:rsidRPr="00BA0428">
        <w:rPr>
          <w:lang w:val="en-US"/>
        </w:rPr>
        <w:t>0.4</w:t>
      </w:r>
      <w:r w:rsidRPr="00BA0428">
        <w:rPr>
          <w:lang w:val="en-US"/>
        </w:rPr>
        <w:t xml:space="preserve"> objective</w:t>
      </w:r>
      <w:r w:rsidR="00BA0428">
        <w:rPr>
          <w:lang w:val="en-US"/>
        </w:rPr>
        <w:t>s</w:t>
      </w:r>
      <w:r w:rsidRPr="00BA0428">
        <w:rPr>
          <w:lang w:val="en-US"/>
        </w:rPr>
        <w:t xml:space="preserve">) is shown </w:t>
      </w:r>
      <w:r w:rsidR="00A41D25" w:rsidRPr="00BA0428">
        <w:rPr>
          <w:lang w:val="en-US"/>
        </w:rPr>
        <w:t>in Fig. S</w:t>
      </w:r>
      <w:r w:rsidR="009777A7">
        <w:rPr>
          <w:lang w:val="en-US"/>
        </w:rPr>
        <w:t>7</w:t>
      </w:r>
      <w:r w:rsidR="00A41D25" w:rsidRPr="00BA0428">
        <w:rPr>
          <w:lang w:val="en-US"/>
        </w:rPr>
        <w:t xml:space="preserve">. There is a small spectral shift of </w:t>
      </w:r>
      <w:r w:rsidR="00713D9D">
        <w:rPr>
          <w:rFonts w:cstheme="minorHAnsi"/>
          <w:lang w:val="en-US"/>
        </w:rPr>
        <w:t>≈</w:t>
      </w:r>
      <w:r w:rsidR="00713D9D">
        <w:rPr>
          <w:lang w:val="en-US"/>
        </w:rPr>
        <w:t xml:space="preserve"> 2</w:t>
      </w:r>
      <w:r w:rsidR="00A41D25" w:rsidRPr="00BA0428">
        <w:rPr>
          <w:lang w:val="en-US"/>
        </w:rPr>
        <w:t xml:space="preserve"> nm between the leaky modes at individual places. There is also small </w:t>
      </w:r>
      <w:r w:rsidR="00BA0428" w:rsidRPr="00BA0428">
        <w:rPr>
          <w:lang w:val="en-US"/>
        </w:rPr>
        <w:t>difference in the intensity of the signal that may be caused by the different properties of the sample or by different focusing. Averages from these spectra were used to prepare the graphs in the main text.</w:t>
      </w:r>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BA0428" w:rsidRPr="00D3438F" w14:paraId="5CE0682D" w14:textId="77777777" w:rsidTr="00856BE3">
        <w:tc>
          <w:tcPr>
            <w:tcW w:w="9072" w:type="dxa"/>
            <w:tcBorders>
              <w:top w:val="nil"/>
              <w:left w:val="nil"/>
              <w:right w:val="nil"/>
            </w:tcBorders>
          </w:tcPr>
          <w:p w14:paraId="1500EB5B" w14:textId="653C8E37" w:rsidR="00BA0428" w:rsidRPr="00D3438F" w:rsidRDefault="00BA0428" w:rsidP="00856BE3">
            <w:pPr>
              <w:ind w:firstLine="0"/>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5F28C293" wp14:editId="2DC2BE5B">
                  <wp:extent cx="5474209" cy="2033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plac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4209" cy="2033016"/>
                          </a:xfrm>
                          <a:prstGeom prst="rect">
                            <a:avLst/>
                          </a:prstGeom>
                        </pic:spPr>
                      </pic:pic>
                    </a:graphicData>
                  </a:graphic>
                </wp:inline>
              </w:drawing>
            </w:r>
          </w:p>
          <w:p w14:paraId="5F51B6D8" w14:textId="71EE7188" w:rsidR="00BA0428" w:rsidRPr="00D3438F" w:rsidRDefault="00BA0428" w:rsidP="00856BE3">
            <w:pPr>
              <w:pStyle w:val="Popis"/>
              <w:rPr>
                <w:szCs w:val="20"/>
              </w:rPr>
            </w:pPr>
            <w:r w:rsidRPr="00D3438F">
              <w:rPr>
                <w:b/>
                <w:bCs/>
              </w:rPr>
              <w:t>Figure S</w:t>
            </w:r>
            <w:r w:rsidR="009777A7">
              <w:rPr>
                <w:b/>
                <w:bCs/>
              </w:rPr>
              <w:t>7</w:t>
            </w:r>
            <w:r w:rsidRPr="00D3438F">
              <w:t xml:space="preserve">: </w:t>
            </w:r>
            <w:r>
              <w:t xml:space="preserve">PL intensity measured on </w:t>
            </w:r>
            <w:r w:rsidRPr="00BA0428">
              <w:t>6 different places</w:t>
            </w:r>
            <w:r>
              <w:t xml:space="preserve"> of the sample</w:t>
            </w:r>
            <w:r w:rsidRPr="00BA0428">
              <w:t xml:space="preserve"> with NA = 0.12</w:t>
            </w:r>
            <w:r>
              <w:t xml:space="preserve"> </w:t>
            </w:r>
            <w:r w:rsidRPr="00BA0428">
              <w:rPr>
                <w:b/>
              </w:rPr>
              <w:t>(a)</w:t>
            </w:r>
            <w:r w:rsidRPr="00BA0428">
              <w:t xml:space="preserve"> and NA</w:t>
            </w:r>
            <w:r w:rsidR="00713D9D">
              <w:t> </w:t>
            </w:r>
            <w:r w:rsidRPr="00BA0428">
              <w:t>=</w:t>
            </w:r>
            <w:r w:rsidR="00713D9D">
              <w:t> </w:t>
            </w:r>
            <w:r w:rsidRPr="00BA0428">
              <w:t xml:space="preserve">0.4 </w:t>
            </w:r>
            <w:r w:rsidRPr="00BA0428">
              <w:rPr>
                <w:b/>
              </w:rPr>
              <w:t>(b)</w:t>
            </w:r>
            <w:r>
              <w:t xml:space="preserve"> </w:t>
            </w:r>
            <w:r w:rsidRPr="00BA0428">
              <w:t>objective</w:t>
            </w:r>
            <w:r>
              <w:t>s.</w:t>
            </w:r>
          </w:p>
        </w:tc>
      </w:tr>
    </w:tbl>
    <w:p w14:paraId="76AEE265" w14:textId="56C35CF5" w:rsidR="00E23A2A" w:rsidRDefault="00E23A2A" w:rsidP="00E23A2A">
      <w:pPr>
        <w:pStyle w:val="ListParagraph"/>
        <w:ind w:left="644" w:firstLine="0"/>
        <w:rPr>
          <w:b/>
          <w:lang w:val="en-US"/>
        </w:rPr>
      </w:pPr>
    </w:p>
    <w:p w14:paraId="1FD2035D" w14:textId="56D7D0E3" w:rsidR="005C7156" w:rsidRDefault="005C7156" w:rsidP="00E23A2A">
      <w:pPr>
        <w:pStyle w:val="ListParagraph"/>
        <w:ind w:left="644" w:firstLine="0"/>
        <w:rPr>
          <w:b/>
          <w:lang w:val="en-US"/>
        </w:rPr>
      </w:pPr>
    </w:p>
    <w:p w14:paraId="307586F5" w14:textId="27C72D76" w:rsidR="005C7156" w:rsidRDefault="005C7156" w:rsidP="00E23A2A">
      <w:pPr>
        <w:pStyle w:val="ListParagraph"/>
        <w:ind w:left="644" w:firstLine="0"/>
        <w:rPr>
          <w:b/>
          <w:lang w:val="en-US"/>
        </w:rPr>
      </w:pPr>
    </w:p>
    <w:p w14:paraId="1F27D426" w14:textId="560265D5" w:rsidR="005C7156" w:rsidRDefault="005C7156" w:rsidP="00E23A2A">
      <w:pPr>
        <w:pStyle w:val="ListParagraph"/>
        <w:ind w:left="644" w:firstLine="0"/>
        <w:rPr>
          <w:b/>
          <w:lang w:val="en-US"/>
        </w:rPr>
      </w:pPr>
    </w:p>
    <w:p w14:paraId="350986C7" w14:textId="4984576F" w:rsidR="005C7156" w:rsidRDefault="005C7156" w:rsidP="00E23A2A">
      <w:pPr>
        <w:pStyle w:val="ListParagraph"/>
        <w:ind w:left="644" w:firstLine="0"/>
        <w:rPr>
          <w:b/>
          <w:lang w:val="en-US"/>
        </w:rPr>
      </w:pPr>
    </w:p>
    <w:p w14:paraId="751B20AD" w14:textId="2CC18782" w:rsidR="005C7156" w:rsidRDefault="005C7156" w:rsidP="00E23A2A">
      <w:pPr>
        <w:pStyle w:val="ListParagraph"/>
        <w:ind w:left="644" w:firstLine="0"/>
        <w:rPr>
          <w:b/>
          <w:lang w:val="en-US"/>
        </w:rPr>
      </w:pPr>
    </w:p>
    <w:p w14:paraId="1778470B" w14:textId="7C4A290A" w:rsidR="005C7156" w:rsidRDefault="005C7156" w:rsidP="00E23A2A">
      <w:pPr>
        <w:pStyle w:val="ListParagraph"/>
        <w:ind w:left="644" w:firstLine="0"/>
        <w:rPr>
          <w:b/>
          <w:lang w:val="en-US"/>
        </w:rPr>
      </w:pPr>
    </w:p>
    <w:p w14:paraId="44155FBD" w14:textId="0306C04A" w:rsidR="005C7156" w:rsidRDefault="005C7156" w:rsidP="00E23A2A">
      <w:pPr>
        <w:pStyle w:val="ListParagraph"/>
        <w:ind w:left="644" w:firstLine="0"/>
        <w:rPr>
          <w:b/>
          <w:lang w:val="en-US"/>
        </w:rPr>
      </w:pPr>
    </w:p>
    <w:p w14:paraId="350B7634" w14:textId="13C27FE3" w:rsidR="005C7156" w:rsidRDefault="005C7156" w:rsidP="00E23A2A">
      <w:pPr>
        <w:pStyle w:val="ListParagraph"/>
        <w:ind w:left="644" w:firstLine="0"/>
        <w:rPr>
          <w:b/>
          <w:lang w:val="en-US"/>
        </w:rPr>
      </w:pPr>
    </w:p>
    <w:p w14:paraId="27B0ED86" w14:textId="49950126" w:rsidR="005C7156" w:rsidRDefault="005C7156" w:rsidP="00E23A2A">
      <w:pPr>
        <w:pStyle w:val="ListParagraph"/>
        <w:ind w:left="644" w:firstLine="0"/>
        <w:rPr>
          <w:b/>
          <w:lang w:val="en-US"/>
        </w:rPr>
      </w:pPr>
    </w:p>
    <w:p w14:paraId="7459F5FA" w14:textId="3A3E7C98" w:rsidR="005C7156" w:rsidRDefault="005C7156" w:rsidP="00E23A2A">
      <w:pPr>
        <w:pStyle w:val="ListParagraph"/>
        <w:ind w:left="644" w:firstLine="0"/>
        <w:rPr>
          <w:b/>
          <w:lang w:val="en-US"/>
        </w:rPr>
      </w:pPr>
    </w:p>
    <w:p w14:paraId="0A3EA7F7" w14:textId="20BE72EB" w:rsidR="005C7156" w:rsidRDefault="005C7156" w:rsidP="00E23A2A">
      <w:pPr>
        <w:pStyle w:val="ListParagraph"/>
        <w:ind w:left="644" w:firstLine="0"/>
        <w:rPr>
          <w:b/>
          <w:lang w:val="en-US"/>
        </w:rPr>
      </w:pPr>
    </w:p>
    <w:p w14:paraId="454B6016" w14:textId="77B2071A" w:rsidR="005C7156" w:rsidRDefault="005C7156" w:rsidP="00E23A2A">
      <w:pPr>
        <w:pStyle w:val="ListParagraph"/>
        <w:ind w:left="644" w:firstLine="0"/>
        <w:rPr>
          <w:b/>
          <w:lang w:val="en-US"/>
        </w:rPr>
      </w:pPr>
    </w:p>
    <w:p w14:paraId="03C76BDB" w14:textId="14816A55" w:rsidR="005C7156" w:rsidRDefault="005C7156" w:rsidP="00E23A2A">
      <w:pPr>
        <w:pStyle w:val="ListParagraph"/>
        <w:ind w:left="644" w:firstLine="0"/>
        <w:rPr>
          <w:b/>
          <w:lang w:val="en-US"/>
        </w:rPr>
      </w:pPr>
    </w:p>
    <w:p w14:paraId="43D8F414" w14:textId="75187BC1" w:rsidR="005C7156" w:rsidRDefault="005C7156" w:rsidP="00E23A2A">
      <w:pPr>
        <w:pStyle w:val="ListParagraph"/>
        <w:ind w:left="644" w:firstLine="0"/>
        <w:rPr>
          <w:b/>
          <w:lang w:val="en-US"/>
        </w:rPr>
      </w:pPr>
    </w:p>
    <w:p w14:paraId="475088CF" w14:textId="779D440A" w:rsidR="005C7156" w:rsidRDefault="005C7156" w:rsidP="00E23A2A">
      <w:pPr>
        <w:pStyle w:val="ListParagraph"/>
        <w:ind w:left="644" w:firstLine="0"/>
        <w:rPr>
          <w:b/>
          <w:lang w:val="en-US"/>
        </w:rPr>
      </w:pPr>
    </w:p>
    <w:p w14:paraId="6748217A" w14:textId="55392A3F" w:rsidR="005C7156" w:rsidRDefault="005C7156" w:rsidP="00E23A2A">
      <w:pPr>
        <w:pStyle w:val="ListParagraph"/>
        <w:ind w:left="644" w:firstLine="0"/>
        <w:rPr>
          <w:b/>
          <w:lang w:val="en-US"/>
        </w:rPr>
      </w:pPr>
    </w:p>
    <w:p w14:paraId="0D16A66E" w14:textId="38FB80E2" w:rsidR="005C7156" w:rsidRDefault="005C7156" w:rsidP="00E23A2A">
      <w:pPr>
        <w:pStyle w:val="ListParagraph"/>
        <w:ind w:left="644" w:firstLine="0"/>
        <w:rPr>
          <w:b/>
          <w:lang w:val="en-US"/>
        </w:rPr>
      </w:pPr>
    </w:p>
    <w:p w14:paraId="238C3D6A" w14:textId="561CC0C8" w:rsidR="005C7156" w:rsidRDefault="005C7156" w:rsidP="00E23A2A">
      <w:pPr>
        <w:pStyle w:val="ListParagraph"/>
        <w:ind w:left="644" w:firstLine="0"/>
        <w:rPr>
          <w:b/>
          <w:lang w:val="en-US"/>
        </w:rPr>
      </w:pPr>
    </w:p>
    <w:p w14:paraId="281C981E" w14:textId="6C047A1B" w:rsidR="005C7156" w:rsidRDefault="005C7156" w:rsidP="00E23A2A">
      <w:pPr>
        <w:pStyle w:val="ListParagraph"/>
        <w:ind w:left="644" w:firstLine="0"/>
        <w:rPr>
          <w:b/>
          <w:lang w:val="en-US"/>
        </w:rPr>
      </w:pPr>
    </w:p>
    <w:p w14:paraId="02CD5B64" w14:textId="1B37CF4A" w:rsidR="005C7156" w:rsidRDefault="005C7156" w:rsidP="00E23A2A">
      <w:pPr>
        <w:pStyle w:val="ListParagraph"/>
        <w:ind w:left="644" w:firstLine="0"/>
        <w:rPr>
          <w:b/>
          <w:lang w:val="en-US"/>
        </w:rPr>
      </w:pPr>
    </w:p>
    <w:p w14:paraId="47181A0F" w14:textId="02AC8992" w:rsidR="005C7156" w:rsidRDefault="005C7156" w:rsidP="00E23A2A">
      <w:pPr>
        <w:pStyle w:val="ListParagraph"/>
        <w:ind w:left="644" w:firstLine="0"/>
        <w:rPr>
          <w:b/>
          <w:lang w:val="en-US"/>
        </w:rPr>
      </w:pPr>
    </w:p>
    <w:p w14:paraId="30264A88" w14:textId="4806087E" w:rsidR="005C7156" w:rsidRDefault="005C7156" w:rsidP="00E23A2A">
      <w:pPr>
        <w:pStyle w:val="ListParagraph"/>
        <w:ind w:left="644" w:firstLine="0"/>
        <w:rPr>
          <w:b/>
          <w:lang w:val="en-US"/>
        </w:rPr>
      </w:pPr>
    </w:p>
    <w:p w14:paraId="2A80A663" w14:textId="247BEAED" w:rsidR="005C7156" w:rsidRDefault="005C7156" w:rsidP="00E23A2A">
      <w:pPr>
        <w:pStyle w:val="ListParagraph"/>
        <w:ind w:left="644" w:firstLine="0"/>
        <w:rPr>
          <w:b/>
          <w:lang w:val="en-US"/>
        </w:rPr>
      </w:pPr>
    </w:p>
    <w:p w14:paraId="40F03A19" w14:textId="5AF1AD2B" w:rsidR="005C7156" w:rsidRDefault="005C7156" w:rsidP="00E23A2A">
      <w:pPr>
        <w:pStyle w:val="ListParagraph"/>
        <w:ind w:left="644" w:firstLine="0"/>
        <w:rPr>
          <w:b/>
          <w:lang w:val="en-US"/>
        </w:rPr>
      </w:pPr>
    </w:p>
    <w:p w14:paraId="048D2D88" w14:textId="77777777" w:rsidR="005C7156" w:rsidRDefault="005C7156" w:rsidP="00E23A2A">
      <w:pPr>
        <w:pStyle w:val="ListParagraph"/>
        <w:ind w:left="644" w:firstLine="0"/>
        <w:rPr>
          <w:b/>
          <w:lang w:val="en-US"/>
        </w:rPr>
      </w:pPr>
    </w:p>
    <w:p w14:paraId="116CD824" w14:textId="1522FA77" w:rsidR="00F30DAF" w:rsidRPr="00D3438F" w:rsidRDefault="009E0F36" w:rsidP="00E23A2A">
      <w:pPr>
        <w:pStyle w:val="ListParagraph"/>
        <w:numPr>
          <w:ilvl w:val="0"/>
          <w:numId w:val="2"/>
        </w:numPr>
        <w:rPr>
          <w:b/>
          <w:lang w:val="en-US"/>
        </w:rPr>
      </w:pPr>
      <w:r>
        <w:rPr>
          <w:b/>
          <w:lang w:val="en-US"/>
        </w:rPr>
        <w:lastRenderedPageBreak/>
        <w:t>Angle-resolved t</w:t>
      </w:r>
      <w:r w:rsidR="00F30DAF" w:rsidRPr="00D3438F">
        <w:rPr>
          <w:b/>
          <w:lang w:val="en-US"/>
        </w:rPr>
        <w:t>ransmission</w:t>
      </w:r>
      <w:r>
        <w:rPr>
          <w:b/>
          <w:lang w:val="en-US"/>
        </w:rPr>
        <w:t xml:space="preserve"> and PL</w:t>
      </w:r>
      <w:r w:rsidR="00F30DAF" w:rsidRPr="00D3438F">
        <w:rPr>
          <w:b/>
          <w:lang w:val="en-US"/>
        </w:rPr>
        <w:t xml:space="preserve"> setup</w:t>
      </w:r>
    </w:p>
    <w:p w14:paraId="17AC86D1" w14:textId="20BD8045" w:rsidR="00F30DAF" w:rsidRPr="00D3438F" w:rsidRDefault="00F30DAF" w:rsidP="00F30DAF">
      <w:pPr>
        <w:rPr>
          <w:lang w:val="en-US"/>
        </w:rPr>
      </w:pPr>
      <w:r w:rsidRPr="00D3438F">
        <w:rPr>
          <w:lang w:val="en-US"/>
        </w:rPr>
        <w:t xml:space="preserve">The </w:t>
      </w:r>
      <w:r w:rsidR="008858EE">
        <w:rPr>
          <w:lang w:val="en-US"/>
        </w:rPr>
        <w:t xml:space="preserve">angle-resolved </w:t>
      </w:r>
      <w:r w:rsidRPr="00D3438F">
        <w:rPr>
          <w:lang w:val="en-US"/>
        </w:rPr>
        <w:t xml:space="preserve">transmission measurement was performed </w:t>
      </w:r>
      <w:r w:rsidR="003252E6" w:rsidRPr="00D3438F">
        <w:rPr>
          <w:lang w:val="en-US"/>
        </w:rPr>
        <w:t>on the setup schematically shown in Fig. S</w:t>
      </w:r>
      <w:r w:rsidR="009777A7">
        <w:rPr>
          <w:lang w:val="en-US"/>
        </w:rPr>
        <w:t>8</w:t>
      </w:r>
      <w:r w:rsidR="00EC5FEF">
        <w:rPr>
          <w:lang w:val="en-US"/>
        </w:rPr>
        <w:t>(a)</w:t>
      </w:r>
      <w:r w:rsidR="003252E6" w:rsidRPr="00D3438F">
        <w:rPr>
          <w:lang w:val="en-US"/>
        </w:rPr>
        <w:t>.</w:t>
      </w:r>
      <w:r w:rsidR="0092257D" w:rsidRPr="00D3438F">
        <w:rPr>
          <w:lang w:val="en-US"/>
        </w:rPr>
        <w:t xml:space="preserve"> Light bulb with white light spectrum was coupled to optical fiber. Output port of the optical fiber was used as a point-like source and a lens was used to collimate the beam. </w:t>
      </w:r>
      <w:r w:rsidR="000B1A0F" w:rsidRPr="00D3438F">
        <w:rPr>
          <w:lang w:val="en-US"/>
        </w:rPr>
        <w:t xml:space="preserve">Transmission spectra were measured for angles from 0° to </w:t>
      </w:r>
      <w:r w:rsidR="000B1A0F" w:rsidRPr="00D3438F">
        <w:rPr>
          <w:rFonts w:cstheme="minorHAnsi"/>
          <w:lang w:val="en-US"/>
        </w:rPr>
        <w:t>≈</w:t>
      </w:r>
      <w:r w:rsidR="00E6781A">
        <w:rPr>
          <w:rFonts w:cstheme="minorHAnsi"/>
          <w:lang w:val="en-US"/>
        </w:rPr>
        <w:t> </w:t>
      </w:r>
      <w:r w:rsidR="000B1A0F" w:rsidRPr="00D3438F">
        <w:rPr>
          <w:lang w:val="en-US"/>
        </w:rPr>
        <w:t>25° with a step 0.6</w:t>
      </w:r>
      <w:r w:rsidR="00D3438F" w:rsidRPr="00D3438F">
        <w:rPr>
          <w:lang w:val="en-US"/>
        </w:rPr>
        <w:t xml:space="preserve">°. </w:t>
      </w:r>
      <w:r w:rsidR="00D3438F">
        <w:rPr>
          <w:lang w:val="en-US"/>
        </w:rPr>
        <w:t>The individual measurements were stacked to create the band diagram</w:t>
      </w:r>
      <w:r w:rsidR="00713D9D">
        <w:rPr>
          <w:lang w:val="en-US"/>
        </w:rPr>
        <w:t>s</w:t>
      </w:r>
      <w:r w:rsidR="00D3438F">
        <w:rPr>
          <w:lang w:val="en-US"/>
        </w:rPr>
        <w:t xml:space="preserve"> </w:t>
      </w:r>
      <w:r w:rsidR="00D3438F" w:rsidRPr="00284F13">
        <w:rPr>
          <w:lang w:val="en-US"/>
        </w:rPr>
        <w:t xml:space="preserve">shown in Fig. </w:t>
      </w:r>
      <w:r w:rsidR="00A41D25" w:rsidRPr="00284F13">
        <w:rPr>
          <w:lang w:val="en-US"/>
        </w:rPr>
        <w:t>3</w:t>
      </w:r>
      <w:r w:rsidR="00D3438F" w:rsidRPr="00284F13">
        <w:rPr>
          <w:lang w:val="en-US"/>
        </w:rPr>
        <w:t xml:space="preserve"> in the main text.</w:t>
      </w:r>
      <w:r w:rsidR="00EC5FEF" w:rsidRPr="00284F13">
        <w:rPr>
          <w:lang w:val="en-US"/>
        </w:rPr>
        <w:t xml:space="preserve"> </w:t>
      </w:r>
      <w:bookmarkStart w:id="1" w:name="_GoBack"/>
      <w:r w:rsidR="00EC5FEF" w:rsidRPr="00284F13">
        <w:rPr>
          <w:lang w:val="en-US"/>
        </w:rPr>
        <w:t>Figure S8(b)</w:t>
      </w:r>
      <w:r w:rsidR="00244BBA" w:rsidRPr="00284F13">
        <w:rPr>
          <w:lang w:val="en-US"/>
        </w:rPr>
        <w:t xml:space="preserve"> shows the setup used for the angle-resolved PL measurement </w:t>
      </w:r>
      <w:r w:rsidR="00284F13" w:rsidRPr="00284F13">
        <w:rPr>
          <w:lang w:val="en-US"/>
        </w:rPr>
        <w:t xml:space="preserve">shown in the Fig. 5 in the main text. </w:t>
      </w:r>
      <w:r w:rsidR="00284F13" w:rsidRPr="00284F13">
        <w:rPr>
          <w:lang w:val="en-US" w:eastAsia="de-AT"/>
        </w:rPr>
        <w:t>A He-Cd laser (442 nm) was used for the excitation of the PL.</w:t>
      </w:r>
      <w:bookmarkEnd w:id="1"/>
    </w:p>
    <w:tbl>
      <w:tblPr>
        <w:tblStyle w:val="TableGrid"/>
        <w:tblpPr w:leftFromText="181" w:rightFromText="181" w:vertAnchor="text" w:tblpXSpec="center" w:tblpY="1"/>
        <w:tblOverlap w:val="never"/>
        <w:tblW w:w="9072" w:type="dxa"/>
        <w:tblCellMar>
          <w:left w:w="0" w:type="dxa"/>
          <w:right w:w="0" w:type="dxa"/>
        </w:tblCellMar>
        <w:tblLook w:val="04A0" w:firstRow="1" w:lastRow="0" w:firstColumn="1" w:lastColumn="0" w:noHBand="0" w:noVBand="1"/>
      </w:tblPr>
      <w:tblGrid>
        <w:gridCol w:w="9072"/>
      </w:tblGrid>
      <w:tr w:rsidR="00F30DAF" w:rsidRPr="00D3438F" w14:paraId="3DC44404" w14:textId="77777777" w:rsidTr="00891046">
        <w:tc>
          <w:tcPr>
            <w:tcW w:w="9072" w:type="dxa"/>
            <w:tcBorders>
              <w:top w:val="nil"/>
              <w:left w:val="nil"/>
              <w:right w:val="nil"/>
            </w:tcBorders>
          </w:tcPr>
          <w:p w14:paraId="50BCBA12" w14:textId="01BD2EB0" w:rsidR="00F30DAF" w:rsidRPr="00D3438F" w:rsidRDefault="00E01274" w:rsidP="00891046">
            <w:pPr>
              <w:ind w:firstLine="0"/>
              <w:jc w:val="center"/>
              <w:rPr>
                <w:rFonts w:ascii="Arial" w:hAnsi="Arial" w:cs="Arial"/>
                <w:b/>
                <w:bCs/>
                <w:sz w:val="20"/>
                <w:szCs w:val="20"/>
                <w:lang w:val="en-US"/>
              </w:rPr>
            </w:pPr>
            <w:r>
              <w:rPr>
                <w:rFonts w:ascii="Arial" w:hAnsi="Arial" w:cs="Arial"/>
                <w:b/>
                <w:bCs/>
                <w:noProof/>
                <w:sz w:val="20"/>
                <w:szCs w:val="20"/>
                <w:lang w:val="en-US"/>
              </w:rPr>
              <w:drawing>
                <wp:inline distT="0" distB="0" distL="0" distR="0" wp14:anchorId="51B4D4E0" wp14:editId="18C81821">
                  <wp:extent cx="4919473" cy="2810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9473" cy="2810256"/>
                          </a:xfrm>
                          <a:prstGeom prst="rect">
                            <a:avLst/>
                          </a:prstGeom>
                        </pic:spPr>
                      </pic:pic>
                    </a:graphicData>
                  </a:graphic>
                </wp:inline>
              </w:drawing>
            </w:r>
          </w:p>
          <w:p w14:paraId="733B1C94" w14:textId="5453C482" w:rsidR="00F30DAF" w:rsidRPr="00D3438F" w:rsidRDefault="00F30DAF" w:rsidP="00891046">
            <w:pPr>
              <w:pStyle w:val="Popis"/>
              <w:rPr>
                <w:szCs w:val="20"/>
              </w:rPr>
            </w:pPr>
            <w:r w:rsidRPr="00D3438F">
              <w:rPr>
                <w:b/>
                <w:bCs/>
              </w:rPr>
              <w:t>Figure S</w:t>
            </w:r>
            <w:r w:rsidR="009777A7">
              <w:rPr>
                <w:b/>
                <w:bCs/>
              </w:rPr>
              <w:t>8</w:t>
            </w:r>
            <w:r w:rsidRPr="00D3438F">
              <w:t xml:space="preserve">: </w:t>
            </w:r>
            <w:r w:rsidR="003252E6" w:rsidRPr="00D3438F">
              <w:t xml:space="preserve">Scheme of the setup used for the </w:t>
            </w:r>
            <w:r w:rsidR="00EC5FEF">
              <w:t xml:space="preserve">angle-resolved </w:t>
            </w:r>
            <w:r w:rsidR="003252E6" w:rsidRPr="00D3438F">
              <w:t>transmission efficiency measurement</w:t>
            </w:r>
            <w:r w:rsidR="00EC5FEF">
              <w:t xml:space="preserve"> </w:t>
            </w:r>
            <w:r w:rsidR="00EC5FEF" w:rsidRPr="00EC5FEF">
              <w:rPr>
                <w:b/>
              </w:rPr>
              <w:t>(a)</w:t>
            </w:r>
            <w:r w:rsidR="00EC5FEF">
              <w:t xml:space="preserve"> and for the angle-resolved PL measurement </w:t>
            </w:r>
            <w:r w:rsidR="00EC5FEF" w:rsidRPr="00EC5FEF">
              <w:rPr>
                <w:b/>
              </w:rPr>
              <w:t>(b)</w:t>
            </w:r>
            <w:r w:rsidR="003252E6" w:rsidRPr="00D3438F">
              <w:t>.</w:t>
            </w:r>
          </w:p>
        </w:tc>
      </w:tr>
    </w:tbl>
    <w:p w14:paraId="55DC502B" w14:textId="77777777" w:rsidR="00150B8B" w:rsidRDefault="00150B8B" w:rsidP="00A05420">
      <w:pPr>
        <w:rPr>
          <w:b/>
          <w:lang w:val="en-US"/>
        </w:rPr>
      </w:pPr>
    </w:p>
    <w:p w14:paraId="4EE9C5D0" w14:textId="778F772F" w:rsidR="00892AC9" w:rsidRPr="00CE3A4E" w:rsidRDefault="00CE3A4E" w:rsidP="00A05420">
      <w:pPr>
        <w:rPr>
          <w:b/>
          <w:lang w:val="en-US"/>
        </w:rPr>
      </w:pPr>
      <w:r w:rsidRPr="00CE3A4E">
        <w:rPr>
          <w:b/>
          <w:lang w:val="en-US"/>
        </w:rPr>
        <w:t>References</w:t>
      </w:r>
      <w:r>
        <w:rPr>
          <w:b/>
          <w:lang w:val="en-US"/>
        </w:rPr>
        <w:t>:</w:t>
      </w:r>
    </w:p>
    <w:p w14:paraId="7ABB1CFC" w14:textId="77777777" w:rsidR="008858EE" w:rsidRPr="008858EE" w:rsidRDefault="00CE3A4E" w:rsidP="008858EE">
      <w:pPr>
        <w:pStyle w:val="Bibliography"/>
        <w:rPr>
          <w:rFonts w:ascii="Calibri" w:hAnsi="Calibri" w:cs="Calibri"/>
        </w:rPr>
      </w:pPr>
      <w:r>
        <w:rPr>
          <w:lang w:val="en-US"/>
        </w:rPr>
        <w:fldChar w:fldCharType="begin"/>
      </w:r>
      <w:r w:rsidR="008858EE">
        <w:rPr>
          <w:lang w:val="en-US"/>
        </w:rPr>
        <w:instrText xml:space="preserve"> ADDIN ZOTERO_BIBL {"uncited":[],"omitted":[],"custom":[]} CSL_BIBLIOGRAPHY </w:instrText>
      </w:r>
      <w:r>
        <w:rPr>
          <w:lang w:val="en-US"/>
        </w:rPr>
        <w:fldChar w:fldCharType="separate"/>
      </w:r>
      <w:r w:rsidR="008858EE" w:rsidRPr="008858EE">
        <w:rPr>
          <w:rFonts w:ascii="Calibri" w:hAnsi="Calibri" w:cs="Calibri"/>
        </w:rPr>
        <w:t>[1]</w:t>
      </w:r>
      <w:r w:rsidR="008858EE" w:rsidRPr="008858EE">
        <w:rPr>
          <w:rFonts w:ascii="Calibri" w:hAnsi="Calibri" w:cs="Calibri"/>
        </w:rPr>
        <w:tab/>
        <w:t>H.R. Phillip, E.A. Taft, Kramers-Kronig Analysis of Reflectance Data for Diamond, Phys. Rev. 136 (1964) A1445–A1448. https://doi.org/10.1103/PhysRev.136.A1445.</w:t>
      </w:r>
    </w:p>
    <w:p w14:paraId="218C4D40" w14:textId="7753DA51" w:rsidR="00CE3A4E" w:rsidRPr="00892AC9" w:rsidRDefault="00CE3A4E" w:rsidP="00A05420">
      <w:pPr>
        <w:rPr>
          <w:lang w:val="en-US"/>
        </w:rPr>
      </w:pPr>
      <w:r>
        <w:rPr>
          <w:lang w:val="en-US"/>
        </w:rPr>
        <w:fldChar w:fldCharType="end"/>
      </w:r>
    </w:p>
    <w:sectPr w:rsidR="00CE3A4E" w:rsidRPr="00892A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760B8"/>
    <w:multiLevelType w:val="hybridMultilevel"/>
    <w:tmpl w:val="2FFAF268"/>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43461"/>
    <w:multiLevelType w:val="hybridMultilevel"/>
    <w:tmpl w:val="8B9662A8"/>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8B94125"/>
    <w:multiLevelType w:val="hybridMultilevel"/>
    <w:tmpl w:val="855C7A56"/>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EB048A"/>
    <w:multiLevelType w:val="hybridMultilevel"/>
    <w:tmpl w:val="855C7A56"/>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AB0D5B"/>
    <w:multiLevelType w:val="hybridMultilevel"/>
    <w:tmpl w:val="855C7A56"/>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F6A5F"/>
    <w:multiLevelType w:val="hybridMultilevel"/>
    <w:tmpl w:val="855C7A56"/>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FE6438"/>
    <w:multiLevelType w:val="hybridMultilevel"/>
    <w:tmpl w:val="855C7A56"/>
    <w:lvl w:ilvl="0" w:tplc="497A52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4F"/>
    <w:rsid w:val="00007FEC"/>
    <w:rsid w:val="00054B29"/>
    <w:rsid w:val="00095BD9"/>
    <w:rsid w:val="000B1A0F"/>
    <w:rsid w:val="00125291"/>
    <w:rsid w:val="00150B8B"/>
    <w:rsid w:val="00156A65"/>
    <w:rsid w:val="00230B9D"/>
    <w:rsid w:val="00244BBA"/>
    <w:rsid w:val="00284F13"/>
    <w:rsid w:val="002B15EA"/>
    <w:rsid w:val="002F18AD"/>
    <w:rsid w:val="003029ED"/>
    <w:rsid w:val="003252E6"/>
    <w:rsid w:val="00383748"/>
    <w:rsid w:val="0043091E"/>
    <w:rsid w:val="004A4734"/>
    <w:rsid w:val="00506647"/>
    <w:rsid w:val="00533902"/>
    <w:rsid w:val="0055418A"/>
    <w:rsid w:val="005C7156"/>
    <w:rsid w:val="00703D79"/>
    <w:rsid w:val="00713D9D"/>
    <w:rsid w:val="00747363"/>
    <w:rsid w:val="007535EA"/>
    <w:rsid w:val="007D24FE"/>
    <w:rsid w:val="007F783B"/>
    <w:rsid w:val="00823CAC"/>
    <w:rsid w:val="00876A1B"/>
    <w:rsid w:val="008858EE"/>
    <w:rsid w:val="00892170"/>
    <w:rsid w:val="00892AC9"/>
    <w:rsid w:val="008C122F"/>
    <w:rsid w:val="0092257D"/>
    <w:rsid w:val="00971727"/>
    <w:rsid w:val="009777A7"/>
    <w:rsid w:val="009A0A55"/>
    <w:rsid w:val="009E0F36"/>
    <w:rsid w:val="009F51BE"/>
    <w:rsid w:val="00A05420"/>
    <w:rsid w:val="00A41D25"/>
    <w:rsid w:val="00AC744F"/>
    <w:rsid w:val="00BA0428"/>
    <w:rsid w:val="00C25374"/>
    <w:rsid w:val="00C30701"/>
    <w:rsid w:val="00CE3A4E"/>
    <w:rsid w:val="00CF1C29"/>
    <w:rsid w:val="00D21A7B"/>
    <w:rsid w:val="00D3438F"/>
    <w:rsid w:val="00D97DBD"/>
    <w:rsid w:val="00DF260E"/>
    <w:rsid w:val="00E01274"/>
    <w:rsid w:val="00E23A2A"/>
    <w:rsid w:val="00E40395"/>
    <w:rsid w:val="00E6781A"/>
    <w:rsid w:val="00E83E0A"/>
    <w:rsid w:val="00EC5FEF"/>
    <w:rsid w:val="00F27C97"/>
    <w:rsid w:val="00F30DAF"/>
    <w:rsid w:val="00FC20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22B72"/>
  <w15:chartTrackingRefBased/>
  <w15:docId w15:val="{DD29E0CD-1AFA-4B4F-91FF-DAFB3AEC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6A65"/>
    <w:pPr>
      <w:ind w:firstLine="284"/>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is">
    <w:name w:val="Popis"/>
    <w:basedOn w:val="Normal"/>
    <w:next w:val="Normal"/>
    <w:link w:val="PopisChar"/>
    <w:qFormat/>
    <w:rsid w:val="00C30701"/>
    <w:pPr>
      <w:spacing w:before="240" w:after="240"/>
      <w:ind w:left="113" w:right="113" w:firstLine="0"/>
    </w:pPr>
    <w:rPr>
      <w:rFonts w:ascii="Arial" w:eastAsia="Times New Roman" w:hAnsi="Arial" w:cs="Times New Roman"/>
      <w:sz w:val="20"/>
      <w:lang w:val="en-US"/>
    </w:rPr>
  </w:style>
  <w:style w:type="character" w:customStyle="1" w:styleId="PopisChar">
    <w:name w:val="Popis Char"/>
    <w:basedOn w:val="DefaultParagraphFont"/>
    <w:link w:val="Popis"/>
    <w:locked/>
    <w:rsid w:val="00C30701"/>
    <w:rPr>
      <w:rFonts w:ascii="Arial" w:eastAsia="Times New Roman" w:hAnsi="Arial" w:cs="Times New Roman"/>
      <w:sz w:val="20"/>
      <w:lang w:val="en-US"/>
    </w:rPr>
  </w:style>
  <w:style w:type="paragraph" w:styleId="ListParagraph">
    <w:name w:val="List Paragraph"/>
    <w:basedOn w:val="Normal"/>
    <w:uiPriority w:val="34"/>
    <w:qFormat/>
    <w:rsid w:val="003029ED"/>
    <w:pPr>
      <w:ind w:left="720"/>
      <w:contextualSpacing/>
    </w:pPr>
  </w:style>
  <w:style w:type="character" w:styleId="CommentReference">
    <w:name w:val="annotation reference"/>
    <w:basedOn w:val="DefaultParagraphFont"/>
    <w:uiPriority w:val="99"/>
    <w:semiHidden/>
    <w:unhideWhenUsed/>
    <w:rsid w:val="00892AC9"/>
    <w:rPr>
      <w:sz w:val="16"/>
      <w:szCs w:val="16"/>
    </w:rPr>
  </w:style>
  <w:style w:type="paragraph" w:styleId="CommentText">
    <w:name w:val="annotation text"/>
    <w:basedOn w:val="Normal"/>
    <w:link w:val="CommentTextChar"/>
    <w:uiPriority w:val="99"/>
    <w:semiHidden/>
    <w:unhideWhenUsed/>
    <w:rsid w:val="00892AC9"/>
    <w:pPr>
      <w:spacing w:line="240" w:lineRule="auto"/>
    </w:pPr>
    <w:rPr>
      <w:sz w:val="20"/>
      <w:szCs w:val="20"/>
    </w:rPr>
  </w:style>
  <w:style w:type="character" w:customStyle="1" w:styleId="CommentTextChar">
    <w:name w:val="Comment Text Char"/>
    <w:basedOn w:val="DefaultParagraphFont"/>
    <w:link w:val="CommentText"/>
    <w:uiPriority w:val="99"/>
    <w:semiHidden/>
    <w:rsid w:val="00892AC9"/>
    <w:rPr>
      <w:sz w:val="20"/>
      <w:szCs w:val="20"/>
    </w:rPr>
  </w:style>
  <w:style w:type="paragraph" w:styleId="CommentSubject">
    <w:name w:val="annotation subject"/>
    <w:basedOn w:val="CommentText"/>
    <w:next w:val="CommentText"/>
    <w:link w:val="CommentSubjectChar"/>
    <w:uiPriority w:val="99"/>
    <w:semiHidden/>
    <w:unhideWhenUsed/>
    <w:rsid w:val="00892AC9"/>
    <w:rPr>
      <w:b/>
      <w:bCs/>
    </w:rPr>
  </w:style>
  <w:style w:type="character" w:customStyle="1" w:styleId="CommentSubjectChar">
    <w:name w:val="Comment Subject Char"/>
    <w:basedOn w:val="CommentTextChar"/>
    <w:link w:val="CommentSubject"/>
    <w:uiPriority w:val="99"/>
    <w:semiHidden/>
    <w:rsid w:val="00892AC9"/>
    <w:rPr>
      <w:b/>
      <w:bCs/>
      <w:sz w:val="20"/>
      <w:szCs w:val="20"/>
    </w:rPr>
  </w:style>
  <w:style w:type="paragraph" w:styleId="BalloonText">
    <w:name w:val="Balloon Text"/>
    <w:basedOn w:val="Normal"/>
    <w:link w:val="BalloonTextChar"/>
    <w:uiPriority w:val="99"/>
    <w:semiHidden/>
    <w:unhideWhenUsed/>
    <w:rsid w:val="00892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C9"/>
    <w:rPr>
      <w:rFonts w:ascii="Segoe UI" w:hAnsi="Segoe UI" w:cs="Segoe UI"/>
      <w:sz w:val="18"/>
      <w:szCs w:val="18"/>
    </w:rPr>
  </w:style>
  <w:style w:type="paragraph" w:styleId="Bibliography">
    <w:name w:val="Bibliography"/>
    <w:basedOn w:val="Normal"/>
    <w:next w:val="Normal"/>
    <w:uiPriority w:val="37"/>
    <w:unhideWhenUsed/>
    <w:rsid w:val="00CE3A4E"/>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8</Pages>
  <Words>1384</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 Jan</dc:creator>
  <cp:keywords/>
  <dc:description/>
  <cp:lastModifiedBy>Fait, Jan</cp:lastModifiedBy>
  <cp:revision>9</cp:revision>
  <dcterms:created xsi:type="dcterms:W3CDTF">2021-08-26T06:50:00Z</dcterms:created>
  <dcterms:modified xsi:type="dcterms:W3CDTF">2021-08-31T13:56:00Z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id="nij7VmBA"/&gt;&lt;style id="http://www.zotero.org/styles/carbon" hasBibliography="1" bibliographyStyleHasBeenSet="1"/&gt;&lt;prefs&gt;&lt;pref name="fieldType" value="Field"/&gt;&lt;/prefs&gt;&lt;/data&gt;</vt:lpwstr>
  </property>
</Properties>
</file>