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95C83" w14:textId="77777777" w:rsidR="0054640D" w:rsidRPr="001E685F" w:rsidRDefault="0054640D" w:rsidP="0054640D">
      <w:pPr>
        <w:pStyle w:val="articleauthor"/>
        <w:rPr>
          <w:b/>
          <w:u w:val="single"/>
        </w:rPr>
      </w:pPr>
      <w:bookmarkStart w:id="0" w:name="_Hlk39511732"/>
      <w:bookmarkStart w:id="1" w:name="_GoBack"/>
      <w:bookmarkEnd w:id="0"/>
      <w:bookmarkEnd w:id="1"/>
      <w:r w:rsidRPr="001E685F">
        <w:rPr>
          <w:b/>
          <w:u w:val="single"/>
        </w:rPr>
        <w:t>Supporting Information</w:t>
      </w:r>
    </w:p>
    <w:p w14:paraId="5D8EE6FA" w14:textId="77777777" w:rsidR="0054640D" w:rsidRPr="001E685F" w:rsidRDefault="0054640D" w:rsidP="0054640D">
      <w:pPr>
        <w:pStyle w:val="articletitle"/>
      </w:pPr>
    </w:p>
    <w:p w14:paraId="4E3FF968" w14:textId="77777777" w:rsidR="0054640D" w:rsidRPr="00A35E4A" w:rsidRDefault="0054640D" w:rsidP="0054640D">
      <w:pPr>
        <w:pStyle w:val="articleauthor"/>
      </w:pPr>
      <w:r>
        <w:t>Stefan Fossati, Simone Hageneder, Samia Menad, Emmanuel Maillart, Jakub Dostalek</w:t>
      </w:r>
      <w:r w:rsidRPr="00A35E4A">
        <w:t xml:space="preserve">* </w:t>
      </w:r>
    </w:p>
    <w:p w14:paraId="074FFCE7" w14:textId="77777777" w:rsidR="0054640D" w:rsidRPr="00F7461B" w:rsidRDefault="0054640D" w:rsidP="0054640D">
      <w:pPr>
        <w:pStyle w:val="articletitle"/>
      </w:pPr>
    </w:p>
    <w:p w14:paraId="22A5CF89" w14:textId="77777777" w:rsidR="0054640D" w:rsidRPr="00EC1DF3" w:rsidRDefault="0054640D" w:rsidP="0054640D">
      <w:pPr>
        <w:pStyle w:val="articletitle"/>
      </w:pPr>
      <w:r>
        <w:t>Multi-resonant plasmonic nanostructure for ultrasensitive fluorescence biosensing</w:t>
      </w:r>
    </w:p>
    <w:p w14:paraId="4E17754A" w14:textId="77777777" w:rsidR="0054640D" w:rsidRDefault="0054640D" w:rsidP="0054640D">
      <w:pPr>
        <w:rPr>
          <w:lang w:val="en-US"/>
        </w:rPr>
      </w:pPr>
    </w:p>
    <w:p w14:paraId="6C7A810F" w14:textId="77777777" w:rsidR="0054640D" w:rsidRPr="000B3E13" w:rsidRDefault="0054640D" w:rsidP="0054640D">
      <w:pPr>
        <w:rPr>
          <w:rFonts w:ascii="Arial" w:hAnsi="Arial" w:cs="Arial"/>
          <w:b/>
          <w:sz w:val="24"/>
          <w:szCs w:val="24"/>
          <w:lang w:val="en-US"/>
        </w:rPr>
      </w:pPr>
      <w:r w:rsidRPr="000B3E13">
        <w:rPr>
          <w:rFonts w:ascii="Arial" w:hAnsi="Arial" w:cs="Arial"/>
          <w:b/>
          <w:sz w:val="24"/>
          <w:szCs w:val="24"/>
          <w:lang w:val="en-US"/>
        </w:rPr>
        <w:t>Fabrication process</w:t>
      </w:r>
    </w:p>
    <w:p w14:paraId="32B60DF7" w14:textId="6F3F9D89" w:rsidR="0054640D" w:rsidRDefault="0054640D" w:rsidP="00AA6F46">
      <w:pPr>
        <w:jc w:val="both"/>
        <w:rPr>
          <w:rFonts w:ascii="Times New Roman" w:hAnsi="Times New Roman" w:cs="Times New Roman"/>
          <w:sz w:val="19"/>
          <w:szCs w:val="19"/>
          <w:lang w:val="en-US"/>
        </w:rPr>
      </w:pPr>
      <w:r w:rsidRPr="000B3E13">
        <w:rPr>
          <w:rFonts w:ascii="Times New Roman" w:hAnsi="Times New Roman" w:cs="Times New Roman"/>
          <w:sz w:val="19"/>
          <w:szCs w:val="19"/>
          <w:lang w:val="en-US"/>
        </w:rPr>
        <w:t>The multi</w:t>
      </w:r>
      <w:r w:rsidR="00AA6F46">
        <w:rPr>
          <w:rFonts w:ascii="Times New Roman" w:hAnsi="Times New Roman" w:cs="Times New Roman"/>
          <w:sz w:val="19"/>
          <w:szCs w:val="19"/>
          <w:lang w:val="en-US"/>
        </w:rPr>
        <w:t>-</w:t>
      </w:r>
      <w:r w:rsidRPr="000B3E13">
        <w:rPr>
          <w:rFonts w:ascii="Times New Roman" w:hAnsi="Times New Roman" w:cs="Times New Roman"/>
          <w:sz w:val="19"/>
          <w:szCs w:val="19"/>
          <w:lang w:val="en-US"/>
        </w:rPr>
        <w:t xml:space="preserve">period </w:t>
      </w:r>
      <w:r w:rsidR="00AA6F46">
        <w:rPr>
          <w:rFonts w:ascii="Times New Roman" w:hAnsi="Times New Roman" w:cs="Times New Roman"/>
          <w:sz w:val="19"/>
          <w:szCs w:val="19"/>
          <w:lang w:val="en-US"/>
        </w:rPr>
        <w:t xml:space="preserve">plasmonic </w:t>
      </w:r>
      <w:r w:rsidRPr="000B3E13">
        <w:rPr>
          <w:rFonts w:ascii="Times New Roman" w:hAnsi="Times New Roman" w:cs="Times New Roman"/>
          <w:sz w:val="19"/>
          <w:szCs w:val="19"/>
          <w:lang w:val="en-US"/>
        </w:rPr>
        <w:t xml:space="preserve">grating </w:t>
      </w:r>
      <w:r w:rsidR="00C97D93">
        <w:rPr>
          <w:rFonts w:ascii="Times New Roman" w:hAnsi="Times New Roman" w:cs="Times New Roman"/>
          <w:sz w:val="19"/>
          <w:szCs w:val="19"/>
          <w:lang w:val="en-US"/>
        </w:rPr>
        <w:t>–</w:t>
      </w:r>
      <w:r w:rsidR="00AA6F46">
        <w:rPr>
          <w:rFonts w:ascii="Times New Roman" w:hAnsi="Times New Roman" w:cs="Times New Roman"/>
          <w:sz w:val="19"/>
          <w:szCs w:val="19"/>
          <w:lang w:val="en-US"/>
        </w:rPr>
        <w:t xml:space="preserve"> </w:t>
      </w:r>
      <w:r w:rsidRPr="000B3E13">
        <w:rPr>
          <w:rFonts w:ascii="Times New Roman" w:hAnsi="Times New Roman" w:cs="Times New Roman"/>
          <w:sz w:val="19"/>
          <w:szCs w:val="19"/>
          <w:lang w:val="en-US"/>
        </w:rPr>
        <w:t xml:space="preserve">MPG </w:t>
      </w:r>
      <w:r w:rsidR="00AA6F46">
        <w:rPr>
          <w:rFonts w:ascii="Times New Roman" w:hAnsi="Times New Roman" w:cs="Times New Roman"/>
          <w:sz w:val="19"/>
          <w:szCs w:val="19"/>
          <w:lang w:val="en-US"/>
        </w:rPr>
        <w:t xml:space="preserve">– nanostructures </w:t>
      </w:r>
      <w:r w:rsidRPr="000B3E13">
        <w:rPr>
          <w:rFonts w:ascii="Times New Roman" w:hAnsi="Times New Roman" w:cs="Times New Roman"/>
          <w:sz w:val="19"/>
          <w:szCs w:val="19"/>
          <w:lang w:val="en-US"/>
        </w:rPr>
        <w:t>w</w:t>
      </w:r>
      <w:r w:rsidR="001B47FB">
        <w:rPr>
          <w:rFonts w:ascii="Times New Roman" w:hAnsi="Times New Roman" w:cs="Times New Roman"/>
          <w:sz w:val="19"/>
          <w:szCs w:val="19"/>
          <w:lang w:val="en-US"/>
        </w:rPr>
        <w:t>ere</w:t>
      </w:r>
      <w:r w:rsidRPr="000B3E13">
        <w:rPr>
          <w:rFonts w:ascii="Times New Roman" w:hAnsi="Times New Roman" w:cs="Times New Roman"/>
          <w:sz w:val="19"/>
          <w:szCs w:val="19"/>
          <w:lang w:val="en-US"/>
        </w:rPr>
        <w:t xml:space="preserve"> prepared using a series of nanolithography </w:t>
      </w:r>
      <w:r w:rsidR="00582365">
        <w:rPr>
          <w:rFonts w:ascii="Times New Roman" w:hAnsi="Times New Roman" w:cs="Times New Roman"/>
          <w:sz w:val="19"/>
          <w:szCs w:val="19"/>
          <w:lang w:val="en-US"/>
        </w:rPr>
        <w:t>steps</w:t>
      </w:r>
      <w:r w:rsidRPr="000B3E13">
        <w:rPr>
          <w:rFonts w:ascii="Times New Roman" w:hAnsi="Times New Roman" w:cs="Times New Roman"/>
          <w:sz w:val="19"/>
          <w:szCs w:val="19"/>
          <w:lang w:val="en-US"/>
        </w:rPr>
        <w:t xml:space="preserve">. </w:t>
      </w:r>
      <w:r w:rsidR="00AA6F46">
        <w:rPr>
          <w:rFonts w:ascii="Times New Roman" w:hAnsi="Times New Roman" w:cs="Times New Roman"/>
          <w:sz w:val="19"/>
          <w:szCs w:val="19"/>
          <w:lang w:val="en-US"/>
        </w:rPr>
        <w:t>UV-l</w:t>
      </w:r>
      <w:r w:rsidRPr="000B3E13">
        <w:rPr>
          <w:rFonts w:ascii="Times New Roman" w:hAnsi="Times New Roman" w:cs="Times New Roman"/>
          <w:sz w:val="19"/>
          <w:szCs w:val="19"/>
          <w:lang w:val="en-US"/>
        </w:rPr>
        <w:t xml:space="preserve">aser interference lithography </w:t>
      </w:r>
      <w:r w:rsidR="00AA6F46">
        <w:rPr>
          <w:rFonts w:ascii="Times New Roman" w:hAnsi="Times New Roman" w:cs="Times New Roman"/>
          <w:sz w:val="19"/>
          <w:szCs w:val="19"/>
          <w:lang w:val="en-US"/>
        </w:rPr>
        <w:t xml:space="preserve">– UV-LIL </w:t>
      </w:r>
      <w:r w:rsidR="00C97D93">
        <w:rPr>
          <w:rFonts w:ascii="Times New Roman" w:hAnsi="Times New Roman" w:cs="Times New Roman"/>
          <w:sz w:val="19"/>
          <w:szCs w:val="19"/>
          <w:lang w:val="en-US"/>
        </w:rPr>
        <w:t>–</w:t>
      </w:r>
      <w:r w:rsidRPr="000B3E13">
        <w:rPr>
          <w:rFonts w:ascii="Times New Roman" w:hAnsi="Times New Roman" w:cs="Times New Roman"/>
          <w:sz w:val="19"/>
          <w:szCs w:val="19"/>
          <w:lang w:val="en-US"/>
        </w:rPr>
        <w:t xml:space="preserve"> was employed to generate a master structure in photoresist </w:t>
      </w:r>
      <w:r w:rsidR="008F3579">
        <w:rPr>
          <w:rFonts w:ascii="Times New Roman" w:hAnsi="Times New Roman" w:cs="Times New Roman"/>
          <w:sz w:val="19"/>
          <w:szCs w:val="19"/>
          <w:lang w:val="en-US"/>
        </w:rPr>
        <w:t xml:space="preserve">layer </w:t>
      </w:r>
      <w:r w:rsidR="00582365">
        <w:rPr>
          <w:rFonts w:ascii="Times New Roman" w:hAnsi="Times New Roman" w:cs="Times New Roman"/>
          <w:sz w:val="19"/>
          <w:szCs w:val="19"/>
          <w:lang w:val="en-US"/>
        </w:rPr>
        <w:t>on the top of</w:t>
      </w:r>
      <w:r w:rsidR="008F3579">
        <w:rPr>
          <w:rFonts w:ascii="Times New Roman" w:hAnsi="Times New Roman" w:cs="Times New Roman"/>
          <w:sz w:val="19"/>
          <w:szCs w:val="19"/>
          <w:lang w:val="en-US"/>
        </w:rPr>
        <w:t xml:space="preserve"> </w:t>
      </w:r>
      <w:r w:rsidRPr="000B3E13">
        <w:rPr>
          <w:rFonts w:ascii="Times New Roman" w:hAnsi="Times New Roman" w:cs="Times New Roman"/>
          <w:sz w:val="19"/>
          <w:szCs w:val="19"/>
          <w:lang w:val="en-US"/>
        </w:rPr>
        <w:t xml:space="preserve">a glass substrate by </w:t>
      </w:r>
      <w:r w:rsidR="00582365">
        <w:rPr>
          <w:rFonts w:ascii="Times New Roman" w:hAnsi="Times New Roman" w:cs="Times New Roman"/>
          <w:sz w:val="19"/>
          <w:szCs w:val="19"/>
          <w:lang w:val="en-US"/>
        </w:rPr>
        <w:t xml:space="preserve">using </w:t>
      </w:r>
      <w:r w:rsidRPr="000B3E13">
        <w:rPr>
          <w:rFonts w:ascii="Times New Roman" w:hAnsi="Times New Roman" w:cs="Times New Roman"/>
          <w:sz w:val="19"/>
          <w:szCs w:val="19"/>
          <w:lang w:val="en-US"/>
        </w:rPr>
        <w:t xml:space="preserve">multiple exposures </w:t>
      </w:r>
      <w:r w:rsidR="008F3579">
        <w:rPr>
          <w:rFonts w:ascii="Times New Roman" w:hAnsi="Times New Roman" w:cs="Times New Roman"/>
          <w:sz w:val="19"/>
          <w:szCs w:val="19"/>
          <w:lang w:val="en-US"/>
        </w:rPr>
        <w:t xml:space="preserve">of </w:t>
      </w:r>
      <w:r w:rsidR="00582365">
        <w:rPr>
          <w:rFonts w:ascii="Times New Roman" w:hAnsi="Times New Roman" w:cs="Times New Roman"/>
          <w:sz w:val="19"/>
          <w:szCs w:val="19"/>
          <w:lang w:val="en-US"/>
        </w:rPr>
        <w:t xml:space="preserve">an </w:t>
      </w:r>
      <w:r w:rsidR="008F3579">
        <w:rPr>
          <w:rFonts w:ascii="Times New Roman" w:hAnsi="Times New Roman" w:cs="Times New Roman"/>
          <w:sz w:val="19"/>
          <w:szCs w:val="19"/>
          <w:lang w:val="en-US"/>
        </w:rPr>
        <w:t>interference fie</w:t>
      </w:r>
      <w:r w:rsidR="00582365">
        <w:rPr>
          <w:rFonts w:ascii="Times New Roman" w:hAnsi="Times New Roman" w:cs="Times New Roman"/>
          <w:sz w:val="19"/>
          <w:szCs w:val="19"/>
          <w:lang w:val="en-US"/>
        </w:rPr>
        <w:t>l</w:t>
      </w:r>
      <w:r w:rsidR="008F3579">
        <w:rPr>
          <w:rFonts w:ascii="Times New Roman" w:hAnsi="Times New Roman" w:cs="Times New Roman"/>
          <w:sz w:val="19"/>
          <w:szCs w:val="19"/>
          <w:lang w:val="en-US"/>
        </w:rPr>
        <w:t>d</w:t>
      </w:r>
      <w:r w:rsidR="00582365">
        <w:rPr>
          <w:rFonts w:ascii="Times New Roman" w:hAnsi="Times New Roman" w:cs="Times New Roman"/>
          <w:sz w:val="19"/>
          <w:szCs w:val="19"/>
          <w:lang w:val="en-US"/>
        </w:rPr>
        <w:t xml:space="preserve"> followed by etching with a developer</w:t>
      </w:r>
      <w:r w:rsidR="008F3579">
        <w:rPr>
          <w:rFonts w:ascii="Times New Roman" w:hAnsi="Times New Roman" w:cs="Times New Roman"/>
          <w:sz w:val="19"/>
          <w:szCs w:val="19"/>
          <w:lang w:val="en-US"/>
        </w:rPr>
        <w:t xml:space="preserve">. </w:t>
      </w:r>
      <w:r w:rsidRPr="000B3E13">
        <w:rPr>
          <w:rFonts w:ascii="Times New Roman" w:hAnsi="Times New Roman" w:cs="Times New Roman"/>
          <w:sz w:val="19"/>
          <w:szCs w:val="19"/>
          <w:lang w:val="en-US"/>
        </w:rPr>
        <w:t xml:space="preserve">Lloyd’s mirror configuration </w:t>
      </w:r>
      <w:r w:rsidR="00C97D93">
        <w:rPr>
          <w:rFonts w:ascii="Times New Roman" w:hAnsi="Times New Roman" w:cs="Times New Roman"/>
          <w:sz w:val="19"/>
          <w:szCs w:val="19"/>
          <w:lang w:val="en-US"/>
        </w:rPr>
        <w:t xml:space="preserve">was used as showed in </w:t>
      </w:r>
      <w:r w:rsidRPr="000B3E13">
        <w:rPr>
          <w:rFonts w:ascii="Times New Roman" w:hAnsi="Times New Roman" w:cs="Times New Roman"/>
          <w:sz w:val="19"/>
          <w:szCs w:val="19"/>
          <w:lang w:val="en-US"/>
        </w:rPr>
        <w:t>Figure S1A</w:t>
      </w:r>
      <w:r w:rsidR="00582365">
        <w:rPr>
          <w:rFonts w:ascii="Times New Roman" w:hAnsi="Times New Roman" w:cs="Times New Roman"/>
          <w:sz w:val="19"/>
          <w:szCs w:val="19"/>
          <w:lang w:val="en-US"/>
        </w:rPr>
        <w:t xml:space="preserve"> to record an interference field formed by two overlapping plane waves</w:t>
      </w:r>
      <w:r w:rsidRPr="000B3E13">
        <w:rPr>
          <w:rFonts w:ascii="Times New Roman" w:hAnsi="Times New Roman" w:cs="Times New Roman"/>
          <w:sz w:val="19"/>
          <w:szCs w:val="19"/>
          <w:lang w:val="en-US"/>
        </w:rPr>
        <w:t xml:space="preserve">. Precise control of the pattern period </w:t>
      </w:r>
      <w:r w:rsidR="00C97D93" w:rsidRPr="00C97D93">
        <w:rPr>
          <w:rFonts w:ascii="Times New Roman" w:hAnsi="Times New Roman" w:cs="Times New Roman"/>
          <w:i/>
          <w:iCs/>
          <w:sz w:val="19"/>
          <w:szCs w:val="19"/>
          <w:lang w:val="en-US"/>
        </w:rPr>
        <w:t>Λ</w:t>
      </w:r>
      <w:r w:rsidR="00C97D93">
        <w:rPr>
          <w:rFonts w:ascii="Times New Roman" w:hAnsi="Times New Roman" w:cs="Times New Roman"/>
          <w:sz w:val="19"/>
          <w:szCs w:val="19"/>
          <w:lang w:val="en-US"/>
        </w:rPr>
        <w:t xml:space="preserve"> </w:t>
      </w:r>
      <w:r w:rsidRPr="000B3E13">
        <w:rPr>
          <w:rFonts w:ascii="Times New Roman" w:hAnsi="Times New Roman" w:cs="Times New Roman"/>
          <w:sz w:val="19"/>
          <w:szCs w:val="19"/>
          <w:lang w:val="en-US"/>
        </w:rPr>
        <w:t xml:space="preserve">is achieved by </w:t>
      </w:r>
      <w:r w:rsidR="00582365">
        <w:rPr>
          <w:rFonts w:ascii="Times New Roman" w:hAnsi="Times New Roman" w:cs="Times New Roman"/>
          <w:sz w:val="19"/>
          <w:szCs w:val="19"/>
          <w:lang w:val="en-US"/>
        </w:rPr>
        <w:t>adjusting</w:t>
      </w:r>
      <w:r w:rsidRPr="000B3E13">
        <w:rPr>
          <w:rFonts w:ascii="Times New Roman" w:hAnsi="Times New Roman" w:cs="Times New Roman"/>
          <w:sz w:val="19"/>
          <w:szCs w:val="19"/>
          <w:lang w:val="en-US"/>
        </w:rPr>
        <w:t xml:space="preserve"> the angle </w:t>
      </w:r>
      <w:r w:rsidR="00C97D93" w:rsidRPr="00C97D93">
        <w:rPr>
          <w:rFonts w:ascii="Times New Roman" w:hAnsi="Times New Roman" w:cs="Times New Roman"/>
          <w:i/>
          <w:iCs/>
          <w:sz w:val="19"/>
          <w:szCs w:val="19"/>
          <w:lang w:val="en-US"/>
        </w:rPr>
        <w:t>θ</w:t>
      </w:r>
      <w:r w:rsidR="00C97D93">
        <w:rPr>
          <w:rFonts w:ascii="Times New Roman" w:hAnsi="Times New Roman" w:cs="Times New Roman"/>
          <w:sz w:val="19"/>
          <w:szCs w:val="19"/>
          <w:lang w:val="en-US"/>
        </w:rPr>
        <w:t xml:space="preserve"> </w:t>
      </w:r>
      <w:r w:rsidRPr="000B3E13">
        <w:rPr>
          <w:rFonts w:ascii="Times New Roman" w:hAnsi="Times New Roman" w:cs="Times New Roman"/>
          <w:sz w:val="19"/>
          <w:szCs w:val="19"/>
          <w:lang w:val="en-US"/>
        </w:rPr>
        <w:t xml:space="preserve">while the modulation depth is adjusted by the exposure time and development parameters. </w:t>
      </w:r>
    </w:p>
    <w:p w14:paraId="7CAA1E53" w14:textId="77777777" w:rsidR="000C6E33" w:rsidRPr="000B3E13" w:rsidRDefault="000C6E33" w:rsidP="00AA6F46">
      <w:pPr>
        <w:jc w:val="both"/>
        <w:rPr>
          <w:rFonts w:ascii="Times New Roman" w:hAnsi="Times New Roman" w:cs="Times New Roman"/>
          <w:sz w:val="19"/>
          <w:szCs w:val="19"/>
          <w:lang w:val="en-US"/>
        </w:rPr>
      </w:pPr>
    </w:p>
    <w:p w14:paraId="739C4502" w14:textId="4D4EB560" w:rsidR="0054640D" w:rsidRDefault="0054640D" w:rsidP="000C6E33">
      <w:pPr>
        <w:jc w:val="center"/>
        <w:rPr>
          <w:lang w:val="en-US"/>
        </w:rPr>
      </w:pPr>
      <w:r w:rsidRPr="0054640D">
        <w:rPr>
          <w:noProof/>
        </w:rPr>
        <w:drawing>
          <wp:inline distT="0" distB="0" distL="0" distR="0" wp14:anchorId="199EFC10" wp14:editId="28E33233">
            <wp:extent cx="3181350" cy="4848225"/>
            <wp:effectExtent l="0" t="0" r="0" b="9525"/>
            <wp:docPr id="4" name="Picture 275">
              <a:extLst xmlns:a="http://schemas.openxmlformats.org/drawingml/2006/main">
                <a:ext uri="{FF2B5EF4-FFF2-40B4-BE49-F238E27FC236}">
                  <a16:creationId xmlns:a16="http://schemas.microsoft.com/office/drawing/2014/main" id="{10A6A07E-1CA4-40D7-9759-E44BFFCBDB2F}"/>
                </a:ext>
              </a:extLst>
            </wp:docPr>
            <wp:cNvGraphicFramePr/>
            <a:graphic xmlns:a="http://schemas.openxmlformats.org/drawingml/2006/main">
              <a:graphicData uri="http://schemas.openxmlformats.org/drawingml/2006/picture">
                <pic:pic xmlns:pic="http://schemas.openxmlformats.org/drawingml/2006/picture">
                  <pic:nvPicPr>
                    <pic:cNvPr id="4" name="Picture 275">
                      <a:extLst>
                        <a:ext uri="{FF2B5EF4-FFF2-40B4-BE49-F238E27FC236}">
                          <a16:creationId xmlns:a16="http://schemas.microsoft.com/office/drawing/2014/main" id="{10A6A07E-1CA4-40D7-9759-E44BFFCBDB2F}"/>
                        </a:ext>
                      </a:extLst>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81350" cy="4848225"/>
                    </a:xfrm>
                    <a:prstGeom prst="rect">
                      <a:avLst/>
                    </a:prstGeom>
                    <a:ln>
                      <a:noFill/>
                    </a:ln>
                    <a:extLst>
                      <a:ext uri="{53640926-AAD7-44D8-BBD7-CCE9431645EC}">
                        <a14:shadowObscured xmlns:a14="http://schemas.microsoft.com/office/drawing/2010/main"/>
                      </a:ext>
                    </a:extLst>
                  </pic:spPr>
                </pic:pic>
              </a:graphicData>
            </a:graphic>
          </wp:inline>
        </w:drawing>
      </w:r>
    </w:p>
    <w:p w14:paraId="5F90EF40" w14:textId="77777777" w:rsidR="00D35EE0" w:rsidRDefault="00D35EE0" w:rsidP="000C6E33">
      <w:pPr>
        <w:jc w:val="center"/>
        <w:rPr>
          <w:lang w:val="en-US"/>
        </w:rPr>
      </w:pPr>
    </w:p>
    <w:p w14:paraId="4D104FEB" w14:textId="45EE002F" w:rsidR="0054640D" w:rsidRPr="00D35EE0" w:rsidRDefault="0054640D" w:rsidP="000C6E33">
      <w:pPr>
        <w:jc w:val="both"/>
        <w:rPr>
          <w:rFonts w:ascii="Arial" w:hAnsi="Arial" w:cs="Arial"/>
          <w:bCs/>
          <w:sz w:val="16"/>
          <w:szCs w:val="16"/>
          <w:lang w:val="en-GB"/>
        </w:rPr>
      </w:pPr>
      <w:r w:rsidRPr="00D35EE0">
        <w:rPr>
          <w:rStyle w:val="bold"/>
          <w:rFonts w:ascii="Arial" w:hAnsi="Arial" w:cs="Arial"/>
          <w:sz w:val="16"/>
          <w:szCs w:val="16"/>
          <w:lang w:val="en-GB"/>
        </w:rPr>
        <w:t>Figure</w:t>
      </w:r>
      <w:r w:rsidR="00D35EE0">
        <w:rPr>
          <w:rStyle w:val="bold"/>
          <w:rFonts w:ascii="Arial" w:hAnsi="Arial" w:cs="Arial"/>
          <w:sz w:val="16"/>
          <w:szCs w:val="16"/>
          <w:lang w:val="en-GB"/>
        </w:rPr>
        <w:t>.</w:t>
      </w:r>
      <w:r w:rsidRPr="00D35EE0">
        <w:rPr>
          <w:rStyle w:val="bold"/>
          <w:rFonts w:ascii="Arial" w:hAnsi="Arial" w:cs="Arial"/>
          <w:sz w:val="16"/>
          <w:szCs w:val="16"/>
          <w:lang w:val="en-GB"/>
        </w:rPr>
        <w:t> S</w:t>
      </w:r>
      <w:r w:rsidRPr="00D35EE0">
        <w:rPr>
          <w:lang w:val="en-GB"/>
        </w:rPr>
        <w:fldChar w:fldCharType="begin"/>
      </w:r>
      <w:r w:rsidRPr="00D35EE0">
        <w:rPr>
          <w:rFonts w:ascii="Arial" w:hAnsi="Arial" w:cs="Arial"/>
          <w:sz w:val="16"/>
          <w:szCs w:val="16"/>
          <w:lang w:val="en-GB"/>
        </w:rPr>
        <w:instrText xml:space="preserve"> SEQ figure \* MERGEFORMAT </w:instrText>
      </w:r>
      <w:r w:rsidRPr="00D35EE0">
        <w:rPr>
          <w:lang w:val="en-GB"/>
        </w:rPr>
        <w:fldChar w:fldCharType="separate"/>
      </w:r>
      <w:r w:rsidRPr="00D35EE0">
        <w:rPr>
          <w:rStyle w:val="bold"/>
          <w:rFonts w:ascii="Arial" w:hAnsi="Arial" w:cs="Arial"/>
          <w:noProof/>
          <w:sz w:val="16"/>
          <w:szCs w:val="16"/>
        </w:rPr>
        <w:t>1</w:t>
      </w:r>
      <w:r w:rsidRPr="00D35EE0">
        <w:rPr>
          <w:rStyle w:val="bold"/>
          <w:rFonts w:ascii="Arial" w:hAnsi="Arial" w:cs="Arial"/>
          <w:noProof/>
          <w:sz w:val="16"/>
          <w:szCs w:val="16"/>
        </w:rPr>
        <w:fldChar w:fldCharType="end"/>
      </w:r>
      <w:r w:rsidRPr="00D35EE0">
        <w:rPr>
          <w:rStyle w:val="bold"/>
          <w:rFonts w:ascii="Arial" w:hAnsi="Arial" w:cs="Arial"/>
          <w:sz w:val="16"/>
          <w:szCs w:val="16"/>
          <w:lang w:val="en-GB"/>
        </w:rPr>
        <w:t>:</w:t>
      </w:r>
      <w:r w:rsidRPr="00D35EE0">
        <w:rPr>
          <w:rFonts w:ascii="Arial" w:hAnsi="Arial" w:cs="Arial"/>
          <w:sz w:val="16"/>
          <w:szCs w:val="16"/>
          <w:lang w:val="en-GB"/>
        </w:rPr>
        <w:t xml:space="preserve"> A) </w:t>
      </w:r>
      <w:r w:rsidRPr="00D35EE0">
        <w:rPr>
          <w:rFonts w:ascii="Arial" w:hAnsi="Arial" w:cs="Arial"/>
          <w:bCs/>
          <w:sz w:val="16"/>
          <w:szCs w:val="16"/>
          <w:lang w:val="en-GB"/>
        </w:rPr>
        <w:t>UV–LIL setup in Lloyd’s mirror configuration</w:t>
      </w:r>
      <w:r w:rsidR="001B47FB" w:rsidRPr="00D35EE0">
        <w:rPr>
          <w:rFonts w:ascii="Arial" w:hAnsi="Arial" w:cs="Arial"/>
          <w:bCs/>
          <w:sz w:val="16"/>
          <w:szCs w:val="16"/>
          <w:lang w:val="en-GB"/>
        </w:rPr>
        <w:t>,</w:t>
      </w:r>
      <w:r w:rsidRPr="00D35EE0">
        <w:rPr>
          <w:rFonts w:ascii="Arial" w:hAnsi="Arial" w:cs="Arial"/>
          <w:bCs/>
          <w:sz w:val="16"/>
          <w:szCs w:val="16"/>
          <w:lang w:val="en-GB"/>
        </w:rPr>
        <w:t xml:space="preserve"> where the photoresist </w:t>
      </w:r>
      <w:r w:rsidR="000C6E33" w:rsidRPr="00D35EE0">
        <w:rPr>
          <w:rFonts w:ascii="Arial" w:hAnsi="Arial" w:cs="Arial"/>
          <w:bCs/>
          <w:sz w:val="16"/>
          <w:szCs w:val="16"/>
          <w:lang w:val="en-GB"/>
        </w:rPr>
        <w:t xml:space="preserve">layer </w:t>
      </w:r>
      <w:r w:rsidRPr="00D35EE0">
        <w:rPr>
          <w:rFonts w:ascii="Arial" w:hAnsi="Arial" w:cs="Arial"/>
          <w:bCs/>
          <w:sz w:val="16"/>
          <w:szCs w:val="16"/>
          <w:lang w:val="en-GB"/>
        </w:rPr>
        <w:t xml:space="preserve">(red) is exposed to the interference pattern formed </w:t>
      </w:r>
      <w:r w:rsidR="00582365">
        <w:rPr>
          <w:rFonts w:ascii="Arial" w:hAnsi="Arial" w:cs="Arial"/>
          <w:bCs/>
          <w:sz w:val="16"/>
          <w:szCs w:val="16"/>
          <w:lang w:val="en-GB"/>
        </w:rPr>
        <w:t xml:space="preserve">by </w:t>
      </w:r>
      <w:r w:rsidR="001B47FB" w:rsidRPr="00D35EE0">
        <w:rPr>
          <w:rFonts w:ascii="Arial" w:hAnsi="Arial" w:cs="Arial"/>
          <w:bCs/>
          <w:sz w:val="16"/>
          <w:szCs w:val="16"/>
          <w:lang w:val="en-GB"/>
        </w:rPr>
        <w:t xml:space="preserve">two overlaid parts of the expanded collimated </w:t>
      </w:r>
      <w:r w:rsidRPr="00D35EE0">
        <w:rPr>
          <w:rFonts w:ascii="Arial" w:hAnsi="Arial" w:cs="Arial"/>
          <w:bCs/>
          <w:sz w:val="16"/>
          <w:szCs w:val="16"/>
          <w:lang w:val="en-GB"/>
        </w:rPr>
        <w:t xml:space="preserve">UV laser beam. Between multiple exposures, the sample </w:t>
      </w:r>
      <w:r w:rsidR="00582365">
        <w:rPr>
          <w:rFonts w:ascii="Arial" w:hAnsi="Arial" w:cs="Arial"/>
          <w:bCs/>
          <w:sz w:val="16"/>
          <w:szCs w:val="16"/>
          <w:lang w:val="en-GB"/>
        </w:rPr>
        <w:t>is</w:t>
      </w:r>
      <w:r w:rsidRPr="00D35EE0">
        <w:rPr>
          <w:rFonts w:ascii="Arial" w:hAnsi="Arial" w:cs="Arial"/>
          <w:bCs/>
          <w:sz w:val="16"/>
          <w:szCs w:val="16"/>
          <w:lang w:val="en-GB"/>
        </w:rPr>
        <w:t xml:space="preserve"> rotated around its normal axis by an azimuthal angle </w:t>
      </w:r>
      <w:r w:rsidRPr="00D35EE0">
        <w:rPr>
          <w:rFonts w:ascii="Arial" w:hAnsi="Arial" w:cs="Arial"/>
          <w:bCs/>
          <w:i/>
          <w:iCs/>
          <w:sz w:val="16"/>
          <w:szCs w:val="16"/>
        </w:rPr>
        <w:sym w:font="Symbol" w:char="F066"/>
      </w:r>
      <w:r w:rsidRPr="00D35EE0">
        <w:rPr>
          <w:rFonts w:ascii="Arial" w:hAnsi="Arial" w:cs="Arial"/>
          <w:bCs/>
          <w:sz w:val="16"/>
          <w:szCs w:val="16"/>
          <w:lang w:val="en-GB"/>
        </w:rPr>
        <w:t>. B) Working st</w:t>
      </w:r>
      <w:r w:rsidR="00582365">
        <w:rPr>
          <w:rFonts w:ascii="Arial" w:hAnsi="Arial" w:cs="Arial"/>
          <w:bCs/>
          <w:sz w:val="16"/>
          <w:szCs w:val="16"/>
          <w:lang w:val="en-GB"/>
        </w:rPr>
        <w:t>am</w:t>
      </w:r>
      <w:r w:rsidRPr="00D35EE0">
        <w:rPr>
          <w:rFonts w:ascii="Arial" w:hAnsi="Arial" w:cs="Arial"/>
          <w:bCs/>
          <w:sz w:val="16"/>
          <w:szCs w:val="16"/>
          <w:lang w:val="en-GB"/>
        </w:rPr>
        <w:t xml:space="preserve">p preparation by casting </w:t>
      </w:r>
      <w:r w:rsidR="001B47FB" w:rsidRPr="00D35EE0">
        <w:rPr>
          <w:rFonts w:ascii="Arial" w:hAnsi="Arial" w:cs="Arial"/>
          <w:bCs/>
          <w:sz w:val="16"/>
          <w:szCs w:val="16"/>
          <w:lang w:val="en-GB"/>
        </w:rPr>
        <w:t xml:space="preserve">the prepared </w:t>
      </w:r>
      <w:r w:rsidR="00582365">
        <w:rPr>
          <w:rFonts w:ascii="Arial" w:hAnsi="Arial" w:cs="Arial"/>
          <w:bCs/>
          <w:sz w:val="16"/>
          <w:szCs w:val="16"/>
          <w:lang w:val="en-GB"/>
        </w:rPr>
        <w:t xml:space="preserve">MPG </w:t>
      </w:r>
      <w:r w:rsidR="001B47FB" w:rsidRPr="00D35EE0">
        <w:rPr>
          <w:rFonts w:ascii="Arial" w:hAnsi="Arial" w:cs="Arial"/>
          <w:bCs/>
          <w:sz w:val="16"/>
          <w:szCs w:val="16"/>
          <w:lang w:val="en-GB"/>
        </w:rPr>
        <w:t xml:space="preserve">topography to </w:t>
      </w:r>
      <w:r w:rsidRPr="00D35EE0">
        <w:rPr>
          <w:rFonts w:ascii="Arial" w:hAnsi="Arial" w:cs="Arial"/>
          <w:bCs/>
          <w:sz w:val="16"/>
          <w:szCs w:val="16"/>
          <w:lang w:val="en-GB"/>
        </w:rPr>
        <w:t xml:space="preserve">PDMS </w:t>
      </w:r>
      <w:r w:rsidR="001B47FB" w:rsidRPr="00D35EE0">
        <w:rPr>
          <w:rFonts w:ascii="Arial" w:hAnsi="Arial" w:cs="Arial"/>
          <w:bCs/>
          <w:sz w:val="16"/>
          <w:szCs w:val="16"/>
          <w:lang w:val="en-GB"/>
        </w:rPr>
        <w:t xml:space="preserve">for C) </w:t>
      </w:r>
      <w:r w:rsidRPr="00D35EE0">
        <w:rPr>
          <w:rFonts w:ascii="Arial" w:hAnsi="Arial" w:cs="Arial"/>
          <w:bCs/>
          <w:sz w:val="16"/>
          <w:szCs w:val="16"/>
          <w:lang w:val="en-GB"/>
        </w:rPr>
        <w:t>UV-nanoimprint lithography</w:t>
      </w:r>
      <w:r w:rsidR="001B47FB" w:rsidRPr="00D35EE0">
        <w:rPr>
          <w:rFonts w:ascii="Arial" w:hAnsi="Arial" w:cs="Arial"/>
          <w:bCs/>
          <w:sz w:val="16"/>
          <w:szCs w:val="16"/>
          <w:lang w:val="en-GB"/>
        </w:rPr>
        <w:t xml:space="preserve"> replication,</w:t>
      </w:r>
      <w:r w:rsidRPr="00D35EE0">
        <w:rPr>
          <w:rFonts w:ascii="Arial" w:hAnsi="Arial" w:cs="Arial"/>
          <w:bCs/>
          <w:sz w:val="16"/>
          <w:szCs w:val="16"/>
          <w:lang w:val="en-GB"/>
        </w:rPr>
        <w:t xml:space="preserve"> where the stamp is imprinted in thin layer of imprint resist, </w:t>
      </w:r>
      <w:r w:rsidR="001B47FB" w:rsidRPr="00D35EE0">
        <w:rPr>
          <w:rFonts w:ascii="Arial" w:hAnsi="Arial" w:cs="Arial"/>
          <w:bCs/>
          <w:sz w:val="16"/>
          <w:szCs w:val="16"/>
          <w:lang w:val="en-GB"/>
        </w:rPr>
        <w:t>followed by</w:t>
      </w:r>
      <w:r w:rsidRPr="00D35EE0">
        <w:rPr>
          <w:rFonts w:ascii="Arial" w:hAnsi="Arial" w:cs="Arial"/>
          <w:bCs/>
          <w:sz w:val="16"/>
          <w:szCs w:val="16"/>
          <w:lang w:val="en-GB"/>
        </w:rPr>
        <w:t xml:space="preserve"> cur</w:t>
      </w:r>
      <w:r w:rsidR="001B47FB" w:rsidRPr="00D35EE0">
        <w:rPr>
          <w:rFonts w:ascii="Arial" w:hAnsi="Arial" w:cs="Arial"/>
          <w:bCs/>
          <w:sz w:val="16"/>
          <w:szCs w:val="16"/>
          <w:lang w:val="en-GB"/>
        </w:rPr>
        <w:t>ing with</w:t>
      </w:r>
      <w:r w:rsidRPr="00D35EE0">
        <w:rPr>
          <w:rFonts w:ascii="Arial" w:hAnsi="Arial" w:cs="Arial"/>
          <w:bCs/>
          <w:sz w:val="16"/>
          <w:szCs w:val="16"/>
          <w:lang w:val="en-GB"/>
        </w:rPr>
        <w:t xml:space="preserve"> UV light before </w:t>
      </w:r>
      <w:proofErr w:type="spellStart"/>
      <w:r w:rsidR="00582365">
        <w:rPr>
          <w:rFonts w:ascii="Arial" w:hAnsi="Arial" w:cs="Arial"/>
          <w:bCs/>
          <w:sz w:val="16"/>
          <w:szCs w:val="16"/>
          <w:lang w:val="en-GB"/>
        </w:rPr>
        <w:t>demolding</w:t>
      </w:r>
      <w:proofErr w:type="spellEnd"/>
      <w:r w:rsidR="00582365">
        <w:rPr>
          <w:rFonts w:ascii="Arial" w:hAnsi="Arial" w:cs="Arial"/>
          <w:bCs/>
          <w:sz w:val="16"/>
          <w:szCs w:val="16"/>
          <w:lang w:val="en-GB"/>
        </w:rPr>
        <w:t xml:space="preserve"> of the PDMS </w:t>
      </w:r>
      <w:r w:rsidR="001B47FB" w:rsidRPr="00D35EE0">
        <w:rPr>
          <w:rFonts w:ascii="Arial" w:hAnsi="Arial" w:cs="Arial"/>
          <w:bCs/>
          <w:sz w:val="16"/>
          <w:szCs w:val="16"/>
          <w:lang w:val="en-GB"/>
        </w:rPr>
        <w:t>working stamp</w:t>
      </w:r>
      <w:r w:rsidRPr="00D35EE0">
        <w:rPr>
          <w:rFonts w:ascii="Arial" w:hAnsi="Arial" w:cs="Arial"/>
          <w:bCs/>
          <w:sz w:val="16"/>
          <w:szCs w:val="16"/>
          <w:lang w:val="en-GB"/>
        </w:rPr>
        <w:t>.</w:t>
      </w:r>
    </w:p>
    <w:p w14:paraId="05D6BD52" w14:textId="2F09A5F8" w:rsidR="0054640D" w:rsidRDefault="0054640D">
      <w:pPr>
        <w:rPr>
          <w:bCs/>
          <w:lang w:val="en-GB"/>
        </w:rPr>
      </w:pPr>
    </w:p>
    <w:p w14:paraId="110BE82E" w14:textId="6D6FA059" w:rsidR="000C6E33" w:rsidRPr="000B3E13" w:rsidRDefault="000C6E33" w:rsidP="000C6E33">
      <w:pPr>
        <w:ind w:firstLine="284"/>
        <w:jc w:val="both"/>
        <w:rPr>
          <w:rFonts w:ascii="Times New Roman" w:hAnsi="Times New Roman" w:cs="Times New Roman"/>
          <w:sz w:val="19"/>
          <w:szCs w:val="19"/>
          <w:lang w:val="en-US"/>
        </w:rPr>
      </w:pPr>
      <w:r w:rsidRPr="000B3E13">
        <w:rPr>
          <w:rFonts w:ascii="Times New Roman" w:hAnsi="Times New Roman" w:cs="Times New Roman"/>
          <w:sz w:val="19"/>
          <w:szCs w:val="19"/>
          <w:lang w:val="en-US"/>
        </w:rPr>
        <w:t xml:space="preserve">Since preparation of </w:t>
      </w:r>
      <w:r w:rsidR="00582365">
        <w:rPr>
          <w:rFonts w:ascii="Times New Roman" w:hAnsi="Times New Roman" w:cs="Times New Roman"/>
          <w:sz w:val="19"/>
          <w:szCs w:val="19"/>
          <w:lang w:val="en-US"/>
        </w:rPr>
        <w:t>higher</w:t>
      </w:r>
      <w:r w:rsidRPr="000B3E13">
        <w:rPr>
          <w:rFonts w:ascii="Times New Roman" w:hAnsi="Times New Roman" w:cs="Times New Roman"/>
          <w:sz w:val="19"/>
          <w:szCs w:val="19"/>
          <w:lang w:val="en-US"/>
        </w:rPr>
        <w:t xml:space="preserve"> </w:t>
      </w:r>
      <w:r>
        <w:rPr>
          <w:rFonts w:ascii="Times New Roman" w:hAnsi="Times New Roman" w:cs="Times New Roman"/>
          <w:sz w:val="19"/>
          <w:szCs w:val="19"/>
          <w:lang w:val="en-US"/>
        </w:rPr>
        <w:t>numbers</w:t>
      </w:r>
      <w:r w:rsidRPr="000B3E13">
        <w:rPr>
          <w:rFonts w:ascii="Times New Roman" w:hAnsi="Times New Roman" w:cs="Times New Roman"/>
          <w:sz w:val="19"/>
          <w:szCs w:val="19"/>
          <w:lang w:val="en-US"/>
        </w:rPr>
        <w:t xml:space="preserve"> of </w:t>
      </w:r>
      <w:r>
        <w:rPr>
          <w:rFonts w:ascii="Times New Roman" w:hAnsi="Times New Roman" w:cs="Times New Roman"/>
          <w:sz w:val="19"/>
          <w:szCs w:val="19"/>
          <w:lang w:val="en-US"/>
        </w:rPr>
        <w:t>MPG structures</w:t>
      </w:r>
      <w:r w:rsidRPr="000B3E13">
        <w:rPr>
          <w:rFonts w:ascii="Times New Roman" w:hAnsi="Times New Roman" w:cs="Times New Roman"/>
          <w:sz w:val="19"/>
          <w:szCs w:val="19"/>
          <w:lang w:val="en-US"/>
        </w:rPr>
        <w:t xml:space="preserve"> with identical parameters </w:t>
      </w:r>
      <w:r>
        <w:rPr>
          <w:rFonts w:ascii="Times New Roman" w:hAnsi="Times New Roman" w:cs="Times New Roman"/>
          <w:sz w:val="19"/>
          <w:szCs w:val="19"/>
          <w:lang w:val="en-US"/>
        </w:rPr>
        <w:t>by using UV-</w:t>
      </w:r>
      <w:r w:rsidRPr="000B3E13">
        <w:rPr>
          <w:rFonts w:ascii="Times New Roman" w:hAnsi="Times New Roman" w:cs="Times New Roman"/>
          <w:sz w:val="19"/>
          <w:szCs w:val="19"/>
          <w:lang w:val="en-US"/>
        </w:rPr>
        <w:t xml:space="preserve">LIL is impractical, </w:t>
      </w:r>
      <w:r>
        <w:rPr>
          <w:rFonts w:ascii="Times New Roman" w:hAnsi="Times New Roman" w:cs="Times New Roman"/>
          <w:sz w:val="19"/>
          <w:szCs w:val="19"/>
          <w:lang w:val="en-US"/>
        </w:rPr>
        <w:t>UV-</w:t>
      </w:r>
      <w:r w:rsidRPr="000B3E13">
        <w:rPr>
          <w:rFonts w:ascii="Times New Roman" w:hAnsi="Times New Roman" w:cs="Times New Roman"/>
          <w:sz w:val="19"/>
          <w:szCs w:val="19"/>
          <w:lang w:val="en-US"/>
        </w:rPr>
        <w:t xml:space="preserve">nanoimprint lithography </w:t>
      </w:r>
      <w:r>
        <w:rPr>
          <w:rFonts w:ascii="Times New Roman" w:hAnsi="Times New Roman" w:cs="Times New Roman"/>
          <w:sz w:val="19"/>
          <w:szCs w:val="19"/>
          <w:lang w:val="en-US"/>
        </w:rPr>
        <w:t>– UV-NIL –</w:t>
      </w:r>
      <w:r w:rsidRPr="000B3E13">
        <w:rPr>
          <w:rFonts w:ascii="Times New Roman" w:hAnsi="Times New Roman" w:cs="Times New Roman"/>
          <w:sz w:val="19"/>
          <w:szCs w:val="19"/>
          <w:lang w:val="en-US"/>
        </w:rPr>
        <w:t xml:space="preserve"> was employed to replicate the master structure. First, a working stamp was prepared by casting </w:t>
      </w:r>
      <w:r w:rsidR="00582365">
        <w:rPr>
          <w:rFonts w:ascii="Times New Roman" w:hAnsi="Times New Roman" w:cs="Times New Roman"/>
          <w:sz w:val="19"/>
          <w:szCs w:val="19"/>
          <w:lang w:val="en-US"/>
        </w:rPr>
        <w:t xml:space="preserve">the master structure to </w:t>
      </w:r>
      <w:r w:rsidRPr="000B3E13">
        <w:rPr>
          <w:rFonts w:ascii="Times New Roman" w:hAnsi="Times New Roman" w:cs="Times New Roman"/>
          <w:sz w:val="19"/>
          <w:szCs w:val="19"/>
          <w:lang w:val="en-US"/>
        </w:rPr>
        <w:t xml:space="preserve">polydimethylsiloxane (PDMS) </w:t>
      </w:r>
      <w:r w:rsidR="00582365">
        <w:rPr>
          <w:rFonts w:ascii="Times New Roman" w:hAnsi="Times New Roman" w:cs="Times New Roman"/>
          <w:sz w:val="19"/>
          <w:szCs w:val="19"/>
          <w:lang w:val="en-US"/>
        </w:rPr>
        <w:t>that was</w:t>
      </w:r>
      <w:r w:rsidRPr="000B3E13">
        <w:rPr>
          <w:rFonts w:ascii="Times New Roman" w:hAnsi="Times New Roman" w:cs="Times New Roman"/>
          <w:sz w:val="19"/>
          <w:szCs w:val="19"/>
          <w:lang w:val="en-US"/>
        </w:rPr>
        <w:t xml:space="preserve"> cur</w:t>
      </w:r>
      <w:r w:rsidR="00582365">
        <w:rPr>
          <w:rFonts w:ascii="Times New Roman" w:hAnsi="Times New Roman" w:cs="Times New Roman"/>
          <w:sz w:val="19"/>
          <w:szCs w:val="19"/>
          <w:lang w:val="en-US"/>
        </w:rPr>
        <w:t>ed</w:t>
      </w:r>
      <w:r w:rsidRPr="000B3E13">
        <w:rPr>
          <w:rFonts w:ascii="Times New Roman" w:hAnsi="Times New Roman" w:cs="Times New Roman"/>
          <w:sz w:val="19"/>
          <w:szCs w:val="19"/>
          <w:lang w:val="en-US"/>
        </w:rPr>
        <w:t xml:space="preserve"> at controlled temperature (Figure S1B). After </w:t>
      </w:r>
      <w:r w:rsidR="001B47FB">
        <w:rPr>
          <w:rFonts w:ascii="Times New Roman" w:hAnsi="Times New Roman" w:cs="Times New Roman"/>
          <w:sz w:val="19"/>
          <w:szCs w:val="19"/>
          <w:lang w:val="en-US"/>
        </w:rPr>
        <w:t xml:space="preserve">the </w:t>
      </w:r>
      <w:r w:rsidRPr="000B3E13">
        <w:rPr>
          <w:rFonts w:ascii="Times New Roman" w:hAnsi="Times New Roman" w:cs="Times New Roman"/>
          <w:sz w:val="19"/>
          <w:szCs w:val="19"/>
          <w:lang w:val="en-US"/>
        </w:rPr>
        <w:t xml:space="preserve">curing, the stamp </w:t>
      </w:r>
      <w:r w:rsidR="001B47FB">
        <w:rPr>
          <w:rFonts w:ascii="Times New Roman" w:hAnsi="Times New Roman" w:cs="Times New Roman"/>
          <w:sz w:val="19"/>
          <w:szCs w:val="19"/>
          <w:lang w:val="en-US"/>
        </w:rPr>
        <w:t>is</w:t>
      </w:r>
      <w:r w:rsidRPr="000B3E13">
        <w:rPr>
          <w:rFonts w:ascii="Times New Roman" w:hAnsi="Times New Roman" w:cs="Times New Roman"/>
          <w:sz w:val="19"/>
          <w:szCs w:val="19"/>
          <w:lang w:val="en-US"/>
        </w:rPr>
        <w:t xml:space="preserve"> demolded </w:t>
      </w:r>
      <w:r w:rsidR="001B47FB">
        <w:rPr>
          <w:rFonts w:ascii="Times New Roman" w:hAnsi="Times New Roman" w:cs="Times New Roman"/>
          <w:sz w:val="19"/>
          <w:szCs w:val="19"/>
          <w:lang w:val="en-US"/>
        </w:rPr>
        <w:t xml:space="preserve">and </w:t>
      </w:r>
      <w:r w:rsidRPr="000B3E13">
        <w:rPr>
          <w:rFonts w:ascii="Times New Roman" w:hAnsi="Times New Roman" w:cs="Times New Roman"/>
          <w:sz w:val="19"/>
          <w:szCs w:val="19"/>
          <w:lang w:val="en-US"/>
        </w:rPr>
        <w:t>used to replicate the pattern to nanoimprint resist (</w:t>
      </w:r>
      <w:proofErr w:type="spellStart"/>
      <w:r w:rsidR="001B47FB">
        <w:rPr>
          <w:rFonts w:ascii="Times New Roman" w:hAnsi="Times New Roman" w:cs="Times New Roman"/>
          <w:sz w:val="19"/>
          <w:szCs w:val="19"/>
          <w:lang w:val="en-US"/>
        </w:rPr>
        <w:t>Amonil</w:t>
      </w:r>
      <w:proofErr w:type="spellEnd"/>
      <w:r w:rsidRPr="000B3E13">
        <w:rPr>
          <w:rFonts w:ascii="Times New Roman" w:hAnsi="Times New Roman" w:cs="Times New Roman"/>
          <w:sz w:val="19"/>
          <w:szCs w:val="19"/>
          <w:lang w:val="en-US"/>
        </w:rPr>
        <w:t xml:space="preserve">) on </w:t>
      </w:r>
      <w:r w:rsidR="00582365">
        <w:rPr>
          <w:rFonts w:ascii="Times New Roman" w:hAnsi="Times New Roman" w:cs="Times New Roman"/>
          <w:sz w:val="19"/>
          <w:szCs w:val="19"/>
          <w:lang w:val="en-US"/>
        </w:rPr>
        <w:t xml:space="preserve">a </w:t>
      </w:r>
      <w:r w:rsidRPr="000B3E13">
        <w:rPr>
          <w:rFonts w:ascii="Times New Roman" w:hAnsi="Times New Roman" w:cs="Times New Roman"/>
          <w:sz w:val="19"/>
          <w:szCs w:val="19"/>
          <w:lang w:val="en-US"/>
        </w:rPr>
        <w:t>glass substrate.</w:t>
      </w:r>
      <w:r>
        <w:rPr>
          <w:rFonts w:ascii="Times New Roman" w:hAnsi="Times New Roman" w:cs="Times New Roman"/>
          <w:sz w:val="19"/>
          <w:szCs w:val="19"/>
          <w:lang w:val="en-US"/>
        </w:rPr>
        <w:t xml:space="preserve"> </w:t>
      </w:r>
      <w:r w:rsidR="00582365">
        <w:rPr>
          <w:rFonts w:ascii="Times New Roman" w:hAnsi="Times New Roman" w:cs="Times New Roman"/>
          <w:sz w:val="19"/>
          <w:szCs w:val="19"/>
          <w:lang w:val="en-US"/>
        </w:rPr>
        <w:t>Such</w:t>
      </w:r>
      <w:r w:rsidRPr="000B3E13">
        <w:rPr>
          <w:rFonts w:ascii="Times New Roman" w:hAnsi="Times New Roman" w:cs="Times New Roman"/>
          <w:sz w:val="19"/>
          <w:szCs w:val="19"/>
          <w:lang w:val="en-US"/>
        </w:rPr>
        <w:t xml:space="preserve"> </w:t>
      </w:r>
      <w:r w:rsidR="001B47FB">
        <w:rPr>
          <w:rFonts w:ascii="Times New Roman" w:hAnsi="Times New Roman" w:cs="Times New Roman"/>
          <w:sz w:val="19"/>
          <w:szCs w:val="19"/>
          <w:lang w:val="en-US"/>
        </w:rPr>
        <w:t>copies with MPG topography</w:t>
      </w:r>
      <w:r w:rsidRPr="000B3E13">
        <w:rPr>
          <w:rFonts w:ascii="Times New Roman" w:hAnsi="Times New Roman" w:cs="Times New Roman"/>
          <w:sz w:val="19"/>
          <w:szCs w:val="19"/>
          <w:lang w:val="en-US"/>
        </w:rPr>
        <w:t xml:space="preserve"> were subsequently coated with a 100 nm gold film by </w:t>
      </w:r>
      <w:r w:rsidR="001B47FB">
        <w:rPr>
          <w:rFonts w:ascii="Times New Roman" w:hAnsi="Times New Roman" w:cs="Times New Roman"/>
          <w:sz w:val="19"/>
          <w:szCs w:val="19"/>
          <w:lang w:val="en-US"/>
        </w:rPr>
        <w:t xml:space="preserve">vacuum </w:t>
      </w:r>
      <w:r w:rsidRPr="000B3E13">
        <w:rPr>
          <w:rFonts w:ascii="Times New Roman" w:hAnsi="Times New Roman" w:cs="Times New Roman"/>
          <w:sz w:val="19"/>
          <w:szCs w:val="19"/>
          <w:lang w:val="en-US"/>
        </w:rPr>
        <w:t xml:space="preserve">thermal evaporation (Figure S1C). </w:t>
      </w:r>
    </w:p>
    <w:p w14:paraId="2030F3F6" w14:textId="07E78162" w:rsidR="000C6E33" w:rsidRPr="000C6E33" w:rsidRDefault="000C6E33">
      <w:pPr>
        <w:rPr>
          <w:bCs/>
          <w:lang w:val="en-US"/>
        </w:rPr>
      </w:pPr>
    </w:p>
    <w:p w14:paraId="1A29A931" w14:textId="35053814" w:rsidR="0054640D" w:rsidRPr="000B3E13" w:rsidRDefault="0054640D" w:rsidP="0054640D">
      <w:pPr>
        <w:pStyle w:val="captionfigure"/>
        <w:rPr>
          <w:b/>
          <w:bCs/>
          <w:sz w:val="24"/>
          <w:szCs w:val="24"/>
        </w:rPr>
      </w:pPr>
      <w:r w:rsidRPr="000B3E13">
        <w:rPr>
          <w:b/>
          <w:bCs/>
          <w:sz w:val="24"/>
          <w:szCs w:val="24"/>
        </w:rPr>
        <w:t>Optical properties of grating coupled plasmon resonances</w:t>
      </w:r>
    </w:p>
    <w:p w14:paraId="4B4C6B55" w14:textId="244529D7" w:rsidR="0054640D" w:rsidRDefault="00D35EE0" w:rsidP="0054640D">
      <w:pPr>
        <w:pStyle w:val="captionfigure"/>
        <w:rPr>
          <w:rStyle w:val="bold"/>
          <w:lang w:val="en-GB"/>
        </w:rPr>
      </w:pPr>
      <w:r>
        <w:rPr>
          <w:b/>
          <w:noProof/>
          <w:lang w:val="en-GB"/>
        </w:rPr>
        <w:drawing>
          <wp:anchor distT="0" distB="0" distL="114300" distR="114300" simplePos="0" relativeHeight="251661312" behindDoc="0" locked="0" layoutInCell="1" allowOverlap="1" wp14:anchorId="5EE6BBE7" wp14:editId="7F4C6E28">
            <wp:simplePos x="0" y="0"/>
            <wp:positionH relativeFrom="column">
              <wp:posOffset>1750695</wp:posOffset>
            </wp:positionH>
            <wp:positionV relativeFrom="paragraph">
              <wp:posOffset>205740</wp:posOffset>
            </wp:positionV>
            <wp:extent cx="2194560" cy="53098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tif"/>
                    <pic:cNvPicPr/>
                  </pic:nvPicPr>
                  <pic:blipFill>
                    <a:blip r:embed="rId10">
                      <a:extLst>
                        <a:ext uri="{28A0092B-C50C-407E-A947-70E740481C1C}">
                          <a14:useLocalDpi xmlns:a14="http://schemas.microsoft.com/office/drawing/2010/main" val="0"/>
                        </a:ext>
                      </a:extLst>
                    </a:blip>
                    <a:stretch>
                      <a:fillRect/>
                    </a:stretch>
                  </pic:blipFill>
                  <pic:spPr>
                    <a:xfrm>
                      <a:off x="0" y="0"/>
                      <a:ext cx="2194560" cy="5309870"/>
                    </a:xfrm>
                    <a:prstGeom prst="rect">
                      <a:avLst/>
                    </a:prstGeom>
                  </pic:spPr>
                </pic:pic>
              </a:graphicData>
            </a:graphic>
            <wp14:sizeRelH relativeFrom="page">
              <wp14:pctWidth>0</wp14:pctWidth>
            </wp14:sizeRelH>
            <wp14:sizeRelV relativeFrom="page">
              <wp14:pctHeight>0</wp14:pctHeight>
            </wp14:sizeRelV>
          </wp:anchor>
        </w:drawing>
      </w:r>
      <w:r w:rsidR="001B47FB">
        <w:rPr>
          <w:b/>
          <w:noProof/>
          <w:lang w:val="de-DE"/>
        </w:rPr>
        <w:drawing>
          <wp:inline distT="0" distB="0" distL="0" distR="0" wp14:anchorId="65E003B9" wp14:editId="2A42B3BC">
            <wp:extent cx="4810126" cy="7639052"/>
            <wp:effectExtent l="0" t="0" r="9525"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tif"/>
                    <pic:cNvPicPr/>
                  </pic:nvPicPr>
                  <pic:blipFill>
                    <a:blip r:embed="rId11">
                      <a:extLst>
                        <a:ext uri="{28A0092B-C50C-407E-A947-70E740481C1C}">
                          <a14:useLocalDpi xmlns:a14="http://schemas.microsoft.com/office/drawing/2010/main" val="0"/>
                        </a:ext>
                      </a:extLst>
                    </a:blip>
                    <a:stretch>
                      <a:fillRect/>
                    </a:stretch>
                  </pic:blipFill>
                  <pic:spPr>
                    <a:xfrm>
                      <a:off x="0" y="0"/>
                      <a:ext cx="4810126" cy="7639052"/>
                    </a:xfrm>
                    <a:prstGeom prst="rect">
                      <a:avLst/>
                    </a:prstGeom>
                  </pic:spPr>
                </pic:pic>
              </a:graphicData>
            </a:graphic>
          </wp:inline>
        </w:drawing>
      </w:r>
    </w:p>
    <w:p w14:paraId="75C42D61" w14:textId="77777777" w:rsidR="00D35EE0" w:rsidRDefault="00D35EE0" w:rsidP="0054640D">
      <w:pPr>
        <w:pStyle w:val="captionfigure"/>
        <w:rPr>
          <w:rStyle w:val="bold"/>
          <w:lang w:val="en-GB"/>
        </w:rPr>
      </w:pPr>
    </w:p>
    <w:p w14:paraId="18F6A76E" w14:textId="73B1CA62" w:rsidR="00CE7393" w:rsidRPr="00CE7393" w:rsidRDefault="00CE7393" w:rsidP="00CE7393">
      <w:pPr>
        <w:pStyle w:val="captionfigure"/>
        <w:rPr>
          <w:lang w:val="en-GB"/>
        </w:rPr>
      </w:pPr>
      <w:r w:rsidRPr="00CE7393">
        <w:rPr>
          <w:b/>
          <w:bCs/>
          <w:lang w:val="en-GB"/>
        </w:rPr>
        <w:t>Figure S2:</w:t>
      </w:r>
      <w:r w:rsidRPr="00CE7393">
        <w:rPr>
          <w:b/>
          <w:lang w:val="en-GB"/>
        </w:rPr>
        <w:t xml:space="preserve"> </w:t>
      </w:r>
      <w:r w:rsidRPr="00CE7393">
        <w:t xml:space="preserve">(A) Change of </w:t>
      </w:r>
      <w:r w:rsidR="00582365">
        <w:t xml:space="preserve">the spectral position of </w:t>
      </w:r>
      <w:r w:rsidRPr="00CE7393">
        <w:t xml:space="preserve">SPR </w:t>
      </w:r>
      <w:r w:rsidR="00582365">
        <w:t>with</w:t>
      </w:r>
      <w:r w:rsidRPr="00CE7393">
        <w:t xml:space="preserve"> grating period for a single sinusoidal grating</w:t>
      </w:r>
      <w:r w:rsidR="00582365">
        <w:t xml:space="preserve">, </w:t>
      </w:r>
      <w:r w:rsidRPr="00CE7393">
        <w:t xml:space="preserve">15 nm modulation </w:t>
      </w:r>
      <w:r w:rsidR="00582365">
        <w:t xml:space="preserve">depth, and </w:t>
      </w:r>
      <w:r w:rsidRPr="00CE7393">
        <w:t xml:space="preserve">gold – water interface. Coupling efficiency dependence on the polar angle </w:t>
      </w:r>
      <w:r w:rsidR="00582365" w:rsidRPr="00582365">
        <w:rPr>
          <w:i/>
          <w:iCs/>
        </w:rPr>
        <w:t>φ</w:t>
      </w:r>
      <w:r w:rsidRPr="00CE7393">
        <w:t xml:space="preserve"> between grating vector and electric field vector is shown for linear gratings in (B) and for crossed grating in (C).</w:t>
      </w:r>
    </w:p>
    <w:p w14:paraId="1D8ED2D7" w14:textId="0935FB49" w:rsidR="0054640D" w:rsidRPr="00CE7393" w:rsidRDefault="0054640D" w:rsidP="0054640D">
      <w:pPr>
        <w:pStyle w:val="captionfigure"/>
        <w:rPr>
          <w:bCs/>
          <w:lang w:val="en-GB"/>
        </w:rPr>
      </w:pPr>
    </w:p>
    <w:p w14:paraId="6278CAE9" w14:textId="77C8346B" w:rsidR="0054640D" w:rsidRDefault="0054640D">
      <w:pPr>
        <w:rPr>
          <w:lang w:val="en-US"/>
        </w:rPr>
      </w:pPr>
    </w:p>
    <w:p w14:paraId="568FE9A0" w14:textId="6A028999" w:rsidR="00582365" w:rsidRDefault="00582365">
      <w:pPr>
        <w:rPr>
          <w:lang w:val="en-US"/>
        </w:rPr>
      </w:pPr>
    </w:p>
    <w:p w14:paraId="7E6590B0" w14:textId="77777777" w:rsidR="00582365" w:rsidRDefault="00582365">
      <w:pPr>
        <w:rPr>
          <w:lang w:val="en-US"/>
        </w:rPr>
      </w:pPr>
    </w:p>
    <w:p w14:paraId="4F0D24FC" w14:textId="2E4258B3" w:rsidR="003B3225" w:rsidRDefault="003B3225" w:rsidP="003B3225">
      <w:pPr>
        <w:pStyle w:val="captionfigure"/>
        <w:rPr>
          <w:b/>
          <w:bCs/>
          <w:sz w:val="24"/>
          <w:szCs w:val="24"/>
        </w:rPr>
      </w:pPr>
      <w:r w:rsidRPr="003B3225">
        <w:rPr>
          <w:b/>
          <w:bCs/>
          <w:sz w:val="24"/>
          <w:szCs w:val="24"/>
        </w:rPr>
        <w:t>Plasmon near</w:t>
      </w:r>
      <w:r w:rsidR="00D35EE0">
        <w:rPr>
          <w:b/>
          <w:bCs/>
          <w:sz w:val="24"/>
          <w:szCs w:val="24"/>
        </w:rPr>
        <w:t>-</w:t>
      </w:r>
      <w:r w:rsidRPr="003B3225">
        <w:rPr>
          <w:b/>
          <w:bCs/>
          <w:sz w:val="24"/>
          <w:szCs w:val="24"/>
        </w:rPr>
        <w:t>field</w:t>
      </w:r>
      <w:r w:rsidR="00D35EE0">
        <w:rPr>
          <w:b/>
          <w:bCs/>
          <w:sz w:val="24"/>
          <w:szCs w:val="24"/>
        </w:rPr>
        <w:t xml:space="preserve"> intensity profile</w:t>
      </w:r>
    </w:p>
    <w:p w14:paraId="4650B74E" w14:textId="77777777" w:rsidR="0008093D" w:rsidRPr="0008093D" w:rsidRDefault="0008093D" w:rsidP="0008093D">
      <w:pPr>
        <w:rPr>
          <w:rFonts w:ascii="Times New Roman" w:hAnsi="Times New Roman" w:cs="Times New Roman"/>
          <w:sz w:val="19"/>
          <w:szCs w:val="19"/>
          <w:lang w:val="en-US"/>
        </w:rPr>
      </w:pPr>
    </w:p>
    <w:p w14:paraId="21950A6C" w14:textId="02CF1843" w:rsidR="003B3225" w:rsidRDefault="00D35EE0" w:rsidP="00D35EE0">
      <w:pPr>
        <w:jc w:val="center"/>
      </w:pPr>
      <w:r w:rsidRPr="00467F67">
        <w:object w:dxaOrig="6174" w:dyaOrig="4726" w14:anchorId="6D162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6pt;height:191.4pt" o:ole="">
            <v:imagedata r:id="rId12" o:title=""/>
          </v:shape>
          <o:OLEObject Type="Embed" ProgID="Origin95.Graph" ShapeID="_x0000_i1025" DrawAspect="Content" ObjectID="_1655925739" r:id="rId13"/>
        </w:object>
      </w:r>
    </w:p>
    <w:p w14:paraId="256F07A9" w14:textId="77777777" w:rsidR="00D35EE0" w:rsidRDefault="00D35EE0" w:rsidP="003B3225">
      <w:pPr>
        <w:spacing w:after="160" w:line="259" w:lineRule="auto"/>
        <w:rPr>
          <w:rFonts w:ascii="Arial" w:hAnsi="Arial" w:cs="Arial"/>
          <w:b/>
          <w:bCs/>
          <w:sz w:val="16"/>
          <w:szCs w:val="16"/>
          <w:lang w:val="en-GB"/>
        </w:rPr>
      </w:pPr>
    </w:p>
    <w:p w14:paraId="7851C4F1" w14:textId="77777777" w:rsidR="00582365" w:rsidRDefault="003B3225" w:rsidP="003B3225">
      <w:pPr>
        <w:spacing w:after="160" w:line="259" w:lineRule="auto"/>
        <w:rPr>
          <w:rFonts w:ascii="Arial" w:hAnsi="Arial" w:cs="Arial"/>
          <w:sz w:val="16"/>
          <w:szCs w:val="16"/>
          <w:lang w:val="en-US"/>
        </w:rPr>
      </w:pPr>
      <w:r w:rsidRPr="00D35EE0">
        <w:rPr>
          <w:rFonts w:ascii="Arial" w:hAnsi="Arial" w:cs="Arial"/>
          <w:b/>
          <w:bCs/>
          <w:sz w:val="16"/>
          <w:szCs w:val="16"/>
          <w:lang w:val="en-GB"/>
        </w:rPr>
        <w:t>Figure</w:t>
      </w:r>
      <w:r w:rsidR="00D35EE0">
        <w:rPr>
          <w:rFonts w:ascii="Arial" w:hAnsi="Arial" w:cs="Arial"/>
          <w:b/>
          <w:bCs/>
          <w:sz w:val="16"/>
          <w:szCs w:val="16"/>
          <w:lang w:val="en-GB"/>
        </w:rPr>
        <w:t>.</w:t>
      </w:r>
      <w:r w:rsidRPr="00D35EE0">
        <w:rPr>
          <w:rFonts w:ascii="Arial" w:hAnsi="Arial" w:cs="Arial"/>
          <w:b/>
          <w:bCs/>
          <w:sz w:val="16"/>
          <w:szCs w:val="16"/>
          <w:lang w:val="en-GB"/>
        </w:rPr>
        <w:t> S</w:t>
      </w:r>
      <w:r w:rsidR="00582365">
        <w:rPr>
          <w:rFonts w:ascii="Arial" w:hAnsi="Arial" w:cs="Arial"/>
          <w:b/>
          <w:bCs/>
          <w:sz w:val="16"/>
          <w:szCs w:val="16"/>
          <w:lang w:val="en-US"/>
        </w:rPr>
        <w:t>3</w:t>
      </w:r>
      <w:r w:rsidRPr="00D35EE0">
        <w:rPr>
          <w:rFonts w:ascii="Arial" w:hAnsi="Arial" w:cs="Arial"/>
          <w:b/>
          <w:bCs/>
          <w:sz w:val="16"/>
          <w:szCs w:val="16"/>
          <w:lang w:val="en-GB"/>
        </w:rPr>
        <w:t>:</w:t>
      </w:r>
      <w:r w:rsidRPr="00D35EE0">
        <w:rPr>
          <w:rFonts w:ascii="Arial" w:hAnsi="Arial" w:cs="Arial"/>
          <w:sz w:val="16"/>
          <w:szCs w:val="16"/>
          <w:lang w:val="en-GB"/>
        </w:rPr>
        <w:t xml:space="preserve"> </w:t>
      </w:r>
      <w:r w:rsidRPr="00D35EE0">
        <w:rPr>
          <w:rFonts w:ascii="Arial" w:hAnsi="Arial" w:cs="Arial"/>
          <w:sz w:val="16"/>
          <w:szCs w:val="16"/>
          <w:lang w:val="en-US"/>
        </w:rPr>
        <w:t>Distance dependence of the local electrical field enhancement averaged over the MPG along the axis perpendicular to the surface.</w:t>
      </w:r>
    </w:p>
    <w:p w14:paraId="54BDF2E5" w14:textId="77777777" w:rsidR="00582365" w:rsidRDefault="00582365" w:rsidP="003B3225">
      <w:pPr>
        <w:spacing w:after="160" w:line="259" w:lineRule="auto"/>
        <w:rPr>
          <w:rFonts w:ascii="Arial" w:hAnsi="Arial" w:cs="Arial"/>
          <w:sz w:val="16"/>
          <w:szCs w:val="16"/>
          <w:lang w:val="en-US"/>
        </w:rPr>
      </w:pPr>
    </w:p>
    <w:p w14:paraId="161C2A03" w14:textId="77777777" w:rsidR="00582365" w:rsidRDefault="00582365" w:rsidP="00582365">
      <w:pPr>
        <w:pStyle w:val="captionfigure"/>
        <w:rPr>
          <w:b/>
          <w:bCs/>
          <w:sz w:val="24"/>
          <w:szCs w:val="24"/>
        </w:rPr>
      </w:pPr>
      <w:r w:rsidRPr="003B3225">
        <w:rPr>
          <w:b/>
          <w:bCs/>
          <w:noProof/>
          <w:sz w:val="24"/>
          <w:szCs w:val="24"/>
        </w:rPr>
        <w:drawing>
          <wp:anchor distT="0" distB="0" distL="114300" distR="114300" simplePos="0" relativeHeight="251663360" behindDoc="0" locked="0" layoutInCell="1" allowOverlap="1" wp14:anchorId="06379D89" wp14:editId="1EA3418D">
            <wp:simplePos x="0" y="0"/>
            <wp:positionH relativeFrom="column">
              <wp:posOffset>709930</wp:posOffset>
            </wp:positionH>
            <wp:positionV relativeFrom="paragraph">
              <wp:posOffset>452755</wp:posOffset>
            </wp:positionV>
            <wp:extent cx="4714875" cy="3882390"/>
            <wp:effectExtent l="0" t="0" r="9525" b="0"/>
            <wp:wrapTopAndBottom/>
            <wp:docPr id="9" name="Grafik 8">
              <a:extLst xmlns:a="http://schemas.openxmlformats.org/drawingml/2006/main">
                <a:ext uri="{FF2B5EF4-FFF2-40B4-BE49-F238E27FC236}">
                  <a16:creationId xmlns:a16="http://schemas.microsoft.com/office/drawing/2014/main" id="{FF48CE14-619A-431B-9489-4C8B7000B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FF48CE14-619A-431B-9489-4C8B7000B32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14875" cy="3882390"/>
                    </a:xfrm>
                    <a:prstGeom prst="rect">
                      <a:avLst/>
                    </a:prstGeom>
                  </pic:spPr>
                </pic:pic>
              </a:graphicData>
            </a:graphic>
            <wp14:sizeRelH relativeFrom="margin">
              <wp14:pctWidth>0</wp14:pctWidth>
            </wp14:sizeRelH>
            <wp14:sizeRelV relativeFrom="margin">
              <wp14:pctHeight>0</wp14:pctHeight>
            </wp14:sizeRelV>
          </wp:anchor>
        </w:drawing>
      </w:r>
      <w:r w:rsidRPr="003B3225">
        <w:rPr>
          <w:b/>
          <w:bCs/>
          <w:sz w:val="24"/>
          <w:szCs w:val="24"/>
        </w:rPr>
        <w:t>Measurement of fluorescence angular distribution</w:t>
      </w:r>
    </w:p>
    <w:p w14:paraId="5184815E" w14:textId="77777777" w:rsidR="00582365" w:rsidRPr="003B3225" w:rsidRDefault="00582365" w:rsidP="00582365">
      <w:pPr>
        <w:pStyle w:val="captionfigure"/>
        <w:rPr>
          <w:b/>
          <w:bCs/>
          <w:sz w:val="24"/>
          <w:szCs w:val="24"/>
        </w:rPr>
      </w:pPr>
    </w:p>
    <w:p w14:paraId="6363C98A" w14:textId="1181C147" w:rsidR="00582365" w:rsidRDefault="00582365" w:rsidP="00582365">
      <w:pPr>
        <w:pStyle w:val="captionfigure"/>
        <w:rPr>
          <w:bCs/>
        </w:rPr>
      </w:pPr>
      <w:r w:rsidRPr="00170E06">
        <w:rPr>
          <w:rStyle w:val="bold"/>
          <w:lang w:val="en-GB"/>
        </w:rPr>
        <w:t>Fig</w:t>
      </w:r>
      <w:r>
        <w:rPr>
          <w:rStyle w:val="bold"/>
          <w:lang w:val="en-GB"/>
        </w:rPr>
        <w:t>ure.</w:t>
      </w:r>
      <w:r w:rsidRPr="00170E06">
        <w:rPr>
          <w:rStyle w:val="bold"/>
          <w:lang w:val="en-GB"/>
        </w:rPr>
        <w:t> </w:t>
      </w:r>
      <w:r>
        <w:rPr>
          <w:rStyle w:val="bold"/>
          <w:lang w:val="en-GB"/>
        </w:rPr>
        <w:t>S</w:t>
      </w:r>
      <w:r w:rsidRPr="00582365">
        <w:rPr>
          <w:b/>
          <w:bCs/>
          <w:lang w:val="en-GB"/>
        </w:rPr>
        <w:t>4</w:t>
      </w:r>
      <w:r w:rsidRPr="00170E06">
        <w:rPr>
          <w:rStyle w:val="bold"/>
          <w:lang w:val="en-GB"/>
        </w:rPr>
        <w:t>:</w:t>
      </w:r>
      <w:r w:rsidRPr="00EC1DF3">
        <w:t xml:space="preserve"> </w:t>
      </w:r>
      <w:r>
        <w:t>The reader configured to image the back-focal plane of the objective lens, where the miniature mirror is located, by an additional lens (Lens 5).</w:t>
      </w:r>
    </w:p>
    <w:p w14:paraId="6DBD97F7" w14:textId="73FD3A99" w:rsidR="003B3225" w:rsidRPr="00D35EE0" w:rsidRDefault="003B3225" w:rsidP="003B3225">
      <w:pPr>
        <w:spacing w:after="160" w:line="259" w:lineRule="auto"/>
        <w:rPr>
          <w:rFonts w:ascii="Arial" w:hAnsi="Arial" w:cs="Arial"/>
          <w:sz w:val="16"/>
          <w:szCs w:val="16"/>
          <w:lang w:val="en-GB"/>
        </w:rPr>
      </w:pPr>
      <w:r w:rsidRPr="00D35EE0">
        <w:rPr>
          <w:rFonts w:ascii="Arial" w:hAnsi="Arial" w:cs="Arial"/>
          <w:sz w:val="16"/>
          <w:szCs w:val="16"/>
          <w:lang w:val="en-US"/>
        </w:rPr>
        <w:lastRenderedPageBreak/>
        <w:t xml:space="preserve">  </w:t>
      </w:r>
    </w:p>
    <w:p w14:paraId="1D7BCA8E" w14:textId="77777777" w:rsidR="003B3225" w:rsidRDefault="003B3225">
      <w:pPr>
        <w:rPr>
          <w:lang w:val="en-GB"/>
        </w:rPr>
      </w:pPr>
    </w:p>
    <w:p w14:paraId="31166BC0" w14:textId="77777777" w:rsidR="0008093D" w:rsidRDefault="0008093D" w:rsidP="003B3225">
      <w:pPr>
        <w:pStyle w:val="captionfigure"/>
        <w:rPr>
          <w:b/>
          <w:bCs/>
          <w:sz w:val="24"/>
          <w:szCs w:val="24"/>
        </w:rPr>
      </w:pPr>
    </w:p>
    <w:p w14:paraId="44306723" w14:textId="77777777" w:rsidR="003B3225" w:rsidRPr="003B3225" w:rsidRDefault="003B3225" w:rsidP="003B3225">
      <w:pPr>
        <w:pStyle w:val="captionfigure"/>
        <w:rPr>
          <w:b/>
          <w:bCs/>
          <w:sz w:val="24"/>
          <w:szCs w:val="24"/>
        </w:rPr>
      </w:pPr>
      <w:r w:rsidRPr="003B3225">
        <w:rPr>
          <w:b/>
          <w:bCs/>
          <w:sz w:val="24"/>
          <w:szCs w:val="24"/>
        </w:rPr>
        <w:t>Experimental observation of a fluorescence assay</w:t>
      </w:r>
    </w:p>
    <w:p w14:paraId="0FF18102" w14:textId="77777777" w:rsidR="003B3225" w:rsidRDefault="003B3225">
      <w:pPr>
        <w:rPr>
          <w:lang w:val="en-GB"/>
        </w:rPr>
      </w:pPr>
    </w:p>
    <w:tbl>
      <w:tblPr>
        <w:tblpPr w:leftFromText="141" w:rightFromText="141" w:vertAnchor="text" w:horzAnchor="margin" w:tblpXSpec="right" w:tblpY="3627"/>
        <w:tblW w:w="5100" w:type="dxa"/>
        <w:tblCellMar>
          <w:left w:w="0" w:type="dxa"/>
          <w:right w:w="0" w:type="dxa"/>
        </w:tblCellMar>
        <w:tblLook w:val="0620" w:firstRow="1" w:lastRow="0" w:firstColumn="0" w:lastColumn="0" w:noHBand="1" w:noVBand="1"/>
      </w:tblPr>
      <w:tblGrid>
        <w:gridCol w:w="2694"/>
        <w:gridCol w:w="2406"/>
      </w:tblGrid>
      <w:tr w:rsidR="003335A5" w:rsidRPr="003335A5" w14:paraId="7A93167A" w14:textId="77777777" w:rsidTr="003335A5">
        <w:trPr>
          <w:trHeight w:val="274"/>
        </w:trPr>
        <w:tc>
          <w:tcPr>
            <w:tcW w:w="2694" w:type="dxa"/>
            <w:tcBorders>
              <w:top w:val="single" w:sz="18" w:space="0" w:color="000000"/>
              <w:left w:val="nil"/>
              <w:bottom w:val="single" w:sz="18" w:space="0" w:color="000000"/>
              <w:right w:val="nil"/>
            </w:tcBorders>
            <w:shd w:val="clear" w:color="auto" w:fill="auto"/>
            <w:tcMar>
              <w:top w:w="15" w:type="dxa"/>
              <w:left w:w="108" w:type="dxa"/>
              <w:bottom w:w="0" w:type="dxa"/>
              <w:right w:w="108" w:type="dxa"/>
            </w:tcMar>
            <w:hideMark/>
          </w:tcPr>
          <w:p w14:paraId="3EEEF4A8" w14:textId="77777777" w:rsidR="003335A5" w:rsidRPr="003335A5" w:rsidRDefault="003335A5" w:rsidP="003335A5">
            <w:r w:rsidRPr="003335A5">
              <w:rPr>
                <w:b/>
                <w:bCs/>
                <w:lang w:val="en-US"/>
              </w:rPr>
              <w:t>Class</w:t>
            </w:r>
          </w:p>
        </w:tc>
        <w:tc>
          <w:tcPr>
            <w:tcW w:w="2406" w:type="dxa"/>
            <w:tcBorders>
              <w:top w:val="single" w:sz="18" w:space="0" w:color="000000"/>
              <w:left w:val="nil"/>
              <w:bottom w:val="single" w:sz="18" w:space="0" w:color="000000"/>
              <w:right w:val="nil"/>
            </w:tcBorders>
            <w:shd w:val="clear" w:color="auto" w:fill="auto"/>
            <w:tcMar>
              <w:top w:w="15" w:type="dxa"/>
              <w:left w:w="108" w:type="dxa"/>
              <w:bottom w:w="0" w:type="dxa"/>
              <w:right w:w="108" w:type="dxa"/>
            </w:tcMar>
            <w:hideMark/>
          </w:tcPr>
          <w:p w14:paraId="702C9D15" w14:textId="77777777" w:rsidR="003335A5" w:rsidRPr="003335A5" w:rsidRDefault="003335A5" w:rsidP="003335A5">
            <w:r w:rsidRPr="003335A5">
              <w:rPr>
                <w:b/>
                <w:bCs/>
                <w:lang w:val="en-US"/>
              </w:rPr>
              <w:t>Spots</w:t>
            </w:r>
          </w:p>
        </w:tc>
      </w:tr>
      <w:tr w:rsidR="003335A5" w:rsidRPr="003335A5" w14:paraId="79E06F96" w14:textId="77777777" w:rsidTr="003335A5">
        <w:trPr>
          <w:trHeight w:val="235"/>
        </w:trPr>
        <w:tc>
          <w:tcPr>
            <w:tcW w:w="2694" w:type="dxa"/>
            <w:tcBorders>
              <w:top w:val="single" w:sz="18" w:space="0" w:color="000000"/>
              <w:left w:val="nil"/>
              <w:bottom w:val="nil"/>
              <w:right w:val="nil"/>
            </w:tcBorders>
            <w:shd w:val="clear" w:color="auto" w:fill="FFFFFF"/>
            <w:tcMar>
              <w:top w:w="15" w:type="dxa"/>
              <w:left w:w="108" w:type="dxa"/>
              <w:bottom w:w="0" w:type="dxa"/>
              <w:right w:w="108" w:type="dxa"/>
            </w:tcMar>
            <w:hideMark/>
          </w:tcPr>
          <w:p w14:paraId="77D23D3A" w14:textId="77777777" w:rsidR="003335A5" w:rsidRPr="003335A5" w:rsidRDefault="003335A5" w:rsidP="003335A5">
            <w:r w:rsidRPr="003335A5">
              <w:rPr>
                <w:lang w:val="en-US"/>
              </w:rPr>
              <w:t>Dark reference</w:t>
            </w:r>
          </w:p>
        </w:tc>
        <w:tc>
          <w:tcPr>
            <w:tcW w:w="2406" w:type="dxa"/>
            <w:tcBorders>
              <w:top w:val="single" w:sz="18" w:space="0" w:color="000000"/>
              <w:left w:val="nil"/>
              <w:bottom w:val="nil"/>
              <w:right w:val="nil"/>
            </w:tcBorders>
            <w:shd w:val="clear" w:color="auto" w:fill="FFFFFF"/>
            <w:tcMar>
              <w:top w:w="15" w:type="dxa"/>
              <w:left w:w="108" w:type="dxa"/>
              <w:bottom w:w="0" w:type="dxa"/>
              <w:right w:w="108" w:type="dxa"/>
            </w:tcMar>
            <w:hideMark/>
          </w:tcPr>
          <w:p w14:paraId="5783E476" w14:textId="77777777" w:rsidR="003335A5" w:rsidRPr="003335A5" w:rsidRDefault="003335A5" w:rsidP="003335A5">
            <w:r w:rsidRPr="003335A5">
              <w:rPr>
                <w:lang w:val="en-US"/>
              </w:rPr>
              <w:t>19, 21</w:t>
            </w:r>
          </w:p>
        </w:tc>
      </w:tr>
      <w:tr w:rsidR="003335A5" w:rsidRPr="003335A5" w14:paraId="245025FA" w14:textId="77777777" w:rsidTr="003335A5">
        <w:trPr>
          <w:trHeight w:val="271"/>
        </w:trPr>
        <w:tc>
          <w:tcPr>
            <w:tcW w:w="2694" w:type="dxa"/>
            <w:tcBorders>
              <w:top w:val="nil"/>
              <w:left w:val="nil"/>
              <w:bottom w:val="nil"/>
              <w:right w:val="nil"/>
            </w:tcBorders>
            <w:shd w:val="clear" w:color="auto" w:fill="FFFFFF"/>
            <w:tcMar>
              <w:top w:w="15" w:type="dxa"/>
              <w:left w:w="108" w:type="dxa"/>
              <w:bottom w:w="0" w:type="dxa"/>
              <w:right w:w="108" w:type="dxa"/>
            </w:tcMar>
            <w:hideMark/>
          </w:tcPr>
          <w:p w14:paraId="3225BCD6" w14:textId="77777777" w:rsidR="003335A5" w:rsidRPr="003335A5" w:rsidRDefault="003335A5" w:rsidP="003335A5">
            <w:r w:rsidRPr="003335A5">
              <w:rPr>
                <w:lang w:val="en-US"/>
              </w:rPr>
              <w:t>Illuminated but not functionalized</w:t>
            </w:r>
          </w:p>
        </w:tc>
        <w:tc>
          <w:tcPr>
            <w:tcW w:w="2406" w:type="dxa"/>
            <w:tcBorders>
              <w:top w:val="nil"/>
              <w:left w:val="nil"/>
              <w:bottom w:val="nil"/>
              <w:right w:val="nil"/>
            </w:tcBorders>
            <w:shd w:val="clear" w:color="auto" w:fill="FFFFFF"/>
            <w:tcMar>
              <w:top w:w="15" w:type="dxa"/>
              <w:left w:w="108" w:type="dxa"/>
              <w:bottom w:w="0" w:type="dxa"/>
              <w:right w:w="108" w:type="dxa"/>
            </w:tcMar>
            <w:hideMark/>
          </w:tcPr>
          <w:p w14:paraId="6CCA3495" w14:textId="77777777" w:rsidR="003335A5" w:rsidRPr="003335A5" w:rsidRDefault="003335A5" w:rsidP="003335A5">
            <w:r w:rsidRPr="003335A5">
              <w:rPr>
                <w:lang w:val="en-US"/>
              </w:rPr>
              <w:t>1, 2, 3, 4, 7</w:t>
            </w:r>
          </w:p>
        </w:tc>
      </w:tr>
      <w:tr w:rsidR="003335A5" w:rsidRPr="003335A5" w14:paraId="5653CF5D" w14:textId="77777777" w:rsidTr="003335A5">
        <w:trPr>
          <w:trHeight w:val="285"/>
        </w:trPr>
        <w:tc>
          <w:tcPr>
            <w:tcW w:w="2694" w:type="dxa"/>
            <w:tcBorders>
              <w:top w:val="nil"/>
              <w:left w:val="nil"/>
              <w:bottom w:val="nil"/>
              <w:right w:val="nil"/>
            </w:tcBorders>
            <w:shd w:val="clear" w:color="auto" w:fill="FFFFFF"/>
            <w:tcMar>
              <w:top w:w="15" w:type="dxa"/>
              <w:left w:w="108" w:type="dxa"/>
              <w:bottom w:w="0" w:type="dxa"/>
              <w:right w:w="108" w:type="dxa"/>
            </w:tcMar>
            <w:hideMark/>
          </w:tcPr>
          <w:p w14:paraId="31CDA663" w14:textId="77777777" w:rsidR="003335A5" w:rsidRPr="003335A5" w:rsidRDefault="003335A5" w:rsidP="003335A5">
            <w:r w:rsidRPr="003335A5">
              <w:rPr>
                <w:lang w:val="en-US"/>
              </w:rPr>
              <w:t>MPG functionalized</w:t>
            </w:r>
          </w:p>
        </w:tc>
        <w:tc>
          <w:tcPr>
            <w:tcW w:w="2406" w:type="dxa"/>
            <w:tcBorders>
              <w:top w:val="nil"/>
              <w:left w:val="nil"/>
              <w:bottom w:val="nil"/>
              <w:right w:val="nil"/>
            </w:tcBorders>
            <w:shd w:val="clear" w:color="auto" w:fill="FFFFFF"/>
            <w:tcMar>
              <w:top w:w="15" w:type="dxa"/>
              <w:left w:w="108" w:type="dxa"/>
              <w:bottom w:w="0" w:type="dxa"/>
              <w:right w:w="108" w:type="dxa"/>
            </w:tcMar>
            <w:hideMark/>
          </w:tcPr>
          <w:p w14:paraId="3974F124" w14:textId="77777777" w:rsidR="003335A5" w:rsidRPr="003335A5" w:rsidRDefault="003335A5" w:rsidP="003335A5">
            <w:r w:rsidRPr="003335A5">
              <w:rPr>
                <w:lang w:val="en-US"/>
              </w:rPr>
              <w:t>5, 6, 8, 9, 10, 12, 13, 16</w:t>
            </w:r>
          </w:p>
        </w:tc>
      </w:tr>
      <w:tr w:rsidR="003335A5" w:rsidRPr="003335A5" w14:paraId="2B873885" w14:textId="77777777" w:rsidTr="003335A5">
        <w:trPr>
          <w:trHeight w:val="255"/>
        </w:trPr>
        <w:tc>
          <w:tcPr>
            <w:tcW w:w="2694" w:type="dxa"/>
            <w:tcBorders>
              <w:top w:val="nil"/>
              <w:left w:val="nil"/>
              <w:bottom w:val="single" w:sz="18" w:space="0" w:color="000000"/>
              <w:right w:val="nil"/>
            </w:tcBorders>
            <w:shd w:val="clear" w:color="auto" w:fill="FFFFFF"/>
            <w:tcMar>
              <w:top w:w="15" w:type="dxa"/>
              <w:left w:w="108" w:type="dxa"/>
              <w:bottom w:w="0" w:type="dxa"/>
              <w:right w:w="108" w:type="dxa"/>
            </w:tcMar>
            <w:hideMark/>
          </w:tcPr>
          <w:p w14:paraId="68470218" w14:textId="77777777" w:rsidR="003335A5" w:rsidRPr="003335A5" w:rsidRDefault="003335A5" w:rsidP="003335A5">
            <w:r w:rsidRPr="003335A5">
              <w:rPr>
                <w:lang w:val="en-US"/>
              </w:rPr>
              <w:t>Flat gold functionalized</w:t>
            </w:r>
          </w:p>
        </w:tc>
        <w:tc>
          <w:tcPr>
            <w:tcW w:w="2406" w:type="dxa"/>
            <w:tcBorders>
              <w:top w:val="nil"/>
              <w:left w:val="nil"/>
              <w:bottom w:val="single" w:sz="18" w:space="0" w:color="000000"/>
              <w:right w:val="nil"/>
            </w:tcBorders>
            <w:shd w:val="clear" w:color="auto" w:fill="FFFFFF"/>
            <w:tcMar>
              <w:top w:w="15" w:type="dxa"/>
              <w:left w:w="108" w:type="dxa"/>
              <w:bottom w:w="0" w:type="dxa"/>
              <w:right w:w="108" w:type="dxa"/>
            </w:tcMar>
            <w:hideMark/>
          </w:tcPr>
          <w:p w14:paraId="07282E5C" w14:textId="77777777" w:rsidR="003335A5" w:rsidRPr="003335A5" w:rsidRDefault="003335A5" w:rsidP="003335A5">
            <w:r w:rsidRPr="003335A5">
              <w:rPr>
                <w:lang w:val="en-US"/>
              </w:rPr>
              <w:t>11, 14, 15, 17, 18, 20</w:t>
            </w:r>
          </w:p>
        </w:tc>
      </w:tr>
    </w:tbl>
    <w:p w14:paraId="7D900986" w14:textId="77777777" w:rsidR="003B3225" w:rsidRDefault="003B3225">
      <w:pPr>
        <w:rPr>
          <w:lang w:val="en-GB"/>
        </w:rPr>
      </w:pPr>
      <w:r w:rsidRPr="003B3225">
        <w:rPr>
          <w:noProof/>
        </w:rPr>
        <w:drawing>
          <wp:inline distT="0" distB="0" distL="0" distR="0" wp14:anchorId="224411D9" wp14:editId="286D7DBC">
            <wp:extent cx="2264835" cy="3781425"/>
            <wp:effectExtent l="0" t="0" r="2540" b="0"/>
            <wp:docPr id="1" name="Grafik 8">
              <a:extLst xmlns:a="http://schemas.openxmlformats.org/drawingml/2006/main">
                <a:ext uri="{FF2B5EF4-FFF2-40B4-BE49-F238E27FC236}">
                  <a16:creationId xmlns:a16="http://schemas.microsoft.com/office/drawing/2014/main" id="{AF242CE2-A3E9-46A0-87A1-672DD10A5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AF242CE2-A3E9-46A0-87A1-672DD10A5459}"/>
                        </a:ext>
                      </a:extLst>
                    </pic:cNvPr>
                    <pic:cNvPicPr>
                      <a:picLocks noChangeAspect="1"/>
                    </pic:cNvPicPr>
                  </pic:nvPicPr>
                  <pic:blipFill>
                    <a:blip r:embed="rId15"/>
                    <a:stretch>
                      <a:fillRect/>
                    </a:stretch>
                  </pic:blipFill>
                  <pic:spPr>
                    <a:xfrm>
                      <a:off x="0" y="0"/>
                      <a:ext cx="2264835" cy="3781425"/>
                    </a:xfrm>
                    <a:prstGeom prst="rect">
                      <a:avLst/>
                    </a:prstGeom>
                  </pic:spPr>
                </pic:pic>
              </a:graphicData>
            </a:graphic>
          </wp:inline>
        </w:drawing>
      </w:r>
    </w:p>
    <w:p w14:paraId="19CA5743" w14:textId="77777777" w:rsidR="003B3225" w:rsidRDefault="003B3225">
      <w:pPr>
        <w:rPr>
          <w:lang w:val="en-GB"/>
        </w:rPr>
      </w:pPr>
    </w:p>
    <w:p w14:paraId="0282694E" w14:textId="77777777" w:rsidR="003335A5" w:rsidRDefault="003335A5">
      <w:pPr>
        <w:rPr>
          <w:lang w:val="en-GB"/>
        </w:rPr>
      </w:pPr>
    </w:p>
    <w:p w14:paraId="600E7F25" w14:textId="39E0819B" w:rsidR="003B3225" w:rsidRPr="00D35EE0" w:rsidRDefault="003B3225" w:rsidP="003B3225">
      <w:pPr>
        <w:spacing w:after="160" w:line="259" w:lineRule="auto"/>
        <w:rPr>
          <w:rFonts w:ascii="Arial" w:hAnsi="Arial" w:cs="Arial"/>
          <w:sz w:val="16"/>
          <w:szCs w:val="16"/>
          <w:lang w:val="en-GB"/>
        </w:rPr>
      </w:pPr>
      <w:r w:rsidRPr="00D35EE0">
        <w:rPr>
          <w:rFonts w:ascii="Arial" w:hAnsi="Arial" w:cs="Arial"/>
          <w:b/>
          <w:bCs/>
          <w:sz w:val="16"/>
          <w:szCs w:val="16"/>
          <w:lang w:val="en-GB"/>
        </w:rPr>
        <w:t>Figure</w:t>
      </w:r>
      <w:r w:rsidR="00D35EE0">
        <w:rPr>
          <w:rFonts w:ascii="Arial" w:hAnsi="Arial" w:cs="Arial"/>
          <w:b/>
          <w:bCs/>
          <w:sz w:val="16"/>
          <w:szCs w:val="16"/>
          <w:lang w:val="en-GB"/>
        </w:rPr>
        <w:t>.</w:t>
      </w:r>
      <w:r w:rsidRPr="00D35EE0">
        <w:rPr>
          <w:rFonts w:ascii="Arial" w:hAnsi="Arial" w:cs="Arial"/>
          <w:b/>
          <w:bCs/>
          <w:sz w:val="16"/>
          <w:szCs w:val="16"/>
          <w:lang w:val="en-GB"/>
        </w:rPr>
        <w:t> S5:</w:t>
      </w:r>
      <w:r w:rsidRPr="00D35EE0">
        <w:rPr>
          <w:rFonts w:ascii="Arial" w:hAnsi="Arial" w:cs="Arial"/>
          <w:sz w:val="16"/>
          <w:szCs w:val="16"/>
          <w:lang w:val="en-GB"/>
        </w:rPr>
        <w:t xml:space="preserve"> A) A schematic of the </w:t>
      </w:r>
      <w:r w:rsidR="00D35EE0">
        <w:rPr>
          <w:rFonts w:ascii="Arial" w:hAnsi="Arial" w:cs="Arial"/>
          <w:sz w:val="16"/>
          <w:szCs w:val="16"/>
          <w:lang w:val="en-GB"/>
        </w:rPr>
        <w:t xml:space="preserve">sensor chip with part of its area structured with gold-coated </w:t>
      </w:r>
      <w:r w:rsidRPr="00D35EE0">
        <w:rPr>
          <w:rFonts w:ascii="Arial" w:hAnsi="Arial" w:cs="Arial"/>
          <w:sz w:val="16"/>
          <w:szCs w:val="16"/>
          <w:lang w:val="en-GB"/>
        </w:rPr>
        <w:t xml:space="preserve">MPG </w:t>
      </w:r>
      <w:r w:rsidR="00D35EE0">
        <w:rPr>
          <w:rFonts w:ascii="Arial" w:hAnsi="Arial" w:cs="Arial"/>
          <w:sz w:val="16"/>
          <w:szCs w:val="16"/>
          <w:lang w:val="en-GB"/>
        </w:rPr>
        <w:t xml:space="preserve">and part of its area carrying </w:t>
      </w:r>
      <w:r w:rsidRPr="00D35EE0">
        <w:rPr>
          <w:rFonts w:ascii="Arial" w:hAnsi="Arial" w:cs="Arial"/>
          <w:sz w:val="16"/>
          <w:szCs w:val="16"/>
          <w:lang w:val="en-GB"/>
        </w:rPr>
        <w:t xml:space="preserve">flat gold </w:t>
      </w:r>
      <w:r w:rsidR="00D35EE0">
        <w:rPr>
          <w:rFonts w:ascii="Arial" w:hAnsi="Arial" w:cs="Arial"/>
          <w:sz w:val="16"/>
          <w:szCs w:val="16"/>
          <w:lang w:val="en-GB"/>
        </w:rPr>
        <w:t>surface that is clamped against a</w:t>
      </w:r>
      <w:r w:rsidRPr="00D35EE0">
        <w:rPr>
          <w:rFonts w:ascii="Arial" w:hAnsi="Arial" w:cs="Arial"/>
          <w:sz w:val="16"/>
          <w:szCs w:val="16"/>
          <w:lang w:val="en-GB"/>
        </w:rPr>
        <w:t xml:space="preserve"> microfluidic flow</w:t>
      </w:r>
      <w:r w:rsidR="00D35EE0">
        <w:rPr>
          <w:rFonts w:ascii="Arial" w:hAnsi="Arial" w:cs="Arial"/>
          <w:sz w:val="16"/>
          <w:szCs w:val="16"/>
          <w:lang w:val="en-GB"/>
        </w:rPr>
        <w:t>-</w:t>
      </w:r>
      <w:r w:rsidRPr="00D35EE0">
        <w:rPr>
          <w:rFonts w:ascii="Arial" w:hAnsi="Arial" w:cs="Arial"/>
          <w:sz w:val="16"/>
          <w:szCs w:val="16"/>
          <w:lang w:val="en-GB"/>
        </w:rPr>
        <w:t xml:space="preserve">cell. The illuminated area is indicated by a red circle, the imaged area by a black square. In B) a fluorescence image obtained during the measurement in Figure </w:t>
      </w:r>
      <w:r w:rsidR="00D35EE0">
        <w:rPr>
          <w:rFonts w:ascii="Arial" w:hAnsi="Arial" w:cs="Arial"/>
          <w:sz w:val="16"/>
          <w:szCs w:val="16"/>
          <w:lang w:val="en-GB"/>
        </w:rPr>
        <w:t>7</w:t>
      </w:r>
      <w:r w:rsidRPr="00D35EE0">
        <w:rPr>
          <w:rFonts w:ascii="Arial" w:hAnsi="Arial" w:cs="Arial"/>
          <w:sz w:val="16"/>
          <w:szCs w:val="16"/>
          <w:lang w:val="en-GB"/>
        </w:rPr>
        <w:t xml:space="preserve"> b) after titration up to 50</w:t>
      </w:r>
      <w:r w:rsidR="00D35EE0">
        <w:rPr>
          <w:rFonts w:ascii="Arial" w:hAnsi="Arial" w:cs="Arial"/>
          <w:sz w:val="16"/>
          <w:szCs w:val="16"/>
          <w:lang w:val="en-GB"/>
        </w:rPr>
        <w:t xml:space="preserve"> </w:t>
      </w:r>
      <w:r w:rsidRPr="00D35EE0">
        <w:rPr>
          <w:rFonts w:ascii="Arial" w:hAnsi="Arial" w:cs="Arial"/>
          <w:sz w:val="16"/>
          <w:szCs w:val="16"/>
          <w:lang w:val="en-GB"/>
        </w:rPr>
        <w:t xml:space="preserve">pM </w:t>
      </w:r>
      <w:r w:rsidR="00D35EE0">
        <w:rPr>
          <w:rFonts w:ascii="Arial" w:hAnsi="Arial" w:cs="Arial"/>
          <w:sz w:val="16"/>
          <w:szCs w:val="16"/>
          <w:lang w:val="en-GB"/>
        </w:rPr>
        <w:t xml:space="preserve">target analyte concertation </w:t>
      </w:r>
      <w:r w:rsidRPr="00D35EE0">
        <w:rPr>
          <w:rFonts w:ascii="Arial" w:hAnsi="Arial" w:cs="Arial"/>
          <w:sz w:val="16"/>
          <w:szCs w:val="16"/>
          <w:lang w:val="en-GB"/>
        </w:rPr>
        <w:t>is shown. The microfluidic channel is indicated in blue, the illuminated area with a red circle and the spots averaged to calculate the fluorescence signal are indicated in green.</w:t>
      </w:r>
    </w:p>
    <w:p w14:paraId="273095EC" w14:textId="77777777" w:rsidR="003B3225" w:rsidRDefault="003B3225">
      <w:pPr>
        <w:rPr>
          <w:lang w:val="en-GB"/>
        </w:rPr>
      </w:pPr>
    </w:p>
    <w:p w14:paraId="6EC675CD" w14:textId="77777777" w:rsidR="003335A5" w:rsidRPr="000B3E13" w:rsidRDefault="003335A5" w:rsidP="003335A5">
      <w:pPr>
        <w:pStyle w:val="captionfigure"/>
        <w:rPr>
          <w:b/>
          <w:bCs/>
          <w:sz w:val="26"/>
          <w:szCs w:val="26"/>
        </w:rPr>
      </w:pPr>
      <w:r w:rsidRPr="000B3E13">
        <w:rPr>
          <w:b/>
          <w:bCs/>
          <w:sz w:val="26"/>
          <w:szCs w:val="26"/>
        </w:rPr>
        <w:t>NIL reproducibility</w:t>
      </w:r>
    </w:p>
    <w:p w14:paraId="4EA22658" w14:textId="33534A8B" w:rsidR="003335A5" w:rsidRPr="00D35EE0" w:rsidRDefault="003335A5" w:rsidP="00582365">
      <w:pPr>
        <w:jc w:val="both"/>
        <w:rPr>
          <w:rFonts w:ascii="Times New Roman" w:hAnsi="Times New Roman" w:cs="Times New Roman"/>
          <w:bCs/>
          <w:sz w:val="19"/>
          <w:szCs w:val="19"/>
          <w:lang w:val="en-GB"/>
        </w:rPr>
      </w:pPr>
      <w:r w:rsidRPr="00D35EE0">
        <w:rPr>
          <w:rFonts w:ascii="Times New Roman" w:hAnsi="Times New Roman" w:cs="Times New Roman"/>
          <w:bCs/>
          <w:sz w:val="19"/>
          <w:szCs w:val="19"/>
          <w:lang w:val="en-GB"/>
        </w:rPr>
        <w:t xml:space="preserve">Reproducibility of the </w:t>
      </w:r>
      <w:r w:rsidR="00D35EE0" w:rsidRPr="00D35EE0">
        <w:rPr>
          <w:rFonts w:ascii="Times New Roman" w:hAnsi="Times New Roman" w:cs="Times New Roman"/>
          <w:bCs/>
          <w:sz w:val="19"/>
          <w:szCs w:val="19"/>
          <w:lang w:val="en-GB"/>
        </w:rPr>
        <w:t>UV-NIL</w:t>
      </w:r>
      <w:r w:rsidRPr="00D35EE0">
        <w:rPr>
          <w:rFonts w:ascii="Times New Roman" w:hAnsi="Times New Roman" w:cs="Times New Roman"/>
          <w:bCs/>
          <w:sz w:val="19"/>
          <w:szCs w:val="19"/>
          <w:lang w:val="en-GB"/>
        </w:rPr>
        <w:t xml:space="preserve"> process was tested on 5 samples prepared using a PDMS stamp. The spectra were acquired in air to prevent contamination, before the samples were chemically modified</w:t>
      </w:r>
      <w:r w:rsidR="00D35EE0" w:rsidRPr="00D35EE0">
        <w:rPr>
          <w:rFonts w:ascii="Times New Roman" w:hAnsi="Times New Roman" w:cs="Times New Roman"/>
          <w:bCs/>
          <w:sz w:val="19"/>
          <w:szCs w:val="19"/>
          <w:lang w:val="en-GB"/>
        </w:rPr>
        <w:t xml:space="preserve"> (therefore the spectral positions differ from those presented in Figure 3 measured in contact with water)</w:t>
      </w:r>
      <w:r w:rsidRPr="00D35EE0">
        <w:rPr>
          <w:rFonts w:ascii="Times New Roman" w:hAnsi="Times New Roman" w:cs="Times New Roman"/>
          <w:bCs/>
          <w:sz w:val="19"/>
          <w:szCs w:val="19"/>
          <w:lang w:val="en-GB"/>
        </w:rPr>
        <w:t xml:space="preserve">. The </w:t>
      </w:r>
      <w:r w:rsidR="00D35EE0" w:rsidRPr="00D35EE0">
        <w:rPr>
          <w:rFonts w:ascii="Times New Roman" w:hAnsi="Times New Roman" w:cs="Times New Roman"/>
          <w:bCs/>
          <w:sz w:val="19"/>
          <w:szCs w:val="19"/>
          <w:lang w:val="en-GB"/>
        </w:rPr>
        <w:t>spectral position of the resonances deviate by less than</w:t>
      </w:r>
      <w:r w:rsidRPr="00D35EE0">
        <w:rPr>
          <w:rFonts w:ascii="Times New Roman" w:hAnsi="Times New Roman" w:cs="Times New Roman"/>
          <w:bCs/>
          <w:sz w:val="19"/>
          <w:szCs w:val="19"/>
          <w:lang w:val="en-GB"/>
        </w:rPr>
        <w:t xml:space="preserve"> 2 nm, significantly smaller </w:t>
      </w:r>
      <w:r w:rsidR="00D35EE0" w:rsidRPr="00D35EE0">
        <w:rPr>
          <w:rFonts w:ascii="Times New Roman" w:hAnsi="Times New Roman" w:cs="Times New Roman"/>
          <w:bCs/>
          <w:sz w:val="19"/>
          <w:szCs w:val="19"/>
          <w:lang w:val="en-GB"/>
        </w:rPr>
        <w:t xml:space="preserve">value </w:t>
      </w:r>
      <w:r w:rsidRPr="00D35EE0">
        <w:rPr>
          <w:rFonts w:ascii="Times New Roman" w:hAnsi="Times New Roman" w:cs="Times New Roman"/>
          <w:bCs/>
          <w:sz w:val="19"/>
          <w:szCs w:val="19"/>
          <w:lang w:val="en-GB"/>
        </w:rPr>
        <w:t>than the resonance width</w:t>
      </w:r>
      <w:r w:rsidR="00D35EE0" w:rsidRPr="00D35EE0">
        <w:rPr>
          <w:rFonts w:ascii="Times New Roman" w:hAnsi="Times New Roman" w:cs="Times New Roman"/>
          <w:bCs/>
          <w:sz w:val="19"/>
          <w:szCs w:val="19"/>
          <w:lang w:val="en-GB"/>
        </w:rPr>
        <w:t>.</w:t>
      </w:r>
    </w:p>
    <w:p w14:paraId="3DA5D4F6" w14:textId="77777777" w:rsidR="003335A5" w:rsidRDefault="003335A5" w:rsidP="003335A5">
      <w:pPr>
        <w:rPr>
          <w:rStyle w:val="bold"/>
          <w:lang w:val="en-GB"/>
        </w:rPr>
      </w:pPr>
    </w:p>
    <w:p w14:paraId="1DE7B6CA" w14:textId="500EEA0D" w:rsidR="003335A5" w:rsidRDefault="00D35EE0" w:rsidP="00D35EE0">
      <w:pPr>
        <w:jc w:val="center"/>
        <w:rPr>
          <w:rStyle w:val="bold"/>
          <w:lang w:val="en-GB"/>
        </w:rPr>
      </w:pPr>
      <w:r>
        <w:rPr>
          <w:b/>
          <w:noProof/>
          <w:lang w:val="en-GB"/>
        </w:rPr>
        <w:lastRenderedPageBreak/>
        <w:drawing>
          <wp:inline distT="0" distB="0" distL="0" distR="0" wp14:anchorId="6735CBB6" wp14:editId="1D183CD4">
            <wp:extent cx="3777141" cy="310515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6.tif"/>
                    <pic:cNvPicPr/>
                  </pic:nvPicPr>
                  <pic:blipFill>
                    <a:blip r:embed="rId16">
                      <a:extLst>
                        <a:ext uri="{28A0092B-C50C-407E-A947-70E740481C1C}">
                          <a14:useLocalDpi xmlns:a14="http://schemas.microsoft.com/office/drawing/2010/main" val="0"/>
                        </a:ext>
                      </a:extLst>
                    </a:blip>
                    <a:stretch>
                      <a:fillRect/>
                    </a:stretch>
                  </pic:blipFill>
                  <pic:spPr>
                    <a:xfrm>
                      <a:off x="0" y="0"/>
                      <a:ext cx="3801029" cy="3124788"/>
                    </a:xfrm>
                    <a:prstGeom prst="rect">
                      <a:avLst/>
                    </a:prstGeom>
                  </pic:spPr>
                </pic:pic>
              </a:graphicData>
            </a:graphic>
          </wp:inline>
        </w:drawing>
      </w:r>
    </w:p>
    <w:p w14:paraId="5D5C198E" w14:textId="77777777" w:rsidR="003335A5" w:rsidRDefault="003335A5" w:rsidP="003335A5">
      <w:pPr>
        <w:rPr>
          <w:rStyle w:val="bold"/>
          <w:lang w:val="en-GB"/>
        </w:rPr>
      </w:pPr>
    </w:p>
    <w:p w14:paraId="314D42F0" w14:textId="77777777" w:rsidR="003335A5" w:rsidRDefault="003335A5" w:rsidP="003335A5">
      <w:pPr>
        <w:rPr>
          <w:lang w:val="en-GB"/>
        </w:rPr>
      </w:pPr>
      <w:r>
        <w:rPr>
          <w:rStyle w:val="bold"/>
          <w:lang w:val="en-GB"/>
        </w:rPr>
        <w:t>F</w:t>
      </w:r>
      <w:r w:rsidRPr="00170E06">
        <w:rPr>
          <w:rStyle w:val="bold"/>
          <w:lang w:val="en-GB"/>
        </w:rPr>
        <w:t>ig</w:t>
      </w:r>
      <w:r>
        <w:rPr>
          <w:rStyle w:val="bold"/>
          <w:lang w:val="en-GB"/>
        </w:rPr>
        <w:t>ure</w:t>
      </w:r>
      <w:r w:rsidRPr="00170E06" w:rsidDel="00AA7922">
        <w:rPr>
          <w:rStyle w:val="bold"/>
          <w:lang w:val="en-GB"/>
        </w:rPr>
        <w:t xml:space="preserve"> </w:t>
      </w:r>
      <w:r w:rsidRPr="0008093D">
        <w:rPr>
          <w:rStyle w:val="bold"/>
          <w:lang w:val="en-GB"/>
        </w:rPr>
        <w:t>S</w:t>
      </w:r>
      <w:r w:rsidR="00963858" w:rsidRPr="0008093D">
        <w:rPr>
          <w:b/>
          <w:lang w:val="en-GB"/>
        </w:rPr>
        <w:t>6</w:t>
      </w:r>
      <w:r w:rsidRPr="00170E06">
        <w:rPr>
          <w:rStyle w:val="bold"/>
          <w:lang w:val="en-GB"/>
        </w:rPr>
        <w:t>:</w:t>
      </w:r>
      <w:r w:rsidRPr="003335A5">
        <w:rPr>
          <w:lang w:val="en-GB"/>
        </w:rPr>
        <w:t xml:space="preserve"> Reflectivity spectra acquired from 5 nanoimprinted samples from the same master structure</w:t>
      </w:r>
    </w:p>
    <w:p w14:paraId="7C0DCFAB" w14:textId="77777777" w:rsidR="00963858" w:rsidRDefault="00963858" w:rsidP="003335A5">
      <w:pPr>
        <w:rPr>
          <w:lang w:val="en-GB"/>
        </w:rPr>
      </w:pPr>
    </w:p>
    <w:p w14:paraId="38E4D533" w14:textId="77777777" w:rsidR="00963858" w:rsidRDefault="00963858" w:rsidP="00963858">
      <w:pPr>
        <w:pStyle w:val="captionfigure"/>
        <w:rPr>
          <w:b/>
          <w:bCs/>
          <w:sz w:val="26"/>
          <w:szCs w:val="26"/>
        </w:rPr>
      </w:pPr>
    </w:p>
    <w:p w14:paraId="3DD3C597" w14:textId="77777777" w:rsidR="00963858" w:rsidRDefault="00963858" w:rsidP="00963858">
      <w:pPr>
        <w:pStyle w:val="captionfigure"/>
        <w:rPr>
          <w:b/>
          <w:bCs/>
          <w:sz w:val="26"/>
          <w:szCs w:val="26"/>
        </w:rPr>
      </w:pPr>
      <w:r>
        <w:rPr>
          <w:b/>
          <w:bCs/>
          <w:sz w:val="26"/>
          <w:szCs w:val="26"/>
        </w:rPr>
        <w:t>Collection efficiency enhancement</w:t>
      </w:r>
    </w:p>
    <w:p w14:paraId="00501750" w14:textId="45E24A8F" w:rsidR="00963858" w:rsidRPr="00D35EE0" w:rsidRDefault="00963858" w:rsidP="00D35EE0">
      <w:pPr>
        <w:pStyle w:val="captionfigure"/>
        <w:jc w:val="both"/>
        <w:rPr>
          <w:rFonts w:ascii="Times New Roman" w:hAnsi="Times New Roman" w:cs="Times New Roman"/>
          <w:bCs/>
          <w:sz w:val="19"/>
          <w:szCs w:val="19"/>
        </w:rPr>
      </w:pPr>
      <w:r w:rsidRPr="00D35EE0">
        <w:rPr>
          <w:rFonts w:ascii="Times New Roman" w:hAnsi="Times New Roman" w:cs="Times New Roman"/>
          <w:bCs/>
          <w:sz w:val="19"/>
          <w:szCs w:val="19"/>
        </w:rPr>
        <w:t xml:space="preserve">A key challenge in making sensitive fluorescence assays is the collection efficiency of emitted fluorescence light for practical optical systems. For a freely rotating fluorophore in homogeneous medium, the emission is assumed to be isotropic despite the orientation sensitive absorption characteristics of the electrical dipole model, due to the random change of orientation during fluorescence lifetime. For an optical system with a given numerical aperture </w:t>
      </w:r>
      <m:oMath>
        <m:r>
          <w:rPr>
            <w:rFonts w:ascii="Cambria Math" w:hAnsi="Cambria Math" w:cs="Times New Roman"/>
            <w:sz w:val="19"/>
            <w:szCs w:val="19"/>
          </w:rPr>
          <m:t>NA=n</m:t>
        </m:r>
        <m:func>
          <m:funcPr>
            <m:ctrlPr>
              <w:rPr>
                <w:rFonts w:ascii="Cambria Math" w:hAnsi="Cambria Math" w:cs="Times New Roman"/>
                <w:bCs/>
                <w:i/>
                <w:sz w:val="19"/>
                <w:szCs w:val="19"/>
              </w:rPr>
            </m:ctrlPr>
          </m:funcPr>
          <m:fName>
            <m:r>
              <m:rPr>
                <m:sty m:val="p"/>
              </m:rPr>
              <w:rPr>
                <w:rFonts w:ascii="Cambria Math" w:hAnsi="Cambria Math" w:cs="Times New Roman"/>
                <w:sz w:val="19"/>
                <w:szCs w:val="19"/>
              </w:rPr>
              <m:t>sin</m:t>
            </m:r>
          </m:fName>
          <m:e>
            <m:r>
              <w:rPr>
                <w:rFonts w:ascii="Cambria Math" w:hAnsi="Cambria Math" w:cs="Times New Roman"/>
                <w:sz w:val="19"/>
                <w:szCs w:val="19"/>
              </w:rPr>
              <m:t>θ</m:t>
            </m:r>
          </m:e>
        </m:func>
      </m:oMath>
      <w:r w:rsidRPr="00D35EE0">
        <w:rPr>
          <w:rFonts w:ascii="Times New Roman" w:hAnsi="Times New Roman" w:cs="Times New Roman"/>
          <w:bCs/>
          <w:sz w:val="19"/>
          <w:szCs w:val="19"/>
        </w:rPr>
        <w:t xml:space="preserve"> the collection only part of fluorescence light emitted to a cone with half angle </w:t>
      </w:r>
      <m:oMath>
        <m:r>
          <w:rPr>
            <w:rFonts w:ascii="Cambria Math" w:hAnsi="Cambria Math" w:cs="Times New Roman"/>
            <w:sz w:val="19"/>
            <w:szCs w:val="19"/>
          </w:rPr>
          <m:t>θ</m:t>
        </m:r>
      </m:oMath>
      <w:r w:rsidRPr="00D35EE0">
        <w:rPr>
          <w:rFonts w:ascii="Times New Roman" w:hAnsi="Times New Roman" w:cs="Times New Roman"/>
          <w:bCs/>
          <w:sz w:val="19"/>
          <w:szCs w:val="19"/>
        </w:rPr>
        <w:t xml:space="preserve"> can be collected. In the case of isotropic emission, the fraction can be determined analytically by calculating the ratio of the surface of the emission cone to the overall surface. </w:t>
      </w:r>
    </w:p>
    <w:p w14:paraId="1B9B094B" w14:textId="3E197CA2" w:rsidR="001D079A" w:rsidRPr="001D079A" w:rsidRDefault="00FB67E0" w:rsidP="001D079A">
      <w:pPr>
        <w:rPr>
          <w:rFonts w:ascii="Arial" w:eastAsia="Times New Roman" w:hAnsi="Arial" w:cs="Arial"/>
          <w:bCs/>
        </w:rPr>
      </w:pPr>
      <m:oMathPara>
        <m:oMath>
          <m:eqArr>
            <m:eqArrPr>
              <m:maxDist m:val="1"/>
              <m:ctrlPr>
                <w:rPr>
                  <w:rFonts w:ascii="Cambria Math" w:eastAsiaTheme="minorEastAsia" w:hAnsi="Cambria Math"/>
                  <w:bCs/>
                  <w:i/>
                </w:rPr>
              </m:ctrlPr>
            </m:eqArrPr>
            <m:e>
              <m:sSub>
                <m:sSubPr>
                  <m:ctrlPr>
                    <w:rPr>
                      <w:rFonts w:ascii="Cambria Math" w:hAnsi="Cambria Math"/>
                      <w:bCs/>
                    </w:rPr>
                  </m:ctrlPr>
                </m:sSubPr>
                <m:e>
                  <m:r>
                    <w:rPr>
                      <w:rFonts w:ascii="Cambria Math" w:hAnsi="Cambria Math"/>
                    </w:rPr>
                    <m:t>A</m:t>
                  </m:r>
                </m:e>
                <m:sub>
                  <m:r>
                    <w:rPr>
                      <w:rFonts w:ascii="Cambria Math" w:hAnsi="Cambria Math"/>
                    </w:rPr>
                    <m:t>collected</m:t>
                  </m:r>
                </m:sub>
              </m:sSub>
              <m:r>
                <m:rPr>
                  <m:sty m:val="p"/>
                </m:rPr>
                <w:rPr>
                  <w:rFonts w:ascii="Cambria Math" w:hAnsi="Cambria Math"/>
                </w:rPr>
                <m:t>=</m:t>
              </m:r>
              <m:nary>
                <m:naryPr>
                  <m:limLoc m:val="subSup"/>
                  <m:ctrlPr>
                    <w:rPr>
                      <w:rFonts w:ascii="Cambria Math" w:hAnsi="Cambria Math"/>
                      <w:bCs/>
                    </w:rPr>
                  </m:ctrlPr>
                </m:naryPr>
                <m:sub>
                  <m:r>
                    <m:rPr>
                      <m:sty m:val="p"/>
                    </m:rPr>
                    <w:rPr>
                      <w:rFonts w:ascii="Cambria Math" w:hAnsi="Cambria Math"/>
                    </w:rPr>
                    <m:t>0</m:t>
                  </m:r>
                </m:sub>
                <m:sup>
                  <m:r>
                    <m:rPr>
                      <m:sty m:val="p"/>
                    </m:rPr>
                    <w:rPr>
                      <w:rFonts w:ascii="Cambria Math" w:hAnsi="Cambria Math"/>
                    </w:rPr>
                    <m:t>Θ</m:t>
                  </m:r>
                </m:sup>
                <m:e>
                  <m:nary>
                    <m:naryPr>
                      <m:limLoc m:val="subSup"/>
                      <m:ctrlPr>
                        <w:rPr>
                          <w:rFonts w:ascii="Cambria Math" w:hAnsi="Cambria Math"/>
                          <w:bCs/>
                        </w:rPr>
                      </m:ctrlPr>
                    </m:naryPr>
                    <m:sub>
                      <m:r>
                        <m:rPr>
                          <m:sty m:val="p"/>
                        </m:rPr>
                        <w:rPr>
                          <w:rFonts w:ascii="Cambria Math" w:hAnsi="Cambria Math"/>
                        </w:rPr>
                        <m:t>0</m:t>
                      </m:r>
                    </m:sub>
                    <m:sup>
                      <m:r>
                        <m:rPr>
                          <m:sty m:val="p"/>
                        </m:rPr>
                        <w:rPr>
                          <w:rFonts w:ascii="Cambria Math" w:hAnsi="Cambria Math"/>
                        </w:rPr>
                        <m:t>2</m:t>
                      </m:r>
                      <m:r>
                        <w:rPr>
                          <w:rFonts w:ascii="Cambria Math" w:hAnsi="Cambria Math"/>
                        </w:rPr>
                        <m:t>π</m:t>
                      </m:r>
                    </m:sup>
                    <m:e>
                      <m:r>
                        <m:rPr>
                          <m:sty m:val="p"/>
                        </m:rPr>
                        <w:rPr>
                          <w:rFonts w:ascii="Cambria Math" w:hAnsi="Cambria Math"/>
                        </w:rPr>
                        <m:t xml:space="preserve"> </m:t>
                      </m:r>
                      <m:r>
                        <w:rPr>
                          <w:rFonts w:ascii="Cambria Math" w:hAnsi="Cambria Math"/>
                        </w:rPr>
                        <m:t>sin</m:t>
                      </m:r>
                      <m:r>
                        <m:rPr>
                          <m:sty m:val="p"/>
                        </m:rPr>
                        <w:rPr>
                          <w:rFonts w:ascii="Cambria Math" w:hAnsi="Cambria Math"/>
                        </w:rPr>
                        <m:t>θ dϕ dθ</m:t>
                      </m:r>
                    </m:e>
                  </m:nary>
                </m:e>
              </m:nary>
              <m:r>
                <w:rPr>
                  <w:rFonts w:ascii="Cambria Math" w:hAnsi="Cambria Math"/>
                </w:rPr>
                <m:t xml:space="preserve">=2π </m:t>
              </m:r>
              <m:d>
                <m:dPr>
                  <m:ctrlPr>
                    <w:rPr>
                      <w:rFonts w:ascii="Cambria Math" w:hAnsi="Cambria Math"/>
                      <w:bCs/>
                      <w:i/>
                    </w:rPr>
                  </m:ctrlPr>
                </m:dPr>
                <m:e>
                  <m:r>
                    <w:rPr>
                      <w:rFonts w:ascii="Cambria Math" w:hAnsi="Cambria Math"/>
                    </w:rPr>
                    <m:t xml:space="preserve"> 1-cos</m:t>
                  </m:r>
                  <m:r>
                    <m:rPr>
                      <m:sty m:val="p"/>
                    </m:rPr>
                    <w:rPr>
                      <w:rFonts w:ascii="Cambria Math" w:hAnsi="Cambria Math"/>
                    </w:rPr>
                    <m:t>Θ</m:t>
                  </m:r>
                </m:e>
              </m:d>
              <m:r>
                <w:rPr>
                  <w:rFonts w:ascii="Cambria Math" w:eastAsiaTheme="minorEastAsia" w:hAnsi="Cambria Math"/>
                </w:rPr>
                <m:t xml:space="preserve"> </m:t>
              </m:r>
              <m:r>
                <w:rPr>
                  <w:rFonts w:ascii="Cambria Math" w:hAnsi="Cambria Math"/>
                </w:rPr>
                <m:t>#</m:t>
              </m:r>
              <m:d>
                <m:dPr>
                  <m:ctrlPr>
                    <w:rPr>
                      <w:rFonts w:ascii="Cambria Math" w:eastAsiaTheme="minorEastAsia" w:hAnsi="Cambria Math"/>
                      <w:bCs/>
                      <w:i/>
                    </w:rPr>
                  </m:ctrlPr>
                </m:dPr>
                <m:e>
                  <m:r>
                    <w:rPr>
                      <w:rFonts w:ascii="Cambria Math" w:eastAsiaTheme="minorEastAsia" w:hAnsi="Cambria Math"/>
                    </w:rPr>
                    <m:t>1</m:t>
                  </m:r>
                </m:e>
              </m:d>
              <m:ctrlPr>
                <w:rPr>
                  <w:rFonts w:ascii="Cambria Math" w:hAnsi="Cambria Math"/>
                  <w:bCs/>
                  <w:i/>
                </w:rPr>
              </m:ctrlPr>
            </m:e>
          </m:eqArr>
        </m:oMath>
      </m:oMathPara>
    </w:p>
    <w:p w14:paraId="25C042B0" w14:textId="77777777" w:rsidR="001D079A" w:rsidRPr="001D079A" w:rsidRDefault="001D079A" w:rsidP="001D079A">
      <w:pPr>
        <w:rPr>
          <w:rFonts w:ascii="Arial" w:eastAsia="Times New Roman" w:hAnsi="Arial" w:cs="Arial"/>
          <w:bCs/>
        </w:rPr>
      </w:pPr>
    </w:p>
    <w:p w14:paraId="5BCB23E4" w14:textId="72CF1935" w:rsidR="001D079A" w:rsidRPr="001D079A" w:rsidRDefault="00FB67E0" w:rsidP="001D079A">
      <w:pPr>
        <w:rPr>
          <w:rFonts w:ascii="Arial" w:eastAsia="Times New Roman" w:hAnsi="Arial" w:cs="Arial"/>
        </w:rPr>
      </w:pPr>
      <m:oMathPara>
        <m:oMath>
          <m:eqArr>
            <m:eqArrPr>
              <m:maxDist m:val="1"/>
              <m:ctrlPr>
                <w:rPr>
                  <w:rFonts w:ascii="Cambria Math" w:eastAsiaTheme="minorEastAsia" w:hAnsi="Cambria Math"/>
                  <w:bCs/>
                  <w:i/>
                </w:rPr>
              </m:ctrlPr>
            </m:eqArrPr>
            <m:e>
              <m:r>
                <w:rPr>
                  <w:rFonts w:ascii="Cambria Math" w:hAnsi="Cambria Math"/>
                </w:rPr>
                <m:t>CE</m:t>
              </m:r>
              <m:r>
                <m:rPr>
                  <m:sty m:val="p"/>
                </m:rPr>
                <w:rPr>
                  <w:rFonts w:ascii="Cambria Math" w:hAns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collected</m:t>
                      </m:r>
                    </m:sub>
                  </m:sSub>
                </m:num>
                <m:den>
                  <m:sSub>
                    <m:sSubPr>
                      <m:ctrlPr>
                        <w:rPr>
                          <w:rFonts w:ascii="Cambria Math" w:hAnsi="Cambria Math"/>
                          <w:bCs/>
                        </w:rPr>
                      </m:ctrlPr>
                    </m:sSubPr>
                    <m:e>
                      <m:r>
                        <w:rPr>
                          <w:rFonts w:ascii="Cambria Math" w:hAnsi="Cambria Math"/>
                        </w:rPr>
                        <m:t>A</m:t>
                      </m:r>
                    </m:e>
                    <m:sub>
                      <m:r>
                        <w:rPr>
                          <w:rFonts w:ascii="Cambria Math" w:hAnsi="Cambria Math"/>
                        </w:rPr>
                        <m:t>sphere</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A</m:t>
                      </m:r>
                    </m:e>
                    <m:sub>
                      <m:r>
                        <w:rPr>
                          <w:rFonts w:ascii="Cambria Math" w:hAnsi="Cambria Math"/>
                        </w:rPr>
                        <m:t>collected</m:t>
                      </m:r>
                    </m:sub>
                  </m:sSub>
                </m:num>
                <m:den>
                  <m:r>
                    <w:rPr>
                      <w:rFonts w:ascii="Cambria Math" w:hAnsi="Cambria Math"/>
                    </w:rPr>
                    <m:t xml:space="preserve">4 </m:t>
                  </m:r>
                  <m:r>
                    <m:rPr>
                      <m:sty m:val="p"/>
                    </m:rPr>
                    <w:rPr>
                      <w:rFonts w:ascii="Cambria Math" w:hAnsi="Cambria Math"/>
                    </w:rPr>
                    <m:t>π</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d>
                <m:dPr>
                  <m:ctrlPr>
                    <w:rPr>
                      <w:rFonts w:ascii="Cambria Math" w:hAnsi="Cambria Math"/>
                      <w:bCs/>
                      <w:i/>
                    </w:rPr>
                  </m:ctrlPr>
                </m:dPr>
                <m:e>
                  <m:r>
                    <w:rPr>
                      <w:rFonts w:ascii="Cambria Math" w:hAnsi="Cambria Math"/>
                    </w:rPr>
                    <m:t>1-cos</m:t>
                  </m:r>
                  <m:r>
                    <m:rPr>
                      <m:sty m:val="p"/>
                    </m:rPr>
                    <w:rPr>
                      <w:rFonts w:ascii="Cambria Math" w:hAnsi="Cambria Math"/>
                    </w:rPr>
                    <m:t>Θ</m:t>
                  </m:r>
                </m:e>
              </m:d>
              <m:r>
                <w:rPr>
                  <w:rFonts w:ascii="Cambria Math" w:eastAsiaTheme="minorEastAsia" w:hAnsi="Cambria Math"/>
                </w:rPr>
                <m:t xml:space="preserve"> </m:t>
              </m:r>
              <m:r>
                <w:rPr>
                  <w:rFonts w:ascii="Cambria Math" w:hAnsi="Cambria Math"/>
                </w:rPr>
                <m:t>#</m:t>
              </m:r>
              <m:d>
                <m:dPr>
                  <m:ctrlPr>
                    <w:rPr>
                      <w:rFonts w:ascii="Cambria Math" w:eastAsiaTheme="minorEastAsia" w:hAnsi="Cambria Math"/>
                      <w:bCs/>
                      <w:i/>
                    </w:rPr>
                  </m:ctrlPr>
                </m:dPr>
                <m:e>
                  <m:r>
                    <w:rPr>
                      <w:rFonts w:ascii="Cambria Math" w:eastAsiaTheme="minorEastAsia" w:hAnsi="Cambria Math"/>
                    </w:rPr>
                    <m:t>2</m:t>
                  </m:r>
                </m:e>
              </m:d>
              <m:ctrlPr>
                <w:rPr>
                  <w:rFonts w:ascii="Cambria Math" w:hAnsi="Cambria Math"/>
                  <w:i/>
                </w:rPr>
              </m:ctrlPr>
            </m:e>
          </m:eqArr>
        </m:oMath>
      </m:oMathPara>
    </w:p>
    <w:p w14:paraId="1B2CC662" w14:textId="77777777" w:rsidR="001D079A" w:rsidRPr="001D079A" w:rsidRDefault="001D079A" w:rsidP="001D079A">
      <w:pPr>
        <w:rPr>
          <w:rFonts w:ascii="Arial" w:eastAsia="Times New Roman" w:hAnsi="Arial" w:cs="Arial"/>
        </w:rPr>
      </w:pPr>
    </w:p>
    <w:p w14:paraId="1FC36E4D" w14:textId="77777777" w:rsidR="001D079A" w:rsidRDefault="001D079A" w:rsidP="00963858">
      <w:pPr>
        <w:pStyle w:val="captionfigure"/>
        <w:rPr>
          <w:bCs/>
        </w:rPr>
      </w:pPr>
    </w:p>
    <w:p w14:paraId="5A3C4AEF" w14:textId="0E06F59A" w:rsidR="00CD6A2A" w:rsidRPr="009B009B" w:rsidRDefault="001D079A" w:rsidP="009B009B">
      <w:pPr>
        <w:pStyle w:val="captionfigure"/>
        <w:jc w:val="both"/>
        <w:rPr>
          <w:rFonts w:ascii="Times New Roman" w:hAnsi="Times New Roman" w:cs="Times New Roman"/>
          <w:bCs/>
          <w:sz w:val="19"/>
          <w:szCs w:val="19"/>
        </w:rPr>
      </w:pPr>
      <w:r w:rsidRPr="009B009B">
        <w:rPr>
          <w:rFonts w:ascii="Times New Roman" w:hAnsi="Times New Roman" w:cs="Times New Roman"/>
          <w:bCs/>
          <w:sz w:val="19"/>
          <w:szCs w:val="19"/>
        </w:rPr>
        <w:t xml:space="preserve">For the MPG structure, collection efficiency was determined by calculating the </w:t>
      </w:r>
      <w:proofErr w:type="spellStart"/>
      <w:r w:rsidRPr="009B009B">
        <w:rPr>
          <w:rFonts w:ascii="Times New Roman" w:hAnsi="Times New Roman" w:cs="Times New Roman"/>
          <w:bCs/>
          <w:sz w:val="19"/>
          <w:szCs w:val="19"/>
        </w:rPr>
        <w:t>farfield</w:t>
      </w:r>
      <w:proofErr w:type="spellEnd"/>
      <w:r w:rsidRPr="009B009B">
        <w:rPr>
          <w:rFonts w:ascii="Times New Roman" w:hAnsi="Times New Roman" w:cs="Times New Roman"/>
          <w:bCs/>
          <w:sz w:val="19"/>
          <w:szCs w:val="19"/>
        </w:rPr>
        <w:t xml:space="preserve"> emission of a dipole in 15 nm distance from the surface. Four polar orientations of the dipole (0, 45°, 90°, 135°) with respect to the linear grating were considered. The emitted power to a cone of opening angle </w:t>
      </w:r>
      <m:oMath>
        <m:r>
          <m:rPr>
            <m:sty m:val="p"/>
          </m:rPr>
          <w:rPr>
            <w:rFonts w:ascii="Cambria Math" w:hAnsi="Cambria Math" w:cs="Times New Roman"/>
            <w:sz w:val="19"/>
            <w:szCs w:val="19"/>
          </w:rPr>
          <m:t>Θ</m:t>
        </m:r>
      </m:oMath>
      <w:r w:rsidRPr="009B009B">
        <w:rPr>
          <w:rFonts w:ascii="Times New Roman" w:hAnsi="Times New Roman" w:cs="Times New Roman"/>
          <w:sz w:val="19"/>
          <w:szCs w:val="19"/>
        </w:rPr>
        <w:t xml:space="preserve"> perpendicular to the interface was computed by numerical integration. </w:t>
      </w:r>
      <w:r w:rsidR="0008093D" w:rsidRPr="009B009B">
        <w:rPr>
          <w:rFonts w:ascii="Times New Roman" w:hAnsi="Times New Roman" w:cs="Times New Roman"/>
          <w:sz w:val="19"/>
          <w:szCs w:val="19"/>
        </w:rPr>
        <w:t xml:space="preserve">A similar calculation was performed for an emitter on a flat gold surface. </w:t>
      </w:r>
      <w:r w:rsidR="00CD6A2A" w:rsidRPr="009B009B">
        <w:rPr>
          <w:rFonts w:ascii="Times New Roman" w:hAnsi="Times New Roman" w:cs="Times New Roman"/>
          <w:bCs/>
          <w:sz w:val="19"/>
          <w:szCs w:val="19"/>
        </w:rPr>
        <w:t xml:space="preserve">In this work, an optical system with numerical aperture NA=0.2 was used to image a large sample area in a flow cell. Collection efficiencies for this system </w:t>
      </w:r>
      <w:r w:rsidR="0008093D" w:rsidRPr="009B009B">
        <w:rPr>
          <w:rFonts w:ascii="Times New Roman" w:hAnsi="Times New Roman" w:cs="Times New Roman"/>
          <w:bCs/>
          <w:sz w:val="19"/>
          <w:szCs w:val="19"/>
        </w:rPr>
        <w:t xml:space="preserve">were calculated and are shown in Figure S7. </w:t>
      </w:r>
    </w:p>
    <w:p w14:paraId="5613A012" w14:textId="77777777" w:rsidR="00CD6A2A" w:rsidRDefault="00CD6A2A" w:rsidP="00963858">
      <w:pPr>
        <w:pStyle w:val="captionfigure"/>
        <w:rPr>
          <w:bCs/>
        </w:rPr>
      </w:pPr>
      <w:r>
        <w:rPr>
          <w:noProof/>
        </w:rPr>
        <w:lastRenderedPageBreak/>
        <w:drawing>
          <wp:anchor distT="0" distB="0" distL="114300" distR="114300" simplePos="0" relativeHeight="251660288" behindDoc="0" locked="0" layoutInCell="1" allowOverlap="1" wp14:anchorId="50AA6A39" wp14:editId="14B3156D">
            <wp:simplePos x="0" y="0"/>
            <wp:positionH relativeFrom="column">
              <wp:posOffset>154305</wp:posOffset>
            </wp:positionH>
            <wp:positionV relativeFrom="paragraph">
              <wp:posOffset>176530</wp:posOffset>
            </wp:positionV>
            <wp:extent cx="5480685" cy="2448560"/>
            <wp:effectExtent l="0" t="0" r="5715" b="889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0685" cy="2448560"/>
                    </a:xfrm>
                    <a:prstGeom prst="rect">
                      <a:avLst/>
                    </a:prstGeom>
                  </pic:spPr>
                </pic:pic>
              </a:graphicData>
            </a:graphic>
            <wp14:sizeRelH relativeFrom="margin">
              <wp14:pctWidth>0</wp14:pctWidth>
            </wp14:sizeRelH>
          </wp:anchor>
        </w:drawing>
      </w:r>
    </w:p>
    <w:p w14:paraId="49F0A5EF" w14:textId="77777777" w:rsidR="0008093D" w:rsidRPr="009B009B" w:rsidRDefault="0008093D" w:rsidP="0008093D">
      <w:pPr>
        <w:rPr>
          <w:rFonts w:ascii="Arial" w:hAnsi="Arial" w:cs="Arial"/>
          <w:sz w:val="16"/>
          <w:szCs w:val="16"/>
          <w:lang w:val="en-GB"/>
        </w:rPr>
      </w:pPr>
      <w:r w:rsidRPr="009B009B">
        <w:rPr>
          <w:rStyle w:val="bold"/>
          <w:rFonts w:ascii="Arial" w:hAnsi="Arial" w:cs="Arial"/>
          <w:sz w:val="16"/>
          <w:szCs w:val="16"/>
          <w:lang w:val="en-GB"/>
        </w:rPr>
        <w:t>Figure</w:t>
      </w:r>
      <w:r w:rsidRPr="009B009B" w:rsidDel="00AA7922">
        <w:rPr>
          <w:rStyle w:val="bold"/>
          <w:rFonts w:ascii="Arial" w:hAnsi="Arial" w:cs="Arial"/>
          <w:sz w:val="16"/>
          <w:szCs w:val="16"/>
          <w:lang w:val="en-GB"/>
        </w:rPr>
        <w:t xml:space="preserve"> </w:t>
      </w:r>
      <w:r w:rsidRPr="009B009B">
        <w:rPr>
          <w:rStyle w:val="bold"/>
          <w:rFonts w:ascii="Arial" w:hAnsi="Arial" w:cs="Arial"/>
          <w:sz w:val="16"/>
          <w:szCs w:val="16"/>
          <w:lang w:val="en-GB"/>
        </w:rPr>
        <w:t>S7:</w:t>
      </w:r>
      <w:r w:rsidRPr="009B009B">
        <w:rPr>
          <w:rFonts w:ascii="Arial" w:hAnsi="Arial" w:cs="Arial"/>
          <w:sz w:val="16"/>
          <w:szCs w:val="16"/>
          <w:lang w:val="en-GB"/>
        </w:rPr>
        <w:t xml:space="preserve"> (A) Collection efficiency of an optical system with NA = 0.2 opt for an emitter located in a homogeneous medium (black), on a flat gold surface (blue) and on the MPG structure (red). (B) Enhancement of collection efficiency with respect to emitter in homogeneous medium for MPG and flat surfaces. </w:t>
      </w:r>
    </w:p>
    <w:p w14:paraId="301AA209" w14:textId="77777777" w:rsidR="001D079A" w:rsidRPr="0008093D" w:rsidRDefault="001D079A" w:rsidP="00963858">
      <w:pPr>
        <w:pStyle w:val="captionfigure"/>
        <w:rPr>
          <w:bCs/>
          <w:lang w:val="en-GB"/>
        </w:rPr>
      </w:pPr>
    </w:p>
    <w:p w14:paraId="08C6EF71" w14:textId="77777777" w:rsidR="00CD6A2A" w:rsidRDefault="00CD6A2A" w:rsidP="00963858">
      <w:pPr>
        <w:pStyle w:val="captionfigure"/>
        <w:rPr>
          <w:bCs/>
        </w:rPr>
      </w:pPr>
    </w:p>
    <w:sectPr w:rsidR="00CD6A2A">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EC5C5" w14:textId="77777777" w:rsidR="00FB67E0" w:rsidRDefault="00FB67E0" w:rsidP="00536E52">
      <w:r>
        <w:separator/>
      </w:r>
    </w:p>
  </w:endnote>
  <w:endnote w:type="continuationSeparator" w:id="0">
    <w:p w14:paraId="77F8F6DC" w14:textId="77777777" w:rsidR="00FB67E0" w:rsidRDefault="00FB67E0" w:rsidP="0053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518004"/>
      <w:docPartObj>
        <w:docPartGallery w:val="Page Numbers (Bottom of Page)"/>
        <w:docPartUnique/>
      </w:docPartObj>
    </w:sdtPr>
    <w:sdtContent>
      <w:p w14:paraId="6F68402E" w14:textId="12EC32E5" w:rsidR="00536E52" w:rsidRDefault="00536E52">
        <w:pPr>
          <w:pStyle w:val="Footer"/>
          <w:jc w:val="right"/>
        </w:pPr>
        <w:r>
          <w:fldChar w:fldCharType="begin"/>
        </w:r>
        <w:r>
          <w:instrText>PAGE   \* MERGEFORMAT</w:instrText>
        </w:r>
        <w:r>
          <w:fldChar w:fldCharType="separate"/>
        </w:r>
        <w:r>
          <w:t>2</w:t>
        </w:r>
        <w:r>
          <w:fldChar w:fldCharType="end"/>
        </w:r>
      </w:p>
    </w:sdtContent>
  </w:sdt>
  <w:p w14:paraId="636B9E1A" w14:textId="77777777" w:rsidR="00536E52" w:rsidRDefault="00536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D43C8" w14:textId="77777777" w:rsidR="00FB67E0" w:rsidRDefault="00FB67E0" w:rsidP="00536E52">
      <w:r>
        <w:separator/>
      </w:r>
    </w:p>
  </w:footnote>
  <w:footnote w:type="continuationSeparator" w:id="0">
    <w:p w14:paraId="1DFFE738" w14:textId="77777777" w:rsidR="00FB67E0" w:rsidRDefault="00FB67E0" w:rsidP="00536E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0D"/>
    <w:rsid w:val="0008093D"/>
    <w:rsid w:val="000C6E33"/>
    <w:rsid w:val="001B47FB"/>
    <w:rsid w:val="001D079A"/>
    <w:rsid w:val="0027036B"/>
    <w:rsid w:val="003335A5"/>
    <w:rsid w:val="003B3225"/>
    <w:rsid w:val="00536E52"/>
    <w:rsid w:val="0054640D"/>
    <w:rsid w:val="00582365"/>
    <w:rsid w:val="008F3579"/>
    <w:rsid w:val="00963858"/>
    <w:rsid w:val="009B009B"/>
    <w:rsid w:val="00A52535"/>
    <w:rsid w:val="00AA6F46"/>
    <w:rsid w:val="00C97D93"/>
    <w:rsid w:val="00CD33DD"/>
    <w:rsid w:val="00CD43CD"/>
    <w:rsid w:val="00CD6A2A"/>
    <w:rsid w:val="00CE7393"/>
    <w:rsid w:val="00D35EE0"/>
    <w:rsid w:val="00D663F6"/>
    <w:rsid w:val="00FB67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BCD4A"/>
  <w15:chartTrackingRefBased/>
  <w15:docId w15:val="{423302EC-2F3B-4C37-8112-1C3A23C42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6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_title"/>
    <w:qFormat/>
    <w:locked/>
    <w:rsid w:val="0054640D"/>
    <w:pPr>
      <w:suppressAutoHyphens/>
      <w:spacing w:after="260" w:line="390" w:lineRule="exact"/>
    </w:pPr>
    <w:rPr>
      <w:rFonts w:ascii="Arial" w:eastAsia="Times New Roman" w:hAnsi="Arial" w:cs="Arial"/>
      <w:b/>
      <w:sz w:val="34"/>
      <w:szCs w:val="24"/>
      <w:lang w:val="en-US" w:eastAsia="de-DE"/>
    </w:rPr>
  </w:style>
  <w:style w:type="paragraph" w:customStyle="1" w:styleId="articleauthor">
    <w:name w:val="article_author"/>
    <w:next w:val="articletitle"/>
    <w:qFormat/>
    <w:locked/>
    <w:rsid w:val="0054640D"/>
    <w:pPr>
      <w:keepNext/>
      <w:suppressAutoHyphens/>
      <w:spacing w:line="300" w:lineRule="exact"/>
    </w:pPr>
    <w:rPr>
      <w:rFonts w:ascii="Arial" w:eastAsia="Times New Roman" w:hAnsi="Arial" w:cs="Times New Roman"/>
      <w:sz w:val="24"/>
      <w:szCs w:val="24"/>
      <w:lang w:val="en-US" w:eastAsia="de-DE"/>
    </w:rPr>
  </w:style>
  <w:style w:type="character" w:customStyle="1" w:styleId="bold">
    <w:name w:val="bold"/>
    <w:qFormat/>
    <w:locked/>
    <w:rsid w:val="0054640D"/>
    <w:rPr>
      <w:b/>
      <w:lang w:val="en-US"/>
    </w:rPr>
  </w:style>
  <w:style w:type="paragraph" w:styleId="BalloonText">
    <w:name w:val="Balloon Text"/>
    <w:basedOn w:val="Normal"/>
    <w:link w:val="BalloonTextChar"/>
    <w:uiPriority w:val="99"/>
    <w:semiHidden/>
    <w:unhideWhenUsed/>
    <w:rsid w:val="005464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40D"/>
    <w:rPr>
      <w:rFonts w:ascii="Segoe UI" w:hAnsi="Segoe UI" w:cs="Segoe UI"/>
      <w:sz w:val="18"/>
      <w:szCs w:val="18"/>
    </w:rPr>
  </w:style>
  <w:style w:type="paragraph" w:customStyle="1" w:styleId="captionfigure">
    <w:name w:val="caption_figure"/>
    <w:qFormat/>
    <w:locked/>
    <w:rsid w:val="0054640D"/>
    <w:pPr>
      <w:spacing w:after="390" w:line="220" w:lineRule="exact"/>
    </w:pPr>
    <w:rPr>
      <w:rFonts w:ascii="Arial" w:eastAsia="Times New Roman" w:hAnsi="Arial" w:cs="Arial"/>
      <w:sz w:val="16"/>
      <w:szCs w:val="16"/>
      <w:lang w:val="en-US" w:eastAsia="de-DE"/>
    </w:rPr>
  </w:style>
  <w:style w:type="paragraph" w:styleId="Header">
    <w:name w:val="header"/>
    <w:basedOn w:val="Normal"/>
    <w:link w:val="HeaderChar"/>
    <w:uiPriority w:val="99"/>
    <w:unhideWhenUsed/>
    <w:rsid w:val="00536E52"/>
    <w:pPr>
      <w:tabs>
        <w:tab w:val="center" w:pos="4536"/>
        <w:tab w:val="right" w:pos="9072"/>
      </w:tabs>
    </w:pPr>
  </w:style>
  <w:style w:type="character" w:customStyle="1" w:styleId="HeaderChar">
    <w:name w:val="Header Char"/>
    <w:basedOn w:val="DefaultParagraphFont"/>
    <w:link w:val="Header"/>
    <w:uiPriority w:val="99"/>
    <w:rsid w:val="00536E52"/>
  </w:style>
  <w:style w:type="paragraph" w:styleId="Footer">
    <w:name w:val="footer"/>
    <w:basedOn w:val="Normal"/>
    <w:link w:val="FooterChar"/>
    <w:uiPriority w:val="99"/>
    <w:unhideWhenUsed/>
    <w:rsid w:val="00536E52"/>
    <w:pPr>
      <w:tabs>
        <w:tab w:val="center" w:pos="4536"/>
        <w:tab w:val="right" w:pos="9072"/>
      </w:tabs>
    </w:pPr>
  </w:style>
  <w:style w:type="character" w:customStyle="1" w:styleId="FooterChar">
    <w:name w:val="Footer Char"/>
    <w:basedOn w:val="DefaultParagraphFont"/>
    <w:link w:val="Footer"/>
    <w:uiPriority w:val="99"/>
    <w:rsid w:val="00536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79100">
      <w:bodyDiv w:val="1"/>
      <w:marLeft w:val="0"/>
      <w:marRight w:val="0"/>
      <w:marTop w:val="0"/>
      <w:marBottom w:val="0"/>
      <w:divBdr>
        <w:top w:val="none" w:sz="0" w:space="0" w:color="auto"/>
        <w:left w:val="none" w:sz="0" w:space="0" w:color="auto"/>
        <w:bottom w:val="none" w:sz="0" w:space="0" w:color="auto"/>
        <w:right w:val="none" w:sz="0" w:space="0" w:color="auto"/>
      </w:divBdr>
    </w:div>
    <w:div w:id="232357330">
      <w:bodyDiv w:val="1"/>
      <w:marLeft w:val="0"/>
      <w:marRight w:val="0"/>
      <w:marTop w:val="0"/>
      <w:marBottom w:val="0"/>
      <w:divBdr>
        <w:top w:val="none" w:sz="0" w:space="0" w:color="auto"/>
        <w:left w:val="none" w:sz="0" w:space="0" w:color="auto"/>
        <w:bottom w:val="none" w:sz="0" w:space="0" w:color="auto"/>
        <w:right w:val="none" w:sz="0" w:space="0" w:color="auto"/>
      </w:divBdr>
    </w:div>
    <w:div w:id="1108743193">
      <w:bodyDiv w:val="1"/>
      <w:marLeft w:val="0"/>
      <w:marRight w:val="0"/>
      <w:marTop w:val="0"/>
      <w:marBottom w:val="0"/>
      <w:divBdr>
        <w:top w:val="none" w:sz="0" w:space="0" w:color="auto"/>
        <w:left w:val="none" w:sz="0" w:space="0" w:color="auto"/>
        <w:bottom w:val="none" w:sz="0" w:space="0" w:color="auto"/>
        <w:right w:val="none" w:sz="0" w:space="0" w:color="auto"/>
      </w:divBdr>
    </w:div>
    <w:div w:id="1453398919">
      <w:bodyDiv w:val="1"/>
      <w:marLeft w:val="0"/>
      <w:marRight w:val="0"/>
      <w:marTop w:val="0"/>
      <w:marBottom w:val="0"/>
      <w:divBdr>
        <w:top w:val="none" w:sz="0" w:space="0" w:color="auto"/>
        <w:left w:val="none" w:sz="0" w:space="0" w:color="auto"/>
        <w:bottom w:val="none" w:sz="0" w:space="0" w:color="auto"/>
        <w:right w:val="none" w:sz="0" w:space="0" w:color="auto"/>
      </w:divBdr>
    </w:div>
    <w:div w:id="156768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7C432B49A5A24488B458E25475DD7A" ma:contentTypeVersion="10" ma:contentTypeDescription="Create a new document." ma:contentTypeScope="" ma:versionID="1a420b1f3ec1d31428ca3eeb44046e1d">
  <xsd:schema xmlns:xsd="http://www.w3.org/2001/XMLSchema" xmlns:xs="http://www.w3.org/2001/XMLSchema" xmlns:p="http://schemas.microsoft.com/office/2006/metadata/properties" xmlns:ns3="bad43467-566a-47b1-86a6-a23776c357c6" targetNamespace="http://schemas.microsoft.com/office/2006/metadata/properties" ma:root="true" ma:fieldsID="22ea2974cce525504c415c811018a1c3" ns3:_="">
    <xsd:import namespace="bad43467-566a-47b1-86a6-a23776c357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43467-566a-47b1-86a6-a23776c35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945B2-6E25-4A27-BE65-AD707A7A6E72}">
  <ds:schemaRefs>
    <ds:schemaRef ds:uri="http://schemas.microsoft.com/sharepoint/v3/contenttype/forms"/>
  </ds:schemaRefs>
</ds:datastoreItem>
</file>

<file path=customXml/itemProps2.xml><?xml version="1.0" encoding="utf-8"?>
<ds:datastoreItem xmlns:ds="http://schemas.openxmlformats.org/officeDocument/2006/customXml" ds:itemID="{08178F02-057C-48E4-9C6E-3F0181984B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C38D6C-60FA-4AEC-8EA0-FE1369A98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43467-566a-47b1-86a6-a23776c35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846</Words>
  <Characters>5332</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Fossati Stefan</dc:creator>
  <cp:keywords/>
  <dc:description/>
  <cp:lastModifiedBy>Dostalek Jakub</cp:lastModifiedBy>
  <cp:revision>6</cp:revision>
  <dcterms:created xsi:type="dcterms:W3CDTF">2020-07-10T20:04:00Z</dcterms:created>
  <dcterms:modified xsi:type="dcterms:W3CDTF">2020-07-10T20:36:00Z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0x0101009A7C432B49A5A24488B458E25475DD7A</vt:lpwstr>
  </property>
</Properties>
</file>