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274FAC" w14:textId="77777777" w:rsidR="00F80607" w:rsidRDefault="00720B4B" w:rsidP="00A066F9">
      <w:pPr>
        <w:pStyle w:val="BATitle"/>
        <w:jc w:val="left"/>
      </w:pPr>
      <w:r>
        <w:t>Supporting information</w:t>
      </w:r>
      <w:r w:rsidR="00A066F9">
        <w:t xml:space="preserve"> for</w:t>
      </w:r>
      <w:r w:rsidR="00446F05">
        <w:t>:</w:t>
      </w:r>
      <w:r w:rsidR="00446F05">
        <w:br/>
      </w:r>
      <w:r w:rsidR="00A066F9">
        <w:t>“</w:t>
      </w:r>
      <w:r w:rsidR="00446F05">
        <w:t>Strongly-coupled, high-quality plasmonic dimers fabricated using a sketch and peel technique</w:t>
      </w:r>
      <w:r w:rsidR="00A066F9">
        <w:t>”</w:t>
      </w:r>
    </w:p>
    <w:p w14:paraId="342853A0" w14:textId="77777777" w:rsidR="00A066F9" w:rsidRPr="00204FFD" w:rsidRDefault="00A066F9" w:rsidP="00A066F9">
      <w:pPr>
        <w:pStyle w:val="BBAuthorName"/>
        <w:jc w:val="left"/>
        <w:rPr>
          <w:lang w:val="de-DE"/>
        </w:rPr>
      </w:pPr>
      <w:r w:rsidRPr="00204FFD">
        <w:rPr>
          <w:lang w:val="de-DE"/>
        </w:rPr>
        <w:t>Moritz Gittinger</w:t>
      </w:r>
      <w:r w:rsidRPr="001B3BE3">
        <w:rPr>
          <w:vertAlign w:val="superscript"/>
          <w:lang w:val="de-DE"/>
        </w:rPr>
        <w:t>1</w:t>
      </w:r>
      <w:r w:rsidRPr="00204FFD">
        <w:rPr>
          <w:lang w:val="de-DE"/>
        </w:rPr>
        <w:t>, Katja Höflich</w:t>
      </w:r>
      <w:r w:rsidRPr="001B3BE3">
        <w:rPr>
          <w:vertAlign w:val="superscript"/>
          <w:lang w:val="de-DE"/>
        </w:rPr>
        <w:t>2,3</w:t>
      </w:r>
      <w:r w:rsidRPr="00204FFD">
        <w:rPr>
          <w:lang w:val="de-DE"/>
        </w:rPr>
        <w:t>,</w:t>
      </w:r>
      <w:r>
        <w:rPr>
          <w:lang w:val="de-DE"/>
        </w:rPr>
        <w:t xml:space="preserve"> Vladimir Smirnov</w:t>
      </w:r>
      <w:r w:rsidRPr="00C10DC7">
        <w:rPr>
          <w:vertAlign w:val="superscript"/>
          <w:lang w:val="de-DE"/>
        </w:rPr>
        <w:t>1</w:t>
      </w:r>
      <w:r>
        <w:rPr>
          <w:lang w:val="de-DE"/>
        </w:rPr>
        <w:t>, Heiko Kollmann</w:t>
      </w:r>
      <w:r w:rsidRPr="00057218">
        <w:rPr>
          <w:vertAlign w:val="superscript"/>
          <w:lang w:val="de-DE"/>
        </w:rPr>
        <w:t>1</w:t>
      </w:r>
      <w:r>
        <w:rPr>
          <w:lang w:val="de-DE"/>
        </w:rPr>
        <w:t xml:space="preserve">, </w:t>
      </w:r>
      <w:r w:rsidRPr="00204FFD">
        <w:rPr>
          <w:lang w:val="de-DE"/>
        </w:rPr>
        <w:t>Christoph Lienau</w:t>
      </w:r>
      <w:r w:rsidRPr="001B3BE3">
        <w:rPr>
          <w:vertAlign w:val="superscript"/>
          <w:lang w:val="de-DE"/>
        </w:rPr>
        <w:t>1</w:t>
      </w:r>
      <w:r w:rsidRPr="00204FFD">
        <w:rPr>
          <w:lang w:val="de-DE"/>
        </w:rPr>
        <w:t>, and Martin Silies</w:t>
      </w:r>
      <w:r w:rsidRPr="00204FFD">
        <w:rPr>
          <w:vertAlign w:val="superscript"/>
          <w:lang w:val="de-DE"/>
        </w:rPr>
        <w:t>1,</w:t>
      </w:r>
      <w:r w:rsidRPr="00204FFD">
        <w:rPr>
          <w:lang w:val="de-DE"/>
        </w:rPr>
        <w:t>*</w:t>
      </w:r>
    </w:p>
    <w:p w14:paraId="0A1CE84F" w14:textId="77777777" w:rsidR="00A066F9" w:rsidRDefault="00A066F9" w:rsidP="00A066F9">
      <w:pPr>
        <w:spacing w:after="0" w:line="360" w:lineRule="auto"/>
      </w:pPr>
      <w:r w:rsidRPr="001B3BE3">
        <w:rPr>
          <w:vertAlign w:val="superscript"/>
        </w:rPr>
        <w:t>1</w:t>
      </w:r>
      <w:r w:rsidRPr="001B3BE3">
        <w:t>Institute of Physics and Center of Interface Science, Carl von O</w:t>
      </w:r>
      <w:r>
        <w:t>ssietzky Universität Oldenburg,</w:t>
      </w:r>
    </w:p>
    <w:p w14:paraId="1208E79C" w14:textId="77777777" w:rsidR="00A066F9" w:rsidRPr="00EB2B9A" w:rsidRDefault="00A066F9" w:rsidP="00A066F9">
      <w:pPr>
        <w:spacing w:after="0" w:line="360" w:lineRule="auto"/>
        <w:rPr>
          <w:lang w:val="de-DE"/>
        </w:rPr>
      </w:pPr>
      <w:r w:rsidRPr="00EB2B9A">
        <w:rPr>
          <w:lang w:val="de-DE"/>
        </w:rPr>
        <w:t xml:space="preserve">D-26129 Oldenburg, Germany </w:t>
      </w:r>
    </w:p>
    <w:p w14:paraId="7AA9F507" w14:textId="77777777" w:rsidR="00A066F9" w:rsidRPr="001B3BE3" w:rsidRDefault="00A066F9" w:rsidP="00A066F9">
      <w:pPr>
        <w:pStyle w:val="BCAuthorAddress"/>
        <w:spacing w:after="0" w:line="360" w:lineRule="auto"/>
        <w:jc w:val="both"/>
        <w:rPr>
          <w:lang w:val="de-DE"/>
        </w:rPr>
      </w:pPr>
      <w:r w:rsidRPr="001B3BE3">
        <w:rPr>
          <w:vertAlign w:val="superscript"/>
          <w:lang w:val="de-DE"/>
        </w:rPr>
        <w:t>2</w:t>
      </w:r>
      <w:r>
        <w:rPr>
          <w:lang w:val="de-DE"/>
        </w:rPr>
        <w:t> </w:t>
      </w:r>
      <w:r w:rsidRPr="001B3BE3">
        <w:rPr>
          <w:lang w:val="de-DE"/>
        </w:rPr>
        <w:t>Helmholtz Zentrum f</w:t>
      </w:r>
      <w:r>
        <w:rPr>
          <w:lang w:val="de-DE"/>
        </w:rPr>
        <w:t>ü</w:t>
      </w:r>
      <w:r w:rsidRPr="001B3BE3">
        <w:rPr>
          <w:lang w:val="de-DE"/>
        </w:rPr>
        <w:t>r Materialien und Energie Berlin,</w:t>
      </w:r>
      <w:r>
        <w:rPr>
          <w:lang w:val="de-DE"/>
        </w:rPr>
        <w:t xml:space="preserve"> </w:t>
      </w:r>
      <w:r w:rsidRPr="001B3BE3">
        <w:rPr>
          <w:lang w:val="de-DE"/>
        </w:rPr>
        <w:t>Hahn-Meitner-Platz 1, D</w:t>
      </w:r>
      <w:r>
        <w:rPr>
          <w:lang w:val="de-DE"/>
        </w:rPr>
        <w:t>-1</w:t>
      </w:r>
      <w:r w:rsidRPr="001B3BE3">
        <w:rPr>
          <w:lang w:val="de-DE"/>
        </w:rPr>
        <w:t>4109</w:t>
      </w:r>
      <w:r>
        <w:rPr>
          <w:lang w:val="de-DE"/>
        </w:rPr>
        <w:t xml:space="preserve"> </w:t>
      </w:r>
      <w:r w:rsidRPr="001B3BE3">
        <w:rPr>
          <w:lang w:val="de-DE"/>
        </w:rPr>
        <w:t>Berlin,</w:t>
      </w:r>
      <w:r>
        <w:rPr>
          <w:lang w:val="de-DE"/>
        </w:rPr>
        <w:t> </w:t>
      </w:r>
      <w:r w:rsidRPr="001B3BE3">
        <w:rPr>
          <w:lang w:val="de-DE"/>
        </w:rPr>
        <w:t>Germany</w:t>
      </w:r>
    </w:p>
    <w:p w14:paraId="652A17EF" w14:textId="77777777" w:rsidR="00A066F9" w:rsidRDefault="00A066F9" w:rsidP="00A066F9">
      <w:pPr>
        <w:pStyle w:val="BCAuthorAddress"/>
        <w:spacing w:after="0" w:line="360" w:lineRule="auto"/>
        <w:jc w:val="both"/>
      </w:pPr>
      <w:r>
        <w:rPr>
          <w:vertAlign w:val="superscript"/>
        </w:rPr>
        <w:t xml:space="preserve">3 </w:t>
      </w:r>
      <w:r>
        <w:t>Max Planck Institute for the Science of Light, D-91058 Erlangen, Germany</w:t>
      </w:r>
    </w:p>
    <w:p w14:paraId="1AE5188C" w14:textId="77777777" w:rsidR="006E7C37" w:rsidRDefault="006E7C37">
      <w:pPr>
        <w:spacing w:after="0"/>
        <w:jc w:val="left"/>
      </w:pPr>
    </w:p>
    <w:p w14:paraId="61EB7BD6" w14:textId="1CEC6B93" w:rsidR="00A066F9" w:rsidRDefault="006E7C37" w:rsidP="00501B3D">
      <w:pPr>
        <w:spacing w:after="0"/>
      </w:pPr>
      <w:r>
        <w:t>This document provides additional information about the experimental dark field spectroscopy set</w:t>
      </w:r>
      <w:r w:rsidR="009F1B55">
        <w:noBreakHyphen/>
      </w:r>
      <w:r>
        <w:t>up</w:t>
      </w:r>
      <w:r w:rsidR="00B81DAC">
        <w:t xml:space="preserve"> (Chapter S1)</w:t>
      </w:r>
      <w:r>
        <w:t xml:space="preserve">, a proof of the functionality of the </w:t>
      </w:r>
      <w:r w:rsidR="001A4606">
        <w:t xml:space="preserve">Sketch </w:t>
      </w:r>
      <w:r>
        <w:t xml:space="preserve">and </w:t>
      </w:r>
      <w:r w:rsidR="001A4606">
        <w:t xml:space="preserve">Peel </w:t>
      </w:r>
      <w:r>
        <w:t xml:space="preserve">method </w:t>
      </w:r>
      <w:r w:rsidR="00B81DAC">
        <w:t xml:space="preserve">(Chapter S2) </w:t>
      </w:r>
      <w:r>
        <w:t xml:space="preserve">and a discussion </w:t>
      </w:r>
      <w:r w:rsidR="006933D5">
        <w:t xml:space="preserve">of the </w:t>
      </w:r>
      <w:r>
        <w:t xml:space="preserve">scattering intensity </w:t>
      </w:r>
      <w:r w:rsidR="006933D5">
        <w:t xml:space="preserve">for dimer nanoantennas </w:t>
      </w:r>
      <w:r>
        <w:t xml:space="preserve">with </w:t>
      </w:r>
      <w:r w:rsidR="006933D5">
        <w:t xml:space="preserve">varying </w:t>
      </w:r>
      <w:r>
        <w:t>gap sizes</w:t>
      </w:r>
      <w:r w:rsidR="00B81DAC">
        <w:t xml:space="preserve"> (Chapter S3)</w:t>
      </w:r>
      <w:r>
        <w:t>.</w:t>
      </w:r>
      <w:r w:rsidR="00A066F9">
        <w:br w:type="page"/>
      </w:r>
    </w:p>
    <w:p w14:paraId="21FABDCD" w14:textId="77777777" w:rsidR="006E7C37" w:rsidRDefault="006E7C37">
      <w:pPr>
        <w:spacing w:after="0"/>
        <w:jc w:val="left"/>
      </w:pPr>
    </w:p>
    <w:p w14:paraId="2B501B05" w14:textId="77777777" w:rsidR="00720B4B" w:rsidRPr="003B4A7D" w:rsidRDefault="00A066F9" w:rsidP="00720B4B">
      <w:pPr>
        <w:pStyle w:val="TAMainText"/>
        <w:spacing w:after="240"/>
        <w:ind w:firstLine="0"/>
        <w:rPr>
          <w:sz w:val="28"/>
          <w:szCs w:val="28"/>
        </w:rPr>
      </w:pPr>
      <w:r w:rsidRPr="003B4A7D">
        <w:rPr>
          <w:sz w:val="28"/>
          <w:szCs w:val="28"/>
        </w:rPr>
        <w:t>S</w:t>
      </w:r>
      <w:r w:rsidR="00A50EA5">
        <w:rPr>
          <w:sz w:val="28"/>
          <w:szCs w:val="28"/>
        </w:rPr>
        <w:t>1</w:t>
      </w:r>
      <w:r w:rsidRPr="003B4A7D">
        <w:rPr>
          <w:sz w:val="28"/>
          <w:szCs w:val="28"/>
        </w:rPr>
        <w:t xml:space="preserve"> </w:t>
      </w:r>
      <w:r w:rsidR="00720B4B" w:rsidRPr="003B4A7D">
        <w:rPr>
          <w:sz w:val="28"/>
          <w:szCs w:val="28"/>
        </w:rPr>
        <w:t>OPTICAL DARK-FIELD SPECTROCOPY SET-UP</w:t>
      </w:r>
    </w:p>
    <w:p w14:paraId="3B295579" w14:textId="34EFF3F0" w:rsidR="00AB284F" w:rsidRDefault="003B4A7D" w:rsidP="00EE06D5">
      <w:pPr>
        <w:pStyle w:val="TAMainText"/>
        <w:spacing w:after="240" w:line="276" w:lineRule="auto"/>
        <w:ind w:firstLine="0"/>
      </w:pPr>
      <w:r w:rsidRPr="003B5F22">
        <w:t>Linear-polarized, ultra-broadband laser pulses from a coherent white light source (Fianium SC-450-4) with a s</w:t>
      </w:r>
      <w:r>
        <w:t>pectrum ranging from 450 nm to 2</w:t>
      </w:r>
      <w:r w:rsidRPr="003B5F22">
        <w:t xml:space="preserve"> µm </w:t>
      </w:r>
      <w:r>
        <w:t xml:space="preserve">at a repetition rate of 4 MHz </w:t>
      </w:r>
      <w:r w:rsidRPr="003B5F22">
        <w:t>with few-picose</w:t>
      </w:r>
      <w:r>
        <w:t xml:space="preserve">cond pulse duration and an average pulse energy of 118 pJ at the sample position are collimated and </w:t>
      </w:r>
      <w:r w:rsidRPr="003B5F22">
        <w:t>focused to a</w:t>
      </w:r>
      <w:r>
        <w:t xml:space="preserve"> </w:t>
      </w:r>
      <w:r w:rsidRPr="003B5F22">
        <w:t>diameter of a</w:t>
      </w:r>
      <w:r>
        <w:t>pproximately 1.1 mm x 120</w:t>
      </w:r>
      <w:r w:rsidRPr="003B5F22">
        <w:t xml:space="preserve"> </w:t>
      </w:r>
      <w:r>
        <w:t>µ</w:t>
      </w:r>
      <w:r w:rsidRPr="003B5F22">
        <w:t xml:space="preserve">m (FWHM) onto the </w:t>
      </w:r>
      <w:r>
        <w:t>sample at an angle of approximately 75°.</w:t>
      </w:r>
    </w:p>
    <w:p w14:paraId="3BC0E7D0" w14:textId="77777777" w:rsidR="00F80607" w:rsidRPr="00F80607" w:rsidRDefault="00B667DB" w:rsidP="00EE06D5">
      <w:pPr>
        <w:pStyle w:val="TAMainText"/>
        <w:spacing w:after="240" w:line="276" w:lineRule="auto"/>
        <w:ind w:left="567" w:right="855" w:firstLine="0"/>
        <w:rPr>
          <w:sz w:val="20"/>
        </w:rPr>
      </w:pPr>
      <w:r>
        <w:rPr>
          <w:noProof/>
          <w:lang w:val="de-DE" w:eastAsia="de-DE"/>
        </w:rPr>
        <w:drawing>
          <wp:inline distT="0" distB="0" distL="0" distR="0" wp14:anchorId="5E94BA75" wp14:editId="0AC20BF3">
            <wp:extent cx="5943600" cy="2483637"/>
            <wp:effectExtent l="0" t="0" r="0" b="0"/>
            <wp:docPr id="10" name="Grafik 10" descr="C:\Users\Gittinger\ownCloud\Shared\X-SPP Coupling\Paper High-Q coupled plasmonic nanorods using He-FIB and Sketch and Peel\Supporting Info\Figure 1 - Experimental Set-up\Figure SI 1 Experimental Set-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ittinger\ownCloud\Shared\X-SPP Coupling\Paper High-Q coupled plasmonic nanorods using He-FIB and Sketch and Peel\Supporting Info\Figure 1 - Experimental Set-up\Figure SI 1 Experimental Set-up.png"/>
                    <pic:cNvPicPr>
                      <a:picLocks noChangeAspect="1" noChangeArrowheads="1"/>
                    </pic:cNvPicPr>
                  </pic:nvPicPr>
                  <pic:blipFill rotWithShape="1">
                    <a:blip r:embed="rId7">
                      <a:extLst>
                        <a:ext uri="{28A0092B-C50C-407E-A947-70E740481C1C}">
                          <a14:useLocalDpi xmlns:a14="http://schemas.microsoft.com/office/drawing/2010/main" val="0"/>
                        </a:ext>
                      </a:extLst>
                    </a:blip>
                    <a:srcRect l="2534" t="7386" r="4923" b="10227"/>
                    <a:stretch/>
                  </pic:blipFill>
                  <pic:spPr bwMode="auto">
                    <a:xfrm>
                      <a:off x="0" y="0"/>
                      <a:ext cx="5943600" cy="2483637"/>
                    </a:xfrm>
                    <a:prstGeom prst="rect">
                      <a:avLst/>
                    </a:prstGeom>
                    <a:noFill/>
                    <a:ln>
                      <a:noFill/>
                    </a:ln>
                    <a:extLst>
                      <a:ext uri="{53640926-AAD7-44D8-BBD7-CCE9431645EC}">
                        <a14:shadowObscured xmlns:a14="http://schemas.microsoft.com/office/drawing/2010/main"/>
                      </a:ext>
                    </a:extLst>
                  </pic:spPr>
                </pic:pic>
              </a:graphicData>
            </a:graphic>
          </wp:inline>
        </w:drawing>
      </w:r>
      <w:r w:rsidR="00720B4B">
        <w:br/>
      </w:r>
      <w:r w:rsidR="00F80607" w:rsidRPr="000C7DD4">
        <w:rPr>
          <w:b/>
          <w:sz w:val="20"/>
        </w:rPr>
        <w:t>Fig</w:t>
      </w:r>
      <w:r w:rsidR="003B5BB1">
        <w:rPr>
          <w:b/>
          <w:sz w:val="20"/>
        </w:rPr>
        <w:t xml:space="preserve"> </w:t>
      </w:r>
      <w:r w:rsidR="00A066F9">
        <w:rPr>
          <w:b/>
          <w:sz w:val="20"/>
        </w:rPr>
        <w:t>S</w:t>
      </w:r>
      <w:r w:rsidR="00F80607" w:rsidRPr="000C7DD4">
        <w:rPr>
          <w:b/>
          <w:sz w:val="20"/>
        </w:rPr>
        <w:t>1:</w:t>
      </w:r>
      <w:r w:rsidR="00F80607">
        <w:rPr>
          <w:sz w:val="20"/>
        </w:rPr>
        <w:t xml:space="preserve"> Scheme </w:t>
      </w:r>
      <w:r w:rsidR="000712D5" w:rsidRPr="000712D5">
        <w:rPr>
          <w:sz w:val="20"/>
        </w:rPr>
        <w:t>of the experimental</w:t>
      </w:r>
      <w:r w:rsidR="000712D5">
        <w:rPr>
          <w:sz w:val="20"/>
        </w:rPr>
        <w:t xml:space="preserve"> dark-field spectroscopy</w:t>
      </w:r>
      <w:r w:rsidR="000712D5" w:rsidRPr="000712D5">
        <w:rPr>
          <w:sz w:val="20"/>
        </w:rPr>
        <w:t xml:space="preserve"> set-up</w:t>
      </w:r>
      <w:r w:rsidR="00CE2AD7">
        <w:rPr>
          <w:sz w:val="20"/>
        </w:rPr>
        <w:t>.</w:t>
      </w:r>
      <w:r w:rsidR="006446CC">
        <w:rPr>
          <w:sz w:val="20"/>
        </w:rPr>
        <w:t xml:space="preserve">  </w:t>
      </w:r>
      <w:r w:rsidR="00501B3D">
        <w:rPr>
          <w:sz w:val="20"/>
        </w:rPr>
        <w:t xml:space="preserve">A coherent white light source with variable polarization is used to excite isolated nanoantenna dimers. The scattering spectrum of the dimers is detected in reflection geometry and analyzed in a spectrometer. </w:t>
      </w:r>
    </w:p>
    <w:p w14:paraId="7289DCC4" w14:textId="3A83656B" w:rsidR="00EE06D5" w:rsidRDefault="00501B3D" w:rsidP="00EE06D5">
      <w:pPr>
        <w:pStyle w:val="TAMainText"/>
        <w:spacing w:after="240" w:line="276" w:lineRule="auto"/>
        <w:ind w:firstLine="0"/>
      </w:pPr>
      <w:r>
        <w:t xml:space="preserve">The </w:t>
      </w:r>
      <w:r w:rsidR="00B742B9">
        <w:t>peak intensity</w:t>
      </w:r>
      <w:r>
        <w:t xml:space="preserve"> </w:t>
      </w:r>
      <w:r w:rsidR="006933D5">
        <w:t xml:space="preserve">is </w:t>
      </w:r>
      <w:r>
        <w:t>about</w:t>
      </w:r>
      <w:r w:rsidR="00B742B9">
        <w:t xml:space="preserve"> </w:t>
      </w:r>
      <w:r>
        <w:t>20</w:t>
      </w:r>
      <w:r w:rsidR="00B742B9">
        <w:t xml:space="preserve"> W/cm².</w:t>
      </w:r>
      <w:r w:rsidR="003B5F22">
        <w:t xml:space="preserve"> </w:t>
      </w:r>
      <w:r w:rsidR="00333AD3" w:rsidRPr="00333AD3">
        <w:t>The polarization of the light is controlled using an achromatic half-wave plate</w:t>
      </w:r>
      <w:r w:rsidR="00C0687D">
        <w:t xml:space="preserve"> (</w:t>
      </w:r>
      <w:r w:rsidR="00BF10CA">
        <w:t xml:space="preserve">B. Halle </w:t>
      </w:r>
      <w:r w:rsidR="00BF10CA" w:rsidRPr="00BF10CA">
        <w:rPr>
          <w:rFonts w:cs="Times"/>
        </w:rPr>
        <w:t>RAC 5.2.15 L</w:t>
      </w:r>
      <w:r w:rsidR="00C0687D">
        <w:t>)</w:t>
      </w:r>
      <w:r w:rsidR="00333AD3" w:rsidRPr="00333AD3">
        <w:t xml:space="preserve"> in combination with an ultrabroadband linear polarizer</w:t>
      </w:r>
      <w:r w:rsidR="00BF10CA">
        <w:t xml:space="preserve"> (Thorlabs GT10)</w:t>
      </w:r>
      <w:r w:rsidR="00333AD3">
        <w:t>.</w:t>
      </w:r>
      <w:r w:rsidR="00333AD3" w:rsidRPr="00333AD3">
        <w:t xml:space="preserve"> </w:t>
      </w:r>
      <w:r w:rsidR="000C1BE1">
        <w:t xml:space="preserve">Direct reflected light passes the collecting objective and is </w:t>
      </w:r>
      <w:r>
        <w:t xml:space="preserve">dumped </w:t>
      </w:r>
      <w:r w:rsidR="000C1BE1">
        <w:t>in</w:t>
      </w:r>
      <w:r w:rsidR="006933D5">
        <w:t>to</w:t>
      </w:r>
      <w:r w:rsidR="000C1BE1">
        <w:t xml:space="preserve"> a beam </w:t>
      </w:r>
      <w:r>
        <w:t>block.</w:t>
      </w:r>
      <w:r w:rsidR="000C1BE1">
        <w:t xml:space="preserve"> </w:t>
      </w:r>
      <w:r w:rsidR="003B5F22">
        <w:t xml:space="preserve">The scattered light from the </w:t>
      </w:r>
      <w:r>
        <w:t xml:space="preserve">array of </w:t>
      </w:r>
      <w:r w:rsidR="003B5F22">
        <w:t>metallic nanostructure</w:t>
      </w:r>
      <w:r w:rsidR="00333AD3">
        <w:t>s</w:t>
      </w:r>
      <w:r w:rsidR="00191887">
        <w:t xml:space="preserve"> and hence the scattering </w:t>
      </w:r>
      <w:r w:rsidR="003F0729">
        <w:t>spectrum</w:t>
      </w:r>
      <w:r w:rsidR="00191887">
        <w:t xml:space="preserve"> of the localized SPR</w:t>
      </w:r>
      <w:r>
        <w:t xml:space="preserve"> </w:t>
      </w:r>
      <w:r w:rsidR="003B5F22">
        <w:t xml:space="preserve">is collected in reflection geometry using </w:t>
      </w:r>
      <w:r w:rsidR="003B5F22" w:rsidRPr="003B5F22">
        <w:t>a</w:t>
      </w:r>
      <w:r w:rsidR="003B5F22">
        <w:t>n</w:t>
      </w:r>
      <w:r w:rsidR="003B5F22" w:rsidRPr="003B5F22">
        <w:t xml:space="preserve"> </w:t>
      </w:r>
      <w:r w:rsidR="003B5F22">
        <w:t xml:space="preserve">extra-long working distance </w:t>
      </w:r>
      <w:r w:rsidR="003B5F22" w:rsidRPr="003B5F22">
        <w:t>glass objective with a</w:t>
      </w:r>
      <w:r>
        <w:t xml:space="preserve"> numerical aperture of </w:t>
      </w:r>
      <w:r w:rsidR="003B5F22" w:rsidRPr="003B5F22">
        <w:t>NA = 0.</w:t>
      </w:r>
      <w:r w:rsidR="003B5F22">
        <w:t>7</w:t>
      </w:r>
      <w:r w:rsidR="003B5F22" w:rsidRPr="003B5F22">
        <w:t xml:space="preserve"> (</w:t>
      </w:r>
      <w:r w:rsidR="00B1196A">
        <w:t>Nikon</w:t>
      </w:r>
      <w:r w:rsidR="003B5F22" w:rsidRPr="003B5F22">
        <w:t xml:space="preserve">, </w:t>
      </w:r>
      <w:r w:rsidR="003B5F22">
        <w:t>BD Plan 60</w:t>
      </w:r>
      <w:r w:rsidR="00544121">
        <w:t>x</w:t>
      </w:r>
      <w:r w:rsidR="00B1196A">
        <w:t xml:space="preserve"> ELWD</w:t>
      </w:r>
      <w:r w:rsidR="00544121">
        <w:t xml:space="preserve">) and sent to a </w:t>
      </w:r>
      <w:r>
        <w:t xml:space="preserve">monochromator </w:t>
      </w:r>
      <w:r w:rsidR="00544121">
        <w:t>(Princeton Instruments Acton SP2500) attached to a LN</w:t>
      </w:r>
      <w:r w:rsidR="00544121" w:rsidRPr="00544121">
        <w:rPr>
          <w:vertAlign w:val="subscript"/>
        </w:rPr>
        <w:t>2</w:t>
      </w:r>
      <w:r w:rsidR="00544121">
        <w:t>-cooled CCD camera (</w:t>
      </w:r>
      <w:r w:rsidR="00544121" w:rsidRPr="00544121">
        <w:t>Princeton Instruments</w:t>
      </w:r>
      <w:r w:rsidR="00544121">
        <w:t xml:space="preserve">, </w:t>
      </w:r>
      <w:r w:rsidR="00544121" w:rsidRPr="00544121">
        <w:t>SPEC10 100BR</w:t>
      </w:r>
      <w:r w:rsidR="00544121">
        <w:t xml:space="preserve">). </w:t>
      </w:r>
      <w:r w:rsidR="003F0729">
        <w:t xml:space="preserve">By imaging the array of particles onto the CCD of the spectrometer a selection of isolated pairs of nanoantennas is possible. </w:t>
      </w:r>
      <w:r w:rsidR="00544121" w:rsidRPr="00544121">
        <w:t xml:space="preserve">The position of the </w:t>
      </w:r>
      <w:r w:rsidR="00544121">
        <w:t>sample in the laser focus</w:t>
      </w:r>
      <w:r w:rsidR="00544121" w:rsidRPr="00544121">
        <w:t xml:space="preserve"> can be adjusted in all three dimensions with a </w:t>
      </w:r>
      <w:r w:rsidR="00544121">
        <w:t xml:space="preserve">manual </w:t>
      </w:r>
      <w:r w:rsidR="00544121" w:rsidRPr="00544121">
        <w:t>three-axis linear actuator</w:t>
      </w:r>
      <w:r w:rsidR="00544121">
        <w:t>.</w:t>
      </w:r>
      <w:r w:rsidR="00333AD3" w:rsidRPr="00333AD3">
        <w:t xml:space="preserve"> </w:t>
      </w:r>
    </w:p>
    <w:p w14:paraId="2DE752FA" w14:textId="77777777" w:rsidR="00EE06D5" w:rsidRDefault="00EE06D5" w:rsidP="00EE06D5">
      <w:pPr>
        <w:pStyle w:val="BBAuthorName"/>
      </w:pPr>
      <w:r>
        <w:br w:type="page"/>
      </w:r>
    </w:p>
    <w:p w14:paraId="2BFB8F08" w14:textId="77777777" w:rsidR="00D603A4" w:rsidRPr="00D603A4" w:rsidRDefault="00D603A4" w:rsidP="00D603A4">
      <w:pPr>
        <w:pStyle w:val="TAMainText"/>
        <w:spacing w:after="240" w:line="276" w:lineRule="auto"/>
        <w:ind w:firstLine="0"/>
        <w:rPr>
          <w:sz w:val="28"/>
          <w:szCs w:val="28"/>
        </w:rPr>
      </w:pPr>
      <w:r w:rsidRPr="00D603A4">
        <w:rPr>
          <w:sz w:val="28"/>
          <w:szCs w:val="28"/>
        </w:rPr>
        <w:lastRenderedPageBreak/>
        <w:t>S2 NOMINAL VS. MEASURED GAP SIZE</w:t>
      </w:r>
    </w:p>
    <w:p w14:paraId="459D0148" w14:textId="77777777" w:rsidR="00887DBA" w:rsidRPr="00887DBA" w:rsidRDefault="00887DBA" w:rsidP="00887DBA">
      <w:pPr>
        <w:pStyle w:val="TAMainText"/>
        <w:spacing w:line="276" w:lineRule="auto"/>
        <w:ind w:firstLine="0"/>
        <w:rPr>
          <w:rFonts w:ascii="Times New Roman" w:hAnsi="Times New Roman"/>
          <w:szCs w:val="24"/>
        </w:rPr>
      </w:pPr>
      <w:r w:rsidRPr="00887DBA">
        <w:rPr>
          <w:rFonts w:ascii="Times New Roman" w:hAnsi="Times New Roman"/>
          <w:szCs w:val="24"/>
        </w:rPr>
        <w:t>The gap sizes were measured by analyzing high-resolution Scanning Electron and Helium Ion Microscope images. The full width at half maximum of the cross-section along the long axis of the dimers were determined for each of the 606 nanorods</w:t>
      </w:r>
      <w:commentRangeStart w:id="0"/>
      <w:commentRangeEnd w:id="0"/>
      <w:r w:rsidRPr="00887DBA">
        <w:rPr>
          <w:rFonts w:ascii="Times New Roman" w:hAnsi="Times New Roman"/>
          <w:szCs w:val="24"/>
        </w:rPr>
        <w:t>. In Fig. S2 (a), the cross-section along a prototypical nanorod dimer shown is displayed. The inset shows the corresponding nanorod dimer that is also shown in Fig. 1(h) of the main document. The intensity values are normalized to the average value far away from the gap region, where charging effects, lead to an in increased signal level around the gap region, can be neglected. Now, in (b) the difference between the average measured gap size and the nominal gap size</w:t>
      </w:r>
      <w:commentRangeStart w:id="1"/>
      <w:commentRangeEnd w:id="1"/>
      <w:r w:rsidRPr="00887DBA">
        <w:rPr>
          <w:rFonts w:ascii="Times New Roman" w:hAnsi="Times New Roman"/>
          <w:szCs w:val="24"/>
        </w:rPr>
        <w:t xml:space="preserve"> is displayed for each of the three fabrication processes (blue triangles: </w:t>
      </w:r>
      <w:proofErr w:type="spellStart"/>
      <w:r w:rsidRPr="00887DBA">
        <w:rPr>
          <w:rFonts w:ascii="Times New Roman" w:hAnsi="Times New Roman"/>
          <w:szCs w:val="24"/>
        </w:rPr>
        <w:t>SaP</w:t>
      </w:r>
      <w:proofErr w:type="spellEnd"/>
      <w:r w:rsidRPr="00887DBA">
        <w:rPr>
          <w:rFonts w:ascii="Times New Roman" w:hAnsi="Times New Roman"/>
          <w:szCs w:val="24"/>
        </w:rPr>
        <w:t xml:space="preserve">, red squares: Gallium/Helium Lithography, green open squares: (Gallium Lithography)) as a function of the nominal gap size. Error bars indicate the standard deviation of each distribution. The difference between measured and nominal gap size is of the order of 1 nm, irrespective of gap size and fabrication method. </w:t>
      </w:r>
    </w:p>
    <w:p w14:paraId="6CAAF182" w14:textId="435A86B3" w:rsidR="00D603A4" w:rsidRPr="00887DBA" w:rsidRDefault="00887DBA" w:rsidP="00887DBA">
      <w:pPr>
        <w:pStyle w:val="TAMainText"/>
        <w:spacing w:after="240" w:line="276" w:lineRule="auto"/>
        <w:ind w:firstLine="0"/>
        <w:rPr>
          <w:szCs w:val="24"/>
        </w:rPr>
      </w:pPr>
      <w:r w:rsidRPr="00887DBA">
        <w:rPr>
          <w:rFonts w:ascii="Times New Roman" w:hAnsi="Times New Roman"/>
          <w:szCs w:val="24"/>
        </w:rPr>
        <w:t>When cutting with the He</w:t>
      </w:r>
      <w:r w:rsidRPr="00887DBA">
        <w:rPr>
          <w:rFonts w:ascii="Times New Roman" w:hAnsi="Times New Roman"/>
          <w:szCs w:val="24"/>
          <w:vertAlign w:val="superscript"/>
        </w:rPr>
        <w:t>+</w:t>
      </w:r>
      <w:r w:rsidRPr="00887DBA">
        <w:rPr>
          <w:rFonts w:ascii="Times New Roman" w:hAnsi="Times New Roman"/>
          <w:szCs w:val="24"/>
        </w:rPr>
        <w:t xml:space="preserve">-ion beam, i.e., for </w:t>
      </w:r>
      <w:proofErr w:type="spellStart"/>
      <w:r w:rsidRPr="00887DBA">
        <w:rPr>
          <w:rFonts w:ascii="Times New Roman" w:hAnsi="Times New Roman"/>
          <w:szCs w:val="24"/>
        </w:rPr>
        <w:t>SaP</w:t>
      </w:r>
      <w:proofErr w:type="spellEnd"/>
      <w:r w:rsidRPr="00887DBA">
        <w:rPr>
          <w:rFonts w:ascii="Times New Roman" w:hAnsi="Times New Roman"/>
          <w:szCs w:val="24"/>
        </w:rPr>
        <w:t xml:space="preserve"> and Ga/He lithography, the standard deviation of the gap size distribution is about 1 nm, approximately a factor of two smaller than for those gaps written by pure Ga lithography. This demonstrates the improved precision reached He</w:t>
      </w:r>
      <w:r w:rsidRPr="00887DBA">
        <w:rPr>
          <w:rFonts w:ascii="Times New Roman" w:hAnsi="Times New Roman"/>
          <w:szCs w:val="24"/>
          <w:vertAlign w:val="superscript"/>
        </w:rPr>
        <w:t>+</w:t>
      </w:r>
      <w:r w:rsidRPr="00887DBA">
        <w:rPr>
          <w:rFonts w:ascii="Times New Roman" w:hAnsi="Times New Roman"/>
          <w:szCs w:val="24"/>
        </w:rPr>
        <w:t>-ion-based cutting.</w:t>
      </w:r>
    </w:p>
    <w:p w14:paraId="74FFECA1" w14:textId="473FB6BE" w:rsidR="00D603A4" w:rsidRPr="00887DBA" w:rsidRDefault="00887DBA" w:rsidP="00D603A4">
      <w:pPr>
        <w:pStyle w:val="TAMainText"/>
        <w:spacing w:after="240" w:line="276" w:lineRule="auto"/>
        <w:ind w:firstLine="0"/>
      </w:pPr>
      <w:r>
        <w:rPr>
          <w:noProof/>
        </w:rPr>
        <w:drawing>
          <wp:inline distT="0" distB="0" distL="0" distR="0" wp14:anchorId="72527B93" wp14:editId="0DB997F2">
            <wp:extent cx="5067300" cy="2555847"/>
            <wp:effectExtent l="0" t="0" r="0" b="0"/>
            <wp:docPr id="2" name="Grafik 2"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S3 - GapSprea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73469" cy="2558959"/>
                    </a:xfrm>
                    <a:prstGeom prst="rect">
                      <a:avLst/>
                    </a:prstGeom>
                  </pic:spPr>
                </pic:pic>
              </a:graphicData>
            </a:graphic>
          </wp:inline>
        </w:drawing>
      </w:r>
    </w:p>
    <w:p w14:paraId="1925C59E" w14:textId="30F35E26" w:rsidR="00D603A4" w:rsidRDefault="00D603A4" w:rsidP="00D603A4">
      <w:pPr>
        <w:pStyle w:val="TAMainText"/>
        <w:spacing w:after="240" w:line="276" w:lineRule="auto"/>
        <w:ind w:left="567" w:right="855" w:firstLine="0"/>
      </w:pPr>
      <w:r w:rsidRPr="000C7DD4">
        <w:rPr>
          <w:b/>
          <w:sz w:val="20"/>
        </w:rPr>
        <w:t>Fig</w:t>
      </w:r>
      <w:r>
        <w:rPr>
          <w:b/>
          <w:sz w:val="20"/>
        </w:rPr>
        <w:t xml:space="preserve"> S2</w:t>
      </w:r>
      <w:r w:rsidRPr="000C7DD4">
        <w:rPr>
          <w:b/>
          <w:sz w:val="20"/>
        </w:rPr>
        <w:t>:</w:t>
      </w:r>
      <w:r>
        <w:rPr>
          <w:sz w:val="20"/>
        </w:rPr>
        <w:t xml:space="preserve"> (</w:t>
      </w:r>
      <w:r w:rsidRPr="00887DBA">
        <w:rPr>
          <w:sz w:val="22"/>
          <w:szCs w:val="22"/>
        </w:rPr>
        <w:t xml:space="preserve">a) </w:t>
      </w:r>
      <w:r w:rsidR="00887DBA" w:rsidRPr="00887DBA">
        <w:rPr>
          <w:rFonts w:ascii="Times New Roman" w:hAnsi="Times New Roman"/>
          <w:sz w:val="22"/>
          <w:szCs w:val="22"/>
        </w:rPr>
        <w:t>Cross</w:t>
      </w:r>
      <w:bookmarkStart w:id="2" w:name="_GoBack"/>
      <w:bookmarkEnd w:id="2"/>
      <w:r w:rsidR="00887DBA" w:rsidRPr="00887DBA">
        <w:rPr>
          <w:rFonts w:ascii="Times New Roman" w:hAnsi="Times New Roman"/>
          <w:sz w:val="22"/>
          <w:szCs w:val="22"/>
        </w:rPr>
        <w:t>-section along the long axis of a prototypical nanorod dimer, shown in the inset, with a gap of 5.3nm. The cross section is marked by a white line. (b) Difference between measured and nominal gap size for all three fabrication processes as a function of the nominal gap size. Standard deviations of the gap size distributions are indicated by vertical bars and amount to ~ 1 nm for He</w:t>
      </w:r>
      <w:r w:rsidR="00887DBA" w:rsidRPr="00887DBA">
        <w:rPr>
          <w:rFonts w:ascii="Times New Roman" w:hAnsi="Times New Roman"/>
          <w:sz w:val="22"/>
          <w:szCs w:val="22"/>
          <w:vertAlign w:val="superscript"/>
        </w:rPr>
        <w:t>+</w:t>
      </w:r>
      <w:r w:rsidR="00887DBA" w:rsidRPr="00887DBA">
        <w:rPr>
          <w:rFonts w:ascii="Times New Roman" w:hAnsi="Times New Roman"/>
          <w:sz w:val="22"/>
          <w:szCs w:val="22"/>
        </w:rPr>
        <w:t>-ion cutting and to ~ 2 nm for pure Ga</w:t>
      </w:r>
      <w:r w:rsidR="00887DBA" w:rsidRPr="00887DBA">
        <w:rPr>
          <w:rFonts w:ascii="Times New Roman" w:hAnsi="Times New Roman"/>
          <w:sz w:val="22"/>
          <w:szCs w:val="22"/>
          <w:vertAlign w:val="superscript"/>
        </w:rPr>
        <w:t>+</w:t>
      </w:r>
      <w:r w:rsidR="00887DBA" w:rsidRPr="00887DBA">
        <w:rPr>
          <w:rFonts w:ascii="Times New Roman" w:hAnsi="Times New Roman"/>
          <w:sz w:val="22"/>
          <w:szCs w:val="22"/>
        </w:rPr>
        <w:t xml:space="preserve"> lithography</w:t>
      </w:r>
      <w:r>
        <w:rPr>
          <w:sz w:val="20"/>
        </w:rPr>
        <w:t xml:space="preserve">. </w:t>
      </w:r>
    </w:p>
    <w:p w14:paraId="49AA7948" w14:textId="77777777" w:rsidR="00D603A4" w:rsidRDefault="00D603A4" w:rsidP="00EE06D5">
      <w:pPr>
        <w:spacing w:after="0" w:line="276" w:lineRule="auto"/>
        <w:jc w:val="left"/>
        <w:rPr>
          <w:sz w:val="28"/>
          <w:szCs w:val="28"/>
        </w:rPr>
      </w:pPr>
    </w:p>
    <w:p w14:paraId="1E66F965" w14:textId="76522769" w:rsidR="00720B4B" w:rsidRDefault="00A066F9" w:rsidP="00EE06D5">
      <w:pPr>
        <w:spacing w:after="0" w:line="276" w:lineRule="auto"/>
        <w:jc w:val="left"/>
        <w:rPr>
          <w:sz w:val="28"/>
          <w:szCs w:val="28"/>
        </w:rPr>
      </w:pPr>
      <w:r w:rsidRPr="003B4A7D">
        <w:rPr>
          <w:sz w:val="28"/>
          <w:szCs w:val="28"/>
        </w:rPr>
        <w:t>S</w:t>
      </w:r>
      <w:r w:rsidR="00D603A4">
        <w:rPr>
          <w:sz w:val="28"/>
          <w:szCs w:val="28"/>
        </w:rPr>
        <w:t xml:space="preserve">3 </w:t>
      </w:r>
      <w:r w:rsidR="00720B4B" w:rsidRPr="003B4A7D">
        <w:rPr>
          <w:sz w:val="28"/>
          <w:szCs w:val="28"/>
        </w:rPr>
        <w:t xml:space="preserve">SUCCESSFUL SKETCH AND PEEL PROCESS  </w:t>
      </w:r>
    </w:p>
    <w:p w14:paraId="6F7A507C" w14:textId="77777777" w:rsidR="003B4A7D" w:rsidRPr="003B4A7D" w:rsidRDefault="003B4A7D" w:rsidP="00EE06D5">
      <w:pPr>
        <w:spacing w:after="0" w:line="276" w:lineRule="auto"/>
        <w:jc w:val="left"/>
        <w:rPr>
          <w:sz w:val="28"/>
          <w:szCs w:val="28"/>
        </w:rPr>
      </w:pPr>
    </w:p>
    <w:p w14:paraId="426E991C" w14:textId="3EF96DF8" w:rsidR="003B4A7D" w:rsidRDefault="003B4A7D" w:rsidP="00EE06D5">
      <w:pPr>
        <w:pStyle w:val="TAMainText"/>
        <w:spacing w:after="240" w:line="276" w:lineRule="auto"/>
        <w:ind w:firstLine="0"/>
      </w:pPr>
      <w:r>
        <w:t xml:space="preserve">The nanoantennas </w:t>
      </w:r>
      <w:r w:rsidR="00697CDF">
        <w:t xml:space="preserve">are </w:t>
      </w:r>
      <w:r>
        <w:t xml:space="preserve">fabricated in </w:t>
      </w:r>
      <w:r w:rsidRPr="00BF520E">
        <w:t>array</w:t>
      </w:r>
      <w:r w:rsidR="009F1B55">
        <w:t>s</w:t>
      </w:r>
      <w:r w:rsidRPr="00BF520E">
        <w:t xml:space="preserve"> </w:t>
      </w:r>
      <w:r w:rsidR="009F1B55">
        <w:t xml:space="preserve">containing 5 x 6 nanoantennas </w:t>
      </w:r>
      <w:r>
        <w:t>with</w:t>
      </w:r>
      <w:r w:rsidR="009F1B55">
        <w:t xml:space="preserve"> dimers separated by </w:t>
      </w:r>
      <w:r>
        <w:t>a distance of 3</w:t>
      </w:r>
      <w:r w:rsidR="009F1B55">
        <w:t xml:space="preserve"> µm.</w:t>
      </w:r>
      <w:r>
        <w:t xml:space="preserve"> </w:t>
      </w:r>
      <w:r w:rsidR="009F1B55">
        <w:t>T</w:t>
      </w:r>
      <w:r>
        <w:t xml:space="preserve">he gap size is kept constant </w:t>
      </w:r>
      <w:r w:rsidR="009F1B55">
        <w:t>within a single</w:t>
      </w:r>
      <w:r>
        <w:t xml:space="preserve"> array. In Fig. S2 the outcome of the two steps of the </w:t>
      </w:r>
      <w:r w:rsidR="001A4606">
        <w:t>S</w:t>
      </w:r>
      <w:r>
        <w:t xml:space="preserve">ketch and </w:t>
      </w:r>
      <w:r w:rsidR="001A4606">
        <w:t>P</w:t>
      </w:r>
      <w:r>
        <w:t xml:space="preserve">eel process is shown. </w:t>
      </w:r>
    </w:p>
    <w:p w14:paraId="27F4AEF3" w14:textId="77777777" w:rsidR="00333AD3" w:rsidRDefault="00160B17" w:rsidP="00EE06D5">
      <w:pPr>
        <w:pStyle w:val="TAMainText"/>
        <w:spacing w:after="240" w:line="276" w:lineRule="auto"/>
        <w:ind w:firstLine="0"/>
        <w:jc w:val="center"/>
      </w:pPr>
      <w:r>
        <w:rPr>
          <w:noProof/>
          <w:lang w:val="de-DE" w:eastAsia="de-DE"/>
        </w:rPr>
        <w:drawing>
          <wp:inline distT="0" distB="0" distL="0" distR="0" wp14:anchorId="51511CE7" wp14:editId="2FCEA987">
            <wp:extent cx="3562503" cy="3133462"/>
            <wp:effectExtent l="0" t="0" r="0" b="0"/>
            <wp:docPr id="1" name="Grafik 1" descr="C:\Users\Gittinger\ownCloud\Shared\X-SPP Coupling\Paper High-Q coupled plasmonic nanorods using He-FIB and Sketch and Peel\Supporting Info\Figure 2 - SEM and FarField Microscope images\Figure SI 2 Sketch and peel 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ttinger\ownCloud\Shared\X-SPP Coupling\Paper High-Q coupled plasmonic nanorods using He-FIB and Sketch and Peel\Supporting Info\Figure 2 - SEM and FarField Microscope images\Figure SI 2 Sketch and peel v2.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71" t="1211" b="452"/>
                    <a:stretch/>
                  </pic:blipFill>
                  <pic:spPr bwMode="auto">
                    <a:xfrm>
                      <a:off x="0" y="0"/>
                      <a:ext cx="3605397" cy="3171190"/>
                    </a:xfrm>
                    <a:prstGeom prst="rect">
                      <a:avLst/>
                    </a:prstGeom>
                    <a:noFill/>
                    <a:ln>
                      <a:noFill/>
                    </a:ln>
                    <a:extLst>
                      <a:ext uri="{53640926-AAD7-44D8-BBD7-CCE9431645EC}">
                        <a14:shadowObscured xmlns:a14="http://schemas.microsoft.com/office/drawing/2010/main"/>
                      </a:ext>
                    </a:extLst>
                  </pic:spPr>
                </pic:pic>
              </a:graphicData>
            </a:graphic>
          </wp:inline>
        </w:drawing>
      </w:r>
    </w:p>
    <w:p w14:paraId="70E869B4" w14:textId="5EAF1A29" w:rsidR="0053179B" w:rsidRDefault="00F82AE9" w:rsidP="00EE06D5">
      <w:pPr>
        <w:pStyle w:val="TAMainText"/>
        <w:spacing w:after="240" w:line="276" w:lineRule="auto"/>
        <w:ind w:left="567" w:right="855" w:firstLine="0"/>
        <w:rPr>
          <w:sz w:val="20"/>
        </w:rPr>
      </w:pPr>
      <w:r w:rsidRPr="000C7DD4">
        <w:rPr>
          <w:b/>
          <w:sz w:val="20"/>
        </w:rPr>
        <w:t>Fig</w:t>
      </w:r>
      <w:r w:rsidR="003B5BB1">
        <w:rPr>
          <w:b/>
          <w:sz w:val="20"/>
        </w:rPr>
        <w:t xml:space="preserve"> </w:t>
      </w:r>
      <w:r w:rsidR="00A066F9">
        <w:rPr>
          <w:b/>
          <w:sz w:val="20"/>
        </w:rPr>
        <w:t>S</w:t>
      </w:r>
      <w:r w:rsidR="00D603A4">
        <w:rPr>
          <w:b/>
          <w:sz w:val="20"/>
        </w:rPr>
        <w:t>3</w:t>
      </w:r>
      <w:r w:rsidRPr="000C7DD4">
        <w:rPr>
          <w:b/>
          <w:sz w:val="20"/>
        </w:rPr>
        <w:t>:</w:t>
      </w:r>
      <w:r>
        <w:rPr>
          <w:sz w:val="20"/>
        </w:rPr>
        <w:t xml:space="preserve"> (a)</w:t>
      </w:r>
      <w:r w:rsidR="00A50A40">
        <w:rPr>
          <w:sz w:val="20"/>
        </w:rPr>
        <w:t xml:space="preserve"> </w:t>
      </w:r>
      <w:r w:rsidR="00A50A40" w:rsidRPr="00A50A40">
        <w:rPr>
          <w:sz w:val="20"/>
        </w:rPr>
        <w:t xml:space="preserve">Scanning electron micrograph </w:t>
      </w:r>
      <w:r w:rsidR="00A2458F">
        <w:rPr>
          <w:sz w:val="20"/>
        </w:rPr>
        <w:t>of 30</w:t>
      </w:r>
      <w:r w:rsidR="00160B17">
        <w:rPr>
          <w:sz w:val="20"/>
        </w:rPr>
        <w:t xml:space="preserve"> </w:t>
      </w:r>
      <w:r w:rsidR="00A50A40">
        <w:rPr>
          <w:sz w:val="20"/>
        </w:rPr>
        <w:t>nanoantennas</w:t>
      </w:r>
      <w:r w:rsidR="0053179B">
        <w:rPr>
          <w:sz w:val="20"/>
        </w:rPr>
        <w:t>,</w:t>
      </w:r>
      <w:r w:rsidR="006933D5">
        <w:rPr>
          <w:sz w:val="20"/>
        </w:rPr>
        <w:t xml:space="preserve"> with outlines sketched by Ga-ion beam milling. The </w:t>
      </w:r>
      <w:r w:rsidR="008949DB">
        <w:rPr>
          <w:sz w:val="20"/>
        </w:rPr>
        <w:t>array</w:t>
      </w:r>
      <w:r w:rsidR="006933D5">
        <w:rPr>
          <w:sz w:val="20"/>
        </w:rPr>
        <w:t xml:space="preserve"> is shown</w:t>
      </w:r>
      <w:r w:rsidR="00697CDF">
        <w:rPr>
          <w:sz w:val="20"/>
        </w:rPr>
        <w:t xml:space="preserve"> </w:t>
      </w:r>
      <w:r w:rsidR="00160B17">
        <w:rPr>
          <w:sz w:val="20"/>
        </w:rPr>
        <w:t xml:space="preserve">before the </w:t>
      </w:r>
      <w:r w:rsidR="0053179B">
        <w:rPr>
          <w:sz w:val="20"/>
        </w:rPr>
        <w:t xml:space="preserve">helium ion </w:t>
      </w:r>
      <w:r w:rsidR="0076157C">
        <w:rPr>
          <w:sz w:val="20"/>
        </w:rPr>
        <w:t>cutting and before the Sketch</w:t>
      </w:r>
      <w:r w:rsidR="00160B17">
        <w:rPr>
          <w:sz w:val="20"/>
        </w:rPr>
        <w:t xml:space="preserve"> and </w:t>
      </w:r>
      <w:r w:rsidR="0076157C">
        <w:rPr>
          <w:sz w:val="20"/>
        </w:rPr>
        <w:t>P</w:t>
      </w:r>
      <w:r w:rsidR="00160B17">
        <w:rPr>
          <w:sz w:val="20"/>
        </w:rPr>
        <w:t>eel process</w:t>
      </w:r>
      <w:r w:rsidR="0053179B">
        <w:rPr>
          <w:sz w:val="20"/>
        </w:rPr>
        <w:t>.</w:t>
      </w:r>
      <w:r w:rsidR="0053179B" w:rsidRPr="0053179B">
        <w:rPr>
          <w:sz w:val="20"/>
        </w:rPr>
        <w:t xml:space="preserve"> </w:t>
      </w:r>
      <w:r w:rsidR="0053179B">
        <w:rPr>
          <w:sz w:val="20"/>
        </w:rPr>
        <w:t xml:space="preserve">(b) </w:t>
      </w:r>
      <w:r w:rsidR="0053179B" w:rsidRPr="00A50A40">
        <w:rPr>
          <w:sz w:val="20"/>
        </w:rPr>
        <w:t>Scanning electron micrograph</w:t>
      </w:r>
      <w:r w:rsidR="0053179B">
        <w:rPr>
          <w:sz w:val="20"/>
        </w:rPr>
        <w:t xml:space="preserve"> of the same </w:t>
      </w:r>
      <w:r w:rsidR="008949DB">
        <w:rPr>
          <w:sz w:val="20"/>
        </w:rPr>
        <w:t xml:space="preserve">array </w:t>
      </w:r>
      <w:r w:rsidR="006933D5">
        <w:rPr>
          <w:sz w:val="20"/>
        </w:rPr>
        <w:t xml:space="preserve">after a He-ion beam cut </w:t>
      </w:r>
      <w:r w:rsidR="0053179B">
        <w:rPr>
          <w:sz w:val="20"/>
        </w:rPr>
        <w:t xml:space="preserve">of </w:t>
      </w:r>
      <w:r w:rsidR="00A50A40">
        <w:rPr>
          <w:sz w:val="20"/>
        </w:rPr>
        <w:t>25 nm</w:t>
      </w:r>
      <w:r w:rsidR="0053179B">
        <w:rPr>
          <w:sz w:val="20"/>
        </w:rPr>
        <w:t xml:space="preserve"> and after the peel off process</w:t>
      </w:r>
      <w:r w:rsidR="00A50A40">
        <w:rPr>
          <w:sz w:val="20"/>
        </w:rPr>
        <w:t>.</w:t>
      </w:r>
      <w:r w:rsidR="0053179B">
        <w:rPr>
          <w:sz w:val="20"/>
        </w:rPr>
        <w:t xml:space="preserve"> </w:t>
      </w:r>
      <w:r w:rsidR="00A2458F">
        <w:rPr>
          <w:sz w:val="20"/>
        </w:rPr>
        <w:t>Charging</w:t>
      </w:r>
      <w:r w:rsidR="00FB5437">
        <w:rPr>
          <w:sz w:val="20"/>
        </w:rPr>
        <w:t xml:space="preserve"> defects appear around the nano</w:t>
      </w:r>
      <w:r w:rsidR="00A2458F">
        <w:rPr>
          <w:sz w:val="20"/>
        </w:rPr>
        <w:t>antennas due the isolation and the nonconductive substrate. T</w:t>
      </w:r>
      <w:r w:rsidR="00A2458F" w:rsidRPr="00A50A40">
        <w:rPr>
          <w:sz w:val="20"/>
        </w:rPr>
        <w:t>he inset</w:t>
      </w:r>
      <w:r w:rsidR="0053179B">
        <w:rPr>
          <w:sz w:val="20"/>
        </w:rPr>
        <w:t xml:space="preserve"> in (a) and (b)</w:t>
      </w:r>
      <w:r w:rsidR="00A2458F" w:rsidRPr="00A50A40">
        <w:rPr>
          <w:sz w:val="20"/>
        </w:rPr>
        <w:t xml:space="preserve"> shows </w:t>
      </w:r>
      <w:r w:rsidR="00A2458F">
        <w:rPr>
          <w:sz w:val="20"/>
        </w:rPr>
        <w:t xml:space="preserve">a magnification of a single nanoantenna. </w:t>
      </w:r>
      <w:r w:rsidR="00E51586">
        <w:rPr>
          <w:sz w:val="20"/>
        </w:rPr>
        <w:t>T</w:t>
      </w:r>
      <w:r w:rsidR="00DA152E">
        <w:rPr>
          <w:sz w:val="20"/>
        </w:rPr>
        <w:t>he</w:t>
      </w:r>
      <w:r w:rsidR="0076157C">
        <w:rPr>
          <w:sz w:val="20"/>
        </w:rPr>
        <w:t xml:space="preserve"> optical </w:t>
      </w:r>
      <w:r w:rsidR="00DA152E">
        <w:rPr>
          <w:sz w:val="20"/>
        </w:rPr>
        <w:t>dark field image</w:t>
      </w:r>
      <w:r w:rsidR="00E51586">
        <w:rPr>
          <w:sz w:val="20"/>
        </w:rPr>
        <w:t xml:space="preserve"> in (c) </w:t>
      </w:r>
      <w:r w:rsidR="0076157C">
        <w:rPr>
          <w:sz w:val="20"/>
        </w:rPr>
        <w:t>shows three arrays of dimers after the Sketch and Peel process. The middle arrays is the same as in (a) and (b).</w:t>
      </w:r>
      <w:r w:rsidR="0053179B" w:rsidRPr="0053179B">
        <w:rPr>
          <w:sz w:val="20"/>
        </w:rPr>
        <w:t xml:space="preserve"> </w:t>
      </w:r>
    </w:p>
    <w:p w14:paraId="1F2C1EE5" w14:textId="6B1D818E" w:rsidR="001E5772" w:rsidRPr="00A50EA5" w:rsidRDefault="00BF520E" w:rsidP="00EE06D5">
      <w:pPr>
        <w:pStyle w:val="TAMainText"/>
        <w:spacing w:after="240" w:line="276" w:lineRule="auto"/>
        <w:ind w:right="4" w:firstLine="0"/>
        <w:rPr>
          <w:sz w:val="20"/>
        </w:rPr>
      </w:pPr>
      <w:r>
        <w:t>In (a)</w:t>
      </w:r>
      <w:r w:rsidR="00A50EA5">
        <w:t>,</w:t>
      </w:r>
      <w:r>
        <w:t xml:space="preserve"> a scanning electron micrograph of a prototypical </w:t>
      </w:r>
      <w:r w:rsidR="009F1B55">
        <w:t xml:space="preserve">array after </w:t>
      </w:r>
      <w:r>
        <w:t xml:space="preserve">the outline </w:t>
      </w:r>
      <w:r w:rsidR="009F1B55">
        <w:t>with the</w:t>
      </w:r>
      <w:r>
        <w:t xml:space="preserve"> Ga-ion beam </w:t>
      </w:r>
      <w:r w:rsidR="009F1B55">
        <w:t xml:space="preserve">is shown. The inset shows a magnified view of a single </w:t>
      </w:r>
      <w:proofErr w:type="spellStart"/>
      <w:r w:rsidR="009F1B55">
        <w:t>nanonantenna</w:t>
      </w:r>
      <w:r w:rsidR="00984924">
        <w:t>s</w:t>
      </w:r>
      <w:proofErr w:type="spellEnd"/>
      <w:r>
        <w:t>.</w:t>
      </w:r>
      <w:r w:rsidR="00090790">
        <w:t xml:space="preserve"> </w:t>
      </w:r>
      <w:r w:rsidR="00A50EA5">
        <w:t xml:space="preserve">Afterwards the helium ion beam is used to cut the antennas in half and the </w:t>
      </w:r>
      <w:r w:rsidR="008C457F">
        <w:t>S</w:t>
      </w:r>
      <w:r w:rsidR="00A50EA5">
        <w:t xml:space="preserve">ketch and </w:t>
      </w:r>
      <w:r w:rsidR="008C457F">
        <w:t>P</w:t>
      </w:r>
      <w:r w:rsidR="00A50EA5">
        <w:t xml:space="preserve">eel process is applied to </w:t>
      </w:r>
      <w:r w:rsidR="009F1B55">
        <w:t>remove the outer gold film</w:t>
      </w:r>
      <w:r w:rsidR="00A50EA5">
        <w:t xml:space="preserve">. In (b), a SEM image after the </w:t>
      </w:r>
      <w:r w:rsidR="008C457F">
        <w:t>S</w:t>
      </w:r>
      <w:r w:rsidR="00A50EA5">
        <w:t xml:space="preserve">ketch and </w:t>
      </w:r>
      <w:r w:rsidR="008C457F">
        <w:t>P</w:t>
      </w:r>
      <w:r w:rsidR="00A50EA5">
        <w:t xml:space="preserve">eel process is </w:t>
      </w:r>
      <w:r w:rsidR="009F1B55">
        <w:t>depicted</w:t>
      </w:r>
      <w:r w:rsidR="00A50EA5">
        <w:t>.</w:t>
      </w:r>
      <w:r w:rsidR="00090790">
        <w:t xml:space="preserve"> </w:t>
      </w:r>
      <w:r w:rsidR="001E5772">
        <w:t xml:space="preserve">Due to the </w:t>
      </w:r>
      <w:r w:rsidR="001E5772" w:rsidRPr="001E5772">
        <w:t>isolation</w:t>
      </w:r>
      <w:r w:rsidR="001E5772">
        <w:t xml:space="preserve"> of the nanoantennas and the use of a </w:t>
      </w:r>
      <w:r w:rsidR="001E5772" w:rsidRPr="001E5772">
        <w:t>nonconductive substrate</w:t>
      </w:r>
      <w:r w:rsidR="001E5772">
        <w:t>, c</w:t>
      </w:r>
      <w:r w:rsidR="001E5772" w:rsidRPr="001E5772">
        <w:t>harging defects appear around the nanoantennas</w:t>
      </w:r>
      <w:r w:rsidR="009F1B55">
        <w:t xml:space="preserve"> preventing a more detailed image of the dimer structure</w:t>
      </w:r>
      <w:r w:rsidR="001E5772" w:rsidRPr="001E5772">
        <w:t>.</w:t>
      </w:r>
      <w:r w:rsidR="009D754F">
        <w:t xml:space="preserve"> </w:t>
      </w:r>
      <w:r w:rsidR="001E5772">
        <w:t xml:space="preserve">To confirm the successful </w:t>
      </w:r>
      <w:proofErr w:type="spellStart"/>
      <w:r w:rsidR="001E5772">
        <w:t>SnP</w:t>
      </w:r>
      <w:proofErr w:type="spellEnd"/>
      <w:r w:rsidR="001E5772">
        <w:t xml:space="preserve"> process, </w:t>
      </w:r>
      <w:r w:rsidR="009F1B55">
        <w:t xml:space="preserve">optical </w:t>
      </w:r>
      <w:r w:rsidR="001E5772">
        <w:t>dark field images</w:t>
      </w:r>
      <w:r w:rsidR="000C2A7A">
        <w:t xml:space="preserve"> (c)</w:t>
      </w:r>
      <w:r w:rsidR="001E5772">
        <w:t xml:space="preserve"> </w:t>
      </w:r>
      <w:r w:rsidR="000C2A7A">
        <w:t xml:space="preserve">were </w:t>
      </w:r>
      <w:r w:rsidR="009D754F">
        <w:t xml:space="preserve">taken </w:t>
      </w:r>
      <w:r w:rsidR="001E5772" w:rsidRPr="001E5772">
        <w:t xml:space="preserve">with </w:t>
      </w:r>
      <w:r w:rsidR="009D754F">
        <w:t>a</w:t>
      </w:r>
      <w:r w:rsidR="001E5772" w:rsidRPr="001E5772">
        <w:t xml:space="preserve"> commercial </w:t>
      </w:r>
      <w:r w:rsidR="00A50EA5">
        <w:t xml:space="preserve">optical </w:t>
      </w:r>
      <w:r w:rsidR="001E5772" w:rsidRPr="001E5772">
        <w:t>microscope (Zeiss</w:t>
      </w:r>
      <w:r w:rsidR="009D754F">
        <w:t xml:space="preserve">, </w:t>
      </w:r>
      <w:proofErr w:type="spellStart"/>
      <w:r w:rsidR="009D754F" w:rsidRPr="001E5772">
        <w:t>Axio</w:t>
      </w:r>
      <w:proofErr w:type="spellEnd"/>
      <w:r w:rsidR="009D754F" w:rsidRPr="001E5772">
        <w:t xml:space="preserve"> Observer.A1m</w:t>
      </w:r>
      <w:r w:rsidR="001E5772" w:rsidRPr="001E5772">
        <w:t>)</w:t>
      </w:r>
      <w:r w:rsidR="000C2A7A">
        <w:t xml:space="preserve">. </w:t>
      </w:r>
      <w:r w:rsidR="00A50EA5">
        <w:t xml:space="preserve">In </w:t>
      </w:r>
      <w:r w:rsidR="000C2A7A">
        <w:t>Fig S2(c)</w:t>
      </w:r>
      <w:r w:rsidR="00A50EA5">
        <w:t>,</w:t>
      </w:r>
      <w:r w:rsidR="000C2A7A">
        <w:t xml:space="preserve"> an overview across three arrays of nanoantennas</w:t>
      </w:r>
      <w:r w:rsidR="00A50EA5">
        <w:t xml:space="preserve"> is given</w:t>
      </w:r>
      <w:r w:rsidR="00685B59">
        <w:t xml:space="preserve">. The nanoantennas appear as point </w:t>
      </w:r>
      <w:proofErr w:type="spellStart"/>
      <w:r w:rsidR="00685B59">
        <w:t>scatterer</w:t>
      </w:r>
      <w:r w:rsidR="00A50EA5">
        <w:t>s</w:t>
      </w:r>
      <w:proofErr w:type="spellEnd"/>
      <w:r w:rsidR="00685B59">
        <w:t xml:space="preserve"> </w:t>
      </w:r>
      <w:r w:rsidR="00A50EA5">
        <w:t xml:space="preserve">since </w:t>
      </w:r>
      <w:r w:rsidR="001E0AC2">
        <w:t xml:space="preserve">the </w:t>
      </w:r>
      <w:proofErr w:type="spellStart"/>
      <w:r w:rsidR="001E0AC2">
        <w:t>nanoantenna</w:t>
      </w:r>
      <w:r w:rsidR="00685B59">
        <w:t>s</w:t>
      </w:r>
      <w:proofErr w:type="spellEnd"/>
      <w:r w:rsidR="001E0AC2">
        <w:t xml:space="preserve"> are </w:t>
      </w:r>
      <w:r w:rsidR="00685B59">
        <w:t xml:space="preserve">smaller than the </w:t>
      </w:r>
      <w:r w:rsidR="00A50EA5">
        <w:t xml:space="preserve">optical </w:t>
      </w:r>
      <w:r w:rsidR="00685B59">
        <w:t>resolution of the dark field microscope</w:t>
      </w:r>
      <w:r w:rsidR="001E0AC2">
        <w:t>. The</w:t>
      </w:r>
      <w:r w:rsidR="00982BC1">
        <w:t xml:space="preserve"> </w:t>
      </w:r>
      <w:r w:rsidR="00DD543A">
        <w:t xml:space="preserve">scattering </w:t>
      </w:r>
      <w:r w:rsidR="00982BC1">
        <w:t xml:space="preserve">intensity </w:t>
      </w:r>
      <w:r w:rsidR="00DD543A">
        <w:t xml:space="preserve">is homogeneously distributed across the array </w:t>
      </w:r>
      <w:r w:rsidR="00982BC1">
        <w:t>of nanoantennas</w:t>
      </w:r>
      <w:r w:rsidR="00DD543A">
        <w:t xml:space="preserve">. </w:t>
      </w:r>
    </w:p>
    <w:p w14:paraId="7AA9FE72" w14:textId="4C98E0C8" w:rsidR="00720B4B" w:rsidRDefault="0050574A" w:rsidP="00EE06D5">
      <w:pPr>
        <w:pStyle w:val="TAMainText"/>
        <w:spacing w:after="240" w:line="276" w:lineRule="auto"/>
        <w:ind w:firstLine="0"/>
      </w:pPr>
      <w:r>
        <w:t>S4</w:t>
      </w:r>
      <w:r w:rsidR="00A066F9">
        <w:t xml:space="preserve"> </w:t>
      </w:r>
      <w:r w:rsidR="00720B4B">
        <w:t>SCATTERING CROSS SECTION</w:t>
      </w:r>
    </w:p>
    <w:p w14:paraId="669351A6" w14:textId="76F71BA8" w:rsidR="00424CA5" w:rsidRDefault="005F5135" w:rsidP="00424CA5">
      <w:pPr>
        <w:pStyle w:val="TAMainText"/>
        <w:spacing w:line="276" w:lineRule="auto"/>
        <w:ind w:firstLine="0"/>
      </w:pPr>
      <w:r>
        <w:lastRenderedPageBreak/>
        <w:t xml:space="preserve">In Fig. </w:t>
      </w:r>
      <w:r w:rsidR="002A6FE8">
        <w:t>S</w:t>
      </w:r>
      <w:r w:rsidR="0050574A">
        <w:t>4</w:t>
      </w:r>
      <w:r w:rsidR="002A6FE8">
        <w:t xml:space="preserve">, the </w:t>
      </w:r>
      <w:r w:rsidR="00DD543A">
        <w:t xml:space="preserve">experimentally </w:t>
      </w:r>
      <w:r w:rsidR="00424CA5">
        <w:t xml:space="preserve">measured, </w:t>
      </w:r>
      <w:r w:rsidR="002A6FE8">
        <w:t xml:space="preserve">spectrally-integrated scattering </w:t>
      </w:r>
      <w:r w:rsidR="00DD543A">
        <w:t xml:space="preserve">intensity </w:t>
      </w:r>
      <w:r w:rsidR="00424CA5">
        <w:t>from single nanodimers</w:t>
      </w:r>
      <w:r w:rsidR="002A6FE8">
        <w:t xml:space="preserve"> </w:t>
      </w:r>
      <m:oMath>
        <m:r>
          <w:rPr>
            <w:rFonts w:ascii="Cambria Math" w:hAnsi="Cambria Math"/>
          </w:rPr>
          <m:t>P=</m:t>
        </m:r>
        <m:nary>
          <m:naryPr>
            <m:limLoc m:val="undOvr"/>
            <m:subHide m:val="1"/>
            <m:supHide m:val="1"/>
            <m:ctrlPr>
              <w:rPr>
                <w:rFonts w:ascii="Cambria Math" w:hAnsi="Cambria Math"/>
                <w:i/>
              </w:rPr>
            </m:ctrlPr>
          </m:naryPr>
          <m:sub/>
          <m:sup/>
          <m:e>
            <m:r>
              <w:rPr>
                <w:rFonts w:ascii="Cambria Math" w:hAnsi="Cambria Math"/>
              </w:rPr>
              <m:t>I</m:t>
            </m:r>
            <m:d>
              <m:dPr>
                <m:ctrlPr>
                  <w:rPr>
                    <w:rFonts w:ascii="Cambria Math" w:hAnsi="Cambria Math"/>
                    <w:i/>
                  </w:rPr>
                </m:ctrlPr>
              </m:dPr>
              <m:e>
                <m:r>
                  <w:rPr>
                    <w:rFonts w:ascii="Cambria Math" w:hAnsi="Cambria Math"/>
                  </w:rPr>
                  <m:t>λ</m:t>
                </m:r>
              </m:e>
            </m:d>
            <m:r>
              <w:rPr>
                <w:rFonts w:ascii="Cambria Math" w:hAnsi="Cambria Math"/>
              </w:rPr>
              <m:t>d</m:t>
            </m:r>
          </m:e>
        </m:nary>
        <m:r>
          <w:rPr>
            <w:rFonts w:ascii="Cambria Math" w:hAnsi="Cambria Math"/>
          </w:rPr>
          <m:t>λ</m:t>
        </m:r>
      </m:oMath>
      <w:r w:rsidR="00090538">
        <w:t xml:space="preserve"> i</w:t>
      </w:r>
      <w:r w:rsidR="002A6FE8">
        <w:t xml:space="preserve">s given as a function of gap size for the </w:t>
      </w:r>
      <w:r w:rsidR="00DD543A">
        <w:t xml:space="preserve">dimers </w:t>
      </w:r>
      <w:r w:rsidR="00090538">
        <w:t>fabricated</w:t>
      </w:r>
      <w:r w:rsidR="00DD543A">
        <w:t xml:space="preserve"> by Ga-ion lithography </w:t>
      </w:r>
      <w:r w:rsidR="002A6FE8">
        <w:t>(red</w:t>
      </w:r>
      <w:r w:rsidR="0066654A">
        <w:t xml:space="preserve"> squares</w:t>
      </w:r>
      <w:r w:rsidR="002A6FE8">
        <w:t xml:space="preserve">) and the </w:t>
      </w:r>
      <w:r w:rsidR="001A4606">
        <w:t xml:space="preserve">Sketch </w:t>
      </w:r>
      <w:r w:rsidR="002A6FE8">
        <w:t xml:space="preserve">and </w:t>
      </w:r>
      <w:r w:rsidR="001A4606">
        <w:t>Peel</w:t>
      </w:r>
      <w:r w:rsidR="002A6FE8">
        <w:t>-fabricated dimers (</w:t>
      </w:r>
      <w:r w:rsidR="0066654A">
        <w:t>blue triangles</w:t>
      </w:r>
      <w:r w:rsidR="002A6FE8">
        <w:t>)</w:t>
      </w:r>
      <w:r w:rsidR="00DD543A">
        <w:t>. The experimental data are</w:t>
      </w:r>
      <w:r w:rsidR="00006EFC">
        <w:t xml:space="preserve"> </w:t>
      </w:r>
      <w:r w:rsidR="00DD543A">
        <w:t xml:space="preserve">shown </w:t>
      </w:r>
      <w:r w:rsidR="00006EFC">
        <w:t>together with the spectrally-integrated and normalized scattering cross-sections from the simulation (black</w:t>
      </w:r>
      <w:r w:rsidR="0066654A">
        <w:t xml:space="preserve"> circles</w:t>
      </w:r>
      <w:r w:rsidR="00006EFC">
        <w:t xml:space="preserve">) on the second y-axis. As can be seen, all three graphs show a slight, more or less linear increase of scattering power </w:t>
      </w:r>
      <w:r w:rsidR="00587108">
        <w:t xml:space="preserve">with </w:t>
      </w:r>
      <w:r w:rsidR="00006EFC">
        <w:t xml:space="preserve">decreasing gap size. The </w:t>
      </w:r>
      <w:r w:rsidR="00424CA5">
        <w:t>slopes vary</w:t>
      </w:r>
      <w:r w:rsidR="00006EFC">
        <w:t xml:space="preserve"> slightly with the strongest dependenc</w:t>
      </w:r>
      <w:r w:rsidR="00587108">
        <w:t>e</w:t>
      </w:r>
      <w:r w:rsidR="00006EFC">
        <w:t xml:space="preserve"> </w:t>
      </w:r>
      <w:r w:rsidR="00587108">
        <w:t xml:space="preserve">on </w:t>
      </w:r>
      <w:r w:rsidR="00006EFC">
        <w:t xml:space="preserve">gap size for the </w:t>
      </w:r>
      <w:r w:rsidR="008C457F">
        <w:t>S</w:t>
      </w:r>
      <w:r w:rsidR="00006EFC">
        <w:t xml:space="preserve">ketch and </w:t>
      </w:r>
      <w:r w:rsidR="008C457F">
        <w:t>P</w:t>
      </w:r>
      <w:r w:rsidR="00006EFC">
        <w:t>eel-</w:t>
      </w:r>
      <w:r w:rsidR="00587108">
        <w:t>process</w:t>
      </w:r>
      <w:r w:rsidR="00006EFC">
        <w:t xml:space="preserve"> and the weakest </w:t>
      </w:r>
      <w:r w:rsidR="00587108">
        <w:t>on for dimers fabricated by Ga-ion beam lithography</w:t>
      </w:r>
      <w:r w:rsidR="00006EFC">
        <w:t xml:space="preserve"> </w:t>
      </w:r>
    </w:p>
    <w:p w14:paraId="3CB03F6C" w14:textId="2099CDB4" w:rsidR="005F5135" w:rsidRDefault="00424CA5" w:rsidP="00424CA5">
      <w:pPr>
        <w:pStyle w:val="TAMainText"/>
        <w:spacing w:line="276" w:lineRule="auto"/>
        <w:ind w:firstLine="0"/>
      </w:pPr>
      <w:r>
        <w:t xml:space="preserve">The linear increase </w:t>
      </w:r>
      <w:r w:rsidR="00587108">
        <w:t xml:space="preserve">in spectrally-integrated </w:t>
      </w:r>
      <w:r>
        <w:t xml:space="preserve">scattering </w:t>
      </w:r>
      <w:r w:rsidR="00587108">
        <w:t xml:space="preserve">intensity </w:t>
      </w:r>
      <w:r>
        <w:t xml:space="preserve">with decreasing gap size can be qualitatively explained by the increasing field localization between the gaps, which however comes at the cost of a decreasing mode volume, two opposing effects that seem to be nearly balanced. </w:t>
      </w:r>
    </w:p>
    <w:p w14:paraId="507DDE36" w14:textId="1EC60272" w:rsidR="00720B4B" w:rsidRDefault="00984924" w:rsidP="00EE06D5">
      <w:pPr>
        <w:pStyle w:val="TAMainText"/>
        <w:spacing w:after="240" w:line="276" w:lineRule="auto"/>
        <w:ind w:firstLine="0"/>
        <w:jc w:val="center"/>
      </w:pPr>
      <w:r>
        <w:rPr>
          <w:noProof/>
          <w:sz w:val="16"/>
          <w:szCs w:val="16"/>
          <w:lang w:val="de-DE" w:eastAsia="de-DE"/>
        </w:rPr>
        <w:drawing>
          <wp:inline distT="0" distB="0" distL="0" distR="0" wp14:anchorId="0D4FDA32" wp14:editId="42295CE9">
            <wp:extent cx="4664341" cy="4095750"/>
            <wp:effectExtent l="0" t="0" r="317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S3-ScatteringPowe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69842" cy="4100581"/>
                    </a:xfrm>
                    <a:prstGeom prst="rect">
                      <a:avLst/>
                    </a:prstGeom>
                  </pic:spPr>
                </pic:pic>
              </a:graphicData>
            </a:graphic>
          </wp:inline>
        </w:drawing>
      </w:r>
    </w:p>
    <w:p w14:paraId="50476905" w14:textId="1FDA2CDB" w:rsidR="008A22F7" w:rsidRDefault="00720B4B" w:rsidP="00090538">
      <w:pPr>
        <w:pStyle w:val="TAMainText"/>
        <w:spacing w:after="240" w:line="276" w:lineRule="auto"/>
        <w:ind w:left="567" w:right="855" w:firstLine="0"/>
        <w:rPr>
          <w:sz w:val="20"/>
        </w:rPr>
      </w:pPr>
      <w:r w:rsidRPr="000C7DD4">
        <w:rPr>
          <w:b/>
          <w:sz w:val="20"/>
        </w:rPr>
        <w:t>Fig</w:t>
      </w:r>
      <w:r w:rsidR="003B5BB1">
        <w:rPr>
          <w:b/>
          <w:sz w:val="20"/>
        </w:rPr>
        <w:t xml:space="preserve"> </w:t>
      </w:r>
      <w:r w:rsidR="00A066F9">
        <w:rPr>
          <w:b/>
          <w:sz w:val="20"/>
        </w:rPr>
        <w:t>S</w:t>
      </w:r>
      <w:r w:rsidR="0050574A">
        <w:rPr>
          <w:b/>
          <w:sz w:val="20"/>
        </w:rPr>
        <w:t>4</w:t>
      </w:r>
      <w:r w:rsidRPr="000C7DD4">
        <w:rPr>
          <w:b/>
          <w:sz w:val="20"/>
        </w:rPr>
        <w:t>:</w:t>
      </w:r>
      <w:r w:rsidR="00E55426">
        <w:rPr>
          <w:sz w:val="20"/>
        </w:rPr>
        <w:t xml:space="preserve"> </w:t>
      </w:r>
      <w:r w:rsidR="00424CA5">
        <w:rPr>
          <w:sz w:val="20"/>
        </w:rPr>
        <w:t>Spectrally-integrated</w:t>
      </w:r>
      <w:r w:rsidR="00090538">
        <w:rPr>
          <w:sz w:val="20"/>
        </w:rPr>
        <w:t>, normalized</w:t>
      </w:r>
      <w:r w:rsidR="00424CA5">
        <w:rPr>
          <w:sz w:val="20"/>
        </w:rPr>
        <w:t xml:space="preserve"> s</w:t>
      </w:r>
      <w:r w:rsidR="005F5135">
        <w:rPr>
          <w:sz w:val="20"/>
        </w:rPr>
        <w:t>cattering intensity (left y-axis</w:t>
      </w:r>
      <w:r w:rsidR="00587108">
        <w:rPr>
          <w:sz w:val="20"/>
        </w:rPr>
        <w:t>, open triangles</w:t>
      </w:r>
      <w:r w:rsidR="00090538">
        <w:rPr>
          <w:sz w:val="20"/>
        </w:rPr>
        <w:t>: SaP, red squares: Ga and Ga/He</w:t>
      </w:r>
      <w:r w:rsidR="005F5135">
        <w:rPr>
          <w:sz w:val="20"/>
        </w:rPr>
        <w:t>) of the nanorod dimers</w:t>
      </w:r>
      <w:r w:rsidR="00587108">
        <w:rPr>
          <w:sz w:val="20"/>
        </w:rPr>
        <w:t xml:space="preserve">, measured experimentally </w:t>
      </w:r>
      <w:r w:rsidR="005F5135">
        <w:rPr>
          <w:sz w:val="20"/>
        </w:rPr>
        <w:t>as a function of gap size</w:t>
      </w:r>
      <w:r w:rsidR="00587108">
        <w:rPr>
          <w:sz w:val="20"/>
        </w:rPr>
        <w:t xml:space="preserve">, together with </w:t>
      </w:r>
      <w:r w:rsidR="005F5135">
        <w:rPr>
          <w:sz w:val="20"/>
        </w:rPr>
        <w:t>the</w:t>
      </w:r>
      <w:r w:rsidR="00424CA5">
        <w:rPr>
          <w:sz w:val="20"/>
        </w:rPr>
        <w:t xml:space="preserve"> spectrally-integrated, normalized</w:t>
      </w:r>
      <w:r w:rsidR="005F5135">
        <w:rPr>
          <w:sz w:val="20"/>
        </w:rPr>
        <w:t xml:space="preserve"> simulated scattering cross section</w:t>
      </w:r>
      <w:r w:rsidR="00587108">
        <w:rPr>
          <w:sz w:val="20"/>
        </w:rPr>
        <w:t>, deduced from FTDT simulat</w:t>
      </w:r>
      <w:r w:rsidR="00697CDF">
        <w:rPr>
          <w:sz w:val="20"/>
        </w:rPr>
        <w:t>i</w:t>
      </w:r>
      <w:r w:rsidR="00587108">
        <w:rPr>
          <w:sz w:val="20"/>
        </w:rPr>
        <w:t>ons</w:t>
      </w:r>
      <w:r w:rsidR="005F5135">
        <w:rPr>
          <w:sz w:val="20"/>
        </w:rPr>
        <w:t xml:space="preserve"> (right y-axis</w:t>
      </w:r>
      <w:r w:rsidR="00424CA5">
        <w:rPr>
          <w:sz w:val="20"/>
        </w:rPr>
        <w:t>). The solid lines represent linear fits to the data.</w:t>
      </w:r>
    </w:p>
    <w:p w14:paraId="6D1E347D" w14:textId="77777777" w:rsidR="001E5AA3" w:rsidRDefault="001E5AA3" w:rsidP="00090538">
      <w:pPr>
        <w:pStyle w:val="TAMainText"/>
        <w:spacing w:after="240" w:line="276" w:lineRule="auto"/>
        <w:ind w:left="567" w:right="855" w:firstLine="0"/>
        <w:rPr>
          <w:sz w:val="20"/>
        </w:rPr>
      </w:pPr>
    </w:p>
    <w:p w14:paraId="3B55AAB6" w14:textId="2A007B30" w:rsidR="001E5AA3" w:rsidRPr="001E5AA3" w:rsidRDefault="001E5AA3" w:rsidP="001E5AA3">
      <w:pPr>
        <w:pStyle w:val="TAMainText"/>
        <w:spacing w:after="240" w:line="276" w:lineRule="auto"/>
        <w:ind w:firstLine="0"/>
        <w:rPr>
          <w:szCs w:val="24"/>
        </w:rPr>
      </w:pPr>
      <w:r w:rsidRPr="001E5AA3">
        <w:rPr>
          <w:szCs w:val="24"/>
        </w:rPr>
        <w:t>S</w:t>
      </w:r>
      <w:r w:rsidR="0050574A">
        <w:rPr>
          <w:szCs w:val="24"/>
        </w:rPr>
        <w:t>5</w:t>
      </w:r>
      <w:r w:rsidRPr="001E5AA3">
        <w:rPr>
          <w:szCs w:val="24"/>
        </w:rPr>
        <w:t xml:space="preserve"> NANOSIMS Measurements</w:t>
      </w:r>
    </w:p>
    <w:p w14:paraId="23B031A9" w14:textId="03218F33" w:rsidR="00907B10" w:rsidRDefault="001E5AA3" w:rsidP="00B51153">
      <w:pPr>
        <w:pStyle w:val="TAMainText"/>
        <w:spacing w:line="276" w:lineRule="auto"/>
        <w:ind w:firstLine="0"/>
        <w:rPr>
          <w:szCs w:val="24"/>
        </w:rPr>
      </w:pPr>
      <w:r w:rsidRPr="001E5AA3">
        <w:rPr>
          <w:szCs w:val="24"/>
        </w:rPr>
        <w:lastRenderedPageBreak/>
        <w:t>A</w:t>
      </w:r>
      <w:r>
        <w:rPr>
          <w:szCs w:val="24"/>
        </w:rPr>
        <w:t>n</w:t>
      </w:r>
      <w:r w:rsidRPr="001E5AA3">
        <w:rPr>
          <w:szCs w:val="24"/>
        </w:rPr>
        <w:t xml:space="preserve"> element</w:t>
      </w:r>
      <w:r>
        <w:rPr>
          <w:szCs w:val="24"/>
        </w:rPr>
        <w:t>-</w:t>
      </w:r>
      <w:r w:rsidRPr="001E5AA3">
        <w:rPr>
          <w:szCs w:val="24"/>
        </w:rPr>
        <w:t>specific analysis of the</w:t>
      </w:r>
      <w:r w:rsidR="00944442">
        <w:rPr>
          <w:szCs w:val="24"/>
        </w:rPr>
        <w:t xml:space="preserve"> </w:t>
      </w:r>
      <w:r w:rsidR="00924F0E">
        <w:rPr>
          <w:szCs w:val="24"/>
        </w:rPr>
        <w:t>milled area</w:t>
      </w:r>
      <w:r w:rsidRPr="001E5AA3">
        <w:rPr>
          <w:szCs w:val="24"/>
        </w:rPr>
        <w:t xml:space="preserve"> </w:t>
      </w:r>
      <w:r w:rsidR="00944442">
        <w:rPr>
          <w:szCs w:val="24"/>
        </w:rPr>
        <w:t xml:space="preserve">was performed </w:t>
      </w:r>
      <w:r w:rsidRPr="001E5AA3">
        <w:rPr>
          <w:szCs w:val="24"/>
        </w:rPr>
        <w:t xml:space="preserve">for the Ga and Ga/He-fabricated </w:t>
      </w:r>
      <w:r>
        <w:rPr>
          <w:szCs w:val="24"/>
        </w:rPr>
        <w:t xml:space="preserve">dimer antennas </w:t>
      </w:r>
      <w:r w:rsidR="00944442">
        <w:rPr>
          <w:szCs w:val="24"/>
        </w:rPr>
        <w:t xml:space="preserve">by </w:t>
      </w:r>
      <w:r w:rsidRPr="001E5AA3">
        <w:rPr>
          <w:szCs w:val="24"/>
        </w:rPr>
        <w:t>using a high-resolution secondary ion mass spectrometer (</w:t>
      </w:r>
      <w:proofErr w:type="spellStart"/>
      <w:r w:rsidRPr="001E5AA3">
        <w:rPr>
          <w:szCs w:val="24"/>
        </w:rPr>
        <w:t>NanoSIMS</w:t>
      </w:r>
      <w:proofErr w:type="spellEnd"/>
      <w:r w:rsidR="00B44836">
        <w:rPr>
          <w:szCs w:val="24"/>
        </w:rPr>
        <w:t>)</w:t>
      </w:r>
      <w:r w:rsidRPr="001E5AA3">
        <w:rPr>
          <w:szCs w:val="24"/>
        </w:rPr>
        <w:t>.</w:t>
      </w:r>
      <w:r w:rsidR="000728A4">
        <w:rPr>
          <w:szCs w:val="24"/>
        </w:rPr>
        <w:t xml:space="preserve"> Here, a He+-ion beam is used to extract secondary ions from the target that are analyzed in a mass spectrometer.</w:t>
      </w:r>
      <w:r>
        <w:rPr>
          <w:szCs w:val="24"/>
        </w:rPr>
        <w:t xml:space="preserve"> In Fig. S</w:t>
      </w:r>
      <w:r w:rsidR="0050574A">
        <w:rPr>
          <w:szCs w:val="24"/>
        </w:rPr>
        <w:t>5</w:t>
      </w:r>
      <w:r>
        <w:rPr>
          <w:szCs w:val="24"/>
        </w:rPr>
        <w:t>, maps of</w:t>
      </w:r>
      <w:r w:rsidR="00317357">
        <w:rPr>
          <w:szCs w:val="24"/>
        </w:rPr>
        <w:t xml:space="preserve"> the</w:t>
      </w:r>
      <w:r>
        <w:rPr>
          <w:szCs w:val="24"/>
        </w:rPr>
        <w:t xml:space="preserve"> Ga</w:t>
      </w:r>
      <w:r w:rsidR="00907B10" w:rsidRPr="00907B10">
        <w:rPr>
          <w:szCs w:val="24"/>
          <w:vertAlign w:val="superscript"/>
        </w:rPr>
        <w:t>+</w:t>
      </w:r>
      <w:r w:rsidR="00907B10">
        <w:rPr>
          <w:szCs w:val="24"/>
        </w:rPr>
        <w:t>-</w:t>
      </w:r>
      <w:r>
        <w:rPr>
          <w:szCs w:val="24"/>
        </w:rPr>
        <w:t xml:space="preserve"> (</w:t>
      </w:r>
      <w:r w:rsidR="00AC2871">
        <w:rPr>
          <w:szCs w:val="24"/>
        </w:rPr>
        <w:t>a)</w:t>
      </w:r>
      <w:r>
        <w:rPr>
          <w:szCs w:val="24"/>
        </w:rPr>
        <w:t xml:space="preserve"> and Au</w:t>
      </w:r>
      <w:r w:rsidR="00907B10" w:rsidRPr="00907B10">
        <w:rPr>
          <w:szCs w:val="24"/>
          <w:vertAlign w:val="superscript"/>
        </w:rPr>
        <w:t>+</w:t>
      </w:r>
      <w:r w:rsidR="00907B10">
        <w:rPr>
          <w:szCs w:val="24"/>
        </w:rPr>
        <w:t>-</w:t>
      </w:r>
      <w:r>
        <w:rPr>
          <w:szCs w:val="24"/>
        </w:rPr>
        <w:t xml:space="preserve"> (</w:t>
      </w:r>
      <w:r w:rsidR="00AC2871">
        <w:rPr>
          <w:szCs w:val="24"/>
        </w:rPr>
        <w:t>b</w:t>
      </w:r>
      <w:r>
        <w:rPr>
          <w:szCs w:val="24"/>
        </w:rPr>
        <w:t xml:space="preserve">) ion concentrations are presented for </w:t>
      </w:r>
      <w:r w:rsidR="00907B10">
        <w:rPr>
          <w:szCs w:val="24"/>
        </w:rPr>
        <w:t xml:space="preserve">the </w:t>
      </w:r>
      <w:r w:rsidR="00907B10" w:rsidRPr="00907B10">
        <w:rPr>
          <w:szCs w:val="24"/>
        </w:rPr>
        <w:t>region around the nanorod dimer antenna.</w:t>
      </w:r>
      <w:r w:rsidR="00AC2871">
        <w:rPr>
          <w:szCs w:val="24"/>
        </w:rPr>
        <w:t xml:space="preserve"> A single dimer antenna is visible in the lower middle part of the maps.</w:t>
      </w:r>
      <w:r w:rsidR="00907B10">
        <w:rPr>
          <w:szCs w:val="24"/>
        </w:rPr>
        <w:t xml:space="preserve"> </w:t>
      </w:r>
      <w:r w:rsidR="00AC2871">
        <w:rPr>
          <w:szCs w:val="24"/>
        </w:rPr>
        <w:t>In (c)</w:t>
      </w:r>
      <w:r w:rsidR="00907B10" w:rsidRPr="00907B10">
        <w:rPr>
          <w:szCs w:val="24"/>
        </w:rPr>
        <w:t xml:space="preserve"> cross-cuts along</w:t>
      </w:r>
      <w:r w:rsidR="00907B10">
        <w:rPr>
          <w:szCs w:val="24"/>
        </w:rPr>
        <w:t xml:space="preserve"> the red</w:t>
      </w:r>
      <w:r w:rsidR="00AC2871">
        <w:rPr>
          <w:szCs w:val="24"/>
        </w:rPr>
        <w:t xml:space="preserve"> (Ga) and blue (Au)</w:t>
      </w:r>
      <w:r w:rsidR="00907B10">
        <w:rPr>
          <w:szCs w:val="24"/>
        </w:rPr>
        <w:t xml:space="preserve"> arrows</w:t>
      </w:r>
      <w:r w:rsidR="00AC2871">
        <w:rPr>
          <w:szCs w:val="24"/>
        </w:rPr>
        <w:t xml:space="preserve"> are presented</w:t>
      </w:r>
      <w:r w:rsidR="00907B10">
        <w:rPr>
          <w:szCs w:val="24"/>
        </w:rPr>
        <w:t xml:space="preserve">. Here, 0 µm represents the </w:t>
      </w:r>
      <w:r w:rsidR="00AC2871">
        <w:rPr>
          <w:szCs w:val="24"/>
        </w:rPr>
        <w:t xml:space="preserve">origin </w:t>
      </w:r>
      <w:r w:rsidR="00B44836">
        <w:rPr>
          <w:szCs w:val="24"/>
        </w:rPr>
        <w:t xml:space="preserve">and </w:t>
      </w:r>
      <w:r w:rsidR="003A0002">
        <w:rPr>
          <w:szCs w:val="24"/>
        </w:rPr>
        <w:t>1.8 µm</w:t>
      </w:r>
      <w:r w:rsidR="00B44836">
        <w:rPr>
          <w:szCs w:val="24"/>
        </w:rPr>
        <w:t xml:space="preserve"> </w:t>
      </w:r>
      <w:r w:rsidR="00AC2871">
        <w:rPr>
          <w:szCs w:val="24"/>
        </w:rPr>
        <w:t>the</w:t>
      </w:r>
      <w:r w:rsidR="00B44836">
        <w:rPr>
          <w:szCs w:val="24"/>
        </w:rPr>
        <w:t xml:space="preserve"> </w:t>
      </w:r>
      <w:r w:rsidR="00317357">
        <w:rPr>
          <w:szCs w:val="24"/>
        </w:rPr>
        <w:t xml:space="preserve">end of the </w:t>
      </w:r>
      <w:r w:rsidR="00AC2871">
        <w:rPr>
          <w:szCs w:val="24"/>
        </w:rPr>
        <w:t>arrow</w:t>
      </w:r>
      <w:r w:rsidR="00317357">
        <w:rPr>
          <w:szCs w:val="24"/>
        </w:rPr>
        <w:t>s</w:t>
      </w:r>
      <w:r w:rsidR="00AC2871">
        <w:rPr>
          <w:szCs w:val="24"/>
        </w:rPr>
        <w:t xml:space="preserve"> </w:t>
      </w:r>
      <w:r w:rsidR="00317357">
        <w:rPr>
          <w:szCs w:val="24"/>
        </w:rPr>
        <w:t>in (a) and (b)</w:t>
      </w:r>
      <w:r w:rsidR="00B44836">
        <w:rPr>
          <w:szCs w:val="24"/>
        </w:rPr>
        <w:t>.</w:t>
      </w:r>
      <w:r w:rsidR="00AC2871">
        <w:rPr>
          <w:szCs w:val="24"/>
        </w:rPr>
        <w:t xml:space="preserve"> </w:t>
      </w:r>
      <w:r w:rsidR="00317357">
        <w:rPr>
          <w:szCs w:val="24"/>
        </w:rPr>
        <w:t xml:space="preserve">For </w:t>
      </w:r>
      <w:r w:rsidR="00AC2871">
        <w:rPr>
          <w:szCs w:val="24"/>
        </w:rPr>
        <w:t>positions between 0µm and 0.75µm, i.e.</w:t>
      </w:r>
      <w:r w:rsidR="00317357">
        <w:rPr>
          <w:szCs w:val="24"/>
        </w:rPr>
        <w:t>, in</w:t>
      </w:r>
      <w:r w:rsidR="00AC2871">
        <w:rPr>
          <w:szCs w:val="24"/>
        </w:rPr>
        <w:t xml:space="preserve"> regions inside the milled area, </w:t>
      </w:r>
      <w:r w:rsidR="00B51153">
        <w:rPr>
          <w:szCs w:val="24"/>
        </w:rPr>
        <w:t xml:space="preserve">the </w:t>
      </w:r>
      <w:r w:rsidR="000728A4">
        <w:rPr>
          <w:szCs w:val="24"/>
        </w:rPr>
        <w:t>signal</w:t>
      </w:r>
      <w:r w:rsidR="00317357">
        <w:rPr>
          <w:szCs w:val="24"/>
        </w:rPr>
        <w:t>s</w:t>
      </w:r>
      <w:r w:rsidR="00B51153">
        <w:rPr>
          <w:szCs w:val="24"/>
        </w:rPr>
        <w:t xml:space="preserve"> </w:t>
      </w:r>
      <w:r w:rsidR="00317357">
        <w:rPr>
          <w:szCs w:val="24"/>
        </w:rPr>
        <w:t xml:space="preserve">from </w:t>
      </w:r>
      <w:r w:rsidR="008574AE">
        <w:rPr>
          <w:szCs w:val="24"/>
        </w:rPr>
        <w:t>Ga</w:t>
      </w:r>
      <w:r w:rsidR="00B51153">
        <w:rPr>
          <w:szCs w:val="24"/>
        </w:rPr>
        <w:t xml:space="preserve"> (</w:t>
      </w:r>
      <w:r w:rsidR="00AC2871">
        <w:rPr>
          <w:szCs w:val="24"/>
        </w:rPr>
        <w:t>~</w:t>
      </w:r>
      <w:r w:rsidR="00B51153">
        <w:rPr>
          <w:szCs w:val="24"/>
        </w:rPr>
        <w:t xml:space="preserve">15 counts) and </w:t>
      </w:r>
      <w:r w:rsidR="008574AE">
        <w:rPr>
          <w:szCs w:val="24"/>
        </w:rPr>
        <w:t>Au</w:t>
      </w:r>
      <w:r w:rsidR="00B51153">
        <w:rPr>
          <w:szCs w:val="24"/>
        </w:rPr>
        <w:t xml:space="preserve"> (</w:t>
      </w:r>
      <w:r w:rsidR="00AC2871">
        <w:rPr>
          <w:szCs w:val="24"/>
        </w:rPr>
        <w:t>~</w:t>
      </w:r>
      <w:r w:rsidR="00B51153">
        <w:rPr>
          <w:szCs w:val="24"/>
        </w:rPr>
        <w:t>30 counts) differ by a factor of two, while the oxygen signal (1300) is about two</w:t>
      </w:r>
      <w:r w:rsidR="00AC2871">
        <w:rPr>
          <w:szCs w:val="24"/>
        </w:rPr>
        <w:t xml:space="preserve"> order of magnitude larger. </w:t>
      </w:r>
      <w:r w:rsidR="00317357">
        <w:rPr>
          <w:szCs w:val="24"/>
        </w:rPr>
        <w:t>P</w:t>
      </w:r>
      <w:r w:rsidR="000728A4">
        <w:rPr>
          <w:szCs w:val="24"/>
        </w:rPr>
        <w:t xml:space="preserve">recise statements </w:t>
      </w:r>
      <w:r w:rsidR="00317357">
        <w:rPr>
          <w:szCs w:val="24"/>
        </w:rPr>
        <w:t xml:space="preserve">about </w:t>
      </w:r>
      <w:r w:rsidR="000728A4">
        <w:rPr>
          <w:szCs w:val="24"/>
        </w:rPr>
        <w:t>the concentration of gallium and gold in the substrate are difficult due to the unknown extraction efficiency of all three materials by the He+-ion beam.</w:t>
      </w:r>
    </w:p>
    <w:p w14:paraId="396DD5BF" w14:textId="611BC85E" w:rsidR="00907B10" w:rsidRPr="001E5AA3" w:rsidRDefault="00AC2871" w:rsidP="001E5AA3">
      <w:pPr>
        <w:pStyle w:val="TAMainText"/>
        <w:spacing w:after="240" w:line="276" w:lineRule="auto"/>
        <w:ind w:firstLine="0"/>
        <w:rPr>
          <w:szCs w:val="24"/>
        </w:rPr>
      </w:pPr>
      <w:r>
        <w:rPr>
          <w:noProof/>
          <w:szCs w:val="24"/>
          <w:lang w:val="de-DE" w:eastAsia="de-DE"/>
        </w:rPr>
        <w:drawing>
          <wp:inline distT="0" distB="0" distL="0" distR="0" wp14:anchorId="01E29BD0" wp14:editId="3012ECF6">
            <wp:extent cx="5943600" cy="207962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S4.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2079625"/>
                    </a:xfrm>
                    <a:prstGeom prst="rect">
                      <a:avLst/>
                    </a:prstGeom>
                  </pic:spPr>
                </pic:pic>
              </a:graphicData>
            </a:graphic>
          </wp:inline>
        </w:drawing>
      </w:r>
    </w:p>
    <w:p w14:paraId="257AE30F" w14:textId="64982996" w:rsidR="001E5AA3" w:rsidRPr="001E5AA3" w:rsidRDefault="00907B10" w:rsidP="00907B10">
      <w:pPr>
        <w:pStyle w:val="TAMainText"/>
        <w:spacing w:after="240" w:line="276" w:lineRule="auto"/>
        <w:ind w:left="567" w:right="855" w:firstLine="0"/>
        <w:rPr>
          <w:szCs w:val="24"/>
        </w:rPr>
      </w:pPr>
      <w:r w:rsidRPr="000C7DD4">
        <w:rPr>
          <w:b/>
          <w:sz w:val="20"/>
        </w:rPr>
        <w:t>Fig</w:t>
      </w:r>
      <w:r w:rsidR="0050574A">
        <w:rPr>
          <w:b/>
          <w:sz w:val="20"/>
        </w:rPr>
        <w:t xml:space="preserve"> S5</w:t>
      </w:r>
      <w:r w:rsidRPr="000C7DD4">
        <w:rPr>
          <w:b/>
          <w:sz w:val="20"/>
        </w:rPr>
        <w:t>:</w:t>
      </w:r>
      <w:r>
        <w:rPr>
          <w:sz w:val="20"/>
        </w:rPr>
        <w:t xml:space="preserve"> </w:t>
      </w:r>
      <w:proofErr w:type="spellStart"/>
      <w:r>
        <w:rPr>
          <w:sz w:val="20"/>
        </w:rPr>
        <w:t>NanoSIMS</w:t>
      </w:r>
      <w:proofErr w:type="spellEnd"/>
      <w:r>
        <w:rPr>
          <w:sz w:val="20"/>
        </w:rPr>
        <w:t xml:space="preserve"> images of </w:t>
      </w:r>
      <w:r w:rsidR="00924F0E">
        <w:rPr>
          <w:sz w:val="20"/>
        </w:rPr>
        <w:t>t</w:t>
      </w:r>
      <w:r>
        <w:rPr>
          <w:sz w:val="20"/>
        </w:rPr>
        <w:t xml:space="preserve">he corner of an array </w:t>
      </w:r>
      <w:r w:rsidR="00B51153">
        <w:rPr>
          <w:sz w:val="20"/>
        </w:rPr>
        <w:t>(</w:t>
      </w:r>
      <w:proofErr w:type="spellStart"/>
      <w:r w:rsidR="00924F0E">
        <w:rPr>
          <w:sz w:val="20"/>
        </w:rPr>
        <w:t>a</w:t>
      </w:r>
      <w:r>
        <w:rPr>
          <w:sz w:val="20"/>
        </w:rPr>
        <w:t>+</w:t>
      </w:r>
      <w:r w:rsidR="00924F0E">
        <w:rPr>
          <w:sz w:val="20"/>
        </w:rPr>
        <w:t>b</w:t>
      </w:r>
      <w:proofErr w:type="spellEnd"/>
      <w:r w:rsidR="00924F0E">
        <w:rPr>
          <w:sz w:val="20"/>
        </w:rPr>
        <w:t xml:space="preserve">). In (a) </w:t>
      </w:r>
      <w:r>
        <w:rPr>
          <w:sz w:val="20"/>
        </w:rPr>
        <w:t xml:space="preserve">the signal coming from gallium, </w:t>
      </w:r>
      <w:r w:rsidR="00924F0E">
        <w:rPr>
          <w:sz w:val="20"/>
        </w:rPr>
        <w:t>and in (b) the si</w:t>
      </w:r>
      <w:r>
        <w:rPr>
          <w:sz w:val="20"/>
        </w:rPr>
        <w:t>gnal generated from gold</w:t>
      </w:r>
      <w:r w:rsidR="00924F0E">
        <w:rPr>
          <w:sz w:val="20"/>
        </w:rPr>
        <w:t xml:space="preserve"> is shown</w:t>
      </w:r>
      <w:r>
        <w:rPr>
          <w:sz w:val="20"/>
        </w:rPr>
        <w:t xml:space="preserve">. Line-scans measuring the amount of oxygen (black line), gallium (red line) and gold (blue line) along the arrows (blue and red, arrows indicate scan direction) in the </w:t>
      </w:r>
      <w:proofErr w:type="spellStart"/>
      <w:r>
        <w:rPr>
          <w:sz w:val="20"/>
        </w:rPr>
        <w:t>NanoSIMS</w:t>
      </w:r>
      <w:proofErr w:type="spellEnd"/>
      <w:r>
        <w:rPr>
          <w:sz w:val="20"/>
        </w:rPr>
        <w:t xml:space="preserve"> images are shown in</w:t>
      </w:r>
      <w:r w:rsidR="00924F0E">
        <w:rPr>
          <w:sz w:val="20"/>
        </w:rPr>
        <w:t xml:space="preserve"> (c).</w:t>
      </w:r>
      <w:r>
        <w:rPr>
          <w:sz w:val="20"/>
        </w:rPr>
        <w:t xml:space="preserve"> The gallium concentration is the highest at positions where Ga</w:t>
      </w:r>
      <w:r w:rsidR="00A35887">
        <w:rPr>
          <w:sz w:val="20"/>
        </w:rPr>
        <w:t>-FIB milling was used, i.e. in between the rod antennas in (a</w:t>
      </w:r>
      <w:r>
        <w:rPr>
          <w:sz w:val="20"/>
        </w:rPr>
        <w:t xml:space="preserve">). </w:t>
      </w:r>
    </w:p>
    <w:p w14:paraId="6DE2C482" w14:textId="77777777" w:rsidR="0050574A" w:rsidRDefault="0050574A" w:rsidP="0050574A">
      <w:pPr>
        <w:pStyle w:val="TAMainText"/>
        <w:spacing w:after="240" w:line="276" w:lineRule="auto"/>
        <w:ind w:right="855"/>
        <w:rPr>
          <w:szCs w:val="24"/>
        </w:rPr>
      </w:pPr>
    </w:p>
    <w:p w14:paraId="34483397" w14:textId="21A6450A" w:rsidR="0050574A" w:rsidRPr="001E5AA3" w:rsidRDefault="0050574A" w:rsidP="0050574A">
      <w:pPr>
        <w:pStyle w:val="TAMainText"/>
        <w:spacing w:after="240" w:line="276" w:lineRule="auto"/>
        <w:ind w:firstLine="0"/>
        <w:rPr>
          <w:szCs w:val="24"/>
        </w:rPr>
      </w:pPr>
    </w:p>
    <w:p w14:paraId="2F99A47E" w14:textId="77777777" w:rsidR="0050574A" w:rsidRPr="001E5AA3" w:rsidRDefault="0050574A" w:rsidP="0050574A">
      <w:pPr>
        <w:pStyle w:val="TAMainText"/>
        <w:spacing w:after="240" w:line="276" w:lineRule="auto"/>
        <w:ind w:right="855"/>
        <w:rPr>
          <w:szCs w:val="24"/>
        </w:rPr>
      </w:pPr>
    </w:p>
    <w:sectPr w:rsidR="0050574A" w:rsidRPr="001E5AA3" w:rsidSect="000B5610">
      <w:footerReference w:type="even" r:id="rId12"/>
      <w:footerReference w:type="default" r:id="rId13"/>
      <w:type w:val="continuous"/>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28F684" w14:textId="77777777" w:rsidR="000955EB" w:rsidRDefault="000955EB">
      <w:r>
        <w:separator/>
      </w:r>
    </w:p>
  </w:endnote>
  <w:endnote w:type="continuationSeparator" w:id="0">
    <w:p w14:paraId="1BED8E67" w14:textId="77777777" w:rsidR="000955EB" w:rsidRDefault="000955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8A689" w14:textId="77777777" w:rsidR="00100CF7" w:rsidRDefault="00100CF7">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1</w:t>
    </w:r>
    <w:r>
      <w:rPr>
        <w:rStyle w:val="Seitenzahl"/>
      </w:rPr>
      <w:fldChar w:fldCharType="end"/>
    </w:r>
  </w:p>
  <w:p w14:paraId="3E3991DD" w14:textId="77777777" w:rsidR="00100CF7" w:rsidRDefault="00100CF7">
    <w:pPr>
      <w:pStyle w:val="Fuzeile"/>
      <w:ind w:right="360"/>
    </w:pPr>
  </w:p>
  <w:p w14:paraId="419D98B0" w14:textId="77777777" w:rsidR="00100CF7" w:rsidRDefault="00100CF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BB2927" w14:textId="731DA3C8" w:rsidR="00100CF7" w:rsidRDefault="00100CF7">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5F16E4">
      <w:rPr>
        <w:rStyle w:val="Seitenzahl"/>
        <w:noProof/>
      </w:rPr>
      <w:t>2</w:t>
    </w:r>
    <w:r>
      <w:rPr>
        <w:rStyle w:val="Seitenzahl"/>
      </w:rPr>
      <w:fldChar w:fldCharType="end"/>
    </w:r>
  </w:p>
  <w:p w14:paraId="3D267391" w14:textId="77777777" w:rsidR="00100CF7" w:rsidRDefault="00100CF7">
    <w:pPr>
      <w:pStyle w:val="Fuzeile"/>
      <w:ind w:right="360"/>
    </w:pPr>
  </w:p>
  <w:p w14:paraId="072C5693" w14:textId="77777777" w:rsidR="00100CF7" w:rsidRDefault="00100CF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18A8D9" w14:textId="77777777" w:rsidR="000955EB" w:rsidRDefault="000955EB">
      <w:r>
        <w:separator/>
      </w:r>
    </w:p>
  </w:footnote>
  <w:footnote w:type="continuationSeparator" w:id="0">
    <w:p w14:paraId="38B98F9A" w14:textId="77777777" w:rsidR="000955EB" w:rsidRDefault="000955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5"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6"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8"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9"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8"/>
  </w:num>
  <w:num w:numId="2">
    <w:abstractNumId w:val="6"/>
  </w:num>
  <w:num w:numId="3">
    <w:abstractNumId w:val="9"/>
  </w:num>
  <w:num w:numId="4">
    <w:abstractNumId w:val="7"/>
  </w:num>
  <w:num w:numId="5">
    <w:abstractNumId w:val="5"/>
  </w:num>
  <w:num w:numId="6">
    <w:abstractNumId w:val="4"/>
  </w:num>
  <w:num w:numId="7">
    <w:abstractNumId w:val="3"/>
  </w:num>
  <w:num w:numId="8">
    <w:abstractNumId w:val="1"/>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de-DE" w:vendorID="64" w:dllVersion="6" w:nlCheck="1" w:checkStyle="0"/>
  <w:activeWritingStyle w:appName="MSWord" w:lang="en-US" w:vendorID="64" w:dllVersion="6" w:nlCheck="1" w:checkStyle="1"/>
  <w:activeWritingStyle w:appName="MSWord" w:lang="en-U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Layout" w:val="&lt;ENLayout&gt;&lt;Style&gt;osajnl&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vtrvxewvl0e2sqe9w2spv9v4dr5rp0fxaavv&quot;&gt;HighQNanorodsSnP&lt;record-ids&gt;&lt;item&gt;2&lt;/item&gt;&lt;item&gt;23&lt;/item&gt;&lt;item&gt;27&lt;/item&gt;&lt;item&gt;28&lt;/item&gt;&lt;item&gt;29&lt;/item&gt;&lt;item&gt;34&lt;/item&gt;&lt;item&gt;36&lt;/item&gt;&lt;item&gt;38&lt;/item&gt;&lt;item&gt;39&lt;/item&gt;&lt;item&gt;40&lt;/item&gt;&lt;item&gt;41&lt;/item&gt;&lt;item&gt;42&lt;/item&gt;&lt;item&gt;44&lt;/item&gt;&lt;item&gt;45&lt;/item&gt;&lt;item&gt;47&lt;/item&gt;&lt;item&gt;48&lt;/item&gt;&lt;item&gt;49&lt;/item&gt;&lt;item&gt;50&lt;/item&gt;&lt;item&gt;51&lt;/item&gt;&lt;item&gt;52&lt;/item&gt;&lt;item&gt;53&lt;/item&gt;&lt;item&gt;54&lt;/item&gt;&lt;item&gt;55&lt;/item&gt;&lt;item&gt;56&lt;/item&gt;&lt;item&gt;57&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5&lt;/item&gt;&lt;item&gt;76&lt;/item&gt;&lt;item&gt;77&lt;/item&gt;&lt;item&gt;80&lt;/item&gt;&lt;item&gt;81&lt;/item&gt;&lt;item&gt;83&lt;/item&gt;&lt;item&gt;85&lt;/item&gt;&lt;item&gt;87&lt;/item&gt;&lt;item&gt;89&lt;/item&gt;&lt;item&gt;91&lt;/item&gt;&lt;item&gt;94&lt;/item&gt;&lt;item&gt;95&lt;/item&gt;&lt;item&gt;96&lt;/item&gt;&lt;item&gt;97&lt;/item&gt;&lt;/record-ids&gt;&lt;/item&gt;&lt;/Libraries&gt;"/>
  </w:docVars>
  <w:rsids>
    <w:rsidRoot w:val="00B00C63"/>
    <w:rsid w:val="000002F2"/>
    <w:rsid w:val="00006EFC"/>
    <w:rsid w:val="0001481A"/>
    <w:rsid w:val="00033A27"/>
    <w:rsid w:val="00044D7F"/>
    <w:rsid w:val="00051779"/>
    <w:rsid w:val="00054CD0"/>
    <w:rsid w:val="000562D3"/>
    <w:rsid w:val="0005660F"/>
    <w:rsid w:val="00057218"/>
    <w:rsid w:val="00060C08"/>
    <w:rsid w:val="00062470"/>
    <w:rsid w:val="000702AD"/>
    <w:rsid w:val="000712D5"/>
    <w:rsid w:val="000728A4"/>
    <w:rsid w:val="000732CF"/>
    <w:rsid w:val="00080922"/>
    <w:rsid w:val="000814DD"/>
    <w:rsid w:val="00085EAB"/>
    <w:rsid w:val="00090538"/>
    <w:rsid w:val="00090790"/>
    <w:rsid w:val="000955EB"/>
    <w:rsid w:val="000B2EEB"/>
    <w:rsid w:val="000B5610"/>
    <w:rsid w:val="000C05CC"/>
    <w:rsid w:val="000C1187"/>
    <w:rsid w:val="000C1BE1"/>
    <w:rsid w:val="000C2A7A"/>
    <w:rsid w:val="000C7DD4"/>
    <w:rsid w:val="000D7DB5"/>
    <w:rsid w:val="000E30F0"/>
    <w:rsid w:val="000F5E98"/>
    <w:rsid w:val="00100CF7"/>
    <w:rsid w:val="00102E44"/>
    <w:rsid w:val="00113C99"/>
    <w:rsid w:val="00123E65"/>
    <w:rsid w:val="00145245"/>
    <w:rsid w:val="00145759"/>
    <w:rsid w:val="00150509"/>
    <w:rsid w:val="00160B17"/>
    <w:rsid w:val="00173E4C"/>
    <w:rsid w:val="00186E8E"/>
    <w:rsid w:val="00191887"/>
    <w:rsid w:val="00195ACA"/>
    <w:rsid w:val="001A4606"/>
    <w:rsid w:val="001A6E5A"/>
    <w:rsid w:val="001A7A90"/>
    <w:rsid w:val="001B3BE3"/>
    <w:rsid w:val="001B4D2C"/>
    <w:rsid w:val="001B637E"/>
    <w:rsid w:val="001B6E39"/>
    <w:rsid w:val="001C034E"/>
    <w:rsid w:val="001C0D05"/>
    <w:rsid w:val="001C252F"/>
    <w:rsid w:val="001C5DB6"/>
    <w:rsid w:val="001E0AC2"/>
    <w:rsid w:val="001E14C8"/>
    <w:rsid w:val="001E5772"/>
    <w:rsid w:val="001E5AA3"/>
    <w:rsid w:val="00200DCB"/>
    <w:rsid w:val="00204FFD"/>
    <w:rsid w:val="002055FB"/>
    <w:rsid w:val="00212B1D"/>
    <w:rsid w:val="002174C1"/>
    <w:rsid w:val="00222AB4"/>
    <w:rsid w:val="0023673B"/>
    <w:rsid w:val="00240B59"/>
    <w:rsid w:val="00242474"/>
    <w:rsid w:val="002546A7"/>
    <w:rsid w:val="002655DA"/>
    <w:rsid w:val="00271A02"/>
    <w:rsid w:val="00275C61"/>
    <w:rsid w:val="00287002"/>
    <w:rsid w:val="002A578C"/>
    <w:rsid w:val="002A6FE8"/>
    <w:rsid w:val="002A7493"/>
    <w:rsid w:val="002B2CCE"/>
    <w:rsid w:val="002B5623"/>
    <w:rsid w:val="002C3431"/>
    <w:rsid w:val="00313155"/>
    <w:rsid w:val="0031373B"/>
    <w:rsid w:val="0031435D"/>
    <w:rsid w:val="00317357"/>
    <w:rsid w:val="00324128"/>
    <w:rsid w:val="00327766"/>
    <w:rsid w:val="00330630"/>
    <w:rsid w:val="00333AD3"/>
    <w:rsid w:val="0033432E"/>
    <w:rsid w:val="00341C66"/>
    <w:rsid w:val="00343DBB"/>
    <w:rsid w:val="00357D40"/>
    <w:rsid w:val="00361E35"/>
    <w:rsid w:val="003664E9"/>
    <w:rsid w:val="00367936"/>
    <w:rsid w:val="003679A1"/>
    <w:rsid w:val="003748F8"/>
    <w:rsid w:val="00375B55"/>
    <w:rsid w:val="00393EE4"/>
    <w:rsid w:val="003A0002"/>
    <w:rsid w:val="003A42F0"/>
    <w:rsid w:val="003A4706"/>
    <w:rsid w:val="003B4A7D"/>
    <w:rsid w:val="003B4AF3"/>
    <w:rsid w:val="003B5BB1"/>
    <w:rsid w:val="003B5F22"/>
    <w:rsid w:val="003B6551"/>
    <w:rsid w:val="003E1F76"/>
    <w:rsid w:val="003E4242"/>
    <w:rsid w:val="003F0729"/>
    <w:rsid w:val="00401DBD"/>
    <w:rsid w:val="00424CA5"/>
    <w:rsid w:val="00425780"/>
    <w:rsid w:val="00433AF5"/>
    <w:rsid w:val="004347B5"/>
    <w:rsid w:val="00434DDE"/>
    <w:rsid w:val="00446F05"/>
    <w:rsid w:val="00452974"/>
    <w:rsid w:val="00467A27"/>
    <w:rsid w:val="00475FD2"/>
    <w:rsid w:val="00476847"/>
    <w:rsid w:val="0048613B"/>
    <w:rsid w:val="004A58DD"/>
    <w:rsid w:val="004B426C"/>
    <w:rsid w:val="004D3FEB"/>
    <w:rsid w:val="004D43DF"/>
    <w:rsid w:val="004E283C"/>
    <w:rsid w:val="004E7185"/>
    <w:rsid w:val="004F31C6"/>
    <w:rsid w:val="00501B3D"/>
    <w:rsid w:val="0050574A"/>
    <w:rsid w:val="005057D8"/>
    <w:rsid w:val="005128CA"/>
    <w:rsid w:val="005230BA"/>
    <w:rsid w:val="00524DFA"/>
    <w:rsid w:val="0053179B"/>
    <w:rsid w:val="00544121"/>
    <w:rsid w:val="005553EF"/>
    <w:rsid w:val="00556D1B"/>
    <w:rsid w:val="00567E81"/>
    <w:rsid w:val="00583D06"/>
    <w:rsid w:val="00587108"/>
    <w:rsid w:val="00591A57"/>
    <w:rsid w:val="005D0C10"/>
    <w:rsid w:val="005D2CB9"/>
    <w:rsid w:val="005F16E4"/>
    <w:rsid w:val="005F31AF"/>
    <w:rsid w:val="005F5135"/>
    <w:rsid w:val="00601841"/>
    <w:rsid w:val="00612A11"/>
    <w:rsid w:val="00616C8C"/>
    <w:rsid w:val="00640553"/>
    <w:rsid w:val="006446CC"/>
    <w:rsid w:val="006455A5"/>
    <w:rsid w:val="00647625"/>
    <w:rsid w:val="00654F5F"/>
    <w:rsid w:val="00656AEC"/>
    <w:rsid w:val="0066654A"/>
    <w:rsid w:val="00672F75"/>
    <w:rsid w:val="00677D35"/>
    <w:rsid w:val="006804EB"/>
    <w:rsid w:val="00683131"/>
    <w:rsid w:val="00683E06"/>
    <w:rsid w:val="00684467"/>
    <w:rsid w:val="00685B59"/>
    <w:rsid w:val="00691768"/>
    <w:rsid w:val="006933D5"/>
    <w:rsid w:val="00693E31"/>
    <w:rsid w:val="00694518"/>
    <w:rsid w:val="006974CB"/>
    <w:rsid w:val="00697CDF"/>
    <w:rsid w:val="006A065C"/>
    <w:rsid w:val="006A266C"/>
    <w:rsid w:val="006A3E34"/>
    <w:rsid w:val="006B2272"/>
    <w:rsid w:val="006B2581"/>
    <w:rsid w:val="006B3CE1"/>
    <w:rsid w:val="006D437C"/>
    <w:rsid w:val="006E0AC2"/>
    <w:rsid w:val="006E7C37"/>
    <w:rsid w:val="007000D9"/>
    <w:rsid w:val="0071192B"/>
    <w:rsid w:val="00720B4B"/>
    <w:rsid w:val="00732834"/>
    <w:rsid w:val="00737C81"/>
    <w:rsid w:val="0074210D"/>
    <w:rsid w:val="00744849"/>
    <w:rsid w:val="00747701"/>
    <w:rsid w:val="00757E1C"/>
    <w:rsid w:val="0076157C"/>
    <w:rsid w:val="007629D3"/>
    <w:rsid w:val="00764B42"/>
    <w:rsid w:val="00773641"/>
    <w:rsid w:val="007811B7"/>
    <w:rsid w:val="00793BEF"/>
    <w:rsid w:val="00794616"/>
    <w:rsid w:val="007A11AD"/>
    <w:rsid w:val="007A611E"/>
    <w:rsid w:val="007B219B"/>
    <w:rsid w:val="007C52B0"/>
    <w:rsid w:val="007C6F12"/>
    <w:rsid w:val="007D1438"/>
    <w:rsid w:val="007D4BF1"/>
    <w:rsid w:val="007E55CC"/>
    <w:rsid w:val="007E58B1"/>
    <w:rsid w:val="007E590F"/>
    <w:rsid w:val="007F6507"/>
    <w:rsid w:val="008047DE"/>
    <w:rsid w:val="008138A2"/>
    <w:rsid w:val="00820BBE"/>
    <w:rsid w:val="00826184"/>
    <w:rsid w:val="00830477"/>
    <w:rsid w:val="008344B4"/>
    <w:rsid w:val="008414FF"/>
    <w:rsid w:val="0084177E"/>
    <w:rsid w:val="00841EA0"/>
    <w:rsid w:val="008542A9"/>
    <w:rsid w:val="008574AE"/>
    <w:rsid w:val="008633FA"/>
    <w:rsid w:val="00863F68"/>
    <w:rsid w:val="008655C0"/>
    <w:rsid w:val="0086573F"/>
    <w:rsid w:val="00871DDA"/>
    <w:rsid w:val="008724A2"/>
    <w:rsid w:val="00874DAB"/>
    <w:rsid w:val="008772CA"/>
    <w:rsid w:val="00881742"/>
    <w:rsid w:val="00887DBA"/>
    <w:rsid w:val="008949DB"/>
    <w:rsid w:val="008A22F7"/>
    <w:rsid w:val="008A5E97"/>
    <w:rsid w:val="008C457F"/>
    <w:rsid w:val="008D30F9"/>
    <w:rsid w:val="008D53B2"/>
    <w:rsid w:val="008D7631"/>
    <w:rsid w:val="008E1A8C"/>
    <w:rsid w:val="008E20F1"/>
    <w:rsid w:val="008E2C93"/>
    <w:rsid w:val="008F119C"/>
    <w:rsid w:val="008F16AC"/>
    <w:rsid w:val="009048DF"/>
    <w:rsid w:val="00907B10"/>
    <w:rsid w:val="0091203C"/>
    <w:rsid w:val="00912169"/>
    <w:rsid w:val="00915A74"/>
    <w:rsid w:val="0092037A"/>
    <w:rsid w:val="009246AD"/>
    <w:rsid w:val="00924F0E"/>
    <w:rsid w:val="00944442"/>
    <w:rsid w:val="009600DC"/>
    <w:rsid w:val="00962011"/>
    <w:rsid w:val="009722FF"/>
    <w:rsid w:val="00982BC1"/>
    <w:rsid w:val="00984924"/>
    <w:rsid w:val="0099223B"/>
    <w:rsid w:val="009A6E80"/>
    <w:rsid w:val="009B3622"/>
    <w:rsid w:val="009C1BA4"/>
    <w:rsid w:val="009C529D"/>
    <w:rsid w:val="009D0DC3"/>
    <w:rsid w:val="009D41E7"/>
    <w:rsid w:val="009D754F"/>
    <w:rsid w:val="009E31FA"/>
    <w:rsid w:val="009E5FC4"/>
    <w:rsid w:val="009F1B55"/>
    <w:rsid w:val="009F2E7E"/>
    <w:rsid w:val="009F3FBF"/>
    <w:rsid w:val="009F6989"/>
    <w:rsid w:val="00A02D62"/>
    <w:rsid w:val="00A0376B"/>
    <w:rsid w:val="00A066F9"/>
    <w:rsid w:val="00A1630F"/>
    <w:rsid w:val="00A20EB5"/>
    <w:rsid w:val="00A2458F"/>
    <w:rsid w:val="00A25256"/>
    <w:rsid w:val="00A26887"/>
    <w:rsid w:val="00A331D2"/>
    <w:rsid w:val="00A33311"/>
    <w:rsid w:val="00A35887"/>
    <w:rsid w:val="00A37FE2"/>
    <w:rsid w:val="00A42F44"/>
    <w:rsid w:val="00A460C6"/>
    <w:rsid w:val="00A50A40"/>
    <w:rsid w:val="00A50EA5"/>
    <w:rsid w:val="00A53847"/>
    <w:rsid w:val="00A60219"/>
    <w:rsid w:val="00A62894"/>
    <w:rsid w:val="00A64B0B"/>
    <w:rsid w:val="00A764EF"/>
    <w:rsid w:val="00A76940"/>
    <w:rsid w:val="00A816CA"/>
    <w:rsid w:val="00A82B17"/>
    <w:rsid w:val="00A90659"/>
    <w:rsid w:val="00AB19A2"/>
    <w:rsid w:val="00AB284F"/>
    <w:rsid w:val="00AB34C5"/>
    <w:rsid w:val="00AC2871"/>
    <w:rsid w:val="00AC3772"/>
    <w:rsid w:val="00AD7846"/>
    <w:rsid w:val="00AE0E99"/>
    <w:rsid w:val="00AF4F6D"/>
    <w:rsid w:val="00AF7F6A"/>
    <w:rsid w:val="00B00C63"/>
    <w:rsid w:val="00B00FA4"/>
    <w:rsid w:val="00B05A88"/>
    <w:rsid w:val="00B1196A"/>
    <w:rsid w:val="00B12C30"/>
    <w:rsid w:val="00B16EE5"/>
    <w:rsid w:val="00B25FCF"/>
    <w:rsid w:val="00B3354E"/>
    <w:rsid w:val="00B36FD2"/>
    <w:rsid w:val="00B4447D"/>
    <w:rsid w:val="00B44641"/>
    <w:rsid w:val="00B44836"/>
    <w:rsid w:val="00B464E9"/>
    <w:rsid w:val="00B51153"/>
    <w:rsid w:val="00B667DB"/>
    <w:rsid w:val="00B67723"/>
    <w:rsid w:val="00B7212B"/>
    <w:rsid w:val="00B72BD4"/>
    <w:rsid w:val="00B742B9"/>
    <w:rsid w:val="00B7618D"/>
    <w:rsid w:val="00B81818"/>
    <w:rsid w:val="00B81DAC"/>
    <w:rsid w:val="00B90D84"/>
    <w:rsid w:val="00B94829"/>
    <w:rsid w:val="00BA0C91"/>
    <w:rsid w:val="00BA4D83"/>
    <w:rsid w:val="00BA607D"/>
    <w:rsid w:val="00BA7803"/>
    <w:rsid w:val="00BB19AD"/>
    <w:rsid w:val="00BB7735"/>
    <w:rsid w:val="00BC1F77"/>
    <w:rsid w:val="00BC657D"/>
    <w:rsid w:val="00BD2C44"/>
    <w:rsid w:val="00BE5706"/>
    <w:rsid w:val="00BF10CA"/>
    <w:rsid w:val="00BF520E"/>
    <w:rsid w:val="00C04353"/>
    <w:rsid w:val="00C0687D"/>
    <w:rsid w:val="00C10786"/>
    <w:rsid w:val="00C10DC7"/>
    <w:rsid w:val="00C10EE0"/>
    <w:rsid w:val="00C12556"/>
    <w:rsid w:val="00C162AC"/>
    <w:rsid w:val="00C410DD"/>
    <w:rsid w:val="00C441D7"/>
    <w:rsid w:val="00C5307C"/>
    <w:rsid w:val="00C54D14"/>
    <w:rsid w:val="00C6170A"/>
    <w:rsid w:val="00C630F0"/>
    <w:rsid w:val="00C63CB3"/>
    <w:rsid w:val="00C659CC"/>
    <w:rsid w:val="00C81205"/>
    <w:rsid w:val="00C82830"/>
    <w:rsid w:val="00C86C71"/>
    <w:rsid w:val="00C92064"/>
    <w:rsid w:val="00CA22C9"/>
    <w:rsid w:val="00CB099F"/>
    <w:rsid w:val="00CB47AA"/>
    <w:rsid w:val="00CB5D57"/>
    <w:rsid w:val="00CC31ED"/>
    <w:rsid w:val="00CD552F"/>
    <w:rsid w:val="00CE2AD7"/>
    <w:rsid w:val="00CF6D42"/>
    <w:rsid w:val="00D1172F"/>
    <w:rsid w:val="00D16B7B"/>
    <w:rsid w:val="00D1756E"/>
    <w:rsid w:val="00D20225"/>
    <w:rsid w:val="00D20ACD"/>
    <w:rsid w:val="00D318E5"/>
    <w:rsid w:val="00D32E24"/>
    <w:rsid w:val="00D4716C"/>
    <w:rsid w:val="00D52334"/>
    <w:rsid w:val="00D603A4"/>
    <w:rsid w:val="00D735F1"/>
    <w:rsid w:val="00D81958"/>
    <w:rsid w:val="00D844E7"/>
    <w:rsid w:val="00DA152E"/>
    <w:rsid w:val="00DC3F89"/>
    <w:rsid w:val="00DD543A"/>
    <w:rsid w:val="00DD6DBB"/>
    <w:rsid w:val="00E074F2"/>
    <w:rsid w:val="00E116BA"/>
    <w:rsid w:val="00E37D7B"/>
    <w:rsid w:val="00E51586"/>
    <w:rsid w:val="00E54B0D"/>
    <w:rsid w:val="00E55426"/>
    <w:rsid w:val="00E66AA7"/>
    <w:rsid w:val="00E716A6"/>
    <w:rsid w:val="00E72B3E"/>
    <w:rsid w:val="00E86E49"/>
    <w:rsid w:val="00E87C8E"/>
    <w:rsid w:val="00E91482"/>
    <w:rsid w:val="00E96302"/>
    <w:rsid w:val="00EA3BC4"/>
    <w:rsid w:val="00EA6EF0"/>
    <w:rsid w:val="00EA73D0"/>
    <w:rsid w:val="00EB2B9A"/>
    <w:rsid w:val="00EB2D28"/>
    <w:rsid w:val="00EC5C09"/>
    <w:rsid w:val="00EC7832"/>
    <w:rsid w:val="00ED6C34"/>
    <w:rsid w:val="00ED6FEA"/>
    <w:rsid w:val="00EE06D5"/>
    <w:rsid w:val="00EE6E04"/>
    <w:rsid w:val="00EE6ECE"/>
    <w:rsid w:val="00F06AB2"/>
    <w:rsid w:val="00F10A57"/>
    <w:rsid w:val="00F134F5"/>
    <w:rsid w:val="00F221DA"/>
    <w:rsid w:val="00F33FBF"/>
    <w:rsid w:val="00F47B85"/>
    <w:rsid w:val="00F54BDD"/>
    <w:rsid w:val="00F5645C"/>
    <w:rsid w:val="00F578D6"/>
    <w:rsid w:val="00F6067F"/>
    <w:rsid w:val="00F629DC"/>
    <w:rsid w:val="00F80607"/>
    <w:rsid w:val="00F82AE9"/>
    <w:rsid w:val="00F95FD8"/>
    <w:rsid w:val="00FB078B"/>
    <w:rsid w:val="00FB5437"/>
    <w:rsid w:val="00FD3CCD"/>
    <w:rsid w:val="00FE6219"/>
    <w:rsid w:val="00FF0AAA"/>
    <w:rsid w:val="00FF2D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9BDADF1"/>
  <w15:docId w15:val="{C12FD1F5-D6B0-47F4-BC05-B6751DEA6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Standard">
    <w:name w:val="Normal"/>
    <w:qFormat/>
    <w:pPr>
      <w:spacing w:after="200"/>
      <w:jc w:val="both"/>
    </w:pPr>
    <w:rPr>
      <w:rFonts w:ascii="Times" w:hAnsi="Times"/>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BesuchterLink">
    <w:name w:val="FollowedHyperlink"/>
    <w:rPr>
      <w:color w:val="800080"/>
      <w:u w:val="single"/>
    </w:rPr>
  </w:style>
  <w:style w:type="paragraph" w:styleId="Textkrper">
    <w:name w:val="Body Text"/>
    <w:basedOn w:val="Standard"/>
    <w:pPr>
      <w:jc w:val="center"/>
    </w:pPr>
    <w:rPr>
      <w:b/>
      <w:sz w:val="40"/>
    </w:rPr>
  </w:style>
  <w:style w:type="paragraph" w:styleId="Funotentext">
    <w:name w:val="footnote text"/>
    <w:basedOn w:val="Standard"/>
    <w:next w:val="TFReferencesSection"/>
    <w:semiHidden/>
  </w:style>
  <w:style w:type="paragraph" w:customStyle="1" w:styleId="TFReferencesSection">
    <w:name w:val="TF_References_Section"/>
    <w:basedOn w:val="Standard"/>
    <w:pPr>
      <w:spacing w:line="480" w:lineRule="auto"/>
      <w:ind w:firstLine="187"/>
    </w:pPr>
  </w:style>
  <w:style w:type="paragraph" w:customStyle="1" w:styleId="TAMainText">
    <w:name w:val="TA_Main_Text"/>
    <w:basedOn w:val="Standard"/>
    <w:pPr>
      <w:spacing w:after="0" w:line="480" w:lineRule="auto"/>
      <w:ind w:firstLine="202"/>
    </w:pPr>
  </w:style>
  <w:style w:type="paragraph" w:customStyle="1" w:styleId="BATitle">
    <w:name w:val="BA_Title"/>
    <w:basedOn w:val="Standard"/>
    <w:next w:val="BBAuthorName"/>
    <w:pPr>
      <w:spacing w:before="720" w:after="360" w:line="480" w:lineRule="auto"/>
      <w:jc w:val="center"/>
    </w:pPr>
    <w:rPr>
      <w:rFonts w:ascii="Times New Roman" w:hAnsi="Times New Roman"/>
      <w:sz w:val="44"/>
    </w:rPr>
  </w:style>
  <w:style w:type="paragraph" w:customStyle="1" w:styleId="BBAuthorName">
    <w:name w:val="BB_Author_Name"/>
    <w:basedOn w:val="Standard"/>
    <w:next w:val="BCAuthorAddress"/>
    <w:pPr>
      <w:spacing w:after="240" w:line="480" w:lineRule="auto"/>
      <w:jc w:val="center"/>
    </w:pPr>
    <w:rPr>
      <w:i/>
    </w:rPr>
  </w:style>
  <w:style w:type="paragraph" w:customStyle="1" w:styleId="BCAuthorAddress">
    <w:name w:val="BC_Author_Address"/>
    <w:basedOn w:val="Standard"/>
    <w:next w:val="BIEmailAddress"/>
    <w:pPr>
      <w:spacing w:after="240" w:line="480" w:lineRule="auto"/>
      <w:jc w:val="center"/>
    </w:pPr>
  </w:style>
  <w:style w:type="paragraph" w:customStyle="1" w:styleId="BIEmailAddress">
    <w:name w:val="BI_Email_Address"/>
    <w:basedOn w:val="Standard"/>
    <w:next w:val="AIReceivedDate"/>
    <w:pPr>
      <w:spacing w:line="480" w:lineRule="auto"/>
    </w:pPr>
  </w:style>
  <w:style w:type="paragraph" w:customStyle="1" w:styleId="AIReceivedDate">
    <w:name w:val="AI_Received_Date"/>
    <w:basedOn w:val="Standard"/>
    <w:next w:val="BDAbstract"/>
    <w:pPr>
      <w:spacing w:after="240" w:line="480" w:lineRule="auto"/>
    </w:pPr>
    <w:rPr>
      <w:b/>
    </w:rPr>
  </w:style>
  <w:style w:type="paragraph" w:customStyle="1" w:styleId="BDAbstract">
    <w:name w:val="BD_Abstract"/>
    <w:basedOn w:val="Standard"/>
    <w:next w:val="TAMainText"/>
    <w:pPr>
      <w:spacing w:before="360" w:after="360" w:line="480" w:lineRule="auto"/>
    </w:pPr>
  </w:style>
  <w:style w:type="paragraph" w:customStyle="1" w:styleId="TDAcknowledgments">
    <w:name w:val="TD_Acknowledgments"/>
    <w:basedOn w:val="Standard"/>
    <w:next w:val="Standard"/>
    <w:pPr>
      <w:spacing w:before="200" w:line="480" w:lineRule="auto"/>
      <w:ind w:firstLine="202"/>
    </w:pPr>
  </w:style>
  <w:style w:type="paragraph" w:customStyle="1" w:styleId="TESupportingInformation">
    <w:name w:val="TE_Supporting_Information"/>
    <w:basedOn w:val="Standard"/>
    <w:next w:val="Standard"/>
    <w:pPr>
      <w:spacing w:line="480" w:lineRule="auto"/>
      <w:ind w:firstLine="187"/>
    </w:pPr>
  </w:style>
  <w:style w:type="paragraph" w:customStyle="1" w:styleId="VCSchemeTitle">
    <w:name w:val="VC_Scheme_Title"/>
    <w:basedOn w:val="Standard"/>
    <w:next w:val="Standard"/>
    <w:pPr>
      <w:spacing w:line="480" w:lineRule="auto"/>
    </w:pPr>
  </w:style>
  <w:style w:type="paragraph" w:customStyle="1" w:styleId="VDTableTitle">
    <w:name w:val="VD_Table_Title"/>
    <w:basedOn w:val="Standard"/>
    <w:next w:val="Standard"/>
    <w:pPr>
      <w:spacing w:line="480" w:lineRule="auto"/>
    </w:pPr>
  </w:style>
  <w:style w:type="paragraph" w:customStyle="1" w:styleId="VAFigureCaption">
    <w:name w:val="VA_Figure_Caption"/>
    <w:basedOn w:val="Standard"/>
    <w:next w:val="Standard"/>
    <w:pPr>
      <w:spacing w:line="480" w:lineRule="auto"/>
    </w:pPr>
  </w:style>
  <w:style w:type="paragraph" w:customStyle="1" w:styleId="VBChartTitle">
    <w:name w:val="VB_Chart_Title"/>
    <w:basedOn w:val="Standard"/>
    <w:next w:val="Standard"/>
    <w:pPr>
      <w:spacing w:line="480" w:lineRule="auto"/>
    </w:pPr>
  </w:style>
  <w:style w:type="paragraph" w:customStyle="1" w:styleId="FETableFootnote">
    <w:name w:val="FE_Table_Footnote"/>
    <w:basedOn w:val="Standard"/>
    <w:next w:val="Standard"/>
    <w:pPr>
      <w:ind w:firstLine="187"/>
    </w:pPr>
  </w:style>
  <w:style w:type="paragraph" w:customStyle="1" w:styleId="FCChartFootnote">
    <w:name w:val="FC_Chart_Footnote"/>
    <w:basedOn w:val="Standard"/>
    <w:next w:val="Standard"/>
    <w:pPr>
      <w:ind w:firstLine="187"/>
    </w:pPr>
  </w:style>
  <w:style w:type="paragraph" w:customStyle="1" w:styleId="FDSchemeFootnote">
    <w:name w:val="FD_Scheme_Footnote"/>
    <w:basedOn w:val="Standard"/>
    <w:next w:val="Standard"/>
    <w:pPr>
      <w:ind w:firstLine="187"/>
    </w:pPr>
  </w:style>
  <w:style w:type="paragraph" w:customStyle="1" w:styleId="TCTableBody">
    <w:name w:val="TC_Table_Body"/>
    <w:basedOn w:val="Standard"/>
  </w:style>
  <w:style w:type="paragraph" w:customStyle="1" w:styleId="AFTitleRunningHead">
    <w:name w:val="AF_Title_Running_Head"/>
    <w:basedOn w:val="Standard"/>
    <w:next w:val="TAMainText"/>
    <w:pPr>
      <w:spacing w:line="480" w:lineRule="auto"/>
    </w:pPr>
  </w:style>
  <w:style w:type="paragraph" w:customStyle="1" w:styleId="BEAuthorBiography">
    <w:name w:val="BE_Author_Biography"/>
    <w:basedOn w:val="Standard"/>
    <w:pPr>
      <w:spacing w:line="480" w:lineRule="auto"/>
    </w:pPr>
  </w:style>
  <w:style w:type="paragraph" w:customStyle="1" w:styleId="FACorrespondingAuthorFootnote">
    <w:name w:val="FA_Corresponding_Author_Footnote"/>
    <w:basedOn w:val="Standard"/>
    <w:next w:val="TAMainText"/>
    <w:pPr>
      <w:spacing w:line="480" w:lineRule="auto"/>
    </w:pPr>
  </w:style>
  <w:style w:type="paragraph" w:customStyle="1" w:styleId="SNSynopsisTOC">
    <w:name w:val="SN_Synopsis_TOC"/>
    <w:basedOn w:val="Standard"/>
    <w:pPr>
      <w:spacing w:line="480" w:lineRule="auto"/>
    </w:pPr>
  </w:style>
  <w:style w:type="character" w:styleId="Hyperlink">
    <w:name w:val="Hyperlink"/>
    <w:rPr>
      <w:color w:val="0000FF"/>
      <w:u w:val="single"/>
    </w:rPr>
  </w:style>
  <w:style w:type="paragraph" w:styleId="Fuzeile">
    <w:name w:val="footer"/>
    <w:basedOn w:val="Standard"/>
    <w:pPr>
      <w:tabs>
        <w:tab w:val="center" w:pos="4320"/>
        <w:tab w:val="right" w:pos="8640"/>
      </w:tabs>
    </w:pPr>
  </w:style>
  <w:style w:type="paragraph" w:customStyle="1" w:styleId="BGKeywords">
    <w:name w:val="BG_Keywords"/>
    <w:basedOn w:val="Standard"/>
    <w:pPr>
      <w:spacing w:line="480" w:lineRule="auto"/>
    </w:pPr>
  </w:style>
  <w:style w:type="paragraph" w:customStyle="1" w:styleId="BHBriefs">
    <w:name w:val="BH_Briefs"/>
    <w:basedOn w:val="Standard"/>
    <w:pPr>
      <w:spacing w:line="480" w:lineRule="auto"/>
    </w:pPr>
  </w:style>
  <w:style w:type="character" w:styleId="Seitenzahl">
    <w:name w:val="page number"/>
    <w:basedOn w:val="Absatz-Standardschriftart"/>
  </w:style>
  <w:style w:type="paragraph" w:styleId="Sprechblasentext">
    <w:name w:val="Balloon Text"/>
    <w:basedOn w:val="Standard"/>
    <w:link w:val="SprechblasentextZchn"/>
    <w:uiPriority w:val="99"/>
    <w:semiHidden/>
    <w:rsid w:val="00E96302"/>
    <w:rPr>
      <w:rFonts w:ascii="Tahoma" w:hAnsi="Tahoma" w:cs="Tahoma"/>
      <w:sz w:val="16"/>
      <w:szCs w:val="16"/>
    </w:rPr>
  </w:style>
  <w:style w:type="paragraph" w:customStyle="1" w:styleId="StyleFACorrespondingAuthorFootnote7pt">
    <w:name w:val="Style FA_Corresponding_Author_Footnote + 7 pt"/>
    <w:basedOn w:val="Standard"/>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Standard"/>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character" w:styleId="Platzhaltertext">
    <w:name w:val="Placeholder Text"/>
    <w:basedOn w:val="Absatz-Standardschriftart"/>
    <w:uiPriority w:val="99"/>
    <w:semiHidden/>
    <w:rsid w:val="00275C61"/>
    <w:rPr>
      <w:color w:val="808080"/>
    </w:rPr>
  </w:style>
  <w:style w:type="paragraph" w:styleId="Kopfzeile">
    <w:name w:val="header"/>
    <w:basedOn w:val="Standard"/>
    <w:link w:val="KopfzeileZchn"/>
    <w:unhideWhenUsed/>
    <w:rsid w:val="00C82830"/>
    <w:pPr>
      <w:tabs>
        <w:tab w:val="center" w:pos="4703"/>
        <w:tab w:val="right" w:pos="9406"/>
      </w:tabs>
      <w:spacing w:after="0"/>
    </w:pPr>
  </w:style>
  <w:style w:type="character" w:customStyle="1" w:styleId="KopfzeileZchn">
    <w:name w:val="Kopfzeile Zchn"/>
    <w:basedOn w:val="Absatz-Standardschriftart"/>
    <w:link w:val="Kopfzeile"/>
    <w:rsid w:val="00C82830"/>
    <w:rPr>
      <w:rFonts w:ascii="Times" w:hAnsi="Times"/>
      <w:sz w:val="24"/>
    </w:rPr>
  </w:style>
  <w:style w:type="character" w:styleId="Kommentarzeichen">
    <w:name w:val="annotation reference"/>
    <w:basedOn w:val="Absatz-Standardschriftart"/>
    <w:semiHidden/>
    <w:unhideWhenUsed/>
    <w:rsid w:val="006933D5"/>
    <w:rPr>
      <w:sz w:val="16"/>
      <w:szCs w:val="16"/>
    </w:rPr>
  </w:style>
  <w:style w:type="paragraph" w:styleId="Kommentartext">
    <w:name w:val="annotation text"/>
    <w:basedOn w:val="Standard"/>
    <w:link w:val="KommentartextZchn"/>
    <w:semiHidden/>
    <w:unhideWhenUsed/>
    <w:rsid w:val="006933D5"/>
    <w:rPr>
      <w:sz w:val="20"/>
    </w:rPr>
  </w:style>
  <w:style w:type="character" w:customStyle="1" w:styleId="KommentartextZchn">
    <w:name w:val="Kommentartext Zchn"/>
    <w:basedOn w:val="Absatz-Standardschriftart"/>
    <w:link w:val="Kommentartext"/>
    <w:semiHidden/>
    <w:rsid w:val="006933D5"/>
    <w:rPr>
      <w:rFonts w:ascii="Times" w:hAnsi="Times"/>
    </w:rPr>
  </w:style>
  <w:style w:type="paragraph" w:styleId="Kommentarthema">
    <w:name w:val="annotation subject"/>
    <w:basedOn w:val="Kommentartext"/>
    <w:next w:val="Kommentartext"/>
    <w:link w:val="KommentarthemaZchn"/>
    <w:semiHidden/>
    <w:unhideWhenUsed/>
    <w:rsid w:val="006933D5"/>
    <w:rPr>
      <w:b/>
      <w:bCs/>
    </w:rPr>
  </w:style>
  <w:style w:type="character" w:customStyle="1" w:styleId="KommentarthemaZchn">
    <w:name w:val="Kommentarthema Zchn"/>
    <w:basedOn w:val="KommentartextZchn"/>
    <w:link w:val="Kommentarthema"/>
    <w:semiHidden/>
    <w:rsid w:val="006933D5"/>
    <w:rPr>
      <w:rFonts w:ascii="Times" w:hAnsi="Times"/>
      <w:b/>
      <w:bCs/>
    </w:rPr>
  </w:style>
  <w:style w:type="character" w:customStyle="1" w:styleId="SprechblasentextZchn">
    <w:name w:val="Sprechblasentext Zchn"/>
    <w:basedOn w:val="Absatz-Standardschriftart"/>
    <w:link w:val="Sprechblasentext"/>
    <w:uiPriority w:val="99"/>
    <w:semiHidden/>
    <w:rsid w:val="00887DB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325207">
      <w:bodyDiv w:val="1"/>
      <w:marLeft w:val="0"/>
      <w:marRight w:val="0"/>
      <w:marTop w:val="0"/>
      <w:marBottom w:val="0"/>
      <w:divBdr>
        <w:top w:val="none" w:sz="0" w:space="0" w:color="auto"/>
        <w:left w:val="none" w:sz="0" w:space="0" w:color="auto"/>
        <w:bottom w:val="none" w:sz="0" w:space="0" w:color="auto"/>
        <w:right w:val="none" w:sz="0" w:space="0" w:color="auto"/>
      </w:divBdr>
      <w:divsChild>
        <w:div w:id="4092753">
          <w:marLeft w:val="0"/>
          <w:marRight w:val="0"/>
          <w:marTop w:val="0"/>
          <w:marBottom w:val="0"/>
          <w:divBdr>
            <w:top w:val="none" w:sz="0" w:space="0" w:color="auto"/>
            <w:left w:val="none" w:sz="0" w:space="0" w:color="auto"/>
            <w:bottom w:val="none" w:sz="0" w:space="0" w:color="auto"/>
            <w:right w:val="none" w:sz="0" w:space="0" w:color="auto"/>
          </w:divBdr>
        </w:div>
        <w:div w:id="248388715">
          <w:marLeft w:val="0"/>
          <w:marRight w:val="0"/>
          <w:marTop w:val="0"/>
          <w:marBottom w:val="0"/>
          <w:divBdr>
            <w:top w:val="none" w:sz="0" w:space="0" w:color="auto"/>
            <w:left w:val="none" w:sz="0" w:space="0" w:color="auto"/>
            <w:bottom w:val="none" w:sz="0" w:space="0" w:color="auto"/>
            <w:right w:val="none" w:sz="0" w:space="0" w:color="auto"/>
          </w:divBdr>
        </w:div>
        <w:div w:id="315650946">
          <w:marLeft w:val="0"/>
          <w:marRight w:val="0"/>
          <w:marTop w:val="0"/>
          <w:marBottom w:val="0"/>
          <w:divBdr>
            <w:top w:val="none" w:sz="0" w:space="0" w:color="auto"/>
            <w:left w:val="none" w:sz="0" w:space="0" w:color="auto"/>
            <w:bottom w:val="none" w:sz="0" w:space="0" w:color="auto"/>
            <w:right w:val="none" w:sz="0" w:space="0" w:color="auto"/>
          </w:divBdr>
        </w:div>
        <w:div w:id="330062059">
          <w:marLeft w:val="0"/>
          <w:marRight w:val="0"/>
          <w:marTop w:val="0"/>
          <w:marBottom w:val="0"/>
          <w:divBdr>
            <w:top w:val="none" w:sz="0" w:space="0" w:color="auto"/>
            <w:left w:val="none" w:sz="0" w:space="0" w:color="auto"/>
            <w:bottom w:val="none" w:sz="0" w:space="0" w:color="auto"/>
            <w:right w:val="none" w:sz="0" w:space="0" w:color="auto"/>
          </w:divBdr>
        </w:div>
        <w:div w:id="459155623">
          <w:marLeft w:val="0"/>
          <w:marRight w:val="0"/>
          <w:marTop w:val="0"/>
          <w:marBottom w:val="0"/>
          <w:divBdr>
            <w:top w:val="none" w:sz="0" w:space="0" w:color="auto"/>
            <w:left w:val="none" w:sz="0" w:space="0" w:color="auto"/>
            <w:bottom w:val="none" w:sz="0" w:space="0" w:color="auto"/>
            <w:right w:val="none" w:sz="0" w:space="0" w:color="auto"/>
          </w:divBdr>
        </w:div>
        <w:div w:id="544291905">
          <w:marLeft w:val="0"/>
          <w:marRight w:val="0"/>
          <w:marTop w:val="0"/>
          <w:marBottom w:val="0"/>
          <w:divBdr>
            <w:top w:val="none" w:sz="0" w:space="0" w:color="auto"/>
            <w:left w:val="none" w:sz="0" w:space="0" w:color="auto"/>
            <w:bottom w:val="none" w:sz="0" w:space="0" w:color="auto"/>
            <w:right w:val="none" w:sz="0" w:space="0" w:color="auto"/>
          </w:divBdr>
        </w:div>
        <w:div w:id="582571864">
          <w:marLeft w:val="0"/>
          <w:marRight w:val="0"/>
          <w:marTop w:val="0"/>
          <w:marBottom w:val="0"/>
          <w:divBdr>
            <w:top w:val="none" w:sz="0" w:space="0" w:color="auto"/>
            <w:left w:val="none" w:sz="0" w:space="0" w:color="auto"/>
            <w:bottom w:val="none" w:sz="0" w:space="0" w:color="auto"/>
            <w:right w:val="none" w:sz="0" w:space="0" w:color="auto"/>
          </w:divBdr>
        </w:div>
        <w:div w:id="610938982">
          <w:marLeft w:val="0"/>
          <w:marRight w:val="0"/>
          <w:marTop w:val="0"/>
          <w:marBottom w:val="0"/>
          <w:divBdr>
            <w:top w:val="none" w:sz="0" w:space="0" w:color="auto"/>
            <w:left w:val="none" w:sz="0" w:space="0" w:color="auto"/>
            <w:bottom w:val="none" w:sz="0" w:space="0" w:color="auto"/>
            <w:right w:val="none" w:sz="0" w:space="0" w:color="auto"/>
          </w:divBdr>
        </w:div>
        <w:div w:id="700131149">
          <w:marLeft w:val="0"/>
          <w:marRight w:val="0"/>
          <w:marTop w:val="0"/>
          <w:marBottom w:val="0"/>
          <w:divBdr>
            <w:top w:val="none" w:sz="0" w:space="0" w:color="auto"/>
            <w:left w:val="none" w:sz="0" w:space="0" w:color="auto"/>
            <w:bottom w:val="none" w:sz="0" w:space="0" w:color="auto"/>
            <w:right w:val="none" w:sz="0" w:space="0" w:color="auto"/>
          </w:divBdr>
        </w:div>
        <w:div w:id="834299913">
          <w:marLeft w:val="0"/>
          <w:marRight w:val="0"/>
          <w:marTop w:val="0"/>
          <w:marBottom w:val="0"/>
          <w:divBdr>
            <w:top w:val="none" w:sz="0" w:space="0" w:color="auto"/>
            <w:left w:val="none" w:sz="0" w:space="0" w:color="auto"/>
            <w:bottom w:val="none" w:sz="0" w:space="0" w:color="auto"/>
            <w:right w:val="none" w:sz="0" w:space="0" w:color="auto"/>
          </w:divBdr>
        </w:div>
        <w:div w:id="911544392">
          <w:marLeft w:val="0"/>
          <w:marRight w:val="0"/>
          <w:marTop w:val="0"/>
          <w:marBottom w:val="0"/>
          <w:divBdr>
            <w:top w:val="none" w:sz="0" w:space="0" w:color="auto"/>
            <w:left w:val="none" w:sz="0" w:space="0" w:color="auto"/>
            <w:bottom w:val="none" w:sz="0" w:space="0" w:color="auto"/>
            <w:right w:val="none" w:sz="0" w:space="0" w:color="auto"/>
          </w:divBdr>
        </w:div>
        <w:div w:id="1008827030">
          <w:marLeft w:val="0"/>
          <w:marRight w:val="0"/>
          <w:marTop w:val="0"/>
          <w:marBottom w:val="0"/>
          <w:divBdr>
            <w:top w:val="none" w:sz="0" w:space="0" w:color="auto"/>
            <w:left w:val="none" w:sz="0" w:space="0" w:color="auto"/>
            <w:bottom w:val="none" w:sz="0" w:space="0" w:color="auto"/>
            <w:right w:val="none" w:sz="0" w:space="0" w:color="auto"/>
          </w:divBdr>
        </w:div>
        <w:div w:id="1095831873">
          <w:marLeft w:val="0"/>
          <w:marRight w:val="0"/>
          <w:marTop w:val="0"/>
          <w:marBottom w:val="0"/>
          <w:divBdr>
            <w:top w:val="none" w:sz="0" w:space="0" w:color="auto"/>
            <w:left w:val="none" w:sz="0" w:space="0" w:color="auto"/>
            <w:bottom w:val="none" w:sz="0" w:space="0" w:color="auto"/>
            <w:right w:val="none" w:sz="0" w:space="0" w:color="auto"/>
          </w:divBdr>
        </w:div>
        <w:div w:id="1221482543">
          <w:marLeft w:val="0"/>
          <w:marRight w:val="0"/>
          <w:marTop w:val="0"/>
          <w:marBottom w:val="0"/>
          <w:divBdr>
            <w:top w:val="none" w:sz="0" w:space="0" w:color="auto"/>
            <w:left w:val="none" w:sz="0" w:space="0" w:color="auto"/>
            <w:bottom w:val="none" w:sz="0" w:space="0" w:color="auto"/>
            <w:right w:val="none" w:sz="0" w:space="0" w:color="auto"/>
          </w:divBdr>
        </w:div>
        <w:div w:id="1272128607">
          <w:marLeft w:val="0"/>
          <w:marRight w:val="0"/>
          <w:marTop w:val="0"/>
          <w:marBottom w:val="0"/>
          <w:divBdr>
            <w:top w:val="none" w:sz="0" w:space="0" w:color="auto"/>
            <w:left w:val="none" w:sz="0" w:space="0" w:color="auto"/>
            <w:bottom w:val="none" w:sz="0" w:space="0" w:color="auto"/>
            <w:right w:val="none" w:sz="0" w:space="0" w:color="auto"/>
          </w:divBdr>
        </w:div>
        <w:div w:id="1321080431">
          <w:marLeft w:val="0"/>
          <w:marRight w:val="0"/>
          <w:marTop w:val="0"/>
          <w:marBottom w:val="0"/>
          <w:divBdr>
            <w:top w:val="none" w:sz="0" w:space="0" w:color="auto"/>
            <w:left w:val="none" w:sz="0" w:space="0" w:color="auto"/>
            <w:bottom w:val="none" w:sz="0" w:space="0" w:color="auto"/>
            <w:right w:val="none" w:sz="0" w:space="0" w:color="auto"/>
          </w:divBdr>
        </w:div>
        <w:div w:id="1326742456">
          <w:marLeft w:val="0"/>
          <w:marRight w:val="0"/>
          <w:marTop w:val="0"/>
          <w:marBottom w:val="0"/>
          <w:divBdr>
            <w:top w:val="none" w:sz="0" w:space="0" w:color="auto"/>
            <w:left w:val="none" w:sz="0" w:space="0" w:color="auto"/>
            <w:bottom w:val="none" w:sz="0" w:space="0" w:color="auto"/>
            <w:right w:val="none" w:sz="0" w:space="0" w:color="auto"/>
          </w:divBdr>
        </w:div>
        <w:div w:id="1349404036">
          <w:marLeft w:val="0"/>
          <w:marRight w:val="0"/>
          <w:marTop w:val="0"/>
          <w:marBottom w:val="0"/>
          <w:divBdr>
            <w:top w:val="none" w:sz="0" w:space="0" w:color="auto"/>
            <w:left w:val="none" w:sz="0" w:space="0" w:color="auto"/>
            <w:bottom w:val="none" w:sz="0" w:space="0" w:color="auto"/>
            <w:right w:val="none" w:sz="0" w:space="0" w:color="auto"/>
          </w:divBdr>
        </w:div>
        <w:div w:id="1354765792">
          <w:marLeft w:val="0"/>
          <w:marRight w:val="0"/>
          <w:marTop w:val="0"/>
          <w:marBottom w:val="0"/>
          <w:divBdr>
            <w:top w:val="none" w:sz="0" w:space="0" w:color="auto"/>
            <w:left w:val="none" w:sz="0" w:space="0" w:color="auto"/>
            <w:bottom w:val="none" w:sz="0" w:space="0" w:color="auto"/>
            <w:right w:val="none" w:sz="0" w:space="0" w:color="auto"/>
          </w:divBdr>
        </w:div>
        <w:div w:id="1358123047">
          <w:marLeft w:val="0"/>
          <w:marRight w:val="0"/>
          <w:marTop w:val="0"/>
          <w:marBottom w:val="0"/>
          <w:divBdr>
            <w:top w:val="none" w:sz="0" w:space="0" w:color="auto"/>
            <w:left w:val="none" w:sz="0" w:space="0" w:color="auto"/>
            <w:bottom w:val="none" w:sz="0" w:space="0" w:color="auto"/>
            <w:right w:val="none" w:sz="0" w:space="0" w:color="auto"/>
          </w:divBdr>
        </w:div>
        <w:div w:id="1461217875">
          <w:marLeft w:val="0"/>
          <w:marRight w:val="0"/>
          <w:marTop w:val="0"/>
          <w:marBottom w:val="0"/>
          <w:divBdr>
            <w:top w:val="none" w:sz="0" w:space="0" w:color="auto"/>
            <w:left w:val="none" w:sz="0" w:space="0" w:color="auto"/>
            <w:bottom w:val="none" w:sz="0" w:space="0" w:color="auto"/>
            <w:right w:val="none" w:sz="0" w:space="0" w:color="auto"/>
          </w:divBdr>
        </w:div>
        <w:div w:id="1564638872">
          <w:marLeft w:val="0"/>
          <w:marRight w:val="0"/>
          <w:marTop w:val="0"/>
          <w:marBottom w:val="0"/>
          <w:divBdr>
            <w:top w:val="none" w:sz="0" w:space="0" w:color="auto"/>
            <w:left w:val="none" w:sz="0" w:space="0" w:color="auto"/>
            <w:bottom w:val="none" w:sz="0" w:space="0" w:color="auto"/>
            <w:right w:val="none" w:sz="0" w:space="0" w:color="auto"/>
          </w:divBdr>
        </w:div>
        <w:div w:id="1642616573">
          <w:marLeft w:val="0"/>
          <w:marRight w:val="0"/>
          <w:marTop w:val="0"/>
          <w:marBottom w:val="0"/>
          <w:divBdr>
            <w:top w:val="none" w:sz="0" w:space="0" w:color="auto"/>
            <w:left w:val="none" w:sz="0" w:space="0" w:color="auto"/>
            <w:bottom w:val="none" w:sz="0" w:space="0" w:color="auto"/>
            <w:right w:val="none" w:sz="0" w:space="0" w:color="auto"/>
          </w:divBdr>
        </w:div>
        <w:div w:id="1733500293">
          <w:marLeft w:val="0"/>
          <w:marRight w:val="0"/>
          <w:marTop w:val="0"/>
          <w:marBottom w:val="0"/>
          <w:divBdr>
            <w:top w:val="none" w:sz="0" w:space="0" w:color="auto"/>
            <w:left w:val="none" w:sz="0" w:space="0" w:color="auto"/>
            <w:bottom w:val="none" w:sz="0" w:space="0" w:color="auto"/>
            <w:right w:val="none" w:sz="0" w:space="0" w:color="auto"/>
          </w:divBdr>
        </w:div>
        <w:div w:id="1802724318">
          <w:marLeft w:val="0"/>
          <w:marRight w:val="0"/>
          <w:marTop w:val="0"/>
          <w:marBottom w:val="0"/>
          <w:divBdr>
            <w:top w:val="none" w:sz="0" w:space="0" w:color="auto"/>
            <w:left w:val="none" w:sz="0" w:space="0" w:color="auto"/>
            <w:bottom w:val="none" w:sz="0" w:space="0" w:color="auto"/>
            <w:right w:val="none" w:sz="0" w:space="0" w:color="auto"/>
          </w:divBdr>
        </w:div>
        <w:div w:id="1838227151">
          <w:marLeft w:val="0"/>
          <w:marRight w:val="0"/>
          <w:marTop w:val="0"/>
          <w:marBottom w:val="0"/>
          <w:divBdr>
            <w:top w:val="none" w:sz="0" w:space="0" w:color="auto"/>
            <w:left w:val="none" w:sz="0" w:space="0" w:color="auto"/>
            <w:bottom w:val="none" w:sz="0" w:space="0" w:color="auto"/>
            <w:right w:val="none" w:sz="0" w:space="0" w:color="auto"/>
          </w:divBdr>
        </w:div>
        <w:div w:id="1990018901">
          <w:marLeft w:val="0"/>
          <w:marRight w:val="0"/>
          <w:marTop w:val="0"/>
          <w:marBottom w:val="0"/>
          <w:divBdr>
            <w:top w:val="none" w:sz="0" w:space="0" w:color="auto"/>
            <w:left w:val="none" w:sz="0" w:space="0" w:color="auto"/>
            <w:bottom w:val="none" w:sz="0" w:space="0" w:color="auto"/>
            <w:right w:val="none" w:sz="0" w:space="0" w:color="auto"/>
          </w:divBdr>
        </w:div>
        <w:div w:id="2053190071">
          <w:marLeft w:val="0"/>
          <w:marRight w:val="0"/>
          <w:marTop w:val="0"/>
          <w:marBottom w:val="0"/>
          <w:divBdr>
            <w:top w:val="none" w:sz="0" w:space="0" w:color="auto"/>
            <w:left w:val="none" w:sz="0" w:space="0" w:color="auto"/>
            <w:bottom w:val="none" w:sz="0" w:space="0" w:color="auto"/>
            <w:right w:val="none" w:sz="0" w:space="0" w:color="auto"/>
          </w:divBdr>
        </w:div>
      </w:divsChild>
    </w:div>
    <w:div w:id="632293166">
      <w:bodyDiv w:val="1"/>
      <w:marLeft w:val="0"/>
      <w:marRight w:val="0"/>
      <w:marTop w:val="0"/>
      <w:marBottom w:val="0"/>
      <w:divBdr>
        <w:top w:val="none" w:sz="0" w:space="0" w:color="auto"/>
        <w:left w:val="none" w:sz="0" w:space="0" w:color="auto"/>
        <w:bottom w:val="none" w:sz="0" w:space="0" w:color="auto"/>
        <w:right w:val="none" w:sz="0" w:space="0" w:color="auto"/>
      </w:divBdr>
    </w:div>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 w:id="2042975061">
      <w:bodyDiv w:val="1"/>
      <w:marLeft w:val="0"/>
      <w:marRight w:val="0"/>
      <w:marTop w:val="0"/>
      <w:marBottom w:val="0"/>
      <w:divBdr>
        <w:top w:val="none" w:sz="0" w:space="0" w:color="auto"/>
        <w:left w:val="none" w:sz="0" w:space="0" w:color="auto"/>
        <w:bottom w:val="none" w:sz="0" w:space="0" w:color="auto"/>
        <w:right w:val="none" w:sz="0" w:space="0" w:color="auto"/>
      </w:divBdr>
      <w:divsChild>
        <w:div w:id="422533576">
          <w:marLeft w:val="0"/>
          <w:marRight w:val="0"/>
          <w:marTop w:val="0"/>
          <w:marBottom w:val="0"/>
          <w:divBdr>
            <w:top w:val="none" w:sz="0" w:space="0" w:color="auto"/>
            <w:left w:val="none" w:sz="0" w:space="0" w:color="auto"/>
            <w:bottom w:val="none" w:sz="0" w:space="0" w:color="auto"/>
            <w:right w:val="none" w:sz="0" w:space="0" w:color="auto"/>
          </w:divBdr>
        </w:div>
        <w:div w:id="734594349">
          <w:marLeft w:val="0"/>
          <w:marRight w:val="0"/>
          <w:marTop w:val="0"/>
          <w:marBottom w:val="0"/>
          <w:divBdr>
            <w:top w:val="none" w:sz="0" w:space="0" w:color="auto"/>
            <w:left w:val="none" w:sz="0" w:space="0" w:color="auto"/>
            <w:bottom w:val="none" w:sz="0" w:space="0" w:color="auto"/>
            <w:right w:val="none" w:sz="0" w:space="0" w:color="auto"/>
          </w:divBdr>
        </w:div>
        <w:div w:id="10889665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AppData\Local\Temp\acstemplate_msw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acstemplate_msw2010.dotx</Template>
  <TotalTime>0</TotalTime>
  <Pages>6</Pages>
  <Words>1284</Words>
  <Characters>8095</Characters>
  <Application>Microsoft Office Word</Application>
  <DocSecurity>0</DocSecurity>
  <Lines>67</Lines>
  <Paragraphs>18</Paragraphs>
  <ScaleCrop>false</ScaleCrop>
  <HeadingPairs>
    <vt:vector size="6" baseType="variant">
      <vt:variant>
        <vt:lpstr>Titel</vt:lpstr>
      </vt:variant>
      <vt:variant>
        <vt:i4>1</vt:i4>
      </vt:variant>
      <vt:variant>
        <vt:lpstr>Название</vt:lpstr>
      </vt:variant>
      <vt:variant>
        <vt:i4>1</vt:i4>
      </vt:variant>
      <vt:variant>
        <vt:lpstr>Title</vt:lpstr>
      </vt:variant>
      <vt:variant>
        <vt:i4>1</vt:i4>
      </vt:variant>
    </vt:vector>
  </HeadingPairs>
  <TitlesOfParts>
    <vt:vector size="3" baseType="lpstr">
      <vt:lpstr>Template for Electronic Submission to ACS Journals</vt:lpstr>
      <vt:lpstr>Template for Electronic Submission to ACS Journals</vt:lpstr>
      <vt:lpstr>Template for Electronic Submission to ACS Journals</vt:lpstr>
    </vt:vector>
  </TitlesOfParts>
  <Company>ACS</Company>
  <LinksUpToDate>false</LinksUpToDate>
  <CharactersWithSpaces>9361</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Martin Silies</dc:creator>
  <cp:keywords/>
  <dc:description/>
  <cp:lastModifiedBy>Martin Silies</cp:lastModifiedBy>
  <cp:revision>2</cp:revision>
  <cp:lastPrinted>2019-09-20T15:11:00Z</cp:lastPrinted>
  <dcterms:created xsi:type="dcterms:W3CDTF">2019-10-31T20:05:00Z</dcterms:created>
  <dcterms:modified xsi:type="dcterms:W3CDTF">2019-10-31T20:05:00Z</dcterms:modified>
</cp:coreProperties>
</file>