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89563" w14:textId="75E4EFE5" w:rsidR="002E22DA" w:rsidRPr="002E22DA" w:rsidRDefault="002E22DA" w:rsidP="002E22DA">
      <w:pPr>
        <w:pStyle w:val="Paragraph"/>
        <w:spacing w:before="0"/>
        <w:ind w:firstLine="0"/>
        <w:rPr>
          <w:b/>
          <w:sz w:val="40"/>
          <w:szCs w:val="40"/>
        </w:rPr>
      </w:pPr>
      <w:r w:rsidRPr="002E22DA">
        <w:rPr>
          <w:b/>
          <w:sz w:val="40"/>
          <w:szCs w:val="40"/>
        </w:rPr>
        <w:t>Supplementary Materials</w:t>
      </w:r>
    </w:p>
    <w:p w14:paraId="4A57C9E9" w14:textId="77777777" w:rsidR="002E22DA" w:rsidRDefault="002E22DA" w:rsidP="002E22DA">
      <w:pPr>
        <w:pStyle w:val="Paragraph"/>
        <w:spacing w:before="0"/>
        <w:ind w:firstLine="0"/>
        <w:rPr>
          <w:b/>
        </w:rPr>
      </w:pPr>
    </w:p>
    <w:p w14:paraId="24E9CC68" w14:textId="77777777" w:rsidR="002E22DA" w:rsidRDefault="002E22DA" w:rsidP="00181CD4">
      <w:pPr>
        <w:pStyle w:val="Heading1"/>
      </w:pPr>
      <w:r>
        <w:t>Supplementary Figures</w:t>
      </w:r>
    </w:p>
    <w:p w14:paraId="385386AD" w14:textId="77777777" w:rsidR="002E22DA" w:rsidRDefault="002E22DA" w:rsidP="002E22DA">
      <w:pPr>
        <w:pStyle w:val="SOMHead"/>
        <w:spacing w:before="0"/>
      </w:pPr>
    </w:p>
    <w:p w14:paraId="77626CF7" w14:textId="77777777" w:rsidR="002E22DA" w:rsidRDefault="002E22DA" w:rsidP="002E22DA">
      <w:pPr>
        <w:jc w:val="center"/>
      </w:pPr>
      <w:r>
        <w:rPr>
          <w:noProof/>
          <w:lang w:bidi="he-IL"/>
        </w:rPr>
        <w:drawing>
          <wp:inline distT="0" distB="0" distL="0" distR="0" wp14:anchorId="5A9993E1" wp14:editId="50CAF581">
            <wp:extent cx="5560637" cy="261937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emax_dis_vig - fig3.tif"/>
                    <pic:cNvPicPr/>
                  </pic:nvPicPr>
                  <pic:blipFill rotWithShape="1">
                    <a:blip r:embed="rId6" cstate="print">
                      <a:extLst>
                        <a:ext uri="{28A0092B-C50C-407E-A947-70E740481C1C}">
                          <a14:useLocalDpi xmlns:a14="http://schemas.microsoft.com/office/drawing/2010/main" val="0"/>
                        </a:ext>
                      </a:extLst>
                    </a:blip>
                    <a:srcRect l="6694" t="4531" r="5495"/>
                    <a:stretch/>
                  </pic:blipFill>
                  <pic:spPr bwMode="auto">
                    <a:xfrm>
                      <a:off x="0" y="0"/>
                      <a:ext cx="5631555" cy="2652782"/>
                    </a:xfrm>
                    <a:prstGeom prst="rect">
                      <a:avLst/>
                    </a:prstGeom>
                    <a:ln>
                      <a:noFill/>
                    </a:ln>
                    <a:extLst>
                      <a:ext uri="{53640926-AAD7-44D8-BBD7-CCE9431645EC}">
                        <a14:shadowObscured xmlns:a14="http://schemas.microsoft.com/office/drawing/2010/main"/>
                      </a:ext>
                    </a:extLst>
                  </pic:spPr>
                </pic:pic>
              </a:graphicData>
            </a:graphic>
          </wp:inline>
        </w:drawing>
      </w:r>
    </w:p>
    <w:p w14:paraId="15FB42EF" w14:textId="24045E53" w:rsidR="002E22DA" w:rsidRPr="008E3B83" w:rsidRDefault="002E22DA" w:rsidP="002E22DA">
      <w:pPr>
        <w:pStyle w:val="Acknowledgement"/>
        <w:spacing w:before="0"/>
        <w:ind w:left="1440"/>
        <w:rPr>
          <w:sz w:val="20"/>
          <w:szCs w:val="20"/>
        </w:rPr>
      </w:pPr>
      <w:r w:rsidRPr="008E3B83">
        <w:rPr>
          <w:b/>
          <w:sz w:val="20"/>
          <w:szCs w:val="20"/>
        </w:rPr>
        <w:t>Fig. S1. Distortion and illumination.</w:t>
      </w:r>
      <w:r w:rsidRPr="008E3B83">
        <w:rPr>
          <w:sz w:val="20"/>
          <w:szCs w:val="20"/>
        </w:rPr>
        <w:t xml:space="preserve"> </w:t>
      </w:r>
      <w:proofErr w:type="spellStart"/>
      <w:r w:rsidR="00307065" w:rsidRPr="008E3B83">
        <w:rPr>
          <w:sz w:val="20"/>
          <w:szCs w:val="20"/>
        </w:rPr>
        <w:t>Zemax</w:t>
      </w:r>
      <w:proofErr w:type="spellEnd"/>
      <w:r w:rsidR="00307065" w:rsidRPr="008E3B83">
        <w:rPr>
          <w:sz w:val="20"/>
          <w:szCs w:val="20"/>
        </w:rPr>
        <w:t xml:space="preserve"> simulation results for </w:t>
      </w:r>
      <w:r w:rsidRPr="008E3B83">
        <w:rPr>
          <w:sz w:val="20"/>
          <w:szCs w:val="20"/>
        </w:rPr>
        <w:t>(a) Percent distortion as a function of field angle. (b) Relative illumination as a</w:t>
      </w:r>
      <w:r w:rsidR="0057330B" w:rsidRPr="008E3B83">
        <w:rPr>
          <w:sz w:val="20"/>
          <w:szCs w:val="20"/>
        </w:rPr>
        <w:t xml:space="preserve"> function of field angle, for </w:t>
      </w:r>
      <w:r w:rsidRPr="008E3B83">
        <w:rPr>
          <w:sz w:val="20"/>
          <w:szCs w:val="20"/>
        </w:rPr>
        <w:t>metalens of 2mm diameter.</w:t>
      </w:r>
    </w:p>
    <w:p w14:paraId="0F66167E" w14:textId="77777777" w:rsidR="0057330B" w:rsidRDefault="0057330B" w:rsidP="002E22DA">
      <w:pPr>
        <w:pStyle w:val="Acknowledgement"/>
        <w:spacing w:before="0"/>
        <w:ind w:left="1440"/>
      </w:pPr>
    </w:p>
    <w:p w14:paraId="63438065" w14:textId="77777777" w:rsidR="002E22DA" w:rsidRDefault="002E22DA" w:rsidP="002E22DA">
      <w:pPr>
        <w:pStyle w:val="Acknowledgement"/>
        <w:spacing w:before="0"/>
        <w:ind w:left="1440"/>
      </w:pPr>
    </w:p>
    <w:p w14:paraId="2FA19E06" w14:textId="77777777" w:rsidR="002E22DA" w:rsidRPr="008C2867" w:rsidRDefault="002E22DA" w:rsidP="002E22DA">
      <w:pPr>
        <w:pStyle w:val="TAMainText"/>
        <w:spacing w:after="240"/>
        <w:ind w:firstLine="0"/>
        <w:jc w:val="left"/>
        <w:rPr>
          <w:lang w:val="en-GB"/>
        </w:rPr>
      </w:pPr>
      <w:r>
        <w:rPr>
          <w:noProof/>
          <w:lang w:bidi="he-IL"/>
        </w:rPr>
        <w:drawing>
          <wp:inline distT="0" distB="0" distL="0" distR="0" wp14:anchorId="15393CBE" wp14:editId="4FDC078F">
            <wp:extent cx="5943600" cy="19227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TF setup.tif"/>
                    <pic:cNvPicPr/>
                  </pic:nvPicPr>
                  <pic:blipFill>
                    <a:blip r:embed="rId7">
                      <a:extLst>
                        <a:ext uri="{28A0092B-C50C-407E-A947-70E740481C1C}">
                          <a14:useLocalDpi xmlns:a14="http://schemas.microsoft.com/office/drawing/2010/main" val="0"/>
                        </a:ext>
                      </a:extLst>
                    </a:blip>
                    <a:stretch>
                      <a:fillRect/>
                    </a:stretch>
                  </pic:blipFill>
                  <pic:spPr>
                    <a:xfrm>
                      <a:off x="0" y="0"/>
                      <a:ext cx="5943600" cy="1922780"/>
                    </a:xfrm>
                    <a:prstGeom prst="rect">
                      <a:avLst/>
                    </a:prstGeom>
                  </pic:spPr>
                </pic:pic>
              </a:graphicData>
            </a:graphic>
          </wp:inline>
        </w:drawing>
      </w:r>
    </w:p>
    <w:p w14:paraId="66382544" w14:textId="77777777" w:rsidR="002E22DA" w:rsidRPr="008E3B83" w:rsidRDefault="002E22DA" w:rsidP="002E22DA">
      <w:pPr>
        <w:pStyle w:val="VAFigureCaption"/>
        <w:jc w:val="center"/>
        <w:rPr>
          <w:sz w:val="20"/>
        </w:rPr>
      </w:pPr>
      <w:bookmarkStart w:id="0" w:name="_Ref520383800"/>
      <w:r w:rsidRPr="008E3B83">
        <w:rPr>
          <w:b/>
          <w:bCs/>
          <w:sz w:val="20"/>
        </w:rPr>
        <w:t xml:space="preserve">Fig. </w:t>
      </w:r>
      <w:bookmarkEnd w:id="0"/>
      <w:r w:rsidRPr="008E3B83">
        <w:rPr>
          <w:b/>
          <w:bCs/>
          <w:sz w:val="20"/>
        </w:rPr>
        <w:t>S2.</w:t>
      </w:r>
      <w:r w:rsidRPr="008E3B83">
        <w:rPr>
          <w:sz w:val="20"/>
        </w:rPr>
        <w:t xml:space="preserve"> MTF measurement setup</w:t>
      </w:r>
    </w:p>
    <w:p w14:paraId="12FAA0C9" w14:textId="77777777" w:rsidR="002E22DA" w:rsidRDefault="002E22DA" w:rsidP="002E22DA">
      <w:pPr>
        <w:pStyle w:val="TAMainText"/>
        <w:spacing w:after="240"/>
        <w:ind w:firstLine="0"/>
        <w:jc w:val="center"/>
        <w:rPr>
          <w:b/>
          <w:bCs/>
        </w:rPr>
      </w:pPr>
      <w:r>
        <w:rPr>
          <w:b/>
          <w:bCs/>
          <w:noProof/>
          <w:lang w:bidi="he-IL"/>
        </w:rPr>
        <w:lastRenderedPageBreak/>
        <w:drawing>
          <wp:inline distT="0" distB="0" distL="0" distR="0" wp14:anchorId="471ADE2D" wp14:editId="6CCA4D65">
            <wp:extent cx="5702300" cy="3006501"/>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fficiency setu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2082" cy="3064383"/>
                    </a:xfrm>
                    <a:prstGeom prst="rect">
                      <a:avLst/>
                    </a:prstGeom>
                  </pic:spPr>
                </pic:pic>
              </a:graphicData>
            </a:graphic>
          </wp:inline>
        </w:drawing>
      </w:r>
    </w:p>
    <w:p w14:paraId="7510A414" w14:textId="5FF2C8A5" w:rsidR="00690F5D" w:rsidRPr="008E3B83" w:rsidRDefault="002E22DA" w:rsidP="00690F5D">
      <w:pPr>
        <w:pStyle w:val="VAFigureCaption"/>
        <w:jc w:val="center"/>
        <w:rPr>
          <w:sz w:val="20"/>
        </w:rPr>
      </w:pPr>
      <w:bookmarkStart w:id="1" w:name="_Ref520633515"/>
      <w:r w:rsidRPr="008E3B83">
        <w:rPr>
          <w:b/>
          <w:bCs/>
          <w:sz w:val="20"/>
        </w:rPr>
        <w:t>Fig</w:t>
      </w:r>
      <w:bookmarkEnd w:id="1"/>
      <w:r w:rsidRPr="008E3B83">
        <w:rPr>
          <w:b/>
          <w:bCs/>
          <w:sz w:val="20"/>
        </w:rPr>
        <w:t xml:space="preserve">. S3 </w:t>
      </w:r>
      <w:r w:rsidRPr="008E3B83">
        <w:rPr>
          <w:sz w:val="20"/>
        </w:rPr>
        <w:t>Diffraction efficiency measurement using MTF setup</w:t>
      </w:r>
    </w:p>
    <w:p w14:paraId="241DBFAC" w14:textId="77777777" w:rsidR="002E22DA" w:rsidRDefault="002E22DA" w:rsidP="002E22DA">
      <w:pPr>
        <w:pStyle w:val="Heading1"/>
        <w:rPr>
          <w:rFonts w:eastAsia="Times New Roman"/>
        </w:rPr>
      </w:pPr>
      <w:r w:rsidRPr="00C37CE9">
        <w:rPr>
          <w:rFonts w:eastAsia="Times New Roman"/>
        </w:rPr>
        <w:t>Choosing the lattice period</w:t>
      </w:r>
    </w:p>
    <w:p w14:paraId="244EF218" w14:textId="77777777" w:rsidR="002E22DA" w:rsidRPr="00F563BE" w:rsidRDefault="002E22DA" w:rsidP="002E22DA">
      <w:pPr>
        <w:spacing w:after="100" w:afterAutospacing="1"/>
        <w:ind w:left="720"/>
        <w:jc w:val="both"/>
        <w:rPr>
          <w:rFonts w:eastAsia="Times New Roman"/>
          <w:sz w:val="24"/>
          <w:szCs w:val="24"/>
        </w:rPr>
      </w:pPr>
      <w:r w:rsidRPr="00F563BE">
        <w:rPr>
          <w:rFonts w:eastAsia="Times New Roman"/>
          <w:sz w:val="24"/>
          <w:szCs w:val="24"/>
        </w:rPr>
        <w:t xml:space="preserve">There are two primary factors limiting the maximum lattice period that can be used in a metasurface: </w:t>
      </w:r>
    </w:p>
    <w:p w14:paraId="03AA3693" w14:textId="600AC2CB" w:rsidR="002E22DA" w:rsidRPr="00F563BE" w:rsidRDefault="002E22DA" w:rsidP="002E22DA">
      <w:pPr>
        <w:spacing w:after="100" w:afterAutospacing="1"/>
        <w:ind w:left="720"/>
        <w:jc w:val="both"/>
        <w:rPr>
          <w:rFonts w:eastAsia="Times New Roman"/>
          <w:sz w:val="24"/>
          <w:szCs w:val="24"/>
        </w:rPr>
      </w:pPr>
      <w:r w:rsidRPr="00F563BE">
        <w:rPr>
          <w:rFonts w:eastAsia="Times New Roman"/>
          <w:sz w:val="24"/>
          <w:szCs w:val="24"/>
        </w:rPr>
        <w:t xml:space="preserve"> (a) </w:t>
      </w:r>
      <w:r w:rsidRPr="00A0267A">
        <w:rPr>
          <w:rFonts w:eastAsia="Times New Roman"/>
          <w:sz w:val="24"/>
          <w:szCs w:val="24"/>
        </w:rPr>
        <w:t>The period must be sufficiently small so that only the zero diffraction order will exist</w:t>
      </w:r>
      <w:r w:rsidR="00571114">
        <w:rPr>
          <w:rFonts w:eastAsia="Times New Roman"/>
          <w:sz w:val="24"/>
          <w:szCs w:val="24"/>
        </w:rPr>
        <w:fldChar w:fldCharType="begin" w:fldLock="1"/>
      </w:r>
      <w:r w:rsidR="00571114">
        <w:rPr>
          <w:rFonts w:eastAsia="Times New Roman"/>
          <w:sz w:val="24"/>
          <w:szCs w:val="24"/>
        </w:rPr>
        <w:instrText>ADDIN CSL_CITATION {"citationItems":[{"id":"ITEM-1","itemData":{"DOI":"10.1038/ncomms13682","ISBN":"2041-1723 (Electronic) 2041-1723 (Linking)","ISSN":"2041-1723","PMID":"27892454","author":[{"dropping-particle":"","family":"Arbabi","given":"Amir","non-dropping-particle":"","parse-names":false,"suffix":""},{"dropping-particle":"","family":"Arbabi","given":"Ehsan","non-dropping-particle":"","parse-names":false,"suffix":""},{"dropping-particle":"","family":"Kamali","given":"Seyedeh Mahsa","non-dropping-particle":"","parse-names":false,"suffix":""},{"dropping-particle":"","family":"Horie","given":"Yu","non-dropping-particle":"","parse-names":false,"suffix":""},{"dropping-particle":"","family":"Han","given":"Seunghoon","non-dropping-particle":"","parse-names":false,"suffix":""},{"dropping-particle":"","family":"Faraon","given":"Andrei","non-dropping-particle":"","parse-names":false,"suffix":""}],"container-title":"Nature Communications","id":"ITEM-1","issued":{"date-parts":[["2016","11","28"]]},"page":"13682","publisher":"Nature Publishing Group","title":"Miniature optical planar camera based on a wide-angle metasurface doublet corrected for monochromatic aberrations","type":"article-journal","volume":"7"},"uris":["http://www.mendeley.com/documents/?uuid=e59b1cf8-e24b-4753-9f5f-68550ce3aced"]}],"mendeley":{"formattedCitation":" [1]","plainTextFormattedCitation":" [1]","previouslyFormattedCitation":" [1]"},"properties":{"noteIndex":0},"schema":"https://github.com/citation-style-language/schema/raw/master/csl-citation.json"}</w:instrText>
      </w:r>
      <w:r w:rsidR="00571114">
        <w:rPr>
          <w:rFonts w:eastAsia="Times New Roman"/>
          <w:sz w:val="24"/>
          <w:szCs w:val="24"/>
        </w:rPr>
        <w:fldChar w:fldCharType="separate"/>
      </w:r>
      <w:r w:rsidR="00571114" w:rsidRPr="00571114">
        <w:rPr>
          <w:rFonts w:eastAsia="Times New Roman"/>
          <w:noProof/>
          <w:sz w:val="24"/>
          <w:szCs w:val="24"/>
        </w:rPr>
        <w:t> [1]</w:t>
      </w:r>
      <w:r w:rsidR="00571114">
        <w:rPr>
          <w:rFonts w:eastAsia="Times New Roman"/>
          <w:sz w:val="24"/>
          <w:szCs w:val="24"/>
        </w:rPr>
        <w:fldChar w:fldCharType="end"/>
      </w:r>
      <w:r>
        <w:rPr>
          <w:rFonts w:eastAsia="Times New Roman"/>
          <w:sz w:val="24"/>
          <w:szCs w:val="24"/>
        </w:rPr>
        <w:t>.</w:t>
      </w:r>
      <w:r w:rsidRPr="00F563BE">
        <w:rPr>
          <w:rFonts w:eastAsia="Times New Roman"/>
          <w:sz w:val="24"/>
          <w:szCs w:val="24"/>
        </w:rPr>
        <w:t xml:space="preserve"> </w:t>
      </w:r>
    </w:p>
    <w:p w14:paraId="33FC4D31" w14:textId="14D15ED1" w:rsidR="002E22DA" w:rsidRDefault="002E22DA" w:rsidP="002E22DA">
      <w:pPr>
        <w:spacing w:after="100" w:afterAutospacing="1"/>
        <w:ind w:left="720"/>
        <w:jc w:val="both"/>
        <w:rPr>
          <w:rFonts w:eastAsia="Times New Roman"/>
          <w:sz w:val="24"/>
          <w:szCs w:val="24"/>
        </w:rPr>
      </w:pPr>
      <w:r w:rsidRPr="00F563BE">
        <w:rPr>
          <w:rFonts w:eastAsia="Times New Roman"/>
          <w:sz w:val="24"/>
          <w:szCs w:val="24"/>
        </w:rPr>
        <w:t xml:space="preserve">(b) The period must be </w:t>
      </w:r>
      <w:r>
        <w:rPr>
          <w:rFonts w:eastAsia="Times New Roman"/>
          <w:sz w:val="24"/>
          <w:szCs w:val="24"/>
        </w:rPr>
        <w:t xml:space="preserve">sufficiently </w:t>
      </w:r>
      <w:r w:rsidRPr="00F563BE">
        <w:rPr>
          <w:rFonts w:eastAsia="Times New Roman"/>
          <w:sz w:val="24"/>
          <w:szCs w:val="24"/>
        </w:rPr>
        <w:t>small to allow good</w:t>
      </w:r>
      <w:r>
        <w:rPr>
          <w:rFonts w:eastAsia="Times New Roman"/>
          <w:sz w:val="24"/>
          <w:szCs w:val="24"/>
        </w:rPr>
        <w:t xml:space="preserve"> spatial</w:t>
      </w:r>
      <w:r w:rsidRPr="00F563BE">
        <w:rPr>
          <w:rFonts w:eastAsia="Times New Roman"/>
          <w:sz w:val="24"/>
          <w:szCs w:val="24"/>
        </w:rPr>
        <w:t xml:space="preserve"> sampling of the </w:t>
      </w:r>
      <w:r>
        <w:rPr>
          <w:rFonts w:eastAsia="Times New Roman"/>
          <w:sz w:val="24"/>
          <w:szCs w:val="24"/>
        </w:rPr>
        <w:t>desired</w:t>
      </w:r>
      <w:r w:rsidRPr="00F563BE">
        <w:rPr>
          <w:rFonts w:eastAsia="Times New Roman"/>
          <w:sz w:val="24"/>
          <w:szCs w:val="24"/>
        </w:rPr>
        <w:t xml:space="preserve"> phase pattern on the lens</w:t>
      </w:r>
      <w:r w:rsidR="00571114">
        <w:rPr>
          <w:rFonts w:eastAsia="Times New Roman"/>
          <w:sz w:val="24"/>
          <w:szCs w:val="24"/>
        </w:rPr>
        <w:fldChar w:fldCharType="begin" w:fldLock="1"/>
      </w:r>
      <w:r w:rsidR="00571114">
        <w:rPr>
          <w:rFonts w:eastAsia="Times New Roman"/>
          <w:sz w:val="24"/>
          <w:szCs w:val="24"/>
        </w:rPr>
        <w:instrText>ADDIN CSL_CITATION {"citationItems":[{"id":"ITEM-1","itemData":{"DOI":"10.1021/acs.nanolett.7b00717","ISSN":"15306992","abstract":"Immersion objectives can focus light into a spot smaller than what is achievable in free space, thereby enhancing the spatial resolution for various applications such as microscopy, spectroscopy, and lithography. Despite the availability of advanced lens polishing techniques, hand-polishing is still required to manufacture the front lens of a high-end immersion objective, which poses major constraints for lens design. This limits the shape of the front lens to spherical. Therefore, several other lenses need to be cascaded to correct for spherical aberration, resulting in significant challenges for miniaturization and adding design complexity for different immersion liquids. Here, by using metasurfaces, we demonstrate liquid immersion meta-lenses free of spherical aberration at various design wavelengths in the visible spectrum. We report water and oil immersion meta-lenses of various numerical apertures (NA) up to 1.1 and show that their measured focal spot sizes are diffraction-limited with Strehl ratios of approximately 0.9 at 532 nm. By integrating the oil immersion meta-lens (NA = 1.1) into a commercial scanning confocal microscope, we achieve an imaging spatial resolution of approximately 200 nm. These meta-lenses can be easily adapted to focus light through multilayers of different refractive indices and mass-produced using modern industrial manufacturing or nanoimprint techniques, leading to cost-effective high-end optics.","author":[{"dropping-particle":"","family":"Chen","given":"Wei Ting","non-dropping-particle":"","parse-names":false,"suffix":""},{"dropping-particle":"","family":"Zhu","given":"Alexander Y.","non-dropping-particle":"","parse-names":false,"suffix":""},{"dropping-particle":"","family":"Khorasaninejad","given":"Mohammadreza","non-dropping-particle":"","parse-names":false,"suffix":""},{"dropping-particle":"","family":"Shi","given":"Zhujun","non-dropping-particle":"","parse-names":false,"suffix":""},{"dropping-particle":"","family":"Sanjeev","given":"Vyshakh","non-dropping-particle":"","parse-names":false,"suffix":""},{"dropping-particle":"","family":"Capasso","given":"Federico","non-dropping-particle":"","parse-names":false,"suffix":""}],"container-title":"Nano Letters","id":"ITEM-1","issue":"5","issued":{"date-parts":[["2017"]]},"page":"3188-3194","title":"Immersion Meta-Lenses at Visible Wavelengths for Nanoscale Imaging","type":"article-journal","volume":"17"},"uris":["http://www.mendeley.com/documents/?uuid=a83ccbd4-5bc8-42ff-b2e3-8e32bfe6c04f"]}],"mendeley":{"formattedCitation":" [2]","plainTextFormattedCitation":" [2]","previouslyFormattedCitation":" [2]"},"properties":{"noteIndex":0},"schema":"https://github.com/citation-style-language/schema/raw/master/csl-citation.json"}</w:instrText>
      </w:r>
      <w:r w:rsidR="00571114">
        <w:rPr>
          <w:rFonts w:eastAsia="Times New Roman"/>
          <w:sz w:val="24"/>
          <w:szCs w:val="24"/>
        </w:rPr>
        <w:fldChar w:fldCharType="separate"/>
      </w:r>
      <w:r w:rsidR="00571114" w:rsidRPr="00571114">
        <w:rPr>
          <w:rFonts w:eastAsia="Times New Roman"/>
          <w:noProof/>
          <w:sz w:val="24"/>
          <w:szCs w:val="24"/>
        </w:rPr>
        <w:t> [2]</w:t>
      </w:r>
      <w:r w:rsidR="00571114">
        <w:rPr>
          <w:rFonts w:eastAsia="Times New Roman"/>
          <w:sz w:val="24"/>
          <w:szCs w:val="24"/>
        </w:rPr>
        <w:fldChar w:fldCharType="end"/>
      </w:r>
      <w:r w:rsidRPr="00F563BE">
        <w:rPr>
          <w:rFonts w:eastAsia="Times New Roman"/>
          <w:sz w:val="24"/>
          <w:szCs w:val="24"/>
        </w:rPr>
        <w:t>.</w:t>
      </w:r>
    </w:p>
    <w:p w14:paraId="712A1595" w14:textId="0F89CD25" w:rsidR="002E22DA" w:rsidRPr="00302425" w:rsidRDefault="002E22DA" w:rsidP="002E22DA">
      <w:pPr>
        <w:spacing w:after="100" w:afterAutospacing="1"/>
        <w:ind w:left="720"/>
        <w:jc w:val="both"/>
        <w:rPr>
          <w:rFonts w:eastAsia="Times New Roman"/>
          <w:sz w:val="24"/>
          <w:szCs w:val="24"/>
        </w:rPr>
      </w:pPr>
      <w:r w:rsidRPr="00302425">
        <w:rPr>
          <w:rFonts w:eastAsia="Times New Roman"/>
          <w:sz w:val="24"/>
          <w:szCs w:val="24"/>
        </w:rPr>
        <w:t>Considerations (a) and (b) can be quantitatively analyzed using the grating equation</w:t>
      </w:r>
      <w:r w:rsidRPr="00302425">
        <w:rPr>
          <w:rFonts w:eastAsia="Times New Roman"/>
          <w:sz w:val="24"/>
          <w:szCs w:val="24"/>
        </w:rPr>
        <w:fldChar w:fldCharType="begin" w:fldLock="1"/>
      </w:r>
      <w:r w:rsidR="00571114">
        <w:rPr>
          <w:rFonts w:eastAsia="Times New Roman"/>
          <w:sz w:val="24"/>
          <w:szCs w:val="24"/>
        </w:rPr>
        <w:instrText>ADDIN CSL_CITATION {"citationItems":[{"id":"ITEM-1","itemData":{"author":[{"dropping-particle":"","family":"Hecht","given":"Eugene (Adelphi University)","non-dropping-particle":"","parse-names":false,"suffix":""}],"edition":"4","id":"ITEM-1","issued":{"date-parts":[["2002"]]},"publisher":"Addison-Wesley","publisher-place":"San Francisco","title":"Optics","type":"book"},"uris":["http://www.mendeley.com/documents/?uuid=4611ac32-88f1-4676-8d3a-cf11c9957548"]}],"mendeley":{"formattedCitation":" [3]","plainTextFormattedCitation":" [3]","previouslyFormattedCitation":" [3]"},"properties":{"noteIndex":0},"schema":"https://github.com/citation-style-language/schema/raw/master/csl-citation.json"}</w:instrText>
      </w:r>
      <w:r w:rsidRPr="00302425">
        <w:rPr>
          <w:rFonts w:eastAsia="Times New Roman"/>
          <w:sz w:val="24"/>
          <w:szCs w:val="24"/>
        </w:rPr>
        <w:fldChar w:fldCharType="separate"/>
      </w:r>
      <w:r w:rsidR="00571114" w:rsidRPr="00571114">
        <w:rPr>
          <w:rFonts w:eastAsia="Times New Roman"/>
          <w:noProof/>
          <w:sz w:val="24"/>
          <w:szCs w:val="24"/>
        </w:rPr>
        <w:t> [3]</w:t>
      </w:r>
      <w:r w:rsidRPr="00302425">
        <w:rPr>
          <w:rFonts w:eastAsia="Times New Roman"/>
          <w:sz w:val="24"/>
          <w:szCs w:val="24"/>
        </w:rPr>
        <w:fldChar w:fldCharType="end"/>
      </w:r>
      <w:r w:rsidRPr="00302425">
        <w:rPr>
          <w:rFonts w:eastAsia="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7386"/>
        <w:gridCol w:w="1216"/>
      </w:tblGrid>
      <w:tr w:rsidR="002E22DA" w:rsidRPr="00302425" w14:paraId="2925FDAA" w14:textId="77777777" w:rsidTr="008D2CB4">
        <w:tc>
          <w:tcPr>
            <w:tcW w:w="805" w:type="dxa"/>
          </w:tcPr>
          <w:p w14:paraId="768AEB96" w14:textId="77777777" w:rsidR="002E22DA" w:rsidRPr="00302425" w:rsidRDefault="002E22DA" w:rsidP="008D2CB4">
            <w:pPr>
              <w:spacing w:after="100" w:afterAutospacing="1"/>
              <w:ind w:left="720"/>
              <w:rPr>
                <w:sz w:val="24"/>
                <w:szCs w:val="24"/>
              </w:rPr>
            </w:pPr>
          </w:p>
        </w:tc>
        <w:tc>
          <w:tcPr>
            <w:tcW w:w="7740" w:type="dxa"/>
          </w:tcPr>
          <w:p w14:paraId="4A7CE070" w14:textId="77777777" w:rsidR="002E22DA" w:rsidRPr="00302425" w:rsidRDefault="002E22DA" w:rsidP="008D2CB4">
            <w:pPr>
              <w:spacing w:after="100" w:afterAutospacing="1"/>
              <w:ind w:left="720"/>
              <w:jc w:val="center"/>
              <w:rPr>
                <w:sz w:val="24"/>
                <w:szCs w:val="24"/>
              </w:rPr>
            </w:pPr>
            <w:r w:rsidRPr="00B60F81">
              <w:rPr>
                <w:noProof/>
                <w:sz w:val="24"/>
                <w:szCs w:val="24"/>
              </w:rPr>
              <w:object w:dxaOrig="2380" w:dyaOrig="620" w14:anchorId="64CFF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9pt;height:32pt;mso-width-percent:0;mso-height-percent:0;mso-width-percent:0;mso-height-percent:0" o:ole="">
                  <v:imagedata r:id="rId9" o:title=""/>
                </v:shape>
                <o:OLEObject Type="Embed" ProgID="Equation.DSMT4" ShapeID="_x0000_i1025" DrawAspect="Content" ObjectID="_1625466453" r:id="rId10"/>
              </w:object>
            </w:r>
          </w:p>
        </w:tc>
        <w:tc>
          <w:tcPr>
            <w:tcW w:w="805" w:type="dxa"/>
            <w:vAlign w:val="center"/>
          </w:tcPr>
          <w:p w14:paraId="33BB07C6" w14:textId="77777777" w:rsidR="002E22DA" w:rsidRPr="00302425" w:rsidRDefault="002E22DA" w:rsidP="008D2CB4">
            <w:pPr>
              <w:spacing w:after="100" w:afterAutospacing="1"/>
              <w:ind w:left="720"/>
              <w:rPr>
                <w:sz w:val="24"/>
                <w:szCs w:val="24"/>
              </w:rPr>
            </w:pPr>
            <w:r w:rsidRPr="00302425">
              <w:rPr>
                <w:sz w:val="24"/>
                <w:szCs w:val="24"/>
              </w:rPr>
              <w:t>(2)</w:t>
            </w:r>
          </w:p>
        </w:tc>
      </w:tr>
    </w:tbl>
    <w:p w14:paraId="31812838" w14:textId="77777777" w:rsidR="002E22DA" w:rsidRPr="00566AAD" w:rsidRDefault="002E22DA" w:rsidP="002E22DA">
      <w:pPr>
        <w:spacing w:after="100" w:afterAutospacing="1"/>
        <w:ind w:left="720"/>
        <w:jc w:val="both"/>
        <w:rPr>
          <w:rFonts w:eastAsia="Times New Roman"/>
          <w:sz w:val="24"/>
          <w:szCs w:val="24"/>
        </w:rPr>
      </w:pPr>
      <w:r>
        <w:rPr>
          <w:rFonts w:eastAsia="Times New Roman"/>
          <w:sz w:val="24"/>
          <w:szCs w:val="24"/>
        </w:rPr>
        <w:t xml:space="preserve">Where </w:t>
      </w:r>
      <w:r>
        <w:rPr>
          <w:rFonts w:eastAsia="Times New Roman"/>
          <w:i/>
          <w:iCs/>
          <w:sz w:val="24"/>
          <w:szCs w:val="24"/>
        </w:rPr>
        <w:t>n, n’</w:t>
      </w:r>
      <w:r>
        <w:rPr>
          <w:rFonts w:eastAsia="Times New Roman"/>
          <w:sz w:val="24"/>
          <w:szCs w:val="24"/>
        </w:rPr>
        <w:t xml:space="preserve"> are the refractive indices in the incident and transmitted medium respectively, </w:t>
      </w:r>
      <w:r>
        <w:rPr>
          <w:rFonts w:eastAsia="Times New Roman"/>
          <w:i/>
          <w:iCs/>
          <w:sz w:val="24"/>
          <w:szCs w:val="24"/>
        </w:rPr>
        <w:t>θ, θ’</w:t>
      </w:r>
      <w:r>
        <w:rPr>
          <w:rFonts w:eastAsia="Times New Roman"/>
          <w:sz w:val="24"/>
          <w:szCs w:val="24"/>
        </w:rPr>
        <w:t xml:space="preserve"> are the incident and diffracted beam angles, </w:t>
      </w:r>
      <w:r>
        <w:rPr>
          <w:rFonts w:eastAsia="Times New Roman"/>
          <w:i/>
          <w:iCs/>
          <w:sz w:val="24"/>
          <w:szCs w:val="24"/>
        </w:rPr>
        <w:t xml:space="preserve">m </w:t>
      </w:r>
      <w:r>
        <w:rPr>
          <w:rFonts w:eastAsia="Times New Roman"/>
          <w:sz w:val="24"/>
          <w:szCs w:val="24"/>
        </w:rPr>
        <w:t xml:space="preserve">is the order of diffraction, </w:t>
      </w:r>
      <w:r>
        <w:rPr>
          <w:rFonts w:eastAsia="Times New Roman"/>
          <w:i/>
          <w:iCs/>
          <w:sz w:val="24"/>
          <w:szCs w:val="24"/>
        </w:rPr>
        <w:t>λ</w:t>
      </w:r>
      <w:r>
        <w:rPr>
          <w:rFonts w:eastAsia="Times New Roman"/>
          <w:sz w:val="24"/>
          <w:szCs w:val="24"/>
        </w:rPr>
        <w:t xml:space="preserve"> is the wavelength, and </w:t>
      </w:r>
      <w:r>
        <w:rPr>
          <w:rFonts w:eastAsia="Times New Roman"/>
          <w:i/>
          <w:iCs/>
          <w:sz w:val="24"/>
          <w:szCs w:val="24"/>
        </w:rPr>
        <w:t>d</w:t>
      </w:r>
      <w:r>
        <w:rPr>
          <w:rFonts w:eastAsia="Times New Roman"/>
          <w:sz w:val="24"/>
          <w:szCs w:val="24"/>
        </w:rPr>
        <w:t xml:space="preserve"> is the grating period.</w:t>
      </w:r>
    </w:p>
    <w:p w14:paraId="42F0AE6E" w14:textId="3575D5BD" w:rsidR="002E22DA" w:rsidRPr="00302425" w:rsidRDefault="002E22DA" w:rsidP="002E22DA">
      <w:pPr>
        <w:spacing w:after="100" w:afterAutospacing="1"/>
        <w:ind w:left="720"/>
        <w:jc w:val="both"/>
        <w:rPr>
          <w:rFonts w:eastAsia="Times New Roman"/>
          <w:sz w:val="24"/>
          <w:szCs w:val="24"/>
        </w:rPr>
      </w:pPr>
      <w:r w:rsidRPr="00302425">
        <w:rPr>
          <w:rFonts w:eastAsia="Times New Roman"/>
          <w:sz w:val="24"/>
          <w:szCs w:val="24"/>
        </w:rPr>
        <w:t xml:space="preserve">This equation can be written in alternative form in </w:t>
      </w:r>
      <w:r>
        <w:rPr>
          <w:rFonts w:eastAsia="Times New Roman"/>
          <w:sz w:val="24"/>
          <w:szCs w:val="24"/>
        </w:rPr>
        <w:t>k</w:t>
      </w:r>
      <w:r w:rsidRPr="00302425">
        <w:rPr>
          <w:rFonts w:eastAsia="Times New Roman"/>
          <w:sz w:val="24"/>
          <w:szCs w:val="24"/>
        </w:rPr>
        <w:t>-vector space, if we multiply both sides by 2π/λ. In this way we obtain</w:t>
      </w:r>
      <w:r>
        <w:rPr>
          <w:rFonts w:eastAsia="Times New Roman"/>
          <w:sz w:val="24"/>
          <w:szCs w:val="24"/>
        </w:rPr>
        <w:fldChar w:fldCharType="begin" w:fldLock="1"/>
      </w:r>
      <w:r w:rsidR="00571114">
        <w:rPr>
          <w:rFonts w:eastAsia="Times New Roman"/>
          <w:sz w:val="24"/>
          <w:szCs w:val="24"/>
        </w:rPr>
        <w:instrText>ADDIN CSL_CITATION {"citationItems":[{"id":"ITEM-1","itemData":{"author":[{"dropping-particle":"","family":"Yariv","given":"Amnon","non-dropping-particle":"","parse-names":false,"suffix":""},{"dropping-particle":"","family":"Yeh","given":"Pochi","non-dropping-particle":"","parse-names":false,"suffix":""}],"edition":"Sixth Ed.","id":"ITEM-1","issued":{"date-parts":[["2007"]]},"publisher":"Oxford University","publisher-place":"Oxford","title":"Photonics - Optical Electronics in Modern Communications","type":"book"},"uris":["http://www.mendeley.com/documents/?uuid=f3ad4a0e-f46d-4faa-a030-fbe0c7b78710"]}],"mendeley":{"formattedCitation":" [4]","plainTextFormattedCitation":" [4]","previouslyFormattedCitation":" [4]"},"properties":{"noteIndex":0},"schema":"https://github.com/citation-style-language/schema/raw/master/csl-citation.json"}</w:instrText>
      </w:r>
      <w:r>
        <w:rPr>
          <w:rFonts w:eastAsia="Times New Roman"/>
          <w:sz w:val="24"/>
          <w:szCs w:val="24"/>
        </w:rPr>
        <w:fldChar w:fldCharType="separate"/>
      </w:r>
      <w:r w:rsidR="00571114" w:rsidRPr="00571114">
        <w:rPr>
          <w:rFonts w:eastAsia="Times New Roman"/>
          <w:noProof/>
          <w:sz w:val="24"/>
          <w:szCs w:val="24"/>
        </w:rPr>
        <w:t> [4]</w:t>
      </w:r>
      <w:r>
        <w:rPr>
          <w:rFonts w:eastAsia="Times New Roman"/>
          <w:sz w:val="24"/>
          <w:szCs w:val="24"/>
        </w:rPr>
        <w:fldChar w:fldCharType="end"/>
      </w:r>
      <w:r w:rsidRPr="00302425">
        <w:rPr>
          <w:rFonts w:eastAsia="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7378"/>
        <w:gridCol w:w="1216"/>
      </w:tblGrid>
      <w:tr w:rsidR="002E22DA" w:rsidRPr="00302425" w14:paraId="36D85419" w14:textId="77777777" w:rsidTr="008D2CB4">
        <w:tc>
          <w:tcPr>
            <w:tcW w:w="805" w:type="dxa"/>
          </w:tcPr>
          <w:p w14:paraId="266093BF" w14:textId="77777777" w:rsidR="002E22DA" w:rsidRPr="00302425" w:rsidRDefault="002E22DA" w:rsidP="008D2CB4">
            <w:pPr>
              <w:spacing w:after="100" w:afterAutospacing="1"/>
              <w:ind w:left="720"/>
              <w:rPr>
                <w:sz w:val="24"/>
                <w:szCs w:val="24"/>
              </w:rPr>
            </w:pPr>
          </w:p>
        </w:tc>
        <w:tc>
          <w:tcPr>
            <w:tcW w:w="7740" w:type="dxa"/>
          </w:tcPr>
          <w:p w14:paraId="6210BB6F" w14:textId="77777777" w:rsidR="002E22DA" w:rsidRPr="00302425" w:rsidRDefault="002E22DA" w:rsidP="008D2CB4">
            <w:pPr>
              <w:spacing w:after="100" w:afterAutospacing="1"/>
              <w:ind w:left="720"/>
              <w:jc w:val="center"/>
              <w:rPr>
                <w:sz w:val="24"/>
                <w:szCs w:val="24"/>
              </w:rPr>
            </w:pPr>
            <w:r w:rsidRPr="00B60F81">
              <w:rPr>
                <w:noProof/>
                <w:sz w:val="24"/>
                <w:szCs w:val="24"/>
              </w:rPr>
              <w:object w:dxaOrig="1420" w:dyaOrig="400" w14:anchorId="19246934">
                <v:shape id="_x0000_i1026" type="#_x0000_t75" alt="" style="width:70pt;height:20.5pt;mso-width-percent:0;mso-height-percent:0;mso-width-percent:0;mso-height-percent:0" o:ole="">
                  <v:imagedata r:id="rId11" o:title=""/>
                </v:shape>
                <o:OLEObject Type="Embed" ProgID="Equation.DSMT4" ShapeID="_x0000_i1026" DrawAspect="Content" ObjectID="_1625466454" r:id="rId12"/>
              </w:object>
            </w:r>
          </w:p>
        </w:tc>
        <w:tc>
          <w:tcPr>
            <w:tcW w:w="805" w:type="dxa"/>
            <w:vAlign w:val="center"/>
          </w:tcPr>
          <w:p w14:paraId="36F3823E" w14:textId="77777777" w:rsidR="002E22DA" w:rsidRPr="00302425" w:rsidRDefault="002E22DA" w:rsidP="008D2CB4">
            <w:pPr>
              <w:spacing w:after="100" w:afterAutospacing="1"/>
              <w:ind w:left="720"/>
              <w:rPr>
                <w:sz w:val="24"/>
                <w:szCs w:val="24"/>
              </w:rPr>
            </w:pPr>
            <w:r w:rsidRPr="00302425">
              <w:rPr>
                <w:sz w:val="24"/>
                <w:szCs w:val="24"/>
              </w:rPr>
              <w:t>(3)</w:t>
            </w:r>
          </w:p>
        </w:tc>
      </w:tr>
    </w:tbl>
    <w:p w14:paraId="241F192D" w14:textId="77777777" w:rsidR="002E22DA" w:rsidRPr="00F30AE1" w:rsidRDefault="002E22DA" w:rsidP="002E22DA">
      <w:pPr>
        <w:spacing w:after="100" w:afterAutospacing="1"/>
        <w:ind w:left="720"/>
        <w:jc w:val="both"/>
        <w:rPr>
          <w:rFonts w:eastAsia="Times New Roman"/>
          <w:sz w:val="24"/>
          <w:szCs w:val="24"/>
        </w:rPr>
      </w:pPr>
      <w:r w:rsidRPr="00302425">
        <w:rPr>
          <w:rFonts w:eastAsia="Times New Roman"/>
          <w:sz w:val="24"/>
          <w:szCs w:val="24"/>
        </w:rPr>
        <w:lastRenderedPageBreak/>
        <w:t xml:space="preserve">Where </w:t>
      </w:r>
      <w:r w:rsidRPr="00491DA6">
        <w:rPr>
          <w:rFonts w:eastAsia="Times New Roman"/>
          <w:i/>
          <w:iCs/>
          <w:sz w:val="24"/>
          <w:szCs w:val="24"/>
        </w:rPr>
        <w:t>k</w:t>
      </w:r>
      <w:r w:rsidRPr="00491DA6">
        <w:rPr>
          <w:rFonts w:eastAsia="Times New Roman"/>
          <w:i/>
          <w:iCs/>
          <w:sz w:val="24"/>
          <w:szCs w:val="24"/>
          <w:vertAlign w:val="subscript"/>
        </w:rPr>
        <w:t>y</w:t>
      </w:r>
      <w:r w:rsidRPr="00302425">
        <w:rPr>
          <w:rFonts w:eastAsia="Times New Roman"/>
          <w:sz w:val="24"/>
          <w:szCs w:val="24"/>
        </w:rPr>
        <w:t xml:space="preserve"> represents the tangential component of the </w:t>
      </w:r>
      <w:r>
        <w:rPr>
          <w:rFonts w:eastAsia="Times New Roman"/>
          <w:sz w:val="24"/>
          <w:szCs w:val="24"/>
        </w:rPr>
        <w:t xml:space="preserve">input </w:t>
      </w:r>
      <w:r w:rsidRPr="00302425">
        <w:rPr>
          <w:rFonts w:eastAsia="Times New Roman"/>
          <w:sz w:val="24"/>
          <w:szCs w:val="24"/>
        </w:rPr>
        <w:t>wave-vector</w:t>
      </w:r>
      <w:r>
        <w:rPr>
          <w:rFonts w:eastAsia="Times New Roman"/>
          <w:sz w:val="24"/>
          <w:szCs w:val="24"/>
        </w:rPr>
        <w:t xml:space="preserve">, </w:t>
      </w:r>
      <w:r w:rsidRPr="00491DA6">
        <w:rPr>
          <w:rFonts w:eastAsia="Times New Roman"/>
          <w:i/>
          <w:iCs/>
          <w:sz w:val="24"/>
          <w:szCs w:val="24"/>
        </w:rPr>
        <w:t>k</w:t>
      </w:r>
      <w:r>
        <w:rPr>
          <w:rFonts w:eastAsia="Times New Roman"/>
          <w:i/>
          <w:iCs/>
          <w:sz w:val="24"/>
          <w:szCs w:val="24"/>
        </w:rPr>
        <w:t>’</w:t>
      </w:r>
      <w:r w:rsidRPr="00491DA6">
        <w:rPr>
          <w:rFonts w:eastAsia="Times New Roman"/>
          <w:i/>
          <w:iCs/>
          <w:sz w:val="24"/>
          <w:szCs w:val="24"/>
          <w:vertAlign w:val="subscript"/>
        </w:rPr>
        <w:t>y</w:t>
      </w:r>
      <w:r>
        <w:rPr>
          <w:rFonts w:eastAsia="Times New Roman"/>
          <w:sz w:val="24"/>
          <w:szCs w:val="24"/>
        </w:rPr>
        <w:t xml:space="preserve"> is the same for the output, and </w:t>
      </w:r>
      <w:r>
        <w:rPr>
          <w:rFonts w:eastAsia="Times New Roman"/>
          <w:i/>
          <w:iCs/>
          <w:sz w:val="24"/>
          <w:szCs w:val="24"/>
        </w:rPr>
        <w:t>K</w:t>
      </w:r>
      <w:r>
        <w:rPr>
          <w:rFonts w:eastAsia="Times New Roman"/>
          <w:i/>
          <w:iCs/>
          <w:sz w:val="24"/>
          <w:szCs w:val="24"/>
          <w:vertAlign w:val="subscript"/>
        </w:rPr>
        <w:t>G</w:t>
      </w:r>
      <w:r>
        <w:rPr>
          <w:rFonts w:eastAsia="Times New Roman"/>
          <w:sz w:val="24"/>
          <w:szCs w:val="24"/>
        </w:rPr>
        <w:t xml:space="preserve"> is the grating wavenumber, defined as </w:t>
      </w:r>
      <w:r w:rsidRPr="00B60F81">
        <w:rPr>
          <w:rFonts w:eastAsia="Times New Roman"/>
          <w:noProof/>
          <w:position w:val="-12"/>
          <w:sz w:val="24"/>
          <w:szCs w:val="24"/>
        </w:rPr>
        <w:object w:dxaOrig="1200" w:dyaOrig="360" w14:anchorId="24E4BA99">
          <v:shape id="_x0000_i1027" type="#_x0000_t75" alt="" style="width:60pt;height:17.5pt;mso-width-percent:0;mso-height-percent:0;mso-width-percent:0;mso-height-percent:0" o:ole="">
            <v:imagedata r:id="rId13" o:title=""/>
          </v:shape>
          <o:OLEObject Type="Embed" ProgID="Equation.DSMT4" ShapeID="_x0000_i1027" DrawAspect="Content" ObjectID="_1625466455" r:id="rId14"/>
        </w:object>
      </w:r>
      <w:r>
        <w:rPr>
          <w:rFonts w:eastAsia="Times New Roman"/>
          <w:sz w:val="24"/>
          <w:szCs w:val="24"/>
        </w:rPr>
        <w:t xml:space="preserve">. </w:t>
      </w:r>
    </w:p>
    <w:p w14:paraId="5815A1DF" w14:textId="77777777" w:rsidR="002E22DA" w:rsidRPr="0030749B" w:rsidRDefault="002E22DA" w:rsidP="002E22DA">
      <w:pPr>
        <w:pStyle w:val="Subtitle"/>
        <w:rPr>
          <w:rFonts w:eastAsia="Times New Roman"/>
        </w:rPr>
      </w:pPr>
      <w:r w:rsidRPr="0030749B">
        <w:rPr>
          <w:rFonts w:eastAsia="Times New Roman"/>
        </w:rPr>
        <w:t>Sub-wavelength criterion</w:t>
      </w:r>
    </w:p>
    <w:p w14:paraId="50EFCFA3" w14:textId="04751892" w:rsidR="002E22DA" w:rsidRDefault="002E22DA" w:rsidP="002E22DA">
      <w:pPr>
        <w:spacing w:after="100" w:afterAutospacing="1"/>
        <w:ind w:left="720"/>
        <w:jc w:val="both"/>
        <w:rPr>
          <w:rFonts w:eastAsia="Times New Roman"/>
          <w:sz w:val="24"/>
          <w:szCs w:val="24"/>
        </w:rPr>
      </w:pPr>
      <w:r w:rsidRPr="00491DA6">
        <w:rPr>
          <w:rFonts w:eastAsia="Times New Roman"/>
          <w:sz w:val="24"/>
          <w:szCs w:val="24"/>
        </w:rPr>
        <w:t>The borderline situation wh</w:t>
      </w:r>
      <w:r>
        <w:rPr>
          <w:rFonts w:eastAsia="Times New Roman"/>
          <w:sz w:val="24"/>
          <w:szCs w:val="24"/>
        </w:rPr>
        <w:t>en</w:t>
      </w:r>
      <w:r w:rsidRPr="00491DA6">
        <w:rPr>
          <w:rFonts w:eastAsia="Times New Roman"/>
          <w:sz w:val="24"/>
          <w:szCs w:val="24"/>
        </w:rPr>
        <w:t xml:space="preserve"> only </w:t>
      </w:r>
      <w:r>
        <w:rPr>
          <w:rFonts w:eastAsia="Times New Roman"/>
          <w:sz w:val="24"/>
          <w:szCs w:val="24"/>
        </w:rPr>
        <w:t xml:space="preserve">the </w:t>
      </w:r>
      <w:r w:rsidRPr="00491DA6">
        <w:rPr>
          <w:rFonts w:eastAsia="Times New Roman"/>
          <w:sz w:val="24"/>
          <w:szCs w:val="24"/>
        </w:rPr>
        <w:t xml:space="preserve">zero order will propagate, is when for one of the first orders (±1), </w:t>
      </w:r>
      <w:r w:rsidRPr="00E66FB9">
        <w:rPr>
          <w:rFonts w:eastAsia="Times New Roman"/>
          <w:i/>
          <w:iCs/>
          <w:sz w:val="24"/>
          <w:szCs w:val="24"/>
        </w:rPr>
        <w:t>θ’=±90˚</w:t>
      </w:r>
      <w:r w:rsidRPr="00491DA6">
        <w:rPr>
          <w:rFonts w:eastAsia="Times New Roman"/>
          <w:sz w:val="24"/>
          <w:szCs w:val="24"/>
        </w:rPr>
        <w:t xml:space="preserve"> (while for the other first order, there will be no solution for θ’). To simplify a bit, we will consider a situation in which </w:t>
      </w:r>
      <w:r w:rsidRPr="00E66FB9">
        <w:rPr>
          <w:rFonts w:eastAsia="Times New Roman"/>
          <w:i/>
          <w:iCs/>
          <w:sz w:val="24"/>
          <w:szCs w:val="24"/>
        </w:rPr>
        <w:t>n’=n</w:t>
      </w:r>
      <w:r w:rsidRPr="00491DA6">
        <w:rPr>
          <w:rFonts w:eastAsia="Times New Roman"/>
          <w:sz w:val="24"/>
          <w:szCs w:val="24"/>
        </w:rPr>
        <w:t xml:space="preserve"> (can be realized by immersing the nano-antennas in a polymer, index-matched to the substrate). We substitute these requirements, and </w:t>
      </w:r>
      <w:r w:rsidRPr="00E66FB9">
        <w:rPr>
          <w:rFonts w:eastAsia="Times New Roman"/>
          <w:i/>
          <w:iCs/>
          <w:sz w:val="24"/>
          <w:szCs w:val="24"/>
        </w:rPr>
        <w:t>m=1</w:t>
      </w:r>
      <w:r w:rsidRPr="00491DA6">
        <w:rPr>
          <w:rFonts w:eastAsia="Times New Roman"/>
          <w:sz w:val="24"/>
          <w:szCs w:val="24"/>
        </w:rPr>
        <w:t xml:space="preserve">, into equation </w:t>
      </w:r>
      <w:r w:rsidR="00000F4F">
        <w:rPr>
          <w:rFonts w:eastAsia="Times New Roman"/>
          <w:sz w:val="24"/>
          <w:szCs w:val="24"/>
        </w:rPr>
        <w:t>2</w:t>
      </w:r>
      <w:r w:rsidRPr="00491DA6">
        <w:rPr>
          <w:rFonts w:eastAsia="Times New Roman"/>
          <w:sz w:val="24"/>
          <w:szCs w:val="24"/>
        </w:rPr>
        <w:t>, to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7379"/>
        <w:gridCol w:w="1216"/>
      </w:tblGrid>
      <w:tr w:rsidR="002E22DA" w:rsidRPr="00302425" w14:paraId="06EB1393" w14:textId="77777777" w:rsidTr="008D2CB4">
        <w:tc>
          <w:tcPr>
            <w:tcW w:w="805" w:type="dxa"/>
          </w:tcPr>
          <w:p w14:paraId="1AFD8213" w14:textId="77777777" w:rsidR="002E22DA" w:rsidRPr="00302425" w:rsidRDefault="002E22DA" w:rsidP="008D2CB4">
            <w:pPr>
              <w:spacing w:after="100" w:afterAutospacing="1"/>
              <w:ind w:left="720"/>
              <w:rPr>
                <w:sz w:val="24"/>
                <w:szCs w:val="24"/>
              </w:rPr>
            </w:pPr>
          </w:p>
        </w:tc>
        <w:tc>
          <w:tcPr>
            <w:tcW w:w="7740" w:type="dxa"/>
          </w:tcPr>
          <w:p w14:paraId="0A73CEEC" w14:textId="77777777" w:rsidR="002E22DA" w:rsidRPr="00302425" w:rsidRDefault="002E22DA" w:rsidP="008D2CB4">
            <w:pPr>
              <w:spacing w:after="100" w:afterAutospacing="1"/>
              <w:ind w:left="720"/>
              <w:jc w:val="center"/>
              <w:rPr>
                <w:sz w:val="24"/>
                <w:szCs w:val="24"/>
              </w:rPr>
            </w:pPr>
            <w:r w:rsidRPr="00B60F81">
              <w:rPr>
                <w:noProof/>
                <w:sz w:val="24"/>
                <w:szCs w:val="24"/>
              </w:rPr>
              <w:object w:dxaOrig="1579" w:dyaOrig="700" w14:anchorId="75D736BA">
                <v:shape id="_x0000_i1028" type="#_x0000_t75" alt="" style="width:77.5pt;height:36pt;mso-width-percent:0;mso-height-percent:0;mso-width-percent:0;mso-height-percent:0" o:ole="">
                  <v:imagedata r:id="rId15" o:title=""/>
                </v:shape>
                <o:OLEObject Type="Embed" ProgID="Equation.DSMT4" ShapeID="_x0000_i1028" DrawAspect="Content" ObjectID="_1625466456" r:id="rId16"/>
              </w:object>
            </w:r>
          </w:p>
        </w:tc>
        <w:tc>
          <w:tcPr>
            <w:tcW w:w="805" w:type="dxa"/>
            <w:vAlign w:val="center"/>
          </w:tcPr>
          <w:p w14:paraId="17D5FA2B" w14:textId="77777777" w:rsidR="002E22DA" w:rsidRPr="00302425" w:rsidRDefault="002E22DA" w:rsidP="008D2CB4">
            <w:pPr>
              <w:spacing w:after="100" w:afterAutospacing="1"/>
              <w:ind w:left="720"/>
              <w:rPr>
                <w:sz w:val="24"/>
                <w:szCs w:val="24"/>
              </w:rPr>
            </w:pPr>
            <w:r w:rsidRPr="00302425">
              <w:rPr>
                <w:sz w:val="24"/>
                <w:szCs w:val="24"/>
              </w:rPr>
              <w:t>(</w:t>
            </w:r>
            <w:r>
              <w:rPr>
                <w:sz w:val="24"/>
                <w:szCs w:val="24"/>
              </w:rPr>
              <w:t>4</w:t>
            </w:r>
            <w:r w:rsidRPr="00302425">
              <w:rPr>
                <w:sz w:val="24"/>
                <w:szCs w:val="24"/>
              </w:rPr>
              <w:t>)</w:t>
            </w:r>
          </w:p>
        </w:tc>
      </w:tr>
    </w:tbl>
    <w:p w14:paraId="035A9A9D" w14:textId="77777777" w:rsidR="002E22DA" w:rsidRDefault="002E22DA" w:rsidP="002E22DA">
      <w:pPr>
        <w:spacing w:after="100" w:afterAutospacing="1"/>
        <w:ind w:left="720"/>
        <w:jc w:val="both"/>
        <w:rPr>
          <w:rFonts w:eastAsia="Times New Roman"/>
          <w:sz w:val="24"/>
          <w:szCs w:val="24"/>
        </w:rPr>
      </w:pPr>
      <w:r w:rsidRPr="00491DA6">
        <w:rPr>
          <w:rFonts w:eastAsia="Times New Roman"/>
          <w:sz w:val="24"/>
          <w:szCs w:val="24"/>
        </w:rPr>
        <w:t xml:space="preserve">We will choose the sign of 1 to be positive, so that </w:t>
      </w:r>
      <w:r w:rsidRPr="005258AC">
        <w:rPr>
          <w:rFonts w:eastAsia="Times New Roman"/>
          <w:i/>
          <w:iCs/>
          <w:sz w:val="24"/>
          <w:szCs w:val="24"/>
        </w:rPr>
        <w:t>d</w:t>
      </w:r>
      <w:r w:rsidRPr="00491DA6">
        <w:rPr>
          <w:rFonts w:eastAsia="Times New Roman"/>
          <w:sz w:val="24"/>
          <w:szCs w:val="24"/>
        </w:rPr>
        <w:t xml:space="preserve"> will be positive. If we denote the incidence angle of the beam in air, before entering the substrate, as </w:t>
      </w:r>
      <w:r w:rsidRPr="00176901">
        <w:rPr>
          <w:rFonts w:eastAsia="Times New Roman"/>
          <w:i/>
          <w:iCs/>
          <w:sz w:val="24"/>
          <w:szCs w:val="24"/>
        </w:rPr>
        <w:t>ϕ</w:t>
      </w:r>
      <w:r w:rsidRPr="00491DA6">
        <w:rPr>
          <w:rFonts w:eastAsia="Times New Roman"/>
          <w:sz w:val="24"/>
          <w:szCs w:val="24"/>
        </w:rPr>
        <w:t xml:space="preserve">, </w:t>
      </w:r>
      <w:r>
        <w:rPr>
          <w:rFonts w:eastAsia="Times New Roman"/>
          <w:sz w:val="24"/>
          <w:szCs w:val="24"/>
        </w:rPr>
        <w:t xml:space="preserve">we can substitute Snell’s law </w:t>
      </w:r>
      <w:r w:rsidRPr="00B60F81">
        <w:rPr>
          <w:rFonts w:eastAsia="Times New Roman"/>
          <w:noProof/>
          <w:position w:val="-14"/>
          <w:sz w:val="24"/>
          <w:szCs w:val="24"/>
        </w:rPr>
        <w:object w:dxaOrig="1540" w:dyaOrig="400" w14:anchorId="5C5B71C8">
          <v:shape id="_x0000_i1029" type="#_x0000_t75" alt="" style="width:77.5pt;height:20.5pt;mso-width-percent:0;mso-height-percent:0;mso-width-percent:0;mso-height-percent:0" o:ole="">
            <v:imagedata r:id="rId17" o:title=""/>
          </v:shape>
          <o:OLEObject Type="Embed" ProgID="Equation.DSMT4" ShapeID="_x0000_i1029" DrawAspect="Content" ObjectID="_1625466457" r:id="rId18"/>
        </w:object>
      </w:r>
      <w:r>
        <w:rPr>
          <w:rFonts w:eastAsia="Times New Roman"/>
          <w:sz w:val="24"/>
          <w:szCs w:val="24"/>
        </w:rPr>
        <w:t xml:space="preserve"> and</w:t>
      </w:r>
      <w:r w:rsidRPr="00491DA6">
        <w:rPr>
          <w:rFonts w:eastAsia="Times New Roman"/>
          <w:sz w:val="24"/>
          <w:szCs w:val="24"/>
        </w:rPr>
        <w:t xml:space="preserve">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7377"/>
        <w:gridCol w:w="1216"/>
      </w:tblGrid>
      <w:tr w:rsidR="002E22DA" w:rsidRPr="00302425" w14:paraId="16226399" w14:textId="77777777" w:rsidTr="008D2CB4">
        <w:tc>
          <w:tcPr>
            <w:tcW w:w="805" w:type="dxa"/>
          </w:tcPr>
          <w:p w14:paraId="45EA32F4" w14:textId="77777777" w:rsidR="002E22DA" w:rsidRPr="00302425" w:rsidRDefault="002E22DA" w:rsidP="008D2CB4">
            <w:pPr>
              <w:spacing w:after="100" w:afterAutospacing="1"/>
              <w:ind w:left="720"/>
              <w:rPr>
                <w:sz w:val="24"/>
                <w:szCs w:val="24"/>
              </w:rPr>
            </w:pPr>
          </w:p>
        </w:tc>
        <w:tc>
          <w:tcPr>
            <w:tcW w:w="7740" w:type="dxa"/>
          </w:tcPr>
          <w:p w14:paraId="44B1A424" w14:textId="77777777" w:rsidR="002E22DA" w:rsidRPr="00302425" w:rsidRDefault="002E22DA" w:rsidP="008D2CB4">
            <w:pPr>
              <w:spacing w:after="100" w:afterAutospacing="1"/>
              <w:ind w:left="720"/>
              <w:jc w:val="center"/>
              <w:rPr>
                <w:sz w:val="24"/>
                <w:szCs w:val="24"/>
              </w:rPr>
            </w:pPr>
            <w:r w:rsidRPr="00B60F81">
              <w:rPr>
                <w:noProof/>
                <w:sz w:val="24"/>
                <w:szCs w:val="24"/>
              </w:rPr>
              <w:object w:dxaOrig="1280" w:dyaOrig="660" w14:anchorId="3B28FB5F">
                <v:shape id="_x0000_i1030" type="#_x0000_t75" alt="" style="width:62.5pt;height:32pt;mso-width-percent:0;mso-height-percent:0;mso-width-percent:0;mso-height-percent:0" o:ole="">
                  <v:imagedata r:id="rId19" o:title=""/>
                </v:shape>
                <o:OLEObject Type="Embed" ProgID="Equation.DSMT4" ShapeID="_x0000_i1030" DrawAspect="Content" ObjectID="_1625466458" r:id="rId20"/>
              </w:object>
            </w:r>
          </w:p>
        </w:tc>
        <w:tc>
          <w:tcPr>
            <w:tcW w:w="805" w:type="dxa"/>
            <w:vAlign w:val="center"/>
          </w:tcPr>
          <w:p w14:paraId="6DF2C953" w14:textId="77777777" w:rsidR="002E22DA" w:rsidRPr="00302425" w:rsidRDefault="002E22DA" w:rsidP="008D2CB4">
            <w:pPr>
              <w:spacing w:after="100" w:afterAutospacing="1"/>
              <w:ind w:left="720"/>
              <w:rPr>
                <w:sz w:val="24"/>
                <w:szCs w:val="24"/>
              </w:rPr>
            </w:pPr>
            <w:r w:rsidRPr="00302425">
              <w:rPr>
                <w:sz w:val="24"/>
                <w:szCs w:val="24"/>
              </w:rPr>
              <w:t>(</w:t>
            </w:r>
            <w:r>
              <w:rPr>
                <w:sz w:val="24"/>
                <w:szCs w:val="24"/>
              </w:rPr>
              <w:t>5</w:t>
            </w:r>
            <w:r w:rsidRPr="00302425">
              <w:rPr>
                <w:sz w:val="24"/>
                <w:szCs w:val="24"/>
              </w:rPr>
              <w:t>)</w:t>
            </w:r>
          </w:p>
        </w:tc>
      </w:tr>
    </w:tbl>
    <w:p w14:paraId="4053B488" w14:textId="77777777" w:rsidR="002E22DA" w:rsidRPr="00491DA6" w:rsidRDefault="002E22DA" w:rsidP="002E22DA">
      <w:pPr>
        <w:spacing w:after="100" w:afterAutospacing="1"/>
        <w:ind w:left="720"/>
        <w:rPr>
          <w:rFonts w:eastAsia="Times New Roman"/>
          <w:sz w:val="24"/>
          <w:szCs w:val="24"/>
        </w:rPr>
      </w:pPr>
      <w:r w:rsidRPr="00491DA6">
        <w:rPr>
          <w:rFonts w:eastAsia="Times New Roman"/>
          <w:sz w:val="24"/>
          <w:szCs w:val="24"/>
        </w:rPr>
        <w:t xml:space="preserve">For a metalens working at infinite conjugate, </w:t>
      </w:r>
      <w:r w:rsidRPr="00A73480">
        <w:rPr>
          <w:rFonts w:eastAsia="Times New Roman"/>
          <w:i/>
          <w:iCs/>
          <w:sz w:val="24"/>
          <w:szCs w:val="24"/>
        </w:rPr>
        <w:t>ϕ</w:t>
      </w:r>
      <w:r>
        <w:rPr>
          <w:rFonts w:eastAsia="Times New Roman"/>
          <w:sz w:val="24"/>
          <w:szCs w:val="24"/>
        </w:rPr>
        <w:t xml:space="preserve"> </w:t>
      </w:r>
      <w:r w:rsidRPr="00491DA6">
        <w:rPr>
          <w:rFonts w:eastAsia="Times New Roman"/>
          <w:sz w:val="24"/>
          <w:szCs w:val="24"/>
        </w:rPr>
        <w:t xml:space="preserve">is the field angle of the lens, and </w:t>
      </w:r>
      <w:r w:rsidRPr="00A73480">
        <w:rPr>
          <w:rFonts w:eastAsia="Times New Roman"/>
          <w:i/>
          <w:iCs/>
          <w:sz w:val="24"/>
          <w:szCs w:val="24"/>
        </w:rPr>
        <w:t>n</w:t>
      </w:r>
      <w:r w:rsidRPr="00491DA6">
        <w:rPr>
          <w:rFonts w:eastAsia="Times New Roman"/>
          <w:sz w:val="24"/>
          <w:szCs w:val="24"/>
        </w:rPr>
        <w:t xml:space="preserve"> is the refractive index of the substrate.</w:t>
      </w:r>
    </w:p>
    <w:p w14:paraId="664197FA" w14:textId="77777777" w:rsidR="002E22DA" w:rsidRDefault="002E22DA" w:rsidP="002E22DA">
      <w:pPr>
        <w:pStyle w:val="Subtitle"/>
        <w:rPr>
          <w:rFonts w:eastAsia="Times New Roman"/>
        </w:rPr>
      </w:pPr>
      <w:r w:rsidRPr="0049091C">
        <w:rPr>
          <w:rFonts w:eastAsia="Times New Roman"/>
        </w:rPr>
        <w:t>Phase sampling criterion</w:t>
      </w:r>
    </w:p>
    <w:p w14:paraId="7D70321A" w14:textId="3EF05FA7" w:rsidR="002E22DA" w:rsidRDefault="002E22DA" w:rsidP="002E22DA">
      <w:pPr>
        <w:spacing w:after="100" w:afterAutospacing="1"/>
        <w:ind w:left="720"/>
        <w:jc w:val="both"/>
        <w:rPr>
          <w:rFonts w:eastAsia="Times New Roman"/>
          <w:sz w:val="24"/>
          <w:szCs w:val="24"/>
        </w:rPr>
      </w:pPr>
      <w:r w:rsidRPr="000F14EA">
        <w:rPr>
          <w:rFonts w:eastAsia="Times New Roman"/>
          <w:sz w:val="24"/>
          <w:szCs w:val="24"/>
        </w:rPr>
        <w:t xml:space="preserve">The diffraction </w:t>
      </w:r>
      <w:r w:rsidRPr="00A460BF">
        <w:rPr>
          <w:rFonts w:eastAsia="Times New Roman"/>
          <w:sz w:val="24"/>
          <w:szCs w:val="24"/>
        </w:rPr>
        <w:t xml:space="preserve">efficiency of a multilevel phase grating </w:t>
      </w:r>
      <w:r w:rsidRPr="000F14EA">
        <w:rPr>
          <w:rFonts w:eastAsia="Times New Roman"/>
          <w:sz w:val="24"/>
          <w:szCs w:val="24"/>
        </w:rPr>
        <w:t>is given by</w:t>
      </w:r>
      <w:r>
        <w:rPr>
          <w:rFonts w:eastAsia="Times New Roman"/>
          <w:sz w:val="24"/>
          <w:szCs w:val="24"/>
        </w:rPr>
        <w:t xml:space="preserve"> </w:t>
      </w:r>
      <w:r w:rsidRPr="00B60F81">
        <w:rPr>
          <w:rFonts w:eastAsia="Times New Roman"/>
          <w:noProof/>
          <w:position w:val="-14"/>
          <w:sz w:val="24"/>
          <w:szCs w:val="24"/>
        </w:rPr>
        <w:object w:dxaOrig="1579" w:dyaOrig="400" w14:anchorId="2E402CB3">
          <v:shape id="_x0000_i1031" type="#_x0000_t75" alt="" style="width:77.5pt;height:20.5pt;mso-width-percent:0;mso-height-percent:0;mso-width-percent:0;mso-height-percent:0" o:ole="">
            <v:imagedata r:id="rId21" o:title=""/>
          </v:shape>
          <o:OLEObject Type="Embed" ProgID="Equation.DSMT4" ShapeID="_x0000_i1031" DrawAspect="Content" ObjectID="_1625466459" r:id="rId22"/>
        </w:object>
      </w:r>
      <w:r w:rsidRPr="000F14EA">
        <w:rPr>
          <w:rFonts w:eastAsia="Times New Roman"/>
          <w:sz w:val="24"/>
          <w:szCs w:val="24"/>
        </w:rPr>
        <w:t>, where N is the n</w:t>
      </w:r>
      <w:r>
        <w:rPr>
          <w:rFonts w:eastAsia="Times New Roman"/>
          <w:sz w:val="24"/>
          <w:szCs w:val="24"/>
        </w:rPr>
        <w:t>umber</w:t>
      </w:r>
      <w:r w:rsidRPr="000F14EA">
        <w:rPr>
          <w:rFonts w:eastAsia="Times New Roman"/>
          <w:sz w:val="24"/>
          <w:szCs w:val="24"/>
        </w:rPr>
        <w:t xml:space="preserve"> of phase levels, and </w:t>
      </w:r>
      <w:r>
        <w:rPr>
          <w:rFonts w:eastAsia="Times New Roman"/>
          <w:sz w:val="24"/>
          <w:szCs w:val="24"/>
        </w:rPr>
        <w:t xml:space="preserve">the </w:t>
      </w:r>
      <w:r w:rsidRPr="000F14EA">
        <w:rPr>
          <w:rFonts w:eastAsia="Times New Roman"/>
          <w:sz w:val="24"/>
          <w:szCs w:val="24"/>
        </w:rPr>
        <w:t xml:space="preserve">sinc </w:t>
      </w:r>
      <w:r>
        <w:rPr>
          <w:rFonts w:eastAsia="Times New Roman"/>
          <w:sz w:val="24"/>
          <w:szCs w:val="24"/>
        </w:rPr>
        <w:t xml:space="preserve">function </w:t>
      </w:r>
      <w:r w:rsidRPr="000F14EA">
        <w:rPr>
          <w:rFonts w:eastAsia="Times New Roman"/>
          <w:sz w:val="24"/>
          <w:szCs w:val="24"/>
        </w:rPr>
        <w:t xml:space="preserve">is defined </w:t>
      </w:r>
      <w:r>
        <w:rPr>
          <w:rFonts w:eastAsia="Times New Roman"/>
          <w:sz w:val="24"/>
          <w:szCs w:val="24"/>
        </w:rPr>
        <w:t xml:space="preserve">as </w:t>
      </w:r>
      <w:r w:rsidRPr="00B60F81">
        <w:rPr>
          <w:rFonts w:eastAsia="Times New Roman"/>
          <w:noProof/>
          <w:position w:val="-14"/>
          <w:sz w:val="24"/>
          <w:szCs w:val="24"/>
        </w:rPr>
        <w:object w:dxaOrig="2340" w:dyaOrig="400" w14:anchorId="6EFFA9EA">
          <v:shape id="_x0000_i1032" type="#_x0000_t75" alt="" style="width:117pt;height:20.5pt;mso-width-percent:0;mso-height-percent:0;mso-width-percent:0;mso-height-percent:0" o:ole="">
            <v:imagedata r:id="rId23" o:title=""/>
          </v:shape>
          <o:OLEObject Type="Embed" ProgID="Equation.DSMT4" ShapeID="_x0000_i1032" DrawAspect="Content" ObjectID="_1625466460" r:id="rId24"/>
        </w:object>
      </w:r>
      <w:r>
        <w:rPr>
          <w:rFonts w:eastAsia="Times New Roman"/>
          <w:sz w:val="24"/>
          <w:szCs w:val="24"/>
        </w:rPr>
        <w:fldChar w:fldCharType="begin" w:fldLock="1"/>
      </w:r>
      <w:r w:rsidR="00571114">
        <w:rPr>
          <w:rFonts w:eastAsia="Times New Roman"/>
          <w:sz w:val="24"/>
          <w:szCs w:val="24"/>
        </w:rPr>
        <w:instrText>ADDIN CSL_CITATION {"citationItems":[{"id":"ITEM-1","itemData":{"DOI":"10.1080/095003498151041","ISBN":"0819451711","ISSN":"0950-0340","abstract":"This book provides the reader with the broad range of materials that were discussed in a series of short courses presented at Georgia Tech on the design, fabrication, and testing of diffractive optical elements (DOEs). Although there are not long derivations or detailed methods for specific engineering calculations, the reader should be familiar and comfortable with basic computational techniques. This text is not a 'cookbook' for producing DOEs, but it should provide readers with sufficient information to assess whether this technology would benefit their work, and to understand the requirements for using the concepts and techniques presented by the authors.","author":[{"dropping-particle":"","family":"O'Shea","given":"Donald D","non-dropping-particle":"","parse-names":false,"suffix":""},{"dropping-particle":"","family":"Suleski","given":"Thomas J","non-dropping-particle":"","parse-names":false,"suffix":""},{"dropping-particle":"","family":"Kathman","given":"Alan D","non-dropping-particle":"","parse-names":false,"suffix":""},{"dropping-particle":"","family":"Praather","given":"Dennis W","non-dropping-particle":"","parse-names":false,"suffix":""}],"container-title":"Diffractive Optics","id":"ITEM-1","issued":{"date-parts":[["2003"]]},"publisher":"SPIE Press","publisher-place":"Bellingham, Washington","title":"Diffractive Optics","type":"book"},"uris":["http://www.mendeley.com/documents/?uuid=15fcc656-101e-470d-acad-b24dfaef440e"]}],"mendeley":{"formattedCitation":" [5]","plainTextFormattedCitation":" [5]","previouslyFormattedCitation":" [5]"},"properties":{"noteIndex":0},"schema":"https://github.com/citation-style-language/schema/raw/master/csl-citation.json"}</w:instrText>
      </w:r>
      <w:r>
        <w:rPr>
          <w:rFonts w:eastAsia="Times New Roman"/>
          <w:sz w:val="24"/>
          <w:szCs w:val="24"/>
        </w:rPr>
        <w:fldChar w:fldCharType="separate"/>
      </w:r>
      <w:r w:rsidR="00571114" w:rsidRPr="00571114">
        <w:rPr>
          <w:rFonts w:eastAsia="Times New Roman"/>
          <w:noProof/>
          <w:sz w:val="24"/>
          <w:szCs w:val="24"/>
        </w:rPr>
        <w:t> [5]</w:t>
      </w:r>
      <w:r>
        <w:rPr>
          <w:rFonts w:eastAsia="Times New Roman"/>
          <w:sz w:val="24"/>
          <w:szCs w:val="24"/>
        </w:rPr>
        <w:fldChar w:fldCharType="end"/>
      </w:r>
      <w:r>
        <w:rPr>
          <w:rFonts w:eastAsia="Times New Roman"/>
          <w:sz w:val="24"/>
          <w:szCs w:val="24"/>
        </w:rPr>
        <w:t xml:space="preserve">. From here we obtain an efficiency of 40.5% for two phase levels, 81% for 4 levels, and 95% for 8 levels. In the case of a metalens, we have a varying phase function period, so we must decide what our sampling criterion is. In </w:t>
      </w:r>
      <w:r>
        <w:rPr>
          <w:rFonts w:eastAsia="Times New Roman"/>
          <w:sz w:val="24"/>
          <w:szCs w:val="24"/>
        </w:rPr>
        <w:fldChar w:fldCharType="begin" w:fldLock="1"/>
      </w:r>
      <w:r w:rsidR="00571114">
        <w:rPr>
          <w:rFonts w:eastAsia="Times New Roman"/>
          <w:sz w:val="24"/>
          <w:szCs w:val="24"/>
        </w:rPr>
        <w:instrText>ADDIN CSL_CITATION {"citationItems":[{"id":"ITEM-1","itemData":{"DOI":"10.1021/acs.nanolett.7b00717","ISSN":"15306992","abstract":"Immersion objectives can focus light into a spot smaller than what is achievable in free space, thereby enhancing the spatial resolution for various applications such as microscopy, spectroscopy, and lithography. Despite the availability of advanced lens polishing techniques, hand-polishing is still required to manufacture the front lens of a high-end immersion objective, which poses major constraints for lens design. This limits the shape of the front lens to spherical. Therefore, several other lenses need to be cascaded to correct for spherical aberration, resulting in significant challenges for miniaturization and adding design complexity for different immersion liquids. Here, by using metasurfaces, we demonstrate liquid immersion meta-lenses free of spherical aberration at various design wavelengths in the visible spectrum. We report water and oil immersion meta-lenses of various numerical apertures (NA) up to 1.1 and show that their measured focal spot sizes are diffraction-limited with Strehl ratios of approximately 0.9 at 532 nm. By integrating the oil immersion meta-lens (NA = 1.1) into a commercial scanning confocal microscope, we achieve an imaging spatial resolution of approximately 200 nm. These meta-lenses can be easily adapted to focus light through multilayers of different refractive indices and mass-produced using modern industrial manufacturing or nanoimprint techniques, leading to cost-effective high-end optics.","author":[{"dropping-particle":"","family":"Chen","given":"Wei Ting","non-dropping-particle":"","parse-names":false,"suffix":""},{"dropping-particle":"","family":"Zhu","given":"Alexander Y.","non-dropping-particle":"","parse-names":false,"suffix":""},{"dropping-particle":"","family":"Khorasaninejad","given":"Mohammadreza","non-dropping-particle":"","parse-names":false,"suffix":""},{"dropping-particle":"","family":"Shi","given":"Zhujun","non-dropping-particle":"","parse-names":false,"suffix":""},{"dropping-particle":"","family":"Sanjeev","given":"Vyshakh","non-dropping-particle":"","parse-names":false,"suffix":""},{"dropping-particle":"","family":"Capasso","given":"Federico","non-dropping-particle":"","parse-names":false,"suffix":""}],"container-title":"Nano Letters","id":"ITEM-1","issue":"5","issued":{"date-parts":[["2017"]]},"page":"3188-3194","title":"Immersion Meta-Lenses at Visible Wavelengths for Nanoscale Imaging","type":"article-journal","volume":"17"},"uris":["http://www.mendeley.com/documents/?uuid=a83ccbd4-5bc8-42ff-b2e3-8e32bfe6c04f"]}],"mendeley":{"formattedCitation":" [2]","plainTextFormattedCitation":" [2]","previouslyFormattedCitation":" [2]"},"properties":{"noteIndex":0},"schema":"https://github.com/citation-style-language/schema/raw/master/csl-citation.json"}</w:instrText>
      </w:r>
      <w:r>
        <w:rPr>
          <w:rFonts w:eastAsia="Times New Roman"/>
          <w:sz w:val="24"/>
          <w:szCs w:val="24"/>
        </w:rPr>
        <w:fldChar w:fldCharType="separate"/>
      </w:r>
      <w:r w:rsidR="00571114" w:rsidRPr="00571114">
        <w:rPr>
          <w:rFonts w:eastAsia="Times New Roman"/>
          <w:noProof/>
          <w:sz w:val="24"/>
          <w:szCs w:val="24"/>
        </w:rPr>
        <w:t> [2]</w:t>
      </w:r>
      <w:r>
        <w:rPr>
          <w:rFonts w:eastAsia="Times New Roman"/>
          <w:sz w:val="24"/>
          <w:szCs w:val="24"/>
        </w:rPr>
        <w:fldChar w:fldCharType="end"/>
      </w:r>
      <w:r>
        <w:rPr>
          <w:rFonts w:eastAsia="Times New Roman"/>
          <w:sz w:val="24"/>
          <w:szCs w:val="24"/>
        </w:rPr>
        <w:t xml:space="preserve"> the criterion used is “Nyquist” level sampling at the edge of the metalens, i.e. 2 phase samples at the edge of the lens, where the period is smallest. Since two phase levels provide only 40.5% efficiency we preferred to use a criterion of 4 phase samples</w:t>
      </w:r>
      <w:r>
        <w:rPr>
          <w:rFonts w:eastAsia="Times New Roman"/>
          <w:sz w:val="24"/>
          <w:szCs w:val="24"/>
        </w:rPr>
        <w:fldChar w:fldCharType="begin" w:fldLock="1"/>
      </w:r>
      <w:r w:rsidR="00571114">
        <w:rPr>
          <w:rFonts w:eastAsia="Times New Roman"/>
          <w:sz w:val="24"/>
          <w:szCs w:val="24"/>
        </w:rPr>
        <w:instrText>ADDIN CSL_CITATION {"citationItems":[{"id":"ITEM-1","itemData":{"DOI":"10.1002/lpor.201600295","author":[{"dropping-particle":"","family":"Lalanne","given":"Philippe","non-dropping-particle":"","parse-names":false,"suffix":""},{"dropping-particle":"","family":"Chavel","given":"Pierre","non-dropping-particle":"","parse-names":false,"suffix":""}],"container-title":"Laser Photonics Reviews","id":"ITEM-1","issue":"3","issued":{"date-parts":[["2017"]]},"page":"1600295","title":"Metalenses at visible wavelengths : past , present , perspectives","type":"article-journal","volume":"11"},"uris":["http://www.mendeley.com/documents/?uuid=18bc4c99-db7b-4b7f-8016-5996886e3a8b"]}],"mendeley":{"formattedCitation":" [6]","plainTextFormattedCitation":" [6]","previouslyFormattedCitation":" [6]"},"properties":{"noteIndex":0},"schema":"https://github.com/citation-style-language/schema/raw/master/csl-citation.json"}</w:instrText>
      </w:r>
      <w:r>
        <w:rPr>
          <w:rFonts w:eastAsia="Times New Roman"/>
          <w:sz w:val="24"/>
          <w:szCs w:val="24"/>
        </w:rPr>
        <w:fldChar w:fldCharType="separate"/>
      </w:r>
      <w:r w:rsidR="00571114" w:rsidRPr="00571114">
        <w:rPr>
          <w:rFonts w:eastAsia="Times New Roman"/>
          <w:noProof/>
          <w:sz w:val="24"/>
          <w:szCs w:val="24"/>
        </w:rPr>
        <w:t> [6]</w:t>
      </w:r>
      <w:r>
        <w:rPr>
          <w:rFonts w:eastAsia="Times New Roman"/>
          <w:sz w:val="24"/>
          <w:szCs w:val="24"/>
        </w:rPr>
        <w:fldChar w:fldCharType="end"/>
      </w:r>
      <w:r>
        <w:rPr>
          <w:rFonts w:eastAsia="Times New Roman"/>
          <w:sz w:val="24"/>
          <w:szCs w:val="24"/>
        </w:rPr>
        <w:t>.</w:t>
      </w:r>
    </w:p>
    <w:p w14:paraId="543EF8F2" w14:textId="2692562C" w:rsidR="002E22DA" w:rsidRDefault="002E22DA" w:rsidP="002E22DA">
      <w:pPr>
        <w:spacing w:after="100" w:afterAutospacing="1"/>
        <w:ind w:left="720"/>
        <w:jc w:val="both"/>
        <w:rPr>
          <w:rFonts w:eastAsia="Times New Roman"/>
          <w:sz w:val="24"/>
          <w:szCs w:val="24"/>
        </w:rPr>
      </w:pPr>
      <w:r>
        <w:rPr>
          <w:rFonts w:eastAsia="Times New Roman"/>
          <w:sz w:val="24"/>
          <w:szCs w:val="24"/>
        </w:rPr>
        <w:t>The maximum lattice period from the phase sampling point-of-view, can be found based on the phase function of the metalens. The local grating period of a first-order diffractive lens is given by</w:t>
      </w:r>
      <w:r>
        <w:rPr>
          <w:rFonts w:eastAsia="Times New Roman"/>
          <w:sz w:val="24"/>
          <w:szCs w:val="24"/>
        </w:rPr>
        <w:fldChar w:fldCharType="begin" w:fldLock="1"/>
      </w:r>
      <w:r w:rsidR="00571114">
        <w:rPr>
          <w:rFonts w:eastAsia="Times New Roman"/>
          <w:sz w:val="24"/>
          <w:szCs w:val="24"/>
        </w:rPr>
        <w:instrText>ADDIN CSL_CITATION {"citationItems":[{"id":"ITEM-1","itemData":{"id":"ITEM-1","issued":{"date-parts":[["2011"]]},"publisher":"Lambda Reseach Corp.","publisher-place":"Littleton, MA","title":"Oslo Optics Reference","type":"book"},"uris":["http://www.mendeley.com/documents/?uuid=d5e81267-c3f9-46be-9d5c-55e894c8f2e7"]}],"mendeley":{"formattedCitation":" [7]","plainTextFormattedCitation":" [7]","previouslyFormattedCitation":" [7]"},"properties":{"noteIndex":0},"schema":"https://github.com/citation-style-language/schema/raw/master/csl-citation.json"}</w:instrText>
      </w:r>
      <w:r>
        <w:rPr>
          <w:rFonts w:eastAsia="Times New Roman"/>
          <w:sz w:val="24"/>
          <w:szCs w:val="24"/>
        </w:rPr>
        <w:fldChar w:fldCharType="separate"/>
      </w:r>
      <w:r w:rsidR="00571114" w:rsidRPr="00571114">
        <w:rPr>
          <w:rFonts w:eastAsia="Times New Roman"/>
          <w:noProof/>
          <w:sz w:val="24"/>
          <w:szCs w:val="24"/>
        </w:rPr>
        <w:t> [7]</w:t>
      </w:r>
      <w:r>
        <w:rPr>
          <w:rFonts w:eastAsia="Times New Roman"/>
          <w:sz w:val="24"/>
          <w:szCs w:val="24"/>
        </w:rPr>
        <w:fldChar w:fldCharType="end"/>
      </w:r>
      <w:r>
        <w:rPr>
          <w:rFonts w:eastAsia="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7376"/>
        <w:gridCol w:w="1216"/>
      </w:tblGrid>
      <w:tr w:rsidR="002E22DA" w:rsidRPr="00302425" w14:paraId="467CF67E" w14:textId="77777777" w:rsidTr="008D2CB4">
        <w:tc>
          <w:tcPr>
            <w:tcW w:w="776" w:type="dxa"/>
          </w:tcPr>
          <w:p w14:paraId="0EE12C2A" w14:textId="77777777" w:rsidR="002E22DA" w:rsidRPr="00302425" w:rsidRDefault="002E22DA" w:rsidP="008D2CB4">
            <w:pPr>
              <w:spacing w:after="100" w:afterAutospacing="1"/>
              <w:ind w:left="720"/>
              <w:rPr>
                <w:sz w:val="24"/>
                <w:szCs w:val="24"/>
              </w:rPr>
            </w:pPr>
          </w:p>
        </w:tc>
        <w:tc>
          <w:tcPr>
            <w:tcW w:w="7455" w:type="dxa"/>
          </w:tcPr>
          <w:p w14:paraId="6F680F56" w14:textId="77777777" w:rsidR="002E22DA" w:rsidRPr="002C4F19" w:rsidRDefault="002E22DA" w:rsidP="008D2CB4">
            <w:pPr>
              <w:ind w:left="720"/>
              <w:jc w:val="center"/>
              <w:rPr>
                <w:rFonts w:eastAsiaTheme="minorEastAsia"/>
              </w:rPr>
            </w:pPr>
            <w:r w:rsidRPr="00B60F81">
              <w:rPr>
                <w:noProof/>
                <w:position w:val="-28"/>
                <w:sz w:val="24"/>
                <w:szCs w:val="24"/>
              </w:rPr>
              <w:object w:dxaOrig="1160" w:dyaOrig="660" w14:anchorId="61265C82">
                <v:shape id="_x0000_i1033" type="#_x0000_t75" alt="" style="width:58.5pt;height:32.5pt;mso-width-percent:0;mso-height-percent:0;mso-width-percent:0;mso-height-percent:0" o:ole="">
                  <v:imagedata r:id="rId25" o:title=""/>
                </v:shape>
                <o:OLEObject Type="Embed" ProgID="Equation.DSMT4" ShapeID="_x0000_i1033" DrawAspect="Content" ObjectID="_1625466461" r:id="rId26"/>
              </w:object>
            </w:r>
          </w:p>
        </w:tc>
        <w:tc>
          <w:tcPr>
            <w:tcW w:w="1216" w:type="dxa"/>
            <w:vAlign w:val="center"/>
          </w:tcPr>
          <w:p w14:paraId="06214C68" w14:textId="77777777" w:rsidR="002E22DA" w:rsidRPr="00302425" w:rsidRDefault="002E22DA" w:rsidP="008D2CB4">
            <w:pPr>
              <w:spacing w:after="100" w:afterAutospacing="1"/>
              <w:ind w:left="720"/>
              <w:rPr>
                <w:sz w:val="24"/>
                <w:szCs w:val="24"/>
              </w:rPr>
            </w:pPr>
            <w:r w:rsidRPr="00302425">
              <w:rPr>
                <w:sz w:val="24"/>
                <w:szCs w:val="24"/>
              </w:rPr>
              <w:t>(</w:t>
            </w:r>
            <w:r>
              <w:rPr>
                <w:sz w:val="24"/>
                <w:szCs w:val="24"/>
              </w:rPr>
              <w:t>6)</w:t>
            </w:r>
          </w:p>
        </w:tc>
      </w:tr>
    </w:tbl>
    <w:p w14:paraId="430908E7" w14:textId="77777777" w:rsidR="002E22DA" w:rsidRDefault="002E22DA" w:rsidP="002E22DA">
      <w:pPr>
        <w:spacing w:after="100" w:afterAutospacing="1"/>
        <w:ind w:left="720"/>
        <w:jc w:val="both"/>
        <w:rPr>
          <w:rFonts w:eastAsia="Times New Roman"/>
          <w:sz w:val="24"/>
          <w:szCs w:val="24"/>
        </w:rPr>
      </w:pPr>
      <w:r>
        <w:rPr>
          <w:rFonts w:eastAsia="Times New Roman"/>
          <w:sz w:val="24"/>
          <w:szCs w:val="24"/>
        </w:rPr>
        <w:t xml:space="preserve">Where </w:t>
      </w:r>
      <w:r w:rsidRPr="00000F4F">
        <w:rPr>
          <w:rFonts w:eastAsia="Times New Roman"/>
          <w:i/>
          <w:iCs/>
          <w:sz w:val="24"/>
          <w:szCs w:val="24"/>
        </w:rPr>
        <w:t>ϕ(r)</w:t>
      </w:r>
      <w:r w:rsidRPr="00A460BF">
        <w:rPr>
          <w:rFonts w:eastAsia="Times New Roman"/>
          <w:sz w:val="24"/>
          <w:szCs w:val="24"/>
        </w:rPr>
        <w:t xml:space="preserve"> </w:t>
      </w:r>
      <w:r>
        <w:rPr>
          <w:rFonts w:eastAsia="Times New Roman"/>
          <w:sz w:val="24"/>
          <w:szCs w:val="24"/>
        </w:rPr>
        <w:t>is the radial phase function of the lens, which in the case of our metalens is given by eq. 1. Substituting from eq. 1 into eq. 6 we obtain eq.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7376"/>
        <w:gridCol w:w="1216"/>
      </w:tblGrid>
      <w:tr w:rsidR="002E22DA" w:rsidRPr="00302425" w14:paraId="7814C796" w14:textId="77777777" w:rsidTr="008D2CB4">
        <w:tc>
          <w:tcPr>
            <w:tcW w:w="776" w:type="dxa"/>
          </w:tcPr>
          <w:p w14:paraId="4CA76A8C" w14:textId="77777777" w:rsidR="002E22DA" w:rsidRPr="00302425" w:rsidRDefault="002E22DA" w:rsidP="008D2CB4">
            <w:pPr>
              <w:spacing w:after="100" w:afterAutospacing="1"/>
              <w:ind w:left="720"/>
              <w:rPr>
                <w:sz w:val="24"/>
                <w:szCs w:val="24"/>
              </w:rPr>
            </w:pPr>
          </w:p>
        </w:tc>
        <w:tc>
          <w:tcPr>
            <w:tcW w:w="7455" w:type="dxa"/>
          </w:tcPr>
          <w:p w14:paraId="4DAF5486" w14:textId="77777777" w:rsidR="002E22DA" w:rsidRPr="002C4F19" w:rsidRDefault="002E22DA" w:rsidP="008D2CB4">
            <w:pPr>
              <w:ind w:left="720"/>
              <w:jc w:val="center"/>
              <w:rPr>
                <w:rFonts w:eastAsiaTheme="minorEastAsia"/>
              </w:rPr>
            </w:pPr>
            <w:r w:rsidRPr="00B60F81">
              <w:rPr>
                <w:noProof/>
                <w:position w:val="-24"/>
                <w:sz w:val="24"/>
                <w:szCs w:val="24"/>
              </w:rPr>
              <w:object w:dxaOrig="740" w:dyaOrig="620" w14:anchorId="17B7D3A7">
                <v:shape id="_x0000_i1034" type="#_x0000_t75" alt="" style="width:36pt;height:32pt;mso-width-percent:0;mso-height-percent:0;mso-width-percent:0;mso-height-percent:0" o:ole="">
                  <v:imagedata r:id="rId27" o:title=""/>
                </v:shape>
                <o:OLEObject Type="Embed" ProgID="Equation.DSMT4" ShapeID="_x0000_i1034" DrawAspect="Content" ObjectID="_1625466462" r:id="rId28"/>
              </w:object>
            </w:r>
          </w:p>
        </w:tc>
        <w:tc>
          <w:tcPr>
            <w:tcW w:w="1216" w:type="dxa"/>
            <w:vAlign w:val="center"/>
          </w:tcPr>
          <w:p w14:paraId="5A4A8673" w14:textId="77777777" w:rsidR="002E22DA" w:rsidRPr="00302425" w:rsidRDefault="002E22DA" w:rsidP="008D2CB4">
            <w:pPr>
              <w:spacing w:after="100" w:afterAutospacing="1"/>
              <w:ind w:left="720"/>
              <w:rPr>
                <w:sz w:val="24"/>
                <w:szCs w:val="24"/>
              </w:rPr>
            </w:pPr>
            <w:r w:rsidRPr="00302425">
              <w:rPr>
                <w:sz w:val="24"/>
                <w:szCs w:val="24"/>
              </w:rPr>
              <w:t>(</w:t>
            </w:r>
            <w:r>
              <w:rPr>
                <w:sz w:val="24"/>
                <w:szCs w:val="24"/>
              </w:rPr>
              <w:t>7)</w:t>
            </w:r>
          </w:p>
        </w:tc>
      </w:tr>
    </w:tbl>
    <w:p w14:paraId="5039AF37" w14:textId="67A288F1" w:rsidR="002E22DA" w:rsidRDefault="002E22DA" w:rsidP="002E22DA">
      <w:pPr>
        <w:spacing w:after="100" w:afterAutospacing="1"/>
        <w:ind w:left="720"/>
        <w:jc w:val="both"/>
        <w:rPr>
          <w:rFonts w:eastAsia="Times New Roman"/>
          <w:sz w:val="24"/>
          <w:szCs w:val="24"/>
        </w:rPr>
      </w:pPr>
      <w:r>
        <w:rPr>
          <w:rFonts w:eastAsia="Times New Roman"/>
          <w:sz w:val="24"/>
          <w:szCs w:val="24"/>
        </w:rPr>
        <w:lastRenderedPageBreak/>
        <w:t xml:space="preserve">To find the minimum period </w:t>
      </w:r>
      <w:r w:rsidRPr="007C18C5">
        <w:rPr>
          <w:rFonts w:eastAsia="Times New Roman"/>
          <w:i/>
          <w:iCs/>
          <w:sz w:val="24"/>
          <w:szCs w:val="24"/>
        </w:rPr>
        <w:t>p</w:t>
      </w:r>
      <w:r>
        <w:rPr>
          <w:rFonts w:eastAsia="Times New Roman"/>
          <w:sz w:val="24"/>
          <w:szCs w:val="24"/>
          <w:vertAlign w:val="subscript"/>
        </w:rPr>
        <w:t>min</w:t>
      </w:r>
      <w:r>
        <w:rPr>
          <w:rFonts w:eastAsia="Times New Roman"/>
          <w:sz w:val="24"/>
          <w:szCs w:val="24"/>
        </w:rPr>
        <w:t xml:space="preserve"> we must substitute the maximum aperture radius </w:t>
      </w:r>
      <w:r w:rsidRPr="00000F4F">
        <w:rPr>
          <w:rFonts w:eastAsia="Times New Roman"/>
          <w:i/>
          <w:iCs/>
          <w:sz w:val="24"/>
          <w:szCs w:val="24"/>
        </w:rPr>
        <w:t>r</w:t>
      </w:r>
      <w:r>
        <w:rPr>
          <w:rFonts w:eastAsia="Times New Roman"/>
          <w:sz w:val="24"/>
          <w:szCs w:val="24"/>
        </w:rPr>
        <w:t xml:space="preserve"> of the metalens. In our case, with the stop located at the lens front focal plane, this is given by eq. </w:t>
      </w:r>
      <w:r w:rsidR="00000F4F">
        <w:rPr>
          <w:rFonts w:eastAsia="Times New Roman"/>
          <w:sz w:val="24"/>
          <w:szCs w:val="24"/>
        </w:rPr>
        <w:t>8</w:t>
      </w:r>
      <w:r>
        <w:rPr>
          <w:rFonts w:eastAsia="Times New Roman"/>
          <w:sz w:val="24"/>
          <w:szCs w:val="24"/>
        </w:rPr>
        <w:t xml:space="preserve"> (see fig. S4):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7377"/>
        <w:gridCol w:w="1216"/>
      </w:tblGrid>
      <w:tr w:rsidR="002E22DA" w:rsidRPr="00302425" w14:paraId="5C194085" w14:textId="77777777" w:rsidTr="008D2CB4">
        <w:tc>
          <w:tcPr>
            <w:tcW w:w="776" w:type="dxa"/>
          </w:tcPr>
          <w:p w14:paraId="5003B635" w14:textId="77777777" w:rsidR="002E22DA" w:rsidRPr="00302425" w:rsidRDefault="002E22DA" w:rsidP="008D2CB4">
            <w:pPr>
              <w:spacing w:after="100" w:afterAutospacing="1"/>
              <w:ind w:left="720"/>
              <w:rPr>
                <w:sz w:val="24"/>
                <w:szCs w:val="24"/>
              </w:rPr>
            </w:pPr>
          </w:p>
        </w:tc>
        <w:tc>
          <w:tcPr>
            <w:tcW w:w="7455" w:type="dxa"/>
          </w:tcPr>
          <w:p w14:paraId="3971F84E" w14:textId="77777777" w:rsidR="002E22DA" w:rsidRPr="002C4F19" w:rsidRDefault="002E22DA" w:rsidP="008D2CB4">
            <w:pPr>
              <w:ind w:left="720"/>
              <w:jc w:val="center"/>
              <w:rPr>
                <w:rFonts w:eastAsiaTheme="minorEastAsia"/>
              </w:rPr>
            </w:pPr>
            <w:r w:rsidRPr="00AD5D66">
              <w:rPr>
                <w:noProof/>
                <w:position w:val="-14"/>
              </w:rPr>
              <w:object w:dxaOrig="1900" w:dyaOrig="380" w14:anchorId="023F5AC7">
                <v:shape id="_x0000_i1035" type="#_x0000_t75" alt="" style="width:96.5pt;height:19pt;mso-width-percent:0;mso-height-percent:0;mso-width-percent:0;mso-height-percent:0" o:ole="">
                  <v:imagedata r:id="rId29" o:title=""/>
                </v:shape>
                <o:OLEObject Type="Embed" ProgID="Equation.DSMT4" ShapeID="_x0000_i1035" DrawAspect="Content" ObjectID="_1625466463" r:id="rId30"/>
              </w:object>
            </w:r>
          </w:p>
        </w:tc>
        <w:tc>
          <w:tcPr>
            <w:tcW w:w="1216" w:type="dxa"/>
            <w:vAlign w:val="center"/>
          </w:tcPr>
          <w:p w14:paraId="644F9523" w14:textId="77777777" w:rsidR="002E22DA" w:rsidRPr="00302425" w:rsidRDefault="002E22DA" w:rsidP="008D2CB4">
            <w:pPr>
              <w:spacing w:after="100" w:afterAutospacing="1"/>
              <w:ind w:left="720"/>
              <w:rPr>
                <w:sz w:val="24"/>
                <w:szCs w:val="24"/>
              </w:rPr>
            </w:pPr>
            <w:r w:rsidRPr="00302425">
              <w:rPr>
                <w:sz w:val="24"/>
                <w:szCs w:val="24"/>
              </w:rPr>
              <w:t>(</w:t>
            </w:r>
            <w:r>
              <w:rPr>
                <w:sz w:val="24"/>
                <w:szCs w:val="24"/>
              </w:rPr>
              <w:t>8)</w:t>
            </w:r>
          </w:p>
        </w:tc>
      </w:tr>
    </w:tbl>
    <w:p w14:paraId="4FCD223B" w14:textId="77777777" w:rsidR="002E22DA" w:rsidRDefault="002E22DA" w:rsidP="002E22DA">
      <w:pPr>
        <w:spacing w:after="100" w:afterAutospacing="1"/>
        <w:ind w:left="720"/>
        <w:jc w:val="both"/>
        <w:rPr>
          <w:rFonts w:eastAsia="Times New Roman"/>
          <w:sz w:val="24"/>
          <w:szCs w:val="24"/>
        </w:rPr>
      </w:pPr>
      <w:r>
        <w:rPr>
          <w:rFonts w:eastAsia="Times New Roman"/>
          <w:sz w:val="24"/>
          <w:szCs w:val="24"/>
        </w:rPr>
        <w:t xml:space="preserve">Where </w:t>
      </w:r>
      <w:r w:rsidRPr="008145AE">
        <w:rPr>
          <w:rFonts w:eastAsia="Times New Roman"/>
          <w:i/>
          <w:iCs/>
          <w:sz w:val="24"/>
          <w:szCs w:val="24"/>
        </w:rPr>
        <w:t>f</w:t>
      </w:r>
      <w:r>
        <w:rPr>
          <w:rFonts w:eastAsia="Times New Roman"/>
          <w:sz w:val="24"/>
          <w:szCs w:val="24"/>
        </w:rPr>
        <w:t xml:space="preserve"> is the lens focal length, </w:t>
      </w:r>
      <w:r w:rsidRPr="008145AE">
        <w:rPr>
          <w:rFonts w:eastAsia="Times New Roman"/>
          <w:i/>
          <w:iCs/>
          <w:sz w:val="24"/>
          <w:szCs w:val="24"/>
        </w:rPr>
        <w:t>θ</w:t>
      </w:r>
      <w:r w:rsidRPr="00A460BF">
        <w:rPr>
          <w:rFonts w:eastAsia="Times New Roman"/>
          <w:sz w:val="24"/>
          <w:szCs w:val="24"/>
        </w:rPr>
        <w:t xml:space="preserve"> </w:t>
      </w:r>
      <w:r>
        <w:rPr>
          <w:rFonts w:eastAsia="Times New Roman"/>
          <w:sz w:val="24"/>
          <w:szCs w:val="24"/>
        </w:rPr>
        <w:t xml:space="preserve">the field-of-view angle, and </w:t>
      </w:r>
      <w:r w:rsidRPr="008145AE">
        <w:rPr>
          <w:rFonts w:eastAsia="Times New Roman"/>
          <w:i/>
          <w:iCs/>
          <w:sz w:val="24"/>
          <w:szCs w:val="24"/>
        </w:rPr>
        <w:t>r</w:t>
      </w:r>
      <w:r w:rsidRPr="008145AE">
        <w:rPr>
          <w:rFonts w:eastAsia="Times New Roman"/>
          <w:i/>
          <w:iCs/>
          <w:sz w:val="24"/>
          <w:szCs w:val="24"/>
          <w:vertAlign w:val="subscript"/>
        </w:rPr>
        <w:t>stop</w:t>
      </w:r>
      <w:r w:rsidRPr="00A460BF">
        <w:rPr>
          <w:rFonts w:eastAsia="Times New Roman"/>
          <w:sz w:val="24"/>
          <w:szCs w:val="24"/>
        </w:rPr>
        <w:t xml:space="preserve"> </w:t>
      </w:r>
      <w:r>
        <w:rPr>
          <w:rFonts w:eastAsia="Times New Roman"/>
          <w:sz w:val="24"/>
          <w:szCs w:val="24"/>
        </w:rPr>
        <w:t>is the radius of the aperture stop, in our case 1.35/2=0.675mm.</w:t>
      </w:r>
    </w:p>
    <w:p w14:paraId="0BA70B34" w14:textId="77777777" w:rsidR="002E22DA" w:rsidRDefault="002E22DA" w:rsidP="002E22DA">
      <w:pPr>
        <w:jc w:val="center"/>
      </w:pPr>
      <w:r>
        <w:rPr>
          <w:noProof/>
          <w:lang w:bidi="he-IL"/>
        </w:rPr>
        <w:drawing>
          <wp:inline distT="0" distB="0" distL="0" distR="0" wp14:anchorId="28080EDC" wp14:editId="582EC871">
            <wp:extent cx="3858895" cy="1942315"/>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alens off-axis geometry for lattice period.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8157" cy="1952010"/>
                    </a:xfrm>
                    <a:prstGeom prst="rect">
                      <a:avLst/>
                    </a:prstGeom>
                  </pic:spPr>
                </pic:pic>
              </a:graphicData>
            </a:graphic>
          </wp:inline>
        </w:drawing>
      </w:r>
    </w:p>
    <w:p w14:paraId="22656E3C" w14:textId="77777777" w:rsidR="002E22DA" w:rsidRPr="008E3B83" w:rsidRDefault="002E22DA" w:rsidP="002E22DA">
      <w:pPr>
        <w:pStyle w:val="VAFigureCaption"/>
        <w:jc w:val="center"/>
        <w:rPr>
          <w:sz w:val="20"/>
        </w:rPr>
      </w:pPr>
      <w:r w:rsidRPr="008E3B83">
        <w:rPr>
          <w:b/>
          <w:bCs/>
          <w:sz w:val="20"/>
        </w:rPr>
        <w:t xml:space="preserve">Fig. S4 </w:t>
      </w:r>
      <w:r w:rsidRPr="008E3B83">
        <w:rPr>
          <w:sz w:val="20"/>
        </w:rPr>
        <w:t>Geometry for wide-FOV metalens lattice period calculation</w:t>
      </w:r>
    </w:p>
    <w:p w14:paraId="20A4D3C4" w14:textId="5C83DC88" w:rsidR="002E22DA" w:rsidRDefault="002E22DA" w:rsidP="002E22DA">
      <w:pPr>
        <w:spacing w:after="100" w:afterAutospacing="1"/>
        <w:ind w:left="720"/>
        <w:jc w:val="both"/>
        <w:rPr>
          <w:rFonts w:eastAsia="Times New Roman"/>
          <w:sz w:val="24"/>
          <w:szCs w:val="24"/>
        </w:rPr>
      </w:pPr>
      <w:r>
        <w:rPr>
          <w:rFonts w:eastAsia="Times New Roman"/>
          <w:sz w:val="24"/>
          <w:szCs w:val="24"/>
        </w:rPr>
        <w:t xml:space="preserve">The required lattice period is then </w:t>
      </w:r>
      <w:r w:rsidR="005F4E07">
        <w:rPr>
          <w:rFonts w:eastAsia="Times New Roman"/>
          <w:sz w:val="24"/>
          <w:szCs w:val="24"/>
        </w:rPr>
        <w:t>one quarter</w:t>
      </w:r>
      <w:r>
        <w:rPr>
          <w:rFonts w:eastAsia="Times New Roman"/>
          <w:sz w:val="24"/>
          <w:szCs w:val="24"/>
        </w:rPr>
        <w:t xml:space="preserve"> of </w:t>
      </w:r>
      <w:r w:rsidRPr="007C18C5">
        <w:rPr>
          <w:rFonts w:eastAsia="Times New Roman"/>
          <w:i/>
          <w:iCs/>
          <w:sz w:val="24"/>
          <w:szCs w:val="24"/>
        </w:rPr>
        <w:t>p</w:t>
      </w:r>
      <w:r w:rsidRPr="007C18C5">
        <w:rPr>
          <w:rFonts w:eastAsia="Times New Roman"/>
          <w:sz w:val="24"/>
          <w:szCs w:val="24"/>
          <w:vertAlign w:val="subscript"/>
        </w:rPr>
        <w:t>min</w:t>
      </w:r>
      <w:r>
        <w:rPr>
          <w:rFonts w:eastAsia="Times New Roman"/>
          <w:sz w:val="24"/>
          <w:szCs w:val="24"/>
        </w:rPr>
        <w:t xml:space="preserve">, based on </w:t>
      </w:r>
      <w:r w:rsidR="005F4E07">
        <w:rPr>
          <w:rFonts w:eastAsia="Times New Roman"/>
          <w:sz w:val="24"/>
          <w:szCs w:val="24"/>
        </w:rPr>
        <w:t>our sampling</w:t>
      </w:r>
      <w:r>
        <w:rPr>
          <w:rFonts w:eastAsia="Times New Roman"/>
          <w:sz w:val="24"/>
          <w:szCs w:val="24"/>
        </w:rPr>
        <w:t xml:space="preserve"> criterion.</w:t>
      </w:r>
    </w:p>
    <w:p w14:paraId="6E5CD57A" w14:textId="77777777" w:rsidR="002E22DA" w:rsidRDefault="002E22DA" w:rsidP="002E22DA">
      <w:pPr>
        <w:spacing w:after="100" w:afterAutospacing="1"/>
        <w:ind w:left="720"/>
        <w:jc w:val="both"/>
        <w:rPr>
          <w:rFonts w:eastAsia="Times New Roman"/>
          <w:sz w:val="24"/>
          <w:szCs w:val="24"/>
        </w:rPr>
      </w:pPr>
      <w:r>
        <w:rPr>
          <w:rFonts w:eastAsia="Times New Roman"/>
          <w:sz w:val="24"/>
          <w:szCs w:val="24"/>
        </w:rPr>
        <w:t xml:space="preserve">The maximum lattice period, calculated based on the sub-wavelength and phase sampling considerations, is shown in fig. S5. The crossing point of the two graphs comes out at a field angle of 15˚ and lattice period of 455nm. </w:t>
      </w:r>
    </w:p>
    <w:p w14:paraId="7A7689E6" w14:textId="77777777" w:rsidR="002E22DA" w:rsidRDefault="002E22DA" w:rsidP="002E22DA">
      <w:pPr>
        <w:jc w:val="center"/>
      </w:pPr>
      <w:r>
        <w:rPr>
          <w:noProof/>
          <w:lang w:bidi="he-IL"/>
        </w:rPr>
        <w:drawing>
          <wp:inline distT="0" distB="0" distL="0" distR="0" wp14:anchorId="15CC6B93" wp14:editId="5E4795AE">
            <wp:extent cx="3629025" cy="272280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6 - lattice period.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6526" cy="2728434"/>
                    </a:xfrm>
                    <a:prstGeom prst="rect">
                      <a:avLst/>
                    </a:prstGeom>
                  </pic:spPr>
                </pic:pic>
              </a:graphicData>
            </a:graphic>
          </wp:inline>
        </w:drawing>
      </w:r>
    </w:p>
    <w:p w14:paraId="30954201" w14:textId="77777777" w:rsidR="002E22DA" w:rsidRDefault="002E22DA" w:rsidP="002E22DA">
      <w:pPr>
        <w:jc w:val="center"/>
      </w:pPr>
    </w:p>
    <w:p w14:paraId="6911E72B" w14:textId="77777777" w:rsidR="002E22DA" w:rsidRPr="008E3B83" w:rsidRDefault="002E22DA" w:rsidP="002E22DA">
      <w:pPr>
        <w:pStyle w:val="VAFigureCaption"/>
        <w:jc w:val="center"/>
        <w:rPr>
          <w:sz w:val="20"/>
        </w:rPr>
      </w:pPr>
      <w:r w:rsidRPr="008E3B83">
        <w:rPr>
          <w:b/>
          <w:bCs/>
          <w:sz w:val="20"/>
        </w:rPr>
        <w:t xml:space="preserve">Fig. S5 </w:t>
      </w:r>
      <w:r w:rsidRPr="008E3B83">
        <w:rPr>
          <w:sz w:val="20"/>
        </w:rPr>
        <w:t>Maximum metalens lattice period as a function of field angle</w:t>
      </w:r>
    </w:p>
    <w:p w14:paraId="6EDE4F69" w14:textId="77777777" w:rsidR="002E22DA" w:rsidRPr="00923B35" w:rsidRDefault="002E22DA" w:rsidP="002E22DA">
      <w:pPr>
        <w:pStyle w:val="Subtitle"/>
        <w:rPr>
          <w:rFonts w:eastAsia="Times New Roman"/>
        </w:rPr>
      </w:pPr>
      <w:r w:rsidRPr="00923B35">
        <w:rPr>
          <w:rFonts w:eastAsia="Times New Roman"/>
        </w:rPr>
        <w:lastRenderedPageBreak/>
        <w:t>Hexagonal lattice</w:t>
      </w:r>
    </w:p>
    <w:p w14:paraId="61995379" w14:textId="77777777" w:rsidR="002E22DA" w:rsidRDefault="002E22DA" w:rsidP="002E22DA">
      <w:pPr>
        <w:spacing w:after="100" w:afterAutospacing="1"/>
        <w:ind w:left="720"/>
        <w:jc w:val="both"/>
        <w:rPr>
          <w:rFonts w:eastAsia="Times New Roman"/>
          <w:sz w:val="24"/>
          <w:szCs w:val="24"/>
        </w:rPr>
      </w:pPr>
      <w:r>
        <w:rPr>
          <w:rFonts w:eastAsia="Times New Roman"/>
          <w:sz w:val="24"/>
          <w:szCs w:val="24"/>
        </w:rPr>
        <w:t>In our metalens we used a hexagonal lattice, as shown in fig. S6. The lattice constant is p, but the effective periods in the y and x directions are</w:t>
      </w:r>
      <w:r w:rsidRPr="00B60F81">
        <w:rPr>
          <w:noProof/>
          <w:position w:val="-14"/>
          <w:sz w:val="24"/>
          <w:szCs w:val="24"/>
        </w:rPr>
        <w:object w:dxaOrig="999" w:dyaOrig="380" w14:anchorId="538A451B">
          <v:shape id="_x0000_i1036" type="#_x0000_t75" alt="" style="width:51.5pt;height:19pt;mso-width-percent:0;mso-height-percent:0;mso-width-percent:0;mso-height-percent:0" o:ole="">
            <v:imagedata r:id="rId33" o:title=""/>
          </v:shape>
          <o:OLEObject Type="Embed" ProgID="Equation.DSMT4" ShapeID="_x0000_i1036" DrawAspect="Content" ObjectID="_1625466464" r:id="rId34"/>
        </w:object>
      </w:r>
      <w:r>
        <w:rPr>
          <w:rFonts w:eastAsia="Times New Roman"/>
          <w:sz w:val="24"/>
          <w:szCs w:val="24"/>
        </w:rPr>
        <w:t xml:space="preserve"> and </w:t>
      </w:r>
      <w:r w:rsidRPr="00B60F81">
        <w:rPr>
          <w:noProof/>
          <w:position w:val="-12"/>
          <w:sz w:val="24"/>
          <w:szCs w:val="24"/>
        </w:rPr>
        <w:object w:dxaOrig="1280" w:dyaOrig="400" w14:anchorId="7A89FB38">
          <v:shape id="_x0000_i1037" type="#_x0000_t75" alt="" style="width:62.5pt;height:20.5pt;mso-width-percent:0;mso-height-percent:0;mso-width-percent:0;mso-height-percent:0" o:ole="">
            <v:imagedata r:id="rId35" o:title=""/>
          </v:shape>
          <o:OLEObject Type="Embed" ProgID="Equation.DSMT4" ShapeID="_x0000_i1037" DrawAspect="Content" ObjectID="_1625466465" r:id="rId36"/>
        </w:object>
      </w:r>
      <w:r>
        <w:rPr>
          <w:sz w:val="24"/>
          <w:szCs w:val="24"/>
        </w:rPr>
        <w:t xml:space="preserve">. The maximum lattice period calculated above must be applied to </w:t>
      </w:r>
      <w:r>
        <w:rPr>
          <w:i/>
          <w:iCs/>
          <w:sz w:val="24"/>
          <w:szCs w:val="24"/>
        </w:rPr>
        <w:t>p</w:t>
      </w:r>
      <w:r>
        <w:rPr>
          <w:i/>
          <w:iCs/>
          <w:sz w:val="24"/>
          <w:szCs w:val="24"/>
          <w:vertAlign w:val="subscript"/>
        </w:rPr>
        <w:t>x</w:t>
      </w:r>
      <w:r>
        <w:rPr>
          <w:sz w:val="24"/>
          <w:szCs w:val="24"/>
        </w:rPr>
        <w:t xml:space="preserve">, the larger of the two. </w:t>
      </w:r>
      <w:r w:rsidRPr="00DB6228">
        <w:rPr>
          <w:rFonts w:eastAsia="Times New Roman"/>
          <w:sz w:val="24"/>
          <w:szCs w:val="24"/>
        </w:rPr>
        <w:t xml:space="preserve">In our metalens we used a hexagonal lattice period </w:t>
      </w:r>
      <w:r w:rsidRPr="0076284D">
        <w:rPr>
          <w:rFonts w:eastAsia="Times New Roman"/>
          <w:i/>
          <w:iCs/>
          <w:sz w:val="24"/>
          <w:szCs w:val="24"/>
        </w:rPr>
        <w:t>p</w:t>
      </w:r>
      <w:r w:rsidRPr="00DB6228">
        <w:rPr>
          <w:rFonts w:eastAsia="Times New Roman"/>
          <w:sz w:val="24"/>
          <w:szCs w:val="24"/>
        </w:rPr>
        <w:t xml:space="preserve"> of 500nm. This means that </w:t>
      </w:r>
      <w:r w:rsidRPr="00DB6228">
        <w:rPr>
          <w:rFonts w:eastAsia="Times New Roman"/>
          <w:i/>
          <w:iCs/>
          <w:sz w:val="24"/>
          <w:szCs w:val="24"/>
        </w:rPr>
        <w:t>p</w:t>
      </w:r>
      <w:r w:rsidRPr="00DB6228">
        <w:rPr>
          <w:rFonts w:eastAsia="Times New Roman"/>
          <w:i/>
          <w:iCs/>
          <w:sz w:val="24"/>
          <w:szCs w:val="24"/>
          <w:vertAlign w:val="subscript"/>
        </w:rPr>
        <w:t>x</w:t>
      </w:r>
      <w:r w:rsidRPr="00DB6228">
        <w:rPr>
          <w:rFonts w:eastAsia="Times New Roman"/>
          <w:sz w:val="24"/>
          <w:szCs w:val="24"/>
        </w:rPr>
        <w:t>=433nm. Based on fig. S</w:t>
      </w:r>
      <w:r>
        <w:rPr>
          <w:rFonts w:eastAsia="Times New Roman"/>
          <w:sz w:val="24"/>
          <w:szCs w:val="24"/>
        </w:rPr>
        <w:t>5</w:t>
      </w:r>
      <w:r w:rsidRPr="00DB6228">
        <w:rPr>
          <w:rFonts w:eastAsia="Times New Roman"/>
          <w:sz w:val="24"/>
          <w:szCs w:val="24"/>
        </w:rPr>
        <w:t xml:space="preserve"> we can meet this sampling criterion for field angles up to 16.25˚, limited by the phase sampling criterion. </w:t>
      </w:r>
    </w:p>
    <w:p w14:paraId="52242B30" w14:textId="77777777" w:rsidR="002E22DA" w:rsidRDefault="002E22DA" w:rsidP="002E22DA">
      <w:pPr>
        <w:jc w:val="center"/>
      </w:pPr>
      <w:r>
        <w:rPr>
          <w:rFonts w:eastAsia="Times New Roman"/>
          <w:noProof/>
          <w:sz w:val="24"/>
          <w:szCs w:val="24"/>
          <w:lang w:bidi="he-IL"/>
        </w:rPr>
        <w:drawing>
          <wp:inline distT="0" distB="0" distL="0" distR="0" wp14:anchorId="7B4625A6" wp14:editId="66C7A650">
            <wp:extent cx="3713560" cy="3214425"/>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10 - hex lattice.tif"/>
                    <pic:cNvPicPr/>
                  </pic:nvPicPr>
                  <pic:blipFill>
                    <a:blip r:embed="rId37">
                      <a:extLst>
                        <a:ext uri="{28A0092B-C50C-407E-A947-70E740481C1C}">
                          <a14:useLocalDpi xmlns:a14="http://schemas.microsoft.com/office/drawing/2010/main" val="0"/>
                        </a:ext>
                      </a:extLst>
                    </a:blip>
                    <a:stretch>
                      <a:fillRect/>
                    </a:stretch>
                  </pic:blipFill>
                  <pic:spPr>
                    <a:xfrm>
                      <a:off x="0" y="0"/>
                      <a:ext cx="3797484" cy="3287069"/>
                    </a:xfrm>
                    <a:prstGeom prst="rect">
                      <a:avLst/>
                    </a:prstGeom>
                  </pic:spPr>
                </pic:pic>
              </a:graphicData>
            </a:graphic>
          </wp:inline>
        </w:drawing>
      </w:r>
    </w:p>
    <w:p w14:paraId="32E6CECD" w14:textId="46E9E991" w:rsidR="002E22DA" w:rsidRPr="008E3B83" w:rsidRDefault="002E22DA" w:rsidP="002E22DA">
      <w:pPr>
        <w:pStyle w:val="VAFigureCaption"/>
        <w:jc w:val="center"/>
        <w:rPr>
          <w:sz w:val="20"/>
        </w:rPr>
      </w:pPr>
      <w:r w:rsidRPr="008E3B83">
        <w:rPr>
          <w:b/>
          <w:bCs/>
          <w:sz w:val="20"/>
        </w:rPr>
        <w:t xml:space="preserve">Fig. S6 </w:t>
      </w:r>
      <w:r w:rsidRPr="008E3B83">
        <w:rPr>
          <w:sz w:val="20"/>
        </w:rPr>
        <w:t>Hexagonal array effective periods</w:t>
      </w:r>
    </w:p>
    <w:p w14:paraId="5B98604B" w14:textId="46CF3CAE" w:rsidR="002E22DA" w:rsidRDefault="002E22DA" w:rsidP="002E22DA">
      <w:pPr>
        <w:spacing w:after="100" w:afterAutospacing="1"/>
        <w:ind w:left="720"/>
        <w:jc w:val="both"/>
        <w:rPr>
          <w:rFonts w:eastAsia="Times New Roman"/>
          <w:sz w:val="24"/>
          <w:szCs w:val="24"/>
        </w:rPr>
      </w:pPr>
      <w:r>
        <w:rPr>
          <w:rFonts w:eastAsia="Times New Roman"/>
          <w:sz w:val="24"/>
          <w:szCs w:val="24"/>
        </w:rPr>
        <w:t>The above analysis was used to provide an estimate of the appropriate lattice constant for a given design. It gives only the upper limit for the lattice period, and not the lower limit</w:t>
      </w:r>
      <w:r w:rsidR="00157BC0">
        <w:rPr>
          <w:rFonts w:eastAsia="Times New Roman"/>
          <w:sz w:val="24"/>
          <w:szCs w:val="24"/>
        </w:rPr>
        <w:t xml:space="preserve"> (which is driven by antenna coupling)</w:t>
      </w:r>
      <w:r>
        <w:rPr>
          <w:rFonts w:eastAsia="Times New Roman"/>
          <w:sz w:val="24"/>
          <w:szCs w:val="24"/>
        </w:rPr>
        <w:t>. It was therefore followed by accurate FDTD analysis of the periodic antenna structures, and approximate scalar simulation of diffraction efficiency, as detailed in the main part of the paper.</w:t>
      </w:r>
    </w:p>
    <w:p w14:paraId="51B5D6A3" w14:textId="5DDC3792" w:rsidR="00181CD4" w:rsidRDefault="00181CD4" w:rsidP="00181CD4">
      <w:pPr>
        <w:pStyle w:val="Heading1"/>
        <w:rPr>
          <w:rFonts w:eastAsia="Times New Roman"/>
        </w:rPr>
      </w:pPr>
      <w:r>
        <w:rPr>
          <w:rFonts w:eastAsia="Times New Roman"/>
        </w:rPr>
        <w:t>Field plots showing magnetic and electric dipole resonances</w:t>
      </w:r>
    </w:p>
    <w:p w14:paraId="7DED5ADF" w14:textId="7F041FEF" w:rsidR="00B236BC" w:rsidRDefault="00181CD4" w:rsidP="00F66A47">
      <w:pPr>
        <w:spacing w:after="100" w:afterAutospacing="1"/>
        <w:ind w:left="720"/>
        <w:jc w:val="both"/>
        <w:rPr>
          <w:rFonts w:eastAsia="Times New Roman"/>
          <w:sz w:val="24"/>
          <w:szCs w:val="24"/>
        </w:rPr>
      </w:pPr>
      <w:r w:rsidRPr="00181CD4">
        <w:rPr>
          <w:rFonts w:eastAsia="Times New Roman"/>
          <w:sz w:val="24"/>
          <w:szCs w:val="24"/>
        </w:rPr>
        <w:t>The transmission of the nanoantennas as a function of radius and wavelength was shown in fig. 2(b)</w:t>
      </w:r>
      <w:r w:rsidR="00227BFD">
        <w:rPr>
          <w:rFonts w:eastAsia="Times New Roman"/>
          <w:sz w:val="24"/>
          <w:szCs w:val="24"/>
        </w:rPr>
        <w:t xml:space="preserve"> of the main text</w:t>
      </w:r>
      <w:r w:rsidRPr="00181CD4">
        <w:rPr>
          <w:rFonts w:eastAsia="Times New Roman"/>
          <w:sz w:val="24"/>
          <w:szCs w:val="24"/>
        </w:rPr>
        <w:t>. It can be seen from there that the overlap of the magnetic and electric dipole resonances (Kerker condition) occurs at our design wavelength (850nm) when the antenna radius is</w:t>
      </w:r>
      <w:r w:rsidR="00BD7262">
        <w:rPr>
          <w:rFonts w:eastAsia="Times New Roman"/>
          <w:sz w:val="24"/>
          <w:szCs w:val="24"/>
        </w:rPr>
        <w:t xml:space="preserve"> </w:t>
      </w:r>
      <w:r w:rsidR="00BD7262" w:rsidRPr="00181CD4">
        <w:rPr>
          <w:rFonts w:eastAsia="Times New Roman"/>
          <w:sz w:val="24"/>
          <w:szCs w:val="24"/>
        </w:rPr>
        <w:t>approximately</w:t>
      </w:r>
      <w:r w:rsidRPr="00181CD4">
        <w:rPr>
          <w:rFonts w:eastAsia="Times New Roman"/>
          <w:sz w:val="24"/>
          <w:szCs w:val="24"/>
        </w:rPr>
        <w:t xml:space="preserve"> 150nm</w:t>
      </w:r>
      <w:r w:rsidR="00BD7262">
        <w:rPr>
          <w:rFonts w:eastAsia="Times New Roman"/>
          <w:sz w:val="24"/>
          <w:szCs w:val="24"/>
        </w:rPr>
        <w:t xml:space="preserve"> (the simulated antenna height is constant at 140nm)</w:t>
      </w:r>
      <w:r w:rsidRPr="00181CD4">
        <w:rPr>
          <w:rFonts w:eastAsia="Times New Roman"/>
          <w:sz w:val="24"/>
          <w:szCs w:val="24"/>
        </w:rPr>
        <w:t xml:space="preserve">. In this state we have a mixture of magnetic and electric resonances. </w:t>
      </w:r>
      <w:r w:rsidR="00B236BC">
        <w:rPr>
          <w:rFonts w:eastAsia="Times New Roman"/>
          <w:sz w:val="24"/>
          <w:szCs w:val="24"/>
        </w:rPr>
        <w:t xml:space="preserve">The spectral transmission and fields for this state </w:t>
      </w:r>
      <w:r w:rsidR="00F66A47">
        <w:rPr>
          <w:rFonts w:eastAsia="Times New Roman"/>
          <w:sz w:val="24"/>
          <w:szCs w:val="24"/>
        </w:rPr>
        <w:t xml:space="preserve">were simulated in Lumerical software and </w:t>
      </w:r>
      <w:r w:rsidR="00B236BC">
        <w:rPr>
          <w:rFonts w:eastAsia="Times New Roman"/>
          <w:sz w:val="24"/>
          <w:szCs w:val="24"/>
        </w:rPr>
        <w:t xml:space="preserve">are shown in figure S7. </w:t>
      </w:r>
      <w:r w:rsidR="00F66A47">
        <w:rPr>
          <w:rFonts w:eastAsia="Times New Roman"/>
          <w:sz w:val="24"/>
          <w:szCs w:val="24"/>
        </w:rPr>
        <w:t>T</w:t>
      </w:r>
      <w:r w:rsidR="00B236BC">
        <w:rPr>
          <w:rFonts w:eastAsia="Times New Roman"/>
          <w:sz w:val="24"/>
          <w:szCs w:val="24"/>
        </w:rPr>
        <w:t xml:space="preserve">he simulation </w:t>
      </w:r>
      <w:r w:rsidR="00F66A47">
        <w:rPr>
          <w:rFonts w:eastAsia="Times New Roman"/>
          <w:sz w:val="24"/>
          <w:szCs w:val="24"/>
        </w:rPr>
        <w:t>is</w:t>
      </w:r>
      <w:r w:rsidR="00B236BC">
        <w:rPr>
          <w:rFonts w:eastAsia="Times New Roman"/>
          <w:sz w:val="24"/>
          <w:szCs w:val="24"/>
        </w:rPr>
        <w:t xml:space="preserve"> </w:t>
      </w:r>
      <w:r w:rsidR="00A24C59">
        <w:rPr>
          <w:rFonts w:eastAsia="Times New Roman"/>
          <w:sz w:val="24"/>
          <w:szCs w:val="24"/>
        </w:rPr>
        <w:t>for</w:t>
      </w:r>
      <w:r w:rsidR="00B236BC">
        <w:rPr>
          <w:rFonts w:eastAsia="Times New Roman"/>
          <w:sz w:val="24"/>
          <w:szCs w:val="24"/>
        </w:rPr>
        <w:t xml:space="preserve"> x-polarized incident light, </w:t>
      </w:r>
      <w:r w:rsidR="00F66A47">
        <w:rPr>
          <w:rFonts w:eastAsia="Times New Roman"/>
          <w:sz w:val="24"/>
          <w:szCs w:val="24"/>
        </w:rPr>
        <w:t>and</w:t>
      </w:r>
      <w:r w:rsidR="00B236BC">
        <w:rPr>
          <w:rFonts w:eastAsia="Times New Roman"/>
          <w:sz w:val="24"/>
          <w:szCs w:val="24"/>
        </w:rPr>
        <w:t xml:space="preserve"> propagation in the z-axis direction</w:t>
      </w:r>
      <w:r w:rsidR="00A24C59">
        <w:rPr>
          <w:rFonts w:eastAsia="Times New Roman"/>
          <w:sz w:val="24"/>
          <w:szCs w:val="24"/>
        </w:rPr>
        <w:t xml:space="preserve"> (y-polarization would give the same result, since the structure is symmetrical)</w:t>
      </w:r>
      <w:r w:rsidR="00B4276D">
        <w:rPr>
          <w:rFonts w:eastAsia="Times New Roman"/>
          <w:sz w:val="24"/>
          <w:szCs w:val="24"/>
        </w:rPr>
        <w:t>.</w:t>
      </w:r>
      <w:r w:rsidR="00B236BC">
        <w:rPr>
          <w:rFonts w:eastAsia="Times New Roman"/>
          <w:sz w:val="24"/>
          <w:szCs w:val="24"/>
        </w:rPr>
        <w:t xml:space="preserve"> </w:t>
      </w:r>
      <w:r w:rsidR="00F66A47">
        <w:rPr>
          <w:rFonts w:eastAsia="Times New Roman"/>
          <w:sz w:val="24"/>
          <w:szCs w:val="24"/>
        </w:rPr>
        <w:t xml:space="preserve">The vertical asymmetry in the Ex field is a result of the overlap with the magnetic </w:t>
      </w:r>
      <w:r w:rsidR="00F66A47">
        <w:rPr>
          <w:rFonts w:eastAsia="Times New Roman"/>
          <w:sz w:val="24"/>
          <w:szCs w:val="24"/>
        </w:rPr>
        <w:lastRenderedPageBreak/>
        <w:t xml:space="preserve">resonance, which is associated with an azimuthal electric field, i.e. a positive Ex field at the bottom of </w:t>
      </w:r>
      <w:r w:rsidR="006D2C18">
        <w:rPr>
          <w:rFonts w:eastAsia="Times New Roman"/>
          <w:noProof/>
          <w:sz w:val="24"/>
          <w:szCs w:val="24"/>
          <w:lang w:bidi="he-IL"/>
        </w:rPr>
        <w:drawing>
          <wp:anchor distT="0" distB="0" distL="114300" distR="114300" simplePos="0" relativeHeight="251677696" behindDoc="0" locked="0" layoutInCell="1" allowOverlap="1" wp14:anchorId="7682A065" wp14:editId="43BB8367">
            <wp:simplePos x="0" y="0"/>
            <wp:positionH relativeFrom="column">
              <wp:posOffset>516255</wp:posOffset>
            </wp:positionH>
            <wp:positionV relativeFrom="paragraph">
              <wp:posOffset>528320</wp:posOffset>
            </wp:positionV>
            <wp:extent cx="5456555" cy="606806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6555" cy="606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A47">
        <w:rPr>
          <w:rFonts w:eastAsia="Times New Roman"/>
          <w:sz w:val="24"/>
          <w:szCs w:val="24"/>
        </w:rPr>
        <w:t>the antenna, and a negative Ex field at the top of the antenna.</w:t>
      </w:r>
    </w:p>
    <w:p w14:paraId="67F65939" w14:textId="18DF3555" w:rsidR="00F66A47" w:rsidRDefault="00F66A47" w:rsidP="00F66A47">
      <w:pPr>
        <w:spacing w:after="100" w:afterAutospacing="1"/>
        <w:ind w:left="720"/>
        <w:jc w:val="center"/>
        <w:rPr>
          <w:rFonts w:eastAsia="Times New Roman"/>
          <w:sz w:val="24"/>
          <w:szCs w:val="24"/>
        </w:rPr>
      </w:pPr>
    </w:p>
    <w:p w14:paraId="48F36C3D" w14:textId="070291A9" w:rsidR="00B4276D" w:rsidRPr="008E3B83" w:rsidRDefault="00B4276D" w:rsidP="00227BFD">
      <w:pPr>
        <w:pStyle w:val="Acknowledgement"/>
        <w:spacing w:before="0"/>
        <w:ind w:left="1440"/>
        <w:rPr>
          <w:sz w:val="20"/>
          <w:szCs w:val="20"/>
        </w:rPr>
      </w:pPr>
      <w:r w:rsidRPr="008E3B83">
        <w:rPr>
          <w:sz w:val="20"/>
          <w:szCs w:val="20"/>
        </w:rPr>
        <w:t xml:space="preserve"> </w:t>
      </w:r>
      <w:r w:rsidRPr="008E3B83">
        <w:rPr>
          <w:b/>
          <w:bCs/>
          <w:sz w:val="20"/>
          <w:szCs w:val="20"/>
        </w:rPr>
        <w:t>Fig. S7</w:t>
      </w:r>
      <w:r w:rsidRPr="008E3B83">
        <w:rPr>
          <w:sz w:val="20"/>
          <w:szCs w:val="20"/>
        </w:rPr>
        <w:t xml:space="preserve"> Transmission and fields at </w:t>
      </w:r>
      <w:r w:rsidR="00227BFD">
        <w:rPr>
          <w:sz w:val="20"/>
          <w:szCs w:val="20"/>
        </w:rPr>
        <w:t xml:space="preserve">the </w:t>
      </w:r>
      <w:r w:rsidRPr="008E3B83">
        <w:rPr>
          <w:sz w:val="20"/>
          <w:szCs w:val="20"/>
        </w:rPr>
        <w:t xml:space="preserve">nominal design wavelength (850nm) and intermediate antenna radius (150nm). (a) Spectral transmission showing that as a result of the overlap of the electric and magnetic dipole resonances the transmission is near </w:t>
      </w:r>
      <w:r w:rsidR="00227BFD">
        <w:rPr>
          <w:sz w:val="20"/>
          <w:szCs w:val="20"/>
        </w:rPr>
        <w:t>unity</w:t>
      </w:r>
      <w:r w:rsidRPr="008E3B83">
        <w:rPr>
          <w:sz w:val="20"/>
          <w:szCs w:val="20"/>
        </w:rPr>
        <w:t xml:space="preserve"> over the entire spectral range (there is </w:t>
      </w:r>
      <w:r w:rsidR="00227BFD">
        <w:rPr>
          <w:sz w:val="20"/>
          <w:szCs w:val="20"/>
        </w:rPr>
        <w:t>a small</w:t>
      </w:r>
      <w:r w:rsidRPr="008E3B83">
        <w:rPr>
          <w:sz w:val="20"/>
          <w:szCs w:val="20"/>
        </w:rPr>
        <w:t xml:space="preserve"> dip, since the resonance </w:t>
      </w:r>
      <w:r w:rsidR="00227BFD">
        <w:rPr>
          <w:sz w:val="20"/>
          <w:szCs w:val="20"/>
        </w:rPr>
        <w:t xml:space="preserve">spectral </w:t>
      </w:r>
      <w:r w:rsidRPr="008E3B83">
        <w:rPr>
          <w:sz w:val="20"/>
          <w:szCs w:val="20"/>
        </w:rPr>
        <w:t xml:space="preserve">widths </w:t>
      </w:r>
      <w:r w:rsidR="00227BFD">
        <w:rPr>
          <w:sz w:val="20"/>
          <w:szCs w:val="20"/>
        </w:rPr>
        <w:t xml:space="preserve">and shape </w:t>
      </w:r>
      <w:r w:rsidRPr="008E3B83">
        <w:rPr>
          <w:sz w:val="20"/>
          <w:szCs w:val="20"/>
        </w:rPr>
        <w:t xml:space="preserve">are not </w:t>
      </w:r>
      <w:r w:rsidR="00227BFD">
        <w:rPr>
          <w:sz w:val="20"/>
          <w:szCs w:val="20"/>
        </w:rPr>
        <w:t>identical</w:t>
      </w:r>
      <w:r w:rsidRPr="008E3B83">
        <w:rPr>
          <w:sz w:val="20"/>
          <w:szCs w:val="20"/>
        </w:rPr>
        <w:t>). (b) Electric field in X direction, showing the electric dipole resonance.</w:t>
      </w:r>
      <w:r w:rsidR="00F66A47" w:rsidRPr="008E3B83">
        <w:rPr>
          <w:sz w:val="20"/>
          <w:szCs w:val="20"/>
        </w:rPr>
        <w:t xml:space="preserve"> (c) Magnetic field in Y direction, showing the magnetic dipole resonance.</w:t>
      </w:r>
      <w:r w:rsidR="008E3B83">
        <w:rPr>
          <w:sz w:val="20"/>
          <w:szCs w:val="20"/>
        </w:rPr>
        <w:t xml:space="preserve"> </w:t>
      </w:r>
      <w:r w:rsidR="00F66A47" w:rsidRPr="008E3B83">
        <w:rPr>
          <w:sz w:val="20"/>
          <w:szCs w:val="20"/>
        </w:rPr>
        <w:t>The axes are labeled by pixel number, where each pixel is 5nm.</w:t>
      </w:r>
      <w:r w:rsidR="00227BFD">
        <w:rPr>
          <w:sz w:val="20"/>
          <w:szCs w:val="20"/>
        </w:rPr>
        <w:t xml:space="preserve"> The black rectangle represents the antenna </w:t>
      </w:r>
      <w:r w:rsidR="00186B2E">
        <w:rPr>
          <w:sz w:val="20"/>
          <w:szCs w:val="20"/>
        </w:rPr>
        <w:t xml:space="preserve">dimensions. </w:t>
      </w:r>
    </w:p>
    <w:p w14:paraId="7A2B8F94" w14:textId="7DD75561" w:rsidR="001759E3" w:rsidRPr="002E22DA" w:rsidRDefault="001759E3" w:rsidP="00B4276D">
      <w:pPr>
        <w:spacing w:after="100" w:afterAutospacing="1"/>
        <w:ind w:left="720"/>
        <w:jc w:val="center"/>
      </w:pPr>
    </w:p>
    <w:p w14:paraId="5628E6D0" w14:textId="77777777" w:rsidR="001759E3" w:rsidRDefault="001759E3" w:rsidP="00181CD4">
      <w:pPr>
        <w:spacing w:after="100" w:afterAutospacing="1"/>
        <w:ind w:left="720"/>
        <w:jc w:val="both"/>
        <w:rPr>
          <w:rFonts w:eastAsia="Times New Roman"/>
          <w:sz w:val="24"/>
          <w:szCs w:val="24"/>
        </w:rPr>
      </w:pPr>
    </w:p>
    <w:p w14:paraId="0A0BF8E0" w14:textId="7DDCCA07" w:rsidR="00181CD4" w:rsidRDefault="00181CD4" w:rsidP="00181CD4">
      <w:pPr>
        <w:spacing w:after="100" w:afterAutospacing="1"/>
        <w:ind w:left="720"/>
        <w:jc w:val="both"/>
        <w:rPr>
          <w:rFonts w:eastAsia="Times New Roman"/>
          <w:sz w:val="24"/>
          <w:szCs w:val="24"/>
        </w:rPr>
      </w:pPr>
      <w:r w:rsidRPr="00181CD4">
        <w:rPr>
          <w:rFonts w:eastAsia="Times New Roman"/>
          <w:sz w:val="24"/>
          <w:szCs w:val="24"/>
        </w:rPr>
        <w:t>If we look at a radius of 180nm (top of graph in fig.2(b)</w:t>
      </w:r>
      <w:r w:rsidR="00186B2E">
        <w:rPr>
          <w:rFonts w:eastAsia="Times New Roman"/>
          <w:sz w:val="24"/>
          <w:szCs w:val="24"/>
        </w:rPr>
        <w:t xml:space="preserve"> of the main text</w:t>
      </w:r>
      <w:r w:rsidRPr="00181CD4">
        <w:rPr>
          <w:rFonts w:eastAsia="Times New Roman"/>
          <w:sz w:val="24"/>
          <w:szCs w:val="24"/>
        </w:rPr>
        <w:t xml:space="preserve">), we can see that the magnetic and electric dipole resonances </w:t>
      </w:r>
      <w:r w:rsidR="00A24C59">
        <w:rPr>
          <w:rFonts w:eastAsia="Times New Roman"/>
          <w:sz w:val="24"/>
          <w:szCs w:val="24"/>
        </w:rPr>
        <w:t>no longer overlap</w:t>
      </w:r>
      <w:r w:rsidRPr="00181CD4">
        <w:rPr>
          <w:rFonts w:eastAsia="Times New Roman"/>
          <w:sz w:val="24"/>
          <w:szCs w:val="24"/>
        </w:rPr>
        <w:t>.</w:t>
      </w:r>
      <w:r w:rsidR="002B4ED6">
        <w:rPr>
          <w:rFonts w:eastAsia="Times New Roman"/>
          <w:sz w:val="24"/>
          <w:szCs w:val="24"/>
        </w:rPr>
        <w:t xml:space="preserve"> In figure S</w:t>
      </w:r>
      <w:r w:rsidR="00B236BC">
        <w:rPr>
          <w:rFonts w:eastAsia="Times New Roman"/>
          <w:sz w:val="24"/>
          <w:szCs w:val="24"/>
        </w:rPr>
        <w:t>8</w:t>
      </w:r>
      <w:r w:rsidR="002B4ED6">
        <w:rPr>
          <w:rFonts w:eastAsia="Times New Roman"/>
          <w:sz w:val="24"/>
          <w:szCs w:val="24"/>
        </w:rPr>
        <w:t xml:space="preserve"> we show the </w:t>
      </w:r>
      <w:r w:rsidR="00B236BC">
        <w:rPr>
          <w:rFonts w:eastAsia="Times New Roman"/>
          <w:sz w:val="24"/>
          <w:szCs w:val="24"/>
        </w:rPr>
        <w:t xml:space="preserve">spectral transmission and </w:t>
      </w:r>
      <w:r w:rsidR="002B4ED6">
        <w:rPr>
          <w:rFonts w:eastAsia="Times New Roman"/>
          <w:sz w:val="24"/>
          <w:szCs w:val="24"/>
        </w:rPr>
        <w:t xml:space="preserve">field plots for </w:t>
      </w:r>
      <w:r w:rsidR="00B236BC">
        <w:rPr>
          <w:rFonts w:eastAsia="Times New Roman"/>
          <w:sz w:val="24"/>
          <w:szCs w:val="24"/>
        </w:rPr>
        <w:t>this</w:t>
      </w:r>
      <w:r w:rsidR="002B4ED6">
        <w:rPr>
          <w:rFonts w:eastAsia="Times New Roman"/>
          <w:sz w:val="24"/>
          <w:szCs w:val="24"/>
        </w:rPr>
        <w:t xml:space="preserve"> </w:t>
      </w:r>
      <w:r w:rsidR="00B236BC">
        <w:rPr>
          <w:rFonts w:eastAsia="Times New Roman"/>
          <w:sz w:val="24"/>
          <w:szCs w:val="24"/>
        </w:rPr>
        <w:t>s</w:t>
      </w:r>
      <w:r w:rsidR="002B4ED6">
        <w:rPr>
          <w:rFonts w:eastAsia="Times New Roman"/>
          <w:sz w:val="24"/>
          <w:szCs w:val="24"/>
        </w:rPr>
        <w:t>ituation</w:t>
      </w:r>
      <w:r w:rsidR="00B236BC">
        <w:rPr>
          <w:rFonts w:eastAsia="Times New Roman"/>
          <w:sz w:val="24"/>
          <w:szCs w:val="24"/>
        </w:rPr>
        <w:t>, where we can see the separation of the electric and magnetic dipole resonance</w:t>
      </w:r>
      <w:r w:rsidR="002B4ED6">
        <w:rPr>
          <w:rFonts w:eastAsia="Times New Roman"/>
          <w:sz w:val="24"/>
          <w:szCs w:val="24"/>
        </w:rPr>
        <w:t>.</w:t>
      </w:r>
    </w:p>
    <w:p w14:paraId="40DABBED" w14:textId="79ED1885" w:rsidR="00B2629D" w:rsidRDefault="006D2C18" w:rsidP="006D2C18">
      <w:pPr>
        <w:spacing w:after="100" w:afterAutospacing="1"/>
        <w:ind w:left="720"/>
        <w:jc w:val="center"/>
        <w:rPr>
          <w:rFonts w:eastAsia="Times New Roman"/>
          <w:sz w:val="24"/>
          <w:szCs w:val="24"/>
        </w:rPr>
      </w:pPr>
      <w:r>
        <w:rPr>
          <w:rFonts w:eastAsia="Times New Roman"/>
          <w:noProof/>
          <w:sz w:val="24"/>
          <w:szCs w:val="24"/>
          <w:lang w:bidi="he-IL"/>
        </w:rPr>
        <w:drawing>
          <wp:inline distT="0" distB="0" distL="0" distR="0" wp14:anchorId="4A6B0940" wp14:editId="0550F8D9">
            <wp:extent cx="4507708" cy="5599215"/>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1436" cy="5628688"/>
                    </a:xfrm>
                    <a:prstGeom prst="rect">
                      <a:avLst/>
                    </a:prstGeom>
                    <a:noFill/>
                    <a:ln>
                      <a:noFill/>
                    </a:ln>
                  </pic:spPr>
                </pic:pic>
              </a:graphicData>
            </a:graphic>
          </wp:inline>
        </w:drawing>
      </w:r>
    </w:p>
    <w:p w14:paraId="761DD2EA" w14:textId="713151FE" w:rsidR="00186B2E" w:rsidRPr="008E3B83" w:rsidRDefault="006D2C18" w:rsidP="00186B2E">
      <w:pPr>
        <w:pStyle w:val="Acknowledgement"/>
        <w:spacing w:before="0"/>
        <w:ind w:left="1440"/>
        <w:rPr>
          <w:sz w:val="20"/>
          <w:szCs w:val="20"/>
        </w:rPr>
      </w:pPr>
      <w:r w:rsidRPr="008E3B83">
        <w:rPr>
          <w:b/>
          <w:bCs/>
          <w:sz w:val="20"/>
          <w:szCs w:val="20"/>
        </w:rPr>
        <w:t>Fig. S8</w:t>
      </w:r>
      <w:r w:rsidRPr="008E3B83">
        <w:rPr>
          <w:sz w:val="20"/>
          <w:szCs w:val="20"/>
        </w:rPr>
        <w:t xml:space="preserve"> Transmission and fields at wavelengths of magnetic (886nm) and electric (934nm) dipole resonances </w:t>
      </w:r>
      <w:r w:rsidR="00186B2E">
        <w:rPr>
          <w:sz w:val="20"/>
          <w:szCs w:val="20"/>
        </w:rPr>
        <w:t>for</w:t>
      </w:r>
      <w:r w:rsidRPr="008E3B83">
        <w:rPr>
          <w:sz w:val="20"/>
          <w:szCs w:val="20"/>
        </w:rPr>
        <w:t xml:space="preserve"> 180nm antenna radius. (a) Spectral transmission showing the two resonances. (b-c) Electric and magnetic field, showing </w:t>
      </w:r>
      <w:r w:rsidR="00186B2E">
        <w:rPr>
          <w:sz w:val="20"/>
          <w:szCs w:val="20"/>
        </w:rPr>
        <w:t xml:space="preserve">the </w:t>
      </w:r>
      <w:r w:rsidRPr="008E3B83">
        <w:rPr>
          <w:sz w:val="20"/>
          <w:szCs w:val="20"/>
        </w:rPr>
        <w:t>magnetic dipole resonance</w:t>
      </w:r>
      <w:r w:rsidR="00186B2E">
        <w:rPr>
          <w:sz w:val="20"/>
          <w:szCs w:val="20"/>
        </w:rPr>
        <w:t>.</w:t>
      </w:r>
      <w:r w:rsidRPr="008E3B83">
        <w:rPr>
          <w:sz w:val="20"/>
          <w:szCs w:val="20"/>
        </w:rPr>
        <w:t xml:space="preserve"> (d-e) Electric and magnetic field showing the electric dipole resonance. The axes are labeled by pixel number, where each pixel is 5nm.</w:t>
      </w:r>
      <w:r w:rsidR="00186B2E" w:rsidRPr="00186B2E">
        <w:rPr>
          <w:sz w:val="20"/>
          <w:szCs w:val="20"/>
        </w:rPr>
        <w:t xml:space="preserve"> </w:t>
      </w:r>
      <w:r w:rsidR="00186B2E">
        <w:rPr>
          <w:sz w:val="20"/>
          <w:szCs w:val="20"/>
        </w:rPr>
        <w:t xml:space="preserve">The black rectangle represents the antenna dimensions. </w:t>
      </w:r>
    </w:p>
    <w:p w14:paraId="0656B922" w14:textId="05C3EDFB" w:rsidR="006D2C18" w:rsidRPr="008E3B83" w:rsidRDefault="006D2C18" w:rsidP="00186B2E">
      <w:pPr>
        <w:pStyle w:val="Acknowledgement"/>
        <w:spacing w:before="0"/>
        <w:ind w:left="1440"/>
        <w:rPr>
          <w:sz w:val="20"/>
          <w:szCs w:val="20"/>
        </w:rPr>
      </w:pPr>
    </w:p>
    <w:p w14:paraId="7FB30492" w14:textId="77777777" w:rsidR="002E22DA" w:rsidRPr="00923B35" w:rsidRDefault="002E22DA" w:rsidP="002E22DA">
      <w:pPr>
        <w:pStyle w:val="Heading1"/>
        <w:rPr>
          <w:rFonts w:eastAsia="Times New Roman"/>
        </w:rPr>
      </w:pPr>
      <w:r>
        <w:rPr>
          <w:rFonts w:eastAsia="Times New Roman"/>
        </w:rPr>
        <w:lastRenderedPageBreak/>
        <w:t>Fraunhofer approximation for metalens PSF</w:t>
      </w:r>
    </w:p>
    <w:p w14:paraId="11C34163" w14:textId="66AAEF70" w:rsidR="002E22DA" w:rsidRDefault="002E22DA" w:rsidP="002E22DA">
      <w:pPr>
        <w:ind w:left="720"/>
        <w:jc w:val="both"/>
        <w:rPr>
          <w:rFonts w:eastAsia="Times New Roman"/>
          <w:sz w:val="24"/>
          <w:szCs w:val="24"/>
        </w:rPr>
      </w:pPr>
      <w:r>
        <w:rPr>
          <w:rFonts w:eastAsia="Times New Roman"/>
          <w:sz w:val="24"/>
          <w:szCs w:val="24"/>
        </w:rPr>
        <w:t xml:space="preserve">Assuming a plane wave incident on a lens, the PSF can be accurately evaluated based on the Fraunhofer approximation of the diffraction integral at the focal plane of the lens </w:t>
      </w:r>
      <w:r>
        <w:rPr>
          <w:rFonts w:eastAsia="Times New Roman"/>
          <w:sz w:val="24"/>
          <w:szCs w:val="24"/>
        </w:rPr>
        <w:fldChar w:fldCharType="begin" w:fldLock="1"/>
      </w:r>
      <w:r w:rsidR="00571114">
        <w:rPr>
          <w:rFonts w:eastAsia="Times New Roman"/>
          <w:sz w:val="24"/>
          <w:szCs w:val="24"/>
        </w:rPr>
        <w:instrText>ADDIN CSL_CITATION {"citationItems":[{"id":"ITEM-1","itemData":{"DOI":"10.1088/1355-5111/8/5/014","ISBN":"0974707724","ISSN":"13555111","PMID":"4455392","abstract":"Fourier analysis is a ubiquitous tool that has found application to diverse areas of physics and engineering. This book deals with its applications in optics, and in particular with its applications to diffraction, imaging, optical data processing, holography and optical communications.","author":[{"dropping-particle":"","family":"Goodman","given":"Joseph W","non-dropping-particle":"","parse-names":false,"suffix":""}],"edition":"2nd ed.","id":"ITEM-1","issued":{"date-parts":[["1996"]]},"number-of-pages":"491","publisher":"McGraw-Hill","publisher-place":"New York","title":"Introduction to Fourier Optics","type":"book"},"uris":["http://www.mendeley.com/documents/?uuid=a61dd5d7-80d5-43c4-88fe-7825e524c18c"]}],"mendeley":{"formattedCitation":" [8]","plainTextFormattedCitation":" [8]","previouslyFormattedCitation":" [8]"},"properties":{"noteIndex":0},"schema":"https://github.com/citation-style-language/schema/raw/master/csl-citation.json"}</w:instrText>
      </w:r>
      <w:r>
        <w:rPr>
          <w:rFonts w:eastAsia="Times New Roman"/>
          <w:sz w:val="24"/>
          <w:szCs w:val="24"/>
        </w:rPr>
        <w:fldChar w:fldCharType="separate"/>
      </w:r>
      <w:r w:rsidR="00571114" w:rsidRPr="00571114">
        <w:rPr>
          <w:rFonts w:eastAsia="Times New Roman"/>
          <w:noProof/>
          <w:sz w:val="24"/>
          <w:szCs w:val="24"/>
        </w:rPr>
        <w:t> [8]</w:t>
      </w:r>
      <w:r>
        <w:rPr>
          <w:rFonts w:eastAsia="Times New Roman"/>
          <w:sz w:val="24"/>
          <w:szCs w:val="24"/>
        </w:rPr>
        <w:fldChar w:fldCharType="end"/>
      </w:r>
      <w:r>
        <w:rPr>
          <w:rFonts w:eastAsia="Times New Roman"/>
          <w:sz w:val="24"/>
          <w:szCs w:val="24"/>
        </w:rPr>
        <w:t xml:space="preserve">. However, in the case of our metalens the focal plane is different for each wavelength. We are evaluating the PSF of each wavelength at a common image plane, which is located somewhere in between the focal planes of the various wavelengths (at the location which gives an optimal total PSF). The question is, can we still use the Fraunhofer approximation when calculating the chromatic defocused PSFs? </w:t>
      </w:r>
    </w:p>
    <w:p w14:paraId="0AB03F9F" w14:textId="77777777" w:rsidR="002E22DA" w:rsidRDefault="002E22DA" w:rsidP="002E22DA">
      <w:pPr>
        <w:ind w:left="720"/>
        <w:jc w:val="both"/>
        <w:rPr>
          <w:rFonts w:eastAsia="Times New Roman"/>
          <w:sz w:val="24"/>
          <w:szCs w:val="24"/>
        </w:rPr>
      </w:pPr>
    </w:p>
    <w:p w14:paraId="26856345" w14:textId="5C6FC6ED" w:rsidR="002E22DA" w:rsidRDefault="002E22DA" w:rsidP="002E22DA">
      <w:pPr>
        <w:ind w:left="720"/>
        <w:jc w:val="both"/>
        <w:rPr>
          <w:rFonts w:eastAsia="Times New Roman"/>
          <w:sz w:val="24"/>
          <w:szCs w:val="24"/>
        </w:rPr>
      </w:pPr>
      <w:r>
        <w:rPr>
          <w:rFonts w:eastAsia="Times New Roman"/>
          <w:sz w:val="24"/>
          <w:szCs w:val="24"/>
        </w:rPr>
        <w:t>The condition for validity of the Fraunhofer approximation in the case of a converging beam is given in</w:t>
      </w:r>
      <w:r w:rsidR="00175920">
        <w:rPr>
          <w:rFonts w:eastAsia="Times New Roman"/>
          <w:sz w:val="24"/>
          <w:szCs w:val="24"/>
        </w:rPr>
        <w:fldChar w:fldCharType="begin" w:fldLock="1"/>
      </w:r>
      <w:r w:rsidR="00175920">
        <w:rPr>
          <w:rFonts w:eastAsia="Times New Roman"/>
          <w:sz w:val="24"/>
          <w:szCs w:val="24"/>
        </w:rPr>
        <w:instrText>ADDIN CSL_CITATION {"citationItems":[{"id":"ITEM-1","itemData":{"DOI":"10.1364/JOSAA.21.002135","abstract":"See, stats, and : https : / / www . researchgate . net / publication / 8186307 Fast high - numerical - aperture Article DOI : 10. 1364 / JOSAA . 21 . 002135 : PubMed CITATIONS 19 READS 28 2 , including : Shlomo Tel 206 , 591 SEE All - text , letting . Available : Shlomo Retrieved : 30 A method is presented that expands the scheme of physical optics propagation beyond the Fresnel approxima - tion to include beams that are nonparaxial . The formalism retains most of the calculation advantages of the Fresnel approach ; i . e . , it is based on a single Fourier transform step . The kernel of the new transformation is no longer separable in Cartesian coordinates ; thus the formalism can account for astigmatic coupling effects originating purely from diffraction . The validity limits of the proposed algorithm are explored . Analytical expressions , numerical simulation results , and experimental data are compared .","author":[{"dropping-particle":"","family":"Engelberg","given":"Yaakov M","non-dropping-particle":"","parse-names":false,"suffix":""},{"dropping-particle":"","family":"Ruschin","given":"Shlomo","non-dropping-particle":"","parse-names":false,"suffix":""}],"container-title":"JOSA A","id":"ITEM-1","issue":"11","issued":{"date-parts":[["2004"]]},"page":"2135-2145","title":"Fast method for physical optics propagation of high - numerical - aperture beams","type":"article-journal","volume":"21"},"uris":["http://www.mendeley.com/documents/?uuid=88883f0c-6bbc-32be-b4b0-e313f41fcb46"]}],"mendeley":{"formattedCitation":" [9]","plainTextFormattedCitation":" [9]","previouslyFormattedCitation":" [9]"},"properties":{"noteIndex":0},"schema":"https://github.com/citation-style-language/schema/raw/master/csl-citation.json"}</w:instrText>
      </w:r>
      <w:r w:rsidR="00175920">
        <w:rPr>
          <w:rFonts w:eastAsia="Times New Roman"/>
          <w:sz w:val="24"/>
          <w:szCs w:val="24"/>
        </w:rPr>
        <w:fldChar w:fldCharType="separate"/>
      </w:r>
      <w:r w:rsidR="00175920" w:rsidRPr="00175920">
        <w:rPr>
          <w:rFonts w:eastAsia="Times New Roman"/>
          <w:noProof/>
          <w:sz w:val="24"/>
          <w:szCs w:val="24"/>
        </w:rPr>
        <w:t> [9]</w:t>
      </w:r>
      <w:r w:rsidR="00175920">
        <w:rPr>
          <w:rFonts w:eastAsia="Times New Roman"/>
          <w:sz w:val="24"/>
          <w:szCs w:val="24"/>
        </w:rPr>
        <w:fldChar w:fldCharType="end"/>
      </w:r>
      <w:r w:rsidR="00175920">
        <w:rPr>
          <w:rFonts w:eastAsia="Times New Roman"/>
          <w:sz w:val="24"/>
          <w:szCs w:val="24"/>
        </w:rPr>
        <w:t xml:space="preserve"> </w:t>
      </w:r>
      <w:r>
        <w:rPr>
          <w:rFonts w:eastAsia="Times New Roman"/>
          <w:sz w:val="24"/>
          <w:szCs w:val="24"/>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7272"/>
        <w:gridCol w:w="1334"/>
      </w:tblGrid>
      <w:tr w:rsidR="002E22DA" w:rsidRPr="00302425" w14:paraId="76B05841" w14:textId="77777777" w:rsidTr="008D2CB4">
        <w:tc>
          <w:tcPr>
            <w:tcW w:w="763" w:type="dxa"/>
          </w:tcPr>
          <w:p w14:paraId="663E23DB" w14:textId="77777777" w:rsidR="002E22DA" w:rsidRPr="00302425" w:rsidRDefault="002E22DA" w:rsidP="008D2CB4">
            <w:pPr>
              <w:spacing w:after="100" w:afterAutospacing="1"/>
              <w:ind w:left="720"/>
              <w:rPr>
                <w:sz w:val="24"/>
                <w:szCs w:val="24"/>
              </w:rPr>
            </w:pPr>
          </w:p>
        </w:tc>
        <w:tc>
          <w:tcPr>
            <w:tcW w:w="7348" w:type="dxa"/>
          </w:tcPr>
          <w:p w14:paraId="78F287EF" w14:textId="77777777" w:rsidR="002E22DA" w:rsidRPr="002C4F19" w:rsidRDefault="002E22DA" w:rsidP="008D2CB4">
            <w:pPr>
              <w:ind w:left="720"/>
              <w:jc w:val="center"/>
              <w:rPr>
                <w:rFonts w:eastAsiaTheme="minorEastAsia"/>
              </w:rPr>
            </w:pPr>
            <w:r w:rsidRPr="003A256C">
              <w:rPr>
                <w:noProof/>
                <w:position w:val="-16"/>
              </w:rPr>
              <w:object w:dxaOrig="1820" w:dyaOrig="480" w14:anchorId="1A777F18">
                <v:shape id="_x0000_i1038" type="#_x0000_t75" alt="" style="width:91.5pt;height:24.5pt;mso-width-percent:0;mso-height-percent:0;mso-width-percent:0;mso-height-percent:0" o:ole="">
                  <v:imagedata r:id="rId40" o:title=""/>
                </v:shape>
                <o:OLEObject Type="Embed" ProgID="Equation.DSMT4" ShapeID="_x0000_i1038" DrawAspect="Content" ObjectID="_1625466466" r:id="rId41"/>
              </w:object>
            </w:r>
          </w:p>
        </w:tc>
        <w:tc>
          <w:tcPr>
            <w:tcW w:w="1336" w:type="dxa"/>
            <w:vAlign w:val="center"/>
          </w:tcPr>
          <w:p w14:paraId="0B55D3F0" w14:textId="77777777" w:rsidR="002E22DA" w:rsidRPr="00302425" w:rsidRDefault="002E22DA" w:rsidP="008D2CB4">
            <w:pPr>
              <w:spacing w:after="100" w:afterAutospacing="1"/>
              <w:ind w:left="720"/>
              <w:rPr>
                <w:sz w:val="24"/>
                <w:szCs w:val="24"/>
              </w:rPr>
            </w:pPr>
            <w:r w:rsidRPr="00302425">
              <w:rPr>
                <w:sz w:val="24"/>
                <w:szCs w:val="24"/>
              </w:rPr>
              <w:t>(</w:t>
            </w:r>
            <w:r>
              <w:rPr>
                <w:sz w:val="24"/>
                <w:szCs w:val="24"/>
              </w:rPr>
              <w:t>9)</w:t>
            </w:r>
          </w:p>
        </w:tc>
      </w:tr>
    </w:tbl>
    <w:p w14:paraId="576FBD5E" w14:textId="38CD5119" w:rsidR="00480A66" w:rsidRDefault="002E22DA" w:rsidP="00057C41">
      <w:pPr>
        <w:ind w:left="720"/>
        <w:jc w:val="both"/>
        <w:rPr>
          <w:rFonts w:eastAsia="Times New Roman"/>
          <w:sz w:val="24"/>
          <w:szCs w:val="24"/>
        </w:rPr>
      </w:pPr>
      <w:r>
        <w:rPr>
          <w:rFonts w:eastAsia="Times New Roman"/>
          <w:sz w:val="24"/>
          <w:szCs w:val="24"/>
        </w:rPr>
        <w:t xml:space="preserve">Where </w:t>
      </w:r>
      <w:r>
        <w:rPr>
          <w:rFonts w:eastAsia="Times New Roman"/>
          <w:i/>
          <w:iCs/>
          <w:sz w:val="24"/>
          <w:szCs w:val="24"/>
        </w:rPr>
        <w:t>x</w:t>
      </w:r>
      <w:r>
        <w:rPr>
          <w:rFonts w:eastAsia="Times New Roman"/>
          <w:i/>
          <w:iCs/>
          <w:sz w:val="24"/>
          <w:szCs w:val="24"/>
          <w:vertAlign w:val="subscript"/>
        </w:rPr>
        <w:t>2</w:t>
      </w:r>
      <w:r w:rsidRPr="00A460BF">
        <w:rPr>
          <w:rFonts w:eastAsia="Times New Roman"/>
          <w:sz w:val="24"/>
          <w:szCs w:val="24"/>
          <w:vertAlign w:val="subscript"/>
        </w:rPr>
        <w:t>max</w:t>
      </w:r>
      <w:r w:rsidRPr="003A256C">
        <w:rPr>
          <w:rFonts w:eastAsia="Times New Roman"/>
          <w:sz w:val="24"/>
          <w:szCs w:val="24"/>
          <w:vertAlign w:val="subscript"/>
        </w:rPr>
        <w:t xml:space="preserve"> </w:t>
      </w:r>
      <w:r w:rsidRPr="003A256C">
        <w:rPr>
          <w:rFonts w:eastAsia="Times New Roman"/>
          <w:sz w:val="24"/>
          <w:szCs w:val="24"/>
        </w:rPr>
        <w:t xml:space="preserve">is the </w:t>
      </w:r>
      <w:r>
        <w:rPr>
          <w:rFonts w:eastAsia="Times New Roman"/>
          <w:sz w:val="24"/>
          <w:szCs w:val="24"/>
        </w:rPr>
        <w:t xml:space="preserve">maximum radial </w:t>
      </w:r>
      <w:r w:rsidRPr="003A256C">
        <w:rPr>
          <w:rFonts w:eastAsia="Times New Roman"/>
          <w:sz w:val="24"/>
          <w:szCs w:val="24"/>
        </w:rPr>
        <w:t xml:space="preserve">spot </w:t>
      </w:r>
      <w:r>
        <w:rPr>
          <w:rFonts w:eastAsia="Times New Roman"/>
          <w:sz w:val="24"/>
          <w:szCs w:val="24"/>
        </w:rPr>
        <w:t>size</w:t>
      </w:r>
      <w:r w:rsidRPr="003A256C">
        <w:rPr>
          <w:rFonts w:eastAsia="Times New Roman"/>
          <w:sz w:val="24"/>
          <w:szCs w:val="24"/>
        </w:rPr>
        <w:t xml:space="preserve"> at the image plane, </w:t>
      </w:r>
      <w:r>
        <w:rPr>
          <w:rFonts w:eastAsia="Times New Roman"/>
          <w:sz w:val="24"/>
          <w:szCs w:val="24"/>
        </w:rPr>
        <w:t xml:space="preserve">and </w:t>
      </w:r>
      <w:r w:rsidRPr="009F0A45">
        <w:rPr>
          <w:rFonts w:eastAsia="Times New Roman"/>
          <w:i/>
          <w:iCs/>
          <w:sz w:val="24"/>
          <w:szCs w:val="24"/>
        </w:rPr>
        <w:t>z</w:t>
      </w:r>
      <w:r w:rsidRPr="003A256C">
        <w:rPr>
          <w:rFonts w:eastAsia="Times New Roman"/>
          <w:sz w:val="24"/>
          <w:szCs w:val="24"/>
        </w:rPr>
        <w:t xml:space="preserve"> is the propagation distance (in our case approximately equal to the focal length).</w:t>
      </w:r>
      <w:r>
        <w:rPr>
          <w:rFonts w:eastAsia="Times New Roman"/>
          <w:sz w:val="24"/>
          <w:szCs w:val="24"/>
        </w:rPr>
        <w:t xml:space="preserve"> If we substitute </w:t>
      </w:r>
      <w:r w:rsidRPr="009F0A45">
        <w:rPr>
          <w:rFonts w:eastAsia="Times New Roman"/>
          <w:i/>
          <w:iCs/>
          <w:sz w:val="24"/>
          <w:szCs w:val="24"/>
        </w:rPr>
        <w:t>λ=850nm</w:t>
      </w:r>
      <w:r>
        <w:rPr>
          <w:rFonts w:eastAsia="Times New Roman"/>
          <w:sz w:val="24"/>
          <w:szCs w:val="24"/>
        </w:rPr>
        <w:t xml:space="preserve"> and </w:t>
      </w:r>
      <w:r>
        <w:rPr>
          <w:rFonts w:eastAsia="Times New Roman"/>
          <w:i/>
          <w:iCs/>
          <w:sz w:val="24"/>
          <w:szCs w:val="24"/>
        </w:rPr>
        <w:t>z=f=3.36mm</w:t>
      </w:r>
      <w:r>
        <w:rPr>
          <w:rFonts w:eastAsia="Times New Roman"/>
          <w:sz w:val="24"/>
          <w:szCs w:val="24"/>
        </w:rPr>
        <w:t xml:space="preserve"> into eq. 9, we obtain the condition </w:t>
      </w:r>
      <w:r>
        <w:rPr>
          <w:rFonts w:eastAsia="Times New Roman"/>
          <w:i/>
          <w:iCs/>
          <w:sz w:val="24"/>
          <w:szCs w:val="24"/>
        </w:rPr>
        <w:t>x</w:t>
      </w:r>
      <w:r>
        <w:rPr>
          <w:rFonts w:eastAsia="Times New Roman"/>
          <w:i/>
          <w:iCs/>
          <w:sz w:val="24"/>
          <w:szCs w:val="24"/>
          <w:vertAlign w:val="subscript"/>
        </w:rPr>
        <w:t>2</w:t>
      </w:r>
      <w:r w:rsidRPr="00A460BF">
        <w:rPr>
          <w:rFonts w:eastAsia="Times New Roman"/>
          <w:sz w:val="24"/>
          <w:szCs w:val="24"/>
          <w:vertAlign w:val="subscript"/>
        </w:rPr>
        <w:t>max</w:t>
      </w:r>
      <w:r>
        <w:rPr>
          <w:rFonts w:eastAsia="Times New Roman"/>
          <w:i/>
          <w:iCs/>
          <w:sz w:val="24"/>
          <w:szCs w:val="24"/>
        </w:rPr>
        <w:t>&lt;250µm.</w:t>
      </w:r>
      <w:r>
        <w:rPr>
          <w:rFonts w:eastAsia="Times New Roman"/>
          <w:sz w:val="24"/>
          <w:szCs w:val="24"/>
        </w:rPr>
        <w:t xml:space="preserve"> We can easily estimate our maximum spot size radius based on geometrical optics considerations. The metalens longitudinal chromatic aberration is given by </w:t>
      </w:r>
      <w:r w:rsidRPr="00B60F81">
        <w:rPr>
          <w:rFonts w:eastAsia="Times New Roman"/>
          <w:noProof/>
          <w:position w:val="-10"/>
          <w:sz w:val="24"/>
          <w:szCs w:val="24"/>
        </w:rPr>
        <w:object w:dxaOrig="1400" w:dyaOrig="340" w14:anchorId="755376FC">
          <v:shape id="_x0000_i1039" type="#_x0000_t75" alt="" style="width:68.5pt;height:17.5pt;mso-width-percent:0;mso-height-percent:0;mso-width-percent:0;mso-height-percent:0" o:ole="">
            <v:imagedata r:id="rId42" o:title=""/>
          </v:shape>
          <o:OLEObject Type="Embed" ProgID="Equation.DSMT4" ShapeID="_x0000_i1039" DrawAspect="Content" ObjectID="_1625466467" r:id="rId43"/>
        </w:object>
      </w:r>
      <w:r>
        <w:rPr>
          <w:rFonts w:eastAsia="Times New Roman"/>
          <w:sz w:val="24"/>
          <w:szCs w:val="24"/>
        </w:rPr>
        <w:t>, and we multiply by the tangent of the marginal ray angle (α in fig. S5) to obtain the lateral aberration</w:t>
      </w:r>
      <w:r w:rsidR="00175920">
        <w:rPr>
          <w:rFonts w:eastAsia="Times New Roman"/>
          <w:sz w:val="24"/>
          <w:szCs w:val="24"/>
        </w:rPr>
        <w:fldChar w:fldCharType="begin" w:fldLock="1"/>
      </w:r>
      <w:r w:rsidR="00175920">
        <w:rPr>
          <w:rFonts w:eastAsia="Times New Roman"/>
          <w:sz w:val="24"/>
          <w:szCs w:val="24"/>
        </w:rPr>
        <w:instrText>ADDIN CSL_CITATION {"citationItems":[{"id":"ITEM-1","itemData":{"DOI":"10.1364/OE.25.021637","ISSN":"10944087","abstract":"© 2017 Optical Society of America. Recent progress has made matalenses a reality, with many publications relating to methods of implementation and performance evaluation of these elements. Basic metalens function is similar to that of a continuous (kinoform) diffractive lens, but the advantage is that they can be manufactured as a binary component. A significant limitation of metalenses, is its strong chromatic aberration. Recently there has been some success in correcting metalens chromatic aberration, albeit at the expense of transmission efficiency towards the desired diffraction order. Clearly, there is a tradeoff between parameters such as spectral bandwidth and spatial resolution. Hence, a major goal of this paper is to set up a metric for evaluation of metalens performance, allowing fair comparison of novel metalens technologies, such as achromatic metalenses, in terms of optical performance. Furthermore, we explore possibilities for practical use of non-chromatically corrected metalenses in polychromatic applications, by optimizing the metalens parameters. It is our hope that the current manuscript will serve as a guide for the design and evaluation of metalenses for practical applications.","author":[{"dropping-particle":"","family":"Engelberg","given":"J.","non-dropping-particle":"","parse-names":false,"suffix":""},{"dropping-particle":"","family":"Levy","given":"U.","non-dropping-particle":"","parse-names":false,"suffix":""}],"container-title":"Optics Express","id":"ITEM-1","issue":"18","issued":{"date-parts":[["2017"]]},"title":"Optimizing the spectral range of diffractive metalenses for polychromatic imaging applications","type":"article-journal","volume":"25"},"uris":["http://www.mendeley.com/documents/?uuid=e489d653-3e78-331a-8826-92573432c1e9"]}],"mendeley":{"formattedCitation":" [10]","plainTextFormattedCitation":" [10]","previouslyFormattedCitation":" [10]"},"properties":{"noteIndex":0},"schema":"https://github.com/citation-style-language/schema/raw/master/csl-citation.json"}</w:instrText>
      </w:r>
      <w:r w:rsidR="00175920">
        <w:rPr>
          <w:rFonts w:eastAsia="Times New Roman"/>
          <w:sz w:val="24"/>
          <w:szCs w:val="24"/>
        </w:rPr>
        <w:fldChar w:fldCharType="separate"/>
      </w:r>
      <w:r w:rsidR="00175920" w:rsidRPr="00175920">
        <w:rPr>
          <w:rFonts w:eastAsia="Times New Roman"/>
          <w:noProof/>
          <w:sz w:val="24"/>
          <w:szCs w:val="24"/>
        </w:rPr>
        <w:t> [10]</w:t>
      </w:r>
      <w:r w:rsidR="00175920">
        <w:rPr>
          <w:rFonts w:eastAsia="Times New Roman"/>
          <w:sz w:val="24"/>
          <w:szCs w:val="24"/>
        </w:rPr>
        <w:fldChar w:fldCharType="end"/>
      </w:r>
      <w:r>
        <w:rPr>
          <w:rFonts w:eastAsia="Times New Roman"/>
          <w:sz w:val="24"/>
          <w:szCs w:val="24"/>
        </w:rPr>
        <w:t xml:space="preserve">. The largest spectral range we simulated was 40nm FWHM. The </w:t>
      </w:r>
      <w:r>
        <w:rPr>
          <w:rFonts w:eastAsia="Times New Roman"/>
          <w:i/>
          <w:iCs/>
          <w:sz w:val="24"/>
          <w:szCs w:val="24"/>
        </w:rPr>
        <w:t xml:space="preserve">Δλ </w:t>
      </w:r>
      <w:r>
        <w:rPr>
          <w:rFonts w:eastAsia="Times New Roman"/>
          <w:sz w:val="24"/>
          <w:szCs w:val="24"/>
        </w:rPr>
        <w:t xml:space="preserve">should be half the total wavelength range, since the image plane is situated approximately in the middle. However, we also used wavelengths beyond the half-max point, so it is a good approximation to use </w:t>
      </w:r>
      <w:r>
        <w:rPr>
          <w:rFonts w:eastAsia="Times New Roman"/>
          <w:i/>
          <w:iCs/>
          <w:sz w:val="24"/>
          <w:szCs w:val="24"/>
        </w:rPr>
        <w:t>Δλ=40nm.</w:t>
      </w:r>
      <w:r>
        <w:rPr>
          <w:rFonts w:eastAsia="Times New Roman"/>
          <w:sz w:val="24"/>
          <w:szCs w:val="24"/>
        </w:rPr>
        <w:t xml:space="preserve"> This gives us </w:t>
      </w:r>
      <w:r>
        <w:rPr>
          <w:rFonts w:eastAsia="Times New Roman"/>
          <w:i/>
          <w:iCs/>
          <w:sz w:val="24"/>
          <w:szCs w:val="24"/>
        </w:rPr>
        <w:t>Δf≈3.36·40/850·0.2=32µm</w:t>
      </w:r>
      <w:r>
        <w:rPr>
          <w:rFonts w:eastAsia="Times New Roman"/>
          <w:sz w:val="24"/>
          <w:szCs w:val="24"/>
        </w:rPr>
        <w:t>. This is far below 250µm, so we can use the Fraunhofer approximation.</w:t>
      </w:r>
    </w:p>
    <w:p w14:paraId="5E698939" w14:textId="77777777" w:rsidR="00915F1E" w:rsidRDefault="00915F1E">
      <w:pPr>
        <w:spacing w:after="160" w:line="259" w:lineRule="auto"/>
        <w:rPr>
          <w:rFonts w:asciiTheme="majorHAnsi" w:eastAsia="Times New Roman" w:hAnsiTheme="majorHAnsi" w:cstheme="majorBidi"/>
          <w:color w:val="2F5496" w:themeColor="accent1" w:themeShade="BF"/>
          <w:sz w:val="32"/>
          <w:szCs w:val="32"/>
        </w:rPr>
      </w:pPr>
      <w:r>
        <w:rPr>
          <w:rFonts w:eastAsia="Times New Roman"/>
        </w:rPr>
        <w:br w:type="page"/>
      </w:r>
    </w:p>
    <w:p w14:paraId="1C46CD3F" w14:textId="5B9D4F26" w:rsidR="00480A66" w:rsidRDefault="00480A66" w:rsidP="00EA095B">
      <w:pPr>
        <w:pStyle w:val="Heading1"/>
        <w:rPr>
          <w:rFonts w:eastAsia="Times New Roman"/>
        </w:rPr>
      </w:pPr>
      <w:r>
        <w:rPr>
          <w:rFonts w:eastAsia="Times New Roman"/>
        </w:rPr>
        <w:lastRenderedPageBreak/>
        <w:t>The importance of outdoor imaging for metalens characterization</w:t>
      </w:r>
    </w:p>
    <w:p w14:paraId="3CF24E4E" w14:textId="77777777" w:rsidR="00A5650C" w:rsidRPr="00A5650C" w:rsidRDefault="00A5650C" w:rsidP="00A5650C"/>
    <w:p w14:paraId="45832BD7" w14:textId="39E0D909" w:rsidR="00EA095B" w:rsidRDefault="00CA1F5D" w:rsidP="00EA095B">
      <w:pPr>
        <w:jc w:val="center"/>
      </w:pPr>
      <w:r>
        <w:rPr>
          <w:noProof/>
          <w:lang w:bidi="he-IL"/>
        </w:rPr>
        <w:drawing>
          <wp:inline distT="0" distB="0" distL="0" distR="0" wp14:anchorId="5C59995E" wp14:editId="1EB438A6">
            <wp:extent cx="5884223" cy="3211546"/>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re.tif"/>
                    <pic:cNvPicPr/>
                  </pic:nvPicPr>
                  <pic:blipFill>
                    <a:blip r:embed="rId44">
                      <a:extLst>
                        <a:ext uri="{28A0092B-C50C-407E-A947-70E740481C1C}">
                          <a14:useLocalDpi xmlns:a14="http://schemas.microsoft.com/office/drawing/2010/main" val="0"/>
                        </a:ext>
                      </a:extLst>
                    </a:blip>
                    <a:stretch>
                      <a:fillRect/>
                    </a:stretch>
                  </pic:blipFill>
                  <pic:spPr>
                    <a:xfrm>
                      <a:off x="0" y="0"/>
                      <a:ext cx="5984080" cy="3266047"/>
                    </a:xfrm>
                    <a:prstGeom prst="rect">
                      <a:avLst/>
                    </a:prstGeom>
                  </pic:spPr>
                </pic:pic>
              </a:graphicData>
            </a:graphic>
          </wp:inline>
        </w:drawing>
      </w:r>
    </w:p>
    <w:p w14:paraId="7BFCCA9F" w14:textId="77777777" w:rsidR="00CA1F5D" w:rsidRDefault="00CA1F5D" w:rsidP="00CA1F5D"/>
    <w:p w14:paraId="643609B2" w14:textId="4C3B53A2" w:rsidR="00915F1E" w:rsidRPr="008E3B83" w:rsidRDefault="00EA095B" w:rsidP="00CA1F5D">
      <w:pPr>
        <w:ind w:left="720"/>
        <w:jc w:val="both"/>
        <w:rPr>
          <w:rFonts w:eastAsia="Times New Roman"/>
        </w:rPr>
      </w:pPr>
      <w:r w:rsidRPr="008E3B83">
        <w:rPr>
          <w:rFonts w:eastAsia="Times New Roman"/>
          <w:b/>
          <w:bCs/>
        </w:rPr>
        <w:t>Fig. S</w:t>
      </w:r>
      <w:r w:rsidR="00915F1E" w:rsidRPr="008E3B83">
        <w:rPr>
          <w:rFonts w:eastAsia="Times New Roman"/>
          <w:b/>
          <w:bCs/>
        </w:rPr>
        <w:t>9</w:t>
      </w:r>
      <w:r w:rsidRPr="008E3B83">
        <w:rPr>
          <w:rFonts w:eastAsia="Times New Roman"/>
        </w:rPr>
        <w:t xml:space="preserve"> </w:t>
      </w:r>
      <w:r w:rsidR="00CA1F5D" w:rsidRPr="008E3B83">
        <w:rPr>
          <w:rFonts w:eastAsia="Times New Roman"/>
        </w:rPr>
        <w:t xml:space="preserve">Left - </w:t>
      </w:r>
      <w:r w:rsidRPr="008E3B83">
        <w:rPr>
          <w:rFonts w:eastAsia="Times New Roman"/>
        </w:rPr>
        <w:t xml:space="preserve">Indoor image of resolution target </w:t>
      </w:r>
      <w:r w:rsidR="00CA1F5D" w:rsidRPr="008E3B83">
        <w:rPr>
          <w:rFonts w:eastAsia="Times New Roman"/>
        </w:rPr>
        <w:t>showing flare artifact (central bright circle with jagged edges). Right – Figures from</w:t>
      </w:r>
      <w:r w:rsidR="00CA1F5D" w:rsidRPr="008E3B83">
        <w:rPr>
          <w:rFonts w:eastAsia="Times New Roman"/>
        </w:rPr>
        <w:fldChar w:fldCharType="begin" w:fldLock="1"/>
      </w:r>
      <w:r w:rsidR="003623C5" w:rsidRPr="008E3B83">
        <w:rPr>
          <w:rFonts w:eastAsia="Times New Roman"/>
        </w:rPr>
        <w:instrText>ADDIN CSL_CITATION {"citationItems":[{"id":"ITEM-1","itemData":{"author":[{"dropping-particle":"","family":"Kingslake","given":"Rudolph","non-dropping-particle":"","parse-names":false,"suffix":""}],"id":"ITEM-1","issued":{"date-parts":[["1992"]]},"publisher":"SPIE Press","publisher-place":"Bellingham, Washington","title":"Optics in Photography","type":"book"},"uris":["http://www.mendeley.com/documents/?uuid=ec5bca67-2511-4264-be79-ed91d602c795"]}],"mendeley":{"formattedCitation":" [11]","plainTextFormattedCitation":" [11]","previouslyFormattedCitation":" [11]"},"properties":{"noteIndex":0},"schema":"https://github.com/citation-style-language/schema/raw/master/csl-citation.json"}</w:instrText>
      </w:r>
      <w:r w:rsidR="00CA1F5D" w:rsidRPr="008E3B83">
        <w:rPr>
          <w:rFonts w:eastAsia="Times New Roman"/>
        </w:rPr>
        <w:fldChar w:fldCharType="separate"/>
      </w:r>
      <w:r w:rsidR="00CA1F5D" w:rsidRPr="008E3B83">
        <w:rPr>
          <w:rFonts w:eastAsia="Times New Roman"/>
          <w:noProof/>
        </w:rPr>
        <w:t> [11]</w:t>
      </w:r>
      <w:r w:rsidR="00CA1F5D" w:rsidRPr="008E3B83">
        <w:rPr>
          <w:rFonts w:eastAsia="Times New Roman"/>
        </w:rPr>
        <w:fldChar w:fldCharType="end"/>
      </w:r>
      <w:r w:rsidR="00CA1F5D" w:rsidRPr="008E3B83">
        <w:rPr>
          <w:rFonts w:eastAsia="Times New Roman"/>
        </w:rPr>
        <w:t xml:space="preserve"> showing the effect and its cause.</w:t>
      </w:r>
    </w:p>
    <w:p w14:paraId="3E45DFAA" w14:textId="11C240A1" w:rsidR="00E40847" w:rsidRDefault="00CA1F5D" w:rsidP="00CA1F5D">
      <w:pPr>
        <w:ind w:left="720"/>
        <w:jc w:val="both"/>
        <w:rPr>
          <w:rFonts w:eastAsia="Times New Roman"/>
          <w:sz w:val="24"/>
          <w:szCs w:val="24"/>
        </w:rPr>
      </w:pPr>
      <w:r>
        <w:rPr>
          <w:rFonts w:eastAsia="Times New Roman"/>
          <w:sz w:val="24"/>
          <w:szCs w:val="24"/>
        </w:rPr>
        <w:t xml:space="preserve"> </w:t>
      </w:r>
    </w:p>
    <w:p w14:paraId="5884B885" w14:textId="02EE0C87" w:rsidR="00E40847" w:rsidRDefault="00E40847" w:rsidP="008E3B83">
      <w:pPr>
        <w:ind w:left="720"/>
        <w:rPr>
          <w:rFonts w:eastAsia="Times New Roman"/>
          <w:sz w:val="24"/>
          <w:szCs w:val="24"/>
        </w:rPr>
      </w:pPr>
      <w:r>
        <w:rPr>
          <w:rFonts w:eastAsia="Times New Roman"/>
          <w:noProof/>
          <w:sz w:val="24"/>
          <w:szCs w:val="24"/>
          <w:lang w:bidi="he-IL"/>
        </w:rPr>
        <w:drawing>
          <wp:inline distT="0" distB="0" distL="0" distR="0" wp14:anchorId="0C19045A" wp14:editId="4831B8DC">
            <wp:extent cx="5482336" cy="2015461"/>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re-Zemax.tif"/>
                    <pic:cNvPicPr/>
                  </pic:nvPicPr>
                  <pic:blipFill>
                    <a:blip r:embed="rId45">
                      <a:extLst>
                        <a:ext uri="{28A0092B-C50C-407E-A947-70E740481C1C}">
                          <a14:useLocalDpi xmlns:a14="http://schemas.microsoft.com/office/drawing/2010/main" val="0"/>
                        </a:ext>
                      </a:extLst>
                    </a:blip>
                    <a:stretch>
                      <a:fillRect/>
                    </a:stretch>
                  </pic:blipFill>
                  <pic:spPr>
                    <a:xfrm>
                      <a:off x="0" y="0"/>
                      <a:ext cx="5501581" cy="2022536"/>
                    </a:xfrm>
                    <a:prstGeom prst="rect">
                      <a:avLst/>
                    </a:prstGeom>
                  </pic:spPr>
                </pic:pic>
              </a:graphicData>
            </a:graphic>
          </wp:inline>
        </w:drawing>
      </w:r>
    </w:p>
    <w:p w14:paraId="5435BF41" w14:textId="40A5222E" w:rsidR="00EA095B" w:rsidRPr="008E3B83" w:rsidRDefault="00E40847" w:rsidP="00E40847">
      <w:pPr>
        <w:ind w:left="720"/>
        <w:jc w:val="both"/>
        <w:rPr>
          <w:rFonts w:eastAsia="Times New Roman"/>
        </w:rPr>
      </w:pPr>
      <w:r w:rsidRPr="008E3B83">
        <w:rPr>
          <w:rFonts w:eastAsia="Times New Roman"/>
          <w:b/>
          <w:bCs/>
        </w:rPr>
        <w:t>Fig. S</w:t>
      </w:r>
      <w:r w:rsidR="00915F1E" w:rsidRPr="008E3B83">
        <w:rPr>
          <w:rFonts w:eastAsia="Times New Roman"/>
          <w:b/>
          <w:bCs/>
        </w:rPr>
        <w:t>10</w:t>
      </w:r>
      <w:r w:rsidRPr="008E3B83">
        <w:rPr>
          <w:rFonts w:eastAsia="Times New Roman"/>
        </w:rPr>
        <w:t xml:space="preserve"> Left – Normal first diffraction order operating mode of metalens, with distant object imaged on sensor. Right - Metalens operating in second diffraction order, with iris imaged on sensor (2f-2f configuration).</w:t>
      </w:r>
    </w:p>
    <w:p w14:paraId="477844F9" w14:textId="77777777" w:rsidR="00CA1F5D" w:rsidRPr="00CA1F5D" w:rsidRDefault="00CA1F5D" w:rsidP="00CA1F5D">
      <w:pPr>
        <w:ind w:left="720"/>
        <w:jc w:val="both"/>
        <w:rPr>
          <w:rFonts w:eastAsia="Times New Roman"/>
          <w:sz w:val="24"/>
          <w:szCs w:val="24"/>
        </w:rPr>
      </w:pPr>
    </w:p>
    <w:p w14:paraId="7C6C1448" w14:textId="77777777" w:rsidR="00092C11" w:rsidRDefault="00092C11" w:rsidP="00092C11">
      <w:pPr>
        <w:ind w:left="720"/>
        <w:jc w:val="both"/>
        <w:rPr>
          <w:rFonts w:eastAsia="Times New Roman"/>
          <w:sz w:val="24"/>
          <w:szCs w:val="24"/>
        </w:rPr>
      </w:pPr>
      <w:r w:rsidRPr="00092C11">
        <w:rPr>
          <w:rFonts w:eastAsia="Times New Roman"/>
          <w:sz w:val="24"/>
          <w:szCs w:val="24"/>
        </w:rPr>
        <w:t>In continuation of the discussion in the 'Outdoor imaging' section of the paper, we would like to ask why is the</w:t>
      </w:r>
      <w:r w:rsidR="00480A66" w:rsidRPr="00092C11">
        <w:rPr>
          <w:rFonts w:eastAsia="Times New Roman"/>
          <w:sz w:val="24"/>
          <w:szCs w:val="24"/>
        </w:rPr>
        <w:t xml:space="preserve"> flare </w:t>
      </w:r>
      <w:r w:rsidRPr="00092C11">
        <w:rPr>
          <w:rFonts w:eastAsia="Times New Roman"/>
          <w:sz w:val="24"/>
          <w:szCs w:val="24"/>
        </w:rPr>
        <w:t>artifact</w:t>
      </w:r>
      <w:r w:rsidR="00480A66" w:rsidRPr="00092C11">
        <w:rPr>
          <w:rFonts w:eastAsia="Times New Roman"/>
          <w:sz w:val="24"/>
          <w:szCs w:val="24"/>
        </w:rPr>
        <w:t xml:space="preserve"> present in the indoor image and not in the outdoor image? In fact, it can be seen also in outdoor images. A very careful look </w:t>
      </w:r>
      <w:r w:rsidRPr="00092C11">
        <w:rPr>
          <w:rFonts w:eastAsia="Times New Roman"/>
          <w:sz w:val="24"/>
          <w:szCs w:val="24"/>
        </w:rPr>
        <w:t>at</w:t>
      </w:r>
      <w:r w:rsidR="00480A66" w:rsidRPr="00092C11">
        <w:rPr>
          <w:rFonts w:eastAsia="Times New Roman"/>
          <w:sz w:val="24"/>
          <w:szCs w:val="24"/>
        </w:rPr>
        <w:t xml:space="preserve"> of the image of fig. 6 can </w:t>
      </w:r>
      <w:r w:rsidRPr="00092C11">
        <w:rPr>
          <w:rFonts w:eastAsia="Times New Roman"/>
          <w:sz w:val="24"/>
          <w:szCs w:val="24"/>
        </w:rPr>
        <w:t>reveal</w:t>
      </w:r>
      <w:r w:rsidR="00480A66" w:rsidRPr="00092C11">
        <w:rPr>
          <w:rFonts w:eastAsia="Times New Roman"/>
          <w:sz w:val="24"/>
          <w:szCs w:val="24"/>
        </w:rPr>
        <w:t xml:space="preserve"> it. The main reason it cannot be seen easily in the outdoor image is that much more texture exists in the outdoor image than in our indoor image. The higher contrast of the image texture masks the edges of the iris image. There is also some influence of the distribution of the scene illumination inside and outside the FOV. The illumination </w:t>
      </w:r>
      <w:r w:rsidR="00480A66" w:rsidRPr="00092C11">
        <w:rPr>
          <w:rFonts w:eastAsia="Times New Roman"/>
          <w:sz w:val="24"/>
          <w:szCs w:val="24"/>
        </w:rPr>
        <w:lastRenderedPageBreak/>
        <w:t xml:space="preserve">reaching the iris ghost image comes from different angles as compared to the angles related to the object being imaged. </w:t>
      </w:r>
    </w:p>
    <w:p w14:paraId="16215529" w14:textId="5953037E" w:rsidR="00480A66" w:rsidRPr="00092C11" w:rsidRDefault="00480A66" w:rsidP="00092C11">
      <w:pPr>
        <w:ind w:left="720"/>
        <w:jc w:val="both"/>
        <w:rPr>
          <w:rFonts w:eastAsia="Times New Roman"/>
          <w:sz w:val="24"/>
          <w:szCs w:val="24"/>
        </w:rPr>
      </w:pPr>
      <w:r w:rsidRPr="00092C11">
        <w:rPr>
          <w:rFonts w:eastAsia="Times New Roman"/>
          <w:sz w:val="24"/>
          <w:szCs w:val="24"/>
        </w:rPr>
        <w:t xml:space="preserve"> </w:t>
      </w:r>
    </w:p>
    <w:p w14:paraId="17CCCF54" w14:textId="20C0732A" w:rsidR="00480A66" w:rsidRDefault="00480A66" w:rsidP="00092C11">
      <w:pPr>
        <w:ind w:left="720"/>
        <w:jc w:val="both"/>
        <w:rPr>
          <w:rFonts w:eastAsia="Times New Roman"/>
          <w:sz w:val="24"/>
          <w:szCs w:val="24"/>
        </w:rPr>
      </w:pPr>
      <w:r w:rsidRPr="00092C11">
        <w:rPr>
          <w:rFonts w:eastAsia="Times New Roman"/>
          <w:sz w:val="24"/>
          <w:szCs w:val="24"/>
        </w:rPr>
        <w:t xml:space="preserve">Can the flare artefact be seen in the lab? In principle yes, put for practical reasons it will often go unnoticed. The reason for this is that when performing testing in the lab it is very difficult to illuminate the entire FOV of the imaging system, and it is even more difficult to illuminate beyond the FOV. However, many stray light artefacts are only seen under such illumination. A possible solution is to put the entrance aperture of the imaging system at the output port of an integrating sphere. However, to combine this with viewing an in-focus image of a resolution target is challenging.  </w:t>
      </w:r>
    </w:p>
    <w:p w14:paraId="47E3777F" w14:textId="77777777" w:rsidR="00092C11" w:rsidRPr="00092C11" w:rsidRDefault="00092C11" w:rsidP="00092C11">
      <w:pPr>
        <w:ind w:left="720"/>
        <w:jc w:val="both"/>
        <w:rPr>
          <w:rFonts w:eastAsia="Times New Roman"/>
          <w:sz w:val="24"/>
          <w:szCs w:val="24"/>
        </w:rPr>
      </w:pPr>
    </w:p>
    <w:p w14:paraId="6691C9EE" w14:textId="4F92ABA5" w:rsidR="00915F1E" w:rsidRDefault="00480A66" w:rsidP="00915F1E">
      <w:pPr>
        <w:ind w:left="720"/>
        <w:jc w:val="both"/>
        <w:rPr>
          <w:rFonts w:eastAsia="Times New Roman"/>
          <w:sz w:val="24"/>
          <w:szCs w:val="24"/>
        </w:rPr>
      </w:pPr>
      <w:r w:rsidRPr="00092C11">
        <w:rPr>
          <w:rFonts w:eastAsia="Times New Roman"/>
          <w:sz w:val="24"/>
          <w:szCs w:val="24"/>
        </w:rPr>
        <w:t xml:space="preserve">At this point we have not performed further quantitative analysis of the video image. </w:t>
      </w:r>
      <w:r w:rsidR="00092C11" w:rsidRPr="00092C11">
        <w:rPr>
          <w:rFonts w:eastAsia="Times New Roman"/>
          <w:sz w:val="24"/>
          <w:szCs w:val="24"/>
        </w:rPr>
        <w:t>From a resolution point-of-view, this has been characterized via the</w:t>
      </w:r>
      <w:r w:rsidRPr="00092C11">
        <w:rPr>
          <w:rFonts w:eastAsia="Times New Roman"/>
          <w:sz w:val="24"/>
          <w:szCs w:val="24"/>
        </w:rPr>
        <w:t xml:space="preserve"> MTF measurement</w:t>
      </w:r>
      <w:r w:rsidR="00092C11" w:rsidRPr="00092C11">
        <w:rPr>
          <w:rFonts w:eastAsia="Times New Roman"/>
          <w:sz w:val="24"/>
          <w:szCs w:val="24"/>
        </w:rPr>
        <w:t>. Since</w:t>
      </w:r>
      <w:r w:rsidRPr="00092C11">
        <w:rPr>
          <w:rFonts w:eastAsia="Times New Roman"/>
          <w:sz w:val="24"/>
          <w:szCs w:val="24"/>
        </w:rPr>
        <w:t xml:space="preserve"> we are not interested in the sensor MTF, </w:t>
      </w:r>
      <w:r w:rsidR="00092C11" w:rsidRPr="00092C11">
        <w:rPr>
          <w:rFonts w:eastAsia="Times New Roman"/>
          <w:sz w:val="24"/>
          <w:szCs w:val="24"/>
        </w:rPr>
        <w:t xml:space="preserve">there is no point in measuring resolution on the video image. What we would like to </w:t>
      </w:r>
      <w:r w:rsidRPr="00092C11">
        <w:rPr>
          <w:rFonts w:eastAsia="Times New Roman"/>
          <w:sz w:val="24"/>
          <w:szCs w:val="24"/>
        </w:rPr>
        <w:t xml:space="preserve">analyze </w:t>
      </w:r>
      <w:r w:rsidR="00711B0B">
        <w:rPr>
          <w:rFonts w:eastAsia="Times New Roman"/>
          <w:sz w:val="24"/>
          <w:szCs w:val="24"/>
        </w:rPr>
        <w:t xml:space="preserve">in the future </w:t>
      </w:r>
      <w:r w:rsidRPr="00092C11">
        <w:rPr>
          <w:rFonts w:eastAsia="Times New Roman"/>
          <w:sz w:val="24"/>
          <w:szCs w:val="24"/>
        </w:rPr>
        <w:t xml:space="preserve">is the signal-to-noise (SNR) ratio of the image. In particular, the dependence of SNR on the spectral band-pass used is of interest, since this will allow us to compare </w:t>
      </w:r>
      <w:r w:rsidR="00092C11" w:rsidRPr="00092C11">
        <w:rPr>
          <w:rFonts w:eastAsia="Times New Roman"/>
          <w:sz w:val="24"/>
          <w:szCs w:val="24"/>
        </w:rPr>
        <w:t xml:space="preserve">the results </w:t>
      </w:r>
      <w:r w:rsidRPr="00092C11">
        <w:rPr>
          <w:rFonts w:eastAsia="Times New Roman"/>
          <w:sz w:val="24"/>
          <w:szCs w:val="24"/>
        </w:rPr>
        <w:t xml:space="preserve">to the theory presented in </w:t>
      </w:r>
      <w:r w:rsidR="00175920">
        <w:rPr>
          <w:rFonts w:eastAsia="Times New Roman"/>
          <w:sz w:val="24"/>
          <w:szCs w:val="24"/>
        </w:rPr>
        <w:t>our</w:t>
      </w:r>
      <w:r w:rsidRPr="00092C11">
        <w:rPr>
          <w:rFonts w:eastAsia="Times New Roman"/>
          <w:sz w:val="24"/>
          <w:szCs w:val="24"/>
        </w:rPr>
        <w:t xml:space="preserve"> previous paper</w:t>
      </w:r>
      <w:r w:rsidR="00175920">
        <w:rPr>
          <w:rFonts w:eastAsia="Times New Roman"/>
          <w:sz w:val="24"/>
          <w:szCs w:val="24"/>
        </w:rPr>
        <w:t xml:space="preserve"> [10].</w:t>
      </w:r>
    </w:p>
    <w:p w14:paraId="12613E6F" w14:textId="1A1D0692" w:rsidR="00777819" w:rsidRDefault="00777819" w:rsidP="00777819">
      <w:pPr>
        <w:pStyle w:val="Heading1"/>
        <w:rPr>
          <w:rFonts w:eastAsia="Times New Roman"/>
        </w:rPr>
      </w:pPr>
      <w:r>
        <w:rPr>
          <w:rFonts w:eastAsia="Times New Roman"/>
        </w:rPr>
        <w:t>Comparison of Huygens metalens to commercial lens</w:t>
      </w:r>
    </w:p>
    <w:p w14:paraId="15432696" w14:textId="27B28D47" w:rsidR="00777819" w:rsidRDefault="00777819" w:rsidP="00FE2F6E">
      <w:pPr>
        <w:ind w:left="720"/>
        <w:jc w:val="both"/>
        <w:rPr>
          <w:rFonts w:eastAsia="Times New Roman"/>
          <w:sz w:val="24"/>
          <w:szCs w:val="24"/>
        </w:rPr>
      </w:pPr>
      <w:r w:rsidRPr="000E1453">
        <w:rPr>
          <w:rFonts w:eastAsia="Times New Roman"/>
          <w:sz w:val="24"/>
          <w:szCs w:val="24"/>
        </w:rPr>
        <w:t xml:space="preserve">In order to get a qualitative feeling for the performance of our metalens, we compared it to </w:t>
      </w:r>
      <w:r w:rsidR="00862C48">
        <w:rPr>
          <w:rFonts w:eastAsia="Times New Roman"/>
          <w:sz w:val="24"/>
          <w:szCs w:val="24"/>
        </w:rPr>
        <w:t>a</w:t>
      </w:r>
      <w:r w:rsidRPr="000E1453">
        <w:rPr>
          <w:rFonts w:eastAsia="Times New Roman"/>
          <w:sz w:val="24"/>
          <w:szCs w:val="24"/>
        </w:rPr>
        <w:t xml:space="preserve"> commercial</w:t>
      </w:r>
      <w:r w:rsidR="00AF2CA9" w:rsidRPr="00AF2CA9">
        <w:rPr>
          <w:rFonts w:eastAsia="Times New Roman"/>
          <w:sz w:val="24"/>
          <w:szCs w:val="24"/>
        </w:rPr>
        <w:t xml:space="preserve"> </w:t>
      </w:r>
      <w:r w:rsidR="00AF2CA9" w:rsidRPr="000E1453">
        <w:rPr>
          <w:rFonts w:eastAsia="Times New Roman"/>
          <w:sz w:val="24"/>
          <w:szCs w:val="24"/>
        </w:rPr>
        <w:t>lens</w:t>
      </w:r>
      <w:r w:rsidR="00AF2CA9">
        <w:rPr>
          <w:rFonts w:eastAsia="Times New Roman"/>
          <w:sz w:val="24"/>
          <w:szCs w:val="24"/>
        </w:rPr>
        <w:t>:</w:t>
      </w:r>
      <w:r w:rsidRPr="000E1453">
        <w:rPr>
          <w:rFonts w:eastAsia="Times New Roman"/>
          <w:sz w:val="24"/>
          <w:szCs w:val="24"/>
        </w:rPr>
        <w:t xml:space="preserve"> </w:t>
      </w:r>
      <w:r w:rsidR="00862C48">
        <w:rPr>
          <w:rFonts w:eastAsia="Times New Roman"/>
          <w:sz w:val="24"/>
          <w:szCs w:val="24"/>
        </w:rPr>
        <w:t xml:space="preserve">Lensation 3.7mm F/1.8 (model </w:t>
      </w:r>
      <w:r w:rsidR="00862C48" w:rsidRPr="00AA4CF3">
        <w:rPr>
          <w:rFonts w:eastAsia="Times New Roman"/>
          <w:sz w:val="24"/>
          <w:szCs w:val="24"/>
        </w:rPr>
        <w:t>Lensagon BPM3718</w:t>
      </w:r>
      <w:r w:rsidR="00862C48">
        <w:rPr>
          <w:rFonts w:eastAsia="Times New Roman"/>
          <w:sz w:val="24"/>
          <w:szCs w:val="24"/>
        </w:rPr>
        <w:t>)</w:t>
      </w:r>
      <w:r w:rsidR="00AA4CF3">
        <w:rPr>
          <w:rFonts w:eastAsia="Times New Roman"/>
          <w:sz w:val="24"/>
          <w:szCs w:val="24"/>
        </w:rPr>
        <w:t>.</w:t>
      </w:r>
      <w:r w:rsidR="006548BE" w:rsidRPr="000E1453">
        <w:rPr>
          <w:rFonts w:eastAsia="Times New Roman"/>
          <w:sz w:val="24"/>
          <w:szCs w:val="24"/>
        </w:rPr>
        <w:t xml:space="preserve"> We imaged a printed resolution target posted on the wall at </w:t>
      </w:r>
      <w:r w:rsidR="000E1453" w:rsidRPr="000E1453">
        <w:rPr>
          <w:rFonts w:eastAsia="Times New Roman"/>
          <w:sz w:val="24"/>
          <w:szCs w:val="24"/>
        </w:rPr>
        <w:t>about 65</w:t>
      </w:r>
      <w:r w:rsidR="000E1453">
        <w:rPr>
          <w:rFonts w:eastAsia="Times New Roman"/>
          <w:sz w:val="24"/>
          <w:szCs w:val="24"/>
        </w:rPr>
        <w:t>c</w:t>
      </w:r>
      <w:r w:rsidR="000E1453" w:rsidRPr="000E1453">
        <w:rPr>
          <w:rFonts w:eastAsia="Times New Roman"/>
          <w:sz w:val="24"/>
          <w:szCs w:val="24"/>
        </w:rPr>
        <w:t xml:space="preserve">m </w:t>
      </w:r>
      <w:r w:rsidR="000E1453">
        <w:rPr>
          <w:rFonts w:eastAsia="Times New Roman"/>
          <w:sz w:val="24"/>
          <w:szCs w:val="24"/>
        </w:rPr>
        <w:t>distance</w:t>
      </w:r>
      <w:r w:rsidR="000E1453" w:rsidRPr="000E1453">
        <w:rPr>
          <w:rFonts w:eastAsia="Times New Roman"/>
          <w:sz w:val="24"/>
          <w:szCs w:val="24"/>
        </w:rPr>
        <w:t xml:space="preserve"> (same distance for all images).</w:t>
      </w:r>
      <w:r w:rsidR="006548BE" w:rsidRPr="000E1453">
        <w:rPr>
          <w:rFonts w:eastAsia="Times New Roman"/>
          <w:sz w:val="24"/>
          <w:szCs w:val="24"/>
        </w:rPr>
        <w:t xml:space="preserve"> </w:t>
      </w:r>
      <w:r w:rsidR="00830386">
        <w:rPr>
          <w:rFonts w:eastAsia="Times New Roman"/>
          <w:sz w:val="24"/>
          <w:szCs w:val="24"/>
        </w:rPr>
        <w:t xml:space="preserve">The </w:t>
      </w:r>
      <w:r w:rsidR="00FE2F6E">
        <w:rPr>
          <w:rFonts w:eastAsia="Times New Roman"/>
          <w:sz w:val="24"/>
          <w:szCs w:val="24"/>
        </w:rPr>
        <w:t xml:space="preserve">obtained </w:t>
      </w:r>
      <w:r w:rsidR="00830386">
        <w:rPr>
          <w:rFonts w:eastAsia="Times New Roman"/>
          <w:sz w:val="24"/>
          <w:szCs w:val="24"/>
        </w:rPr>
        <w:t>images are shown in Fig. S</w:t>
      </w:r>
      <w:r w:rsidR="002B4ED6">
        <w:rPr>
          <w:rFonts w:eastAsia="Times New Roman"/>
          <w:sz w:val="24"/>
          <w:szCs w:val="24"/>
        </w:rPr>
        <w:t>1</w:t>
      </w:r>
      <w:r w:rsidR="00FE2F6E">
        <w:rPr>
          <w:rFonts w:eastAsia="Times New Roman"/>
          <w:sz w:val="24"/>
          <w:szCs w:val="24"/>
        </w:rPr>
        <w:t>1</w:t>
      </w:r>
      <w:r w:rsidR="00830386">
        <w:rPr>
          <w:rFonts w:eastAsia="Times New Roman"/>
          <w:sz w:val="24"/>
          <w:szCs w:val="24"/>
        </w:rPr>
        <w:t>. The two images on the left (of the Lensation lens and our metalens) are with no post-processing other than cropping.</w:t>
      </w:r>
    </w:p>
    <w:p w14:paraId="13ACF44A" w14:textId="6D248788" w:rsidR="00D63386" w:rsidRDefault="00D63386" w:rsidP="00AA4CF3">
      <w:pPr>
        <w:ind w:left="720"/>
        <w:jc w:val="both"/>
        <w:rPr>
          <w:rFonts w:eastAsia="Times New Roman"/>
          <w:sz w:val="24"/>
          <w:szCs w:val="24"/>
        </w:rPr>
      </w:pPr>
    </w:p>
    <w:tbl>
      <w:tblPr>
        <w:tblStyle w:val="TableGrid"/>
        <w:tblW w:w="9648" w:type="dxa"/>
        <w:jc w:val="center"/>
        <w:tblLook w:val="04A0" w:firstRow="1" w:lastRow="0" w:firstColumn="1" w:lastColumn="0" w:noHBand="0" w:noVBand="1"/>
      </w:tblPr>
      <w:tblGrid>
        <w:gridCol w:w="3216"/>
        <w:gridCol w:w="3216"/>
        <w:gridCol w:w="3216"/>
      </w:tblGrid>
      <w:tr w:rsidR="00830386" w14:paraId="0CA0EB93" w14:textId="69DB7B3E" w:rsidTr="00830386">
        <w:trPr>
          <w:jc w:val="center"/>
        </w:trPr>
        <w:tc>
          <w:tcPr>
            <w:tcW w:w="3216" w:type="dxa"/>
          </w:tcPr>
          <w:p w14:paraId="081E4746" w14:textId="77777777" w:rsidR="00830386" w:rsidRDefault="00830386" w:rsidP="00830386">
            <w:pPr>
              <w:jc w:val="center"/>
              <w:rPr>
                <w:rFonts w:eastAsia="Times New Roman"/>
                <w:sz w:val="24"/>
                <w:szCs w:val="24"/>
              </w:rPr>
            </w:pPr>
            <w:r>
              <w:rPr>
                <w:rFonts w:eastAsia="Times New Roman"/>
                <w:sz w:val="24"/>
                <w:szCs w:val="24"/>
              </w:rPr>
              <w:t>Lensation</w:t>
            </w:r>
          </w:p>
        </w:tc>
        <w:tc>
          <w:tcPr>
            <w:tcW w:w="3216" w:type="dxa"/>
          </w:tcPr>
          <w:p w14:paraId="0E2BFCEA" w14:textId="4500CC84" w:rsidR="00830386" w:rsidRDefault="00830386" w:rsidP="00830386">
            <w:pPr>
              <w:jc w:val="center"/>
              <w:rPr>
                <w:rFonts w:eastAsia="Times New Roman"/>
                <w:sz w:val="24"/>
                <w:szCs w:val="24"/>
              </w:rPr>
            </w:pPr>
            <w:r>
              <w:rPr>
                <w:rFonts w:eastAsia="Times New Roman"/>
                <w:sz w:val="24"/>
                <w:szCs w:val="24"/>
              </w:rPr>
              <w:t>Metalens</w:t>
            </w:r>
          </w:p>
        </w:tc>
        <w:tc>
          <w:tcPr>
            <w:tcW w:w="3216" w:type="dxa"/>
          </w:tcPr>
          <w:p w14:paraId="2413E0C7" w14:textId="27E206F8" w:rsidR="00830386" w:rsidRDefault="00830386" w:rsidP="00830386">
            <w:pPr>
              <w:jc w:val="center"/>
              <w:rPr>
                <w:rFonts w:eastAsia="Times New Roman"/>
                <w:sz w:val="24"/>
                <w:szCs w:val="24"/>
              </w:rPr>
            </w:pPr>
            <w:r>
              <w:rPr>
                <w:rFonts w:eastAsia="Times New Roman"/>
                <w:sz w:val="24"/>
                <w:szCs w:val="24"/>
              </w:rPr>
              <w:t>Metalens enhanced</w:t>
            </w:r>
          </w:p>
        </w:tc>
      </w:tr>
      <w:tr w:rsidR="00830386" w14:paraId="0B5B1AEF" w14:textId="29A2F14F" w:rsidTr="00830386">
        <w:trPr>
          <w:jc w:val="center"/>
        </w:trPr>
        <w:tc>
          <w:tcPr>
            <w:tcW w:w="3216" w:type="dxa"/>
          </w:tcPr>
          <w:p w14:paraId="2C5671DE" w14:textId="14FA91A5" w:rsidR="00830386" w:rsidRDefault="00830386" w:rsidP="00830386">
            <w:pPr>
              <w:jc w:val="center"/>
              <w:rPr>
                <w:rFonts w:eastAsia="Times New Roman"/>
                <w:sz w:val="24"/>
                <w:szCs w:val="24"/>
              </w:rPr>
            </w:pPr>
            <w:r>
              <w:rPr>
                <w:rFonts w:eastAsia="Times New Roman"/>
                <w:noProof/>
                <w:sz w:val="24"/>
                <w:szCs w:val="24"/>
                <w:lang w:bidi="he-IL"/>
              </w:rPr>
              <w:drawing>
                <wp:anchor distT="0" distB="0" distL="114300" distR="114300" simplePos="0" relativeHeight="251675648" behindDoc="0" locked="0" layoutInCell="1" allowOverlap="1" wp14:anchorId="6BB22D5F" wp14:editId="21EA7ADD">
                  <wp:simplePos x="0" y="0"/>
                  <wp:positionH relativeFrom="column">
                    <wp:posOffset>-635</wp:posOffset>
                  </wp:positionH>
                  <wp:positionV relativeFrom="paragraph">
                    <wp:posOffset>173355</wp:posOffset>
                  </wp:positionV>
                  <wp:extent cx="1904762" cy="1666667"/>
                  <wp:effectExtent l="0" t="0" r="63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sation3.7F1.8-with 10nm BPF - exposure 85ms - cropped.tif"/>
                          <pic:cNvPicPr/>
                        </pic:nvPicPr>
                        <pic:blipFill>
                          <a:blip r:embed="rId46">
                            <a:extLst>
                              <a:ext uri="{28A0092B-C50C-407E-A947-70E740481C1C}">
                                <a14:useLocalDpi xmlns:a14="http://schemas.microsoft.com/office/drawing/2010/main" val="0"/>
                              </a:ext>
                            </a:extLst>
                          </a:blip>
                          <a:stretch>
                            <a:fillRect/>
                          </a:stretch>
                        </pic:blipFill>
                        <pic:spPr>
                          <a:xfrm>
                            <a:off x="0" y="0"/>
                            <a:ext cx="1904762" cy="1666667"/>
                          </a:xfrm>
                          <a:prstGeom prst="rect">
                            <a:avLst/>
                          </a:prstGeom>
                        </pic:spPr>
                      </pic:pic>
                    </a:graphicData>
                  </a:graphic>
                </wp:anchor>
              </w:drawing>
            </w:r>
          </w:p>
        </w:tc>
        <w:tc>
          <w:tcPr>
            <w:tcW w:w="3216" w:type="dxa"/>
          </w:tcPr>
          <w:p w14:paraId="3311D518" w14:textId="4AB2AB96" w:rsidR="00830386" w:rsidRDefault="00830386" w:rsidP="00830386">
            <w:pPr>
              <w:rPr>
                <w:rFonts w:eastAsia="Times New Roman"/>
                <w:noProof/>
                <w:sz w:val="24"/>
                <w:szCs w:val="24"/>
              </w:rPr>
            </w:pPr>
            <w:r>
              <w:rPr>
                <w:rFonts w:eastAsia="Times New Roman"/>
                <w:noProof/>
                <w:sz w:val="24"/>
                <w:szCs w:val="24"/>
                <w:lang w:bidi="he-IL"/>
              </w:rPr>
              <w:drawing>
                <wp:anchor distT="0" distB="0" distL="114300" distR="114300" simplePos="0" relativeHeight="251676672" behindDoc="0" locked="0" layoutInCell="1" allowOverlap="1" wp14:anchorId="436D65D8" wp14:editId="56E8ECD4">
                  <wp:simplePos x="0" y="0"/>
                  <wp:positionH relativeFrom="column">
                    <wp:posOffset>-635</wp:posOffset>
                  </wp:positionH>
                  <wp:positionV relativeFrom="paragraph">
                    <wp:posOffset>173355</wp:posOffset>
                  </wp:positionV>
                  <wp:extent cx="1904762" cy="1666667"/>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lens3.36F2.5 with 10nm BPF exposure 344 gain 8 - cropped.tif"/>
                          <pic:cNvPicPr/>
                        </pic:nvPicPr>
                        <pic:blipFill>
                          <a:blip r:embed="rId47">
                            <a:extLst>
                              <a:ext uri="{28A0092B-C50C-407E-A947-70E740481C1C}">
                                <a14:useLocalDpi xmlns:a14="http://schemas.microsoft.com/office/drawing/2010/main" val="0"/>
                              </a:ext>
                            </a:extLst>
                          </a:blip>
                          <a:stretch>
                            <a:fillRect/>
                          </a:stretch>
                        </pic:blipFill>
                        <pic:spPr>
                          <a:xfrm>
                            <a:off x="0" y="0"/>
                            <a:ext cx="1904762" cy="1666667"/>
                          </a:xfrm>
                          <a:prstGeom prst="rect">
                            <a:avLst/>
                          </a:prstGeom>
                        </pic:spPr>
                      </pic:pic>
                    </a:graphicData>
                  </a:graphic>
                </wp:anchor>
              </w:drawing>
            </w:r>
          </w:p>
        </w:tc>
        <w:tc>
          <w:tcPr>
            <w:tcW w:w="3216" w:type="dxa"/>
          </w:tcPr>
          <w:p w14:paraId="00076F13" w14:textId="0CA209D3" w:rsidR="00830386" w:rsidRDefault="00830386" w:rsidP="00830386">
            <w:pPr>
              <w:rPr>
                <w:rFonts w:eastAsia="Times New Roman"/>
                <w:noProof/>
                <w:sz w:val="24"/>
                <w:szCs w:val="24"/>
              </w:rPr>
            </w:pPr>
          </w:p>
          <w:p w14:paraId="6B103452" w14:textId="6363A03F" w:rsidR="00830386" w:rsidRDefault="00830386" w:rsidP="00830386">
            <w:pPr>
              <w:rPr>
                <w:rFonts w:eastAsia="Times New Roman"/>
                <w:noProof/>
                <w:sz w:val="24"/>
                <w:szCs w:val="24"/>
              </w:rPr>
            </w:pPr>
            <w:r>
              <w:rPr>
                <w:rFonts w:eastAsia="Times New Roman"/>
                <w:noProof/>
                <w:sz w:val="24"/>
                <w:szCs w:val="24"/>
                <w:lang w:bidi="he-IL"/>
              </w:rPr>
              <w:drawing>
                <wp:inline distT="0" distB="0" distL="0" distR="0" wp14:anchorId="46E2E83C" wp14:editId="2E17D56E">
                  <wp:extent cx="1904365" cy="16662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lens3.36F2.5 with 10nm BPF exposure 344 gain 8 - cropped - contrast enhanced.tif"/>
                          <pic:cNvPicPr/>
                        </pic:nvPicPr>
                        <pic:blipFill>
                          <a:blip r:embed="rId48">
                            <a:extLst>
                              <a:ext uri="{28A0092B-C50C-407E-A947-70E740481C1C}">
                                <a14:useLocalDpi xmlns:a14="http://schemas.microsoft.com/office/drawing/2010/main" val="0"/>
                              </a:ext>
                            </a:extLst>
                          </a:blip>
                          <a:stretch>
                            <a:fillRect/>
                          </a:stretch>
                        </pic:blipFill>
                        <pic:spPr>
                          <a:xfrm>
                            <a:off x="0" y="0"/>
                            <a:ext cx="1904365" cy="1666240"/>
                          </a:xfrm>
                          <a:prstGeom prst="rect">
                            <a:avLst/>
                          </a:prstGeom>
                        </pic:spPr>
                      </pic:pic>
                    </a:graphicData>
                  </a:graphic>
                </wp:inline>
              </w:drawing>
            </w:r>
          </w:p>
        </w:tc>
      </w:tr>
    </w:tbl>
    <w:p w14:paraId="19B510A3" w14:textId="77777777" w:rsidR="00830386" w:rsidRDefault="00830386" w:rsidP="000D5B43">
      <w:pPr>
        <w:ind w:left="720"/>
        <w:jc w:val="both"/>
        <w:rPr>
          <w:rFonts w:eastAsia="Times New Roman"/>
          <w:sz w:val="24"/>
          <w:szCs w:val="24"/>
        </w:rPr>
      </w:pPr>
    </w:p>
    <w:p w14:paraId="2BEDEFC3" w14:textId="183C5D56" w:rsidR="00830386" w:rsidRPr="008E3B83" w:rsidRDefault="00830386" w:rsidP="000D5B43">
      <w:pPr>
        <w:ind w:left="720"/>
        <w:jc w:val="both"/>
        <w:rPr>
          <w:rFonts w:eastAsia="Times New Roman"/>
        </w:rPr>
      </w:pPr>
      <w:r w:rsidRPr="008E3B83">
        <w:rPr>
          <w:rFonts w:eastAsia="Times New Roman"/>
          <w:b/>
          <w:bCs/>
        </w:rPr>
        <w:t>Fig. S</w:t>
      </w:r>
      <w:r w:rsidR="002B4ED6" w:rsidRPr="008E3B83">
        <w:rPr>
          <w:rFonts w:eastAsia="Times New Roman"/>
          <w:b/>
          <w:bCs/>
        </w:rPr>
        <w:t>1</w:t>
      </w:r>
      <w:r w:rsidR="00A5650C" w:rsidRPr="008E3B83">
        <w:rPr>
          <w:rFonts w:eastAsia="Times New Roman"/>
          <w:b/>
          <w:bCs/>
        </w:rPr>
        <w:t>1</w:t>
      </w:r>
      <w:r w:rsidRPr="008E3B83">
        <w:rPr>
          <w:rFonts w:eastAsia="Times New Roman"/>
        </w:rPr>
        <w:t xml:space="preserve"> Left –commercial lens image, center - metalens image, right – </w:t>
      </w:r>
      <w:r w:rsidR="00DF3B91">
        <w:rPr>
          <w:rFonts w:eastAsia="Times New Roman"/>
        </w:rPr>
        <w:t xml:space="preserve">contrast </w:t>
      </w:r>
      <w:r w:rsidRPr="008E3B83">
        <w:rPr>
          <w:rFonts w:eastAsia="Times New Roman"/>
        </w:rPr>
        <w:t>enhanced metalens image.</w:t>
      </w:r>
    </w:p>
    <w:p w14:paraId="2B5FEF6F" w14:textId="77777777" w:rsidR="00830386" w:rsidRDefault="00830386" w:rsidP="000D5B43">
      <w:pPr>
        <w:ind w:left="720"/>
        <w:jc w:val="both"/>
        <w:rPr>
          <w:rFonts w:eastAsia="Times New Roman"/>
          <w:sz w:val="24"/>
          <w:szCs w:val="24"/>
        </w:rPr>
      </w:pPr>
    </w:p>
    <w:p w14:paraId="4279D247" w14:textId="0DC82F67" w:rsidR="006E04E6" w:rsidRDefault="00862C48" w:rsidP="000D5B43">
      <w:pPr>
        <w:ind w:left="720"/>
        <w:jc w:val="both"/>
        <w:rPr>
          <w:rFonts w:eastAsia="Times New Roman"/>
          <w:sz w:val="24"/>
          <w:szCs w:val="24"/>
        </w:rPr>
      </w:pPr>
      <w:r>
        <w:rPr>
          <w:rFonts w:eastAsia="Times New Roman"/>
          <w:sz w:val="24"/>
          <w:szCs w:val="24"/>
        </w:rPr>
        <w:t xml:space="preserve">The images were taken through an 800nm band-pass filter, </w:t>
      </w:r>
      <w:r w:rsidR="006E04E6">
        <w:rPr>
          <w:rFonts w:eastAsia="Times New Roman"/>
          <w:sz w:val="24"/>
          <w:szCs w:val="24"/>
        </w:rPr>
        <w:t>1</w:t>
      </w:r>
      <w:r>
        <w:rPr>
          <w:rFonts w:eastAsia="Times New Roman"/>
          <w:sz w:val="24"/>
          <w:szCs w:val="24"/>
        </w:rPr>
        <w:t>0nm FWHM (Thorlabs FB800-</w:t>
      </w:r>
      <w:r w:rsidR="006E04E6">
        <w:rPr>
          <w:rFonts w:eastAsia="Times New Roman"/>
          <w:sz w:val="24"/>
          <w:szCs w:val="24"/>
        </w:rPr>
        <w:t>1</w:t>
      </w:r>
      <w:r>
        <w:rPr>
          <w:rFonts w:eastAsia="Times New Roman"/>
          <w:sz w:val="24"/>
          <w:szCs w:val="24"/>
        </w:rPr>
        <w:t>0)</w:t>
      </w:r>
      <w:r w:rsidR="006E04E6">
        <w:rPr>
          <w:rFonts w:eastAsia="Times New Roman"/>
          <w:sz w:val="24"/>
          <w:szCs w:val="24"/>
        </w:rPr>
        <w:t xml:space="preserve">, the same as </w:t>
      </w:r>
      <w:r w:rsidR="00FE2F6E">
        <w:rPr>
          <w:rFonts w:eastAsia="Times New Roman"/>
          <w:sz w:val="24"/>
          <w:szCs w:val="24"/>
        </w:rPr>
        <w:t xml:space="preserve">used </w:t>
      </w:r>
      <w:r w:rsidR="006E04E6">
        <w:rPr>
          <w:rFonts w:eastAsia="Times New Roman"/>
          <w:sz w:val="24"/>
          <w:szCs w:val="24"/>
        </w:rPr>
        <w:t>in fig. 6</w:t>
      </w:r>
      <w:r>
        <w:rPr>
          <w:rFonts w:eastAsia="Times New Roman"/>
          <w:sz w:val="24"/>
          <w:szCs w:val="24"/>
        </w:rPr>
        <w:t xml:space="preserve">. </w:t>
      </w:r>
      <w:r w:rsidR="00AF2CA9">
        <w:rPr>
          <w:rFonts w:eastAsia="Times New Roman"/>
          <w:sz w:val="24"/>
          <w:szCs w:val="24"/>
        </w:rPr>
        <w:t xml:space="preserve">Based on the </w:t>
      </w:r>
      <w:r w:rsidR="00FE2F6E">
        <w:rPr>
          <w:rFonts w:eastAsia="Times New Roman"/>
          <w:sz w:val="24"/>
          <w:szCs w:val="24"/>
        </w:rPr>
        <w:t xml:space="preserve">resolution </w:t>
      </w:r>
      <w:r w:rsidR="00AF2CA9">
        <w:rPr>
          <w:rFonts w:eastAsia="Times New Roman"/>
          <w:sz w:val="24"/>
          <w:szCs w:val="24"/>
        </w:rPr>
        <w:t>group that can be resolved, the</w:t>
      </w:r>
      <w:r>
        <w:rPr>
          <w:rFonts w:eastAsia="Times New Roman"/>
          <w:sz w:val="24"/>
          <w:szCs w:val="24"/>
        </w:rPr>
        <w:t xml:space="preserve"> resolution in the object plane is </w:t>
      </w:r>
      <w:r w:rsidR="006E04E6">
        <w:rPr>
          <w:rFonts w:eastAsia="Times New Roman"/>
          <w:sz w:val="24"/>
          <w:szCs w:val="24"/>
        </w:rPr>
        <w:t>quite similar for both lenses, despite the</w:t>
      </w:r>
      <w:r>
        <w:rPr>
          <w:rFonts w:eastAsia="Times New Roman"/>
          <w:sz w:val="24"/>
          <w:szCs w:val="24"/>
        </w:rPr>
        <w:t xml:space="preserve"> slightly larger focal length of the commercial lens </w:t>
      </w:r>
      <w:r w:rsidR="006E04E6">
        <w:rPr>
          <w:rFonts w:eastAsia="Times New Roman"/>
          <w:sz w:val="24"/>
          <w:szCs w:val="24"/>
        </w:rPr>
        <w:t xml:space="preserve">which gives it a small advantage </w:t>
      </w:r>
      <w:r>
        <w:rPr>
          <w:rFonts w:eastAsia="Times New Roman"/>
          <w:sz w:val="24"/>
          <w:szCs w:val="24"/>
        </w:rPr>
        <w:t xml:space="preserve">(3.7mm compared to 3.36mm). </w:t>
      </w:r>
      <w:r w:rsidR="006E04E6">
        <w:rPr>
          <w:rFonts w:eastAsia="Times New Roman"/>
          <w:sz w:val="24"/>
          <w:szCs w:val="24"/>
        </w:rPr>
        <w:t xml:space="preserve">This is expected, since the pixel size of the </w:t>
      </w:r>
      <w:r w:rsidR="006E04E6" w:rsidRPr="006E04E6">
        <w:rPr>
          <w:rFonts w:eastAsia="Times New Roman"/>
          <w:sz w:val="24"/>
          <w:szCs w:val="24"/>
        </w:rPr>
        <w:t>Thorlabs DCC1545M</w:t>
      </w:r>
      <w:r w:rsidR="006E04E6">
        <w:rPr>
          <w:rFonts w:eastAsia="Times New Roman"/>
          <w:sz w:val="24"/>
          <w:szCs w:val="24"/>
        </w:rPr>
        <w:t xml:space="preserve"> camera is </w:t>
      </w:r>
      <w:r w:rsidR="006E04E6">
        <w:rPr>
          <w:rFonts w:eastAsia="Times New Roman"/>
          <w:sz w:val="24"/>
          <w:szCs w:val="24"/>
        </w:rPr>
        <w:lastRenderedPageBreak/>
        <w:t xml:space="preserve">5.2µm, meaning its’ Nyquist frequency is about 100c/mm. At this frequency our metalens has above 40% MTF, so the resolution is limited by the camera pixel. Assuming this is also the case for the commercial lens, it is expected that the resolution of the commercial lens </w:t>
      </w:r>
      <w:r w:rsidR="00E652A9">
        <w:rPr>
          <w:rFonts w:eastAsia="Times New Roman"/>
          <w:sz w:val="24"/>
          <w:szCs w:val="24"/>
        </w:rPr>
        <w:t xml:space="preserve">will </w:t>
      </w:r>
      <w:r w:rsidR="006E04E6">
        <w:rPr>
          <w:rFonts w:eastAsia="Times New Roman"/>
          <w:sz w:val="24"/>
          <w:szCs w:val="24"/>
        </w:rPr>
        <w:t>be better by a factor equal to the focal length ratio, i.e. 3.7/3.36=1.1, i.e. 10% better.</w:t>
      </w:r>
    </w:p>
    <w:p w14:paraId="1B350B6D" w14:textId="77777777" w:rsidR="006E04E6" w:rsidRDefault="006E04E6" w:rsidP="000D5B43">
      <w:pPr>
        <w:ind w:left="720"/>
        <w:jc w:val="both"/>
        <w:rPr>
          <w:rFonts w:eastAsia="Times New Roman"/>
          <w:sz w:val="24"/>
          <w:szCs w:val="24"/>
        </w:rPr>
      </w:pPr>
    </w:p>
    <w:p w14:paraId="09C6E704" w14:textId="0516C85A" w:rsidR="00BE1B76" w:rsidRDefault="00862C48" w:rsidP="00E652A9">
      <w:pPr>
        <w:ind w:left="720"/>
        <w:jc w:val="both"/>
        <w:rPr>
          <w:rFonts w:eastAsia="Times New Roman"/>
          <w:sz w:val="24"/>
          <w:szCs w:val="24"/>
        </w:rPr>
      </w:pPr>
      <w:r>
        <w:rPr>
          <w:rFonts w:eastAsia="Times New Roman"/>
          <w:sz w:val="24"/>
          <w:szCs w:val="24"/>
        </w:rPr>
        <w:t>The main disadvantage of the metalens is the “milkyness” of the picture, wh</w:t>
      </w:r>
      <w:r w:rsidR="00AF2CA9">
        <w:rPr>
          <w:rFonts w:eastAsia="Times New Roman"/>
          <w:sz w:val="24"/>
          <w:szCs w:val="24"/>
        </w:rPr>
        <w:t xml:space="preserve">ose quantitative measure is “veiling glare”, defined as </w:t>
      </w:r>
      <m:oMath>
        <m:r>
          <w:rPr>
            <w:rFonts w:ascii="Cambria Math" w:eastAsia="Times New Roman" w:hAnsi="Cambria Math"/>
            <w:sz w:val="24"/>
            <w:szCs w:val="24"/>
          </w:rPr>
          <m:t>VG=</m:t>
        </m:r>
        <m:f>
          <m:fPr>
            <m:ctrlPr>
              <w:rPr>
                <w:rFonts w:ascii="Cambria Math" w:eastAsia="Times New Roman" w:hAnsi="Cambria Math"/>
                <w:i/>
                <w:sz w:val="24"/>
                <w:szCs w:val="24"/>
              </w:rPr>
            </m:ctrlPr>
          </m:fPr>
          <m:num>
            <m:r>
              <w:rPr>
                <w:rFonts w:ascii="Cambria Math" w:eastAsia="Times New Roman" w:hAnsi="Cambria Math"/>
                <w:sz w:val="24"/>
                <w:szCs w:val="24"/>
              </w:rPr>
              <m:t>black level</m:t>
            </m:r>
          </m:num>
          <m:den>
            <m:r>
              <w:rPr>
                <w:rFonts w:ascii="Cambria Math" w:eastAsia="Times New Roman" w:hAnsi="Cambria Math"/>
                <w:sz w:val="24"/>
                <w:szCs w:val="24"/>
              </w:rPr>
              <m:t>white level</m:t>
            </m:r>
          </m:den>
        </m:f>
      </m:oMath>
      <w:r w:rsidR="00AF2CA9">
        <w:rPr>
          <w:rFonts w:eastAsia="Times New Roman"/>
          <w:sz w:val="24"/>
          <w:szCs w:val="24"/>
        </w:rPr>
        <w:t xml:space="preserve"> </w:t>
      </w:r>
      <w:r>
        <w:rPr>
          <w:rFonts w:eastAsia="Times New Roman"/>
          <w:sz w:val="24"/>
          <w:szCs w:val="24"/>
        </w:rPr>
        <w:t xml:space="preserve">  </w:t>
      </w:r>
      <w:r w:rsidR="00AF2CA9">
        <w:rPr>
          <w:rFonts w:eastAsia="Times New Roman"/>
          <w:sz w:val="24"/>
          <w:szCs w:val="24"/>
        </w:rPr>
        <w:t>(</w:t>
      </w:r>
      <w:r w:rsidR="000D5B43">
        <w:rPr>
          <w:rFonts w:eastAsia="Times New Roman"/>
          <w:sz w:val="24"/>
          <w:szCs w:val="24"/>
        </w:rPr>
        <w:t>The black level is taken from the black square in the resolution target, and the white from the background level. T</w:t>
      </w:r>
      <w:r w:rsidR="00AF2CA9">
        <w:rPr>
          <w:rFonts w:eastAsia="Times New Roman"/>
          <w:sz w:val="24"/>
          <w:szCs w:val="24"/>
        </w:rPr>
        <w:t>he black and white levels are measure</w:t>
      </w:r>
      <w:r w:rsidR="00DF3B91">
        <w:rPr>
          <w:rFonts w:eastAsia="Times New Roman"/>
          <w:sz w:val="24"/>
          <w:szCs w:val="24"/>
        </w:rPr>
        <w:t>d</w:t>
      </w:r>
      <w:r w:rsidR="00AF2CA9">
        <w:rPr>
          <w:rFonts w:eastAsia="Times New Roman"/>
          <w:sz w:val="24"/>
          <w:szCs w:val="24"/>
        </w:rPr>
        <w:t xml:space="preserve"> relative to the “capped black”, i.e. the graylevel when no light reaches the camera). Based on the above pictures the VG values come out to be 2</w:t>
      </w:r>
      <w:r w:rsidR="000E7F1C">
        <w:rPr>
          <w:rFonts w:eastAsia="Times New Roman"/>
          <w:sz w:val="24"/>
          <w:szCs w:val="24"/>
        </w:rPr>
        <w:t>0</w:t>
      </w:r>
      <w:r w:rsidR="00AF2CA9">
        <w:rPr>
          <w:rFonts w:eastAsia="Times New Roman"/>
          <w:sz w:val="24"/>
          <w:szCs w:val="24"/>
        </w:rPr>
        <w:t xml:space="preserve">% for the commercial lens, and </w:t>
      </w:r>
      <w:r w:rsidR="000E7F1C">
        <w:rPr>
          <w:rFonts w:eastAsia="Times New Roman"/>
          <w:sz w:val="24"/>
          <w:szCs w:val="24"/>
        </w:rPr>
        <w:t>60</w:t>
      </w:r>
      <w:r w:rsidR="00AF2CA9">
        <w:rPr>
          <w:rFonts w:eastAsia="Times New Roman"/>
          <w:sz w:val="24"/>
          <w:szCs w:val="24"/>
        </w:rPr>
        <w:t xml:space="preserve">% for the metalens. This is a result of the strong zero-order that </w:t>
      </w:r>
      <w:r w:rsidR="00E652A9">
        <w:rPr>
          <w:rFonts w:eastAsia="Times New Roman"/>
          <w:sz w:val="24"/>
          <w:szCs w:val="24"/>
        </w:rPr>
        <w:t>passes</w:t>
      </w:r>
      <w:r w:rsidR="00AF2CA9">
        <w:rPr>
          <w:rFonts w:eastAsia="Times New Roman"/>
          <w:sz w:val="24"/>
          <w:szCs w:val="24"/>
        </w:rPr>
        <w:t xml:space="preserve"> through in our metalens (with better manufacturing this can be improved drastically).  </w:t>
      </w:r>
      <w:r w:rsidR="00BE1B76">
        <w:rPr>
          <w:rFonts w:eastAsia="Times New Roman"/>
          <w:sz w:val="24"/>
          <w:szCs w:val="24"/>
        </w:rPr>
        <w:t xml:space="preserve">Of course, the milkyness can be easily improved by a simple contrast enhancement operation (bring the graylevel of the darkest area down, and then apply gain to bring the brightest area back up), at the expense of SNR. The result </w:t>
      </w:r>
      <w:r w:rsidR="00E652A9">
        <w:rPr>
          <w:rFonts w:eastAsia="Times New Roman"/>
          <w:sz w:val="24"/>
          <w:szCs w:val="24"/>
        </w:rPr>
        <w:t xml:space="preserve">of such contrast enhancement </w:t>
      </w:r>
      <w:r w:rsidR="00BE1B76">
        <w:rPr>
          <w:rFonts w:eastAsia="Times New Roman"/>
          <w:sz w:val="24"/>
          <w:szCs w:val="24"/>
        </w:rPr>
        <w:t xml:space="preserve">is shown </w:t>
      </w:r>
      <w:r w:rsidR="00E652A9">
        <w:rPr>
          <w:rFonts w:eastAsia="Times New Roman"/>
          <w:sz w:val="24"/>
          <w:szCs w:val="24"/>
        </w:rPr>
        <w:t xml:space="preserve">on the right panel of </w:t>
      </w:r>
      <w:r w:rsidR="00830386">
        <w:rPr>
          <w:rFonts w:eastAsia="Times New Roman"/>
          <w:sz w:val="24"/>
          <w:szCs w:val="24"/>
        </w:rPr>
        <w:t>Fig. S</w:t>
      </w:r>
      <w:r w:rsidR="002B4ED6">
        <w:rPr>
          <w:rFonts w:eastAsia="Times New Roman"/>
          <w:sz w:val="24"/>
          <w:szCs w:val="24"/>
        </w:rPr>
        <w:t>1</w:t>
      </w:r>
      <w:r w:rsidR="00DF3B91">
        <w:rPr>
          <w:rFonts w:eastAsia="Times New Roman"/>
          <w:sz w:val="24"/>
          <w:szCs w:val="24"/>
        </w:rPr>
        <w:t>1</w:t>
      </w:r>
      <w:r w:rsidR="00830386">
        <w:rPr>
          <w:rFonts w:eastAsia="Times New Roman"/>
          <w:sz w:val="24"/>
          <w:szCs w:val="24"/>
        </w:rPr>
        <w:t>.</w:t>
      </w:r>
    </w:p>
    <w:p w14:paraId="6DCB8ABD" w14:textId="5F8969E3" w:rsidR="000D5B43" w:rsidRDefault="000D5B43" w:rsidP="00AA4CF3">
      <w:pPr>
        <w:ind w:left="720"/>
        <w:jc w:val="both"/>
        <w:rPr>
          <w:rFonts w:eastAsia="Times New Roman"/>
          <w:sz w:val="24"/>
          <w:szCs w:val="24"/>
        </w:rPr>
      </w:pPr>
    </w:p>
    <w:p w14:paraId="0826E71F" w14:textId="752E345C" w:rsidR="000D5B43" w:rsidRDefault="000D5B43" w:rsidP="00AA4CF3">
      <w:pPr>
        <w:ind w:left="720"/>
        <w:jc w:val="both"/>
        <w:rPr>
          <w:rFonts w:eastAsia="Times New Roman"/>
          <w:sz w:val="24"/>
          <w:szCs w:val="24"/>
        </w:rPr>
      </w:pPr>
      <w:r>
        <w:rPr>
          <w:rFonts w:eastAsia="Times New Roman"/>
          <w:sz w:val="24"/>
          <w:szCs w:val="24"/>
        </w:rPr>
        <w:t>We can also estimate the transmission of our metalens compared to the commercial lens by comparing the exposure times needed to obtain the same white level</w:t>
      </w:r>
      <w:r w:rsidR="00952837">
        <w:rPr>
          <w:rFonts w:eastAsia="Times New Roman"/>
          <w:sz w:val="24"/>
          <w:szCs w:val="24"/>
        </w:rPr>
        <w:t xml:space="preserve"> (we set the exposure to obtain a white-level of 200 in both lenses)</w:t>
      </w:r>
      <w:r>
        <w:rPr>
          <w:rFonts w:eastAsia="Times New Roman"/>
          <w:sz w:val="24"/>
          <w:szCs w:val="24"/>
        </w:rPr>
        <w:t>, and accounting for the difference in F#:</w:t>
      </w:r>
    </w:p>
    <w:p w14:paraId="089BB14D" w14:textId="77777777" w:rsidR="00D36533" w:rsidRDefault="00D36533" w:rsidP="00AA4CF3">
      <w:pPr>
        <w:ind w:left="720"/>
        <w:jc w:val="both"/>
        <w:rPr>
          <w:rFonts w:eastAsia="Times New Roman"/>
          <w:sz w:val="24"/>
          <w:szCs w:val="24"/>
        </w:rPr>
      </w:pPr>
    </w:p>
    <w:p w14:paraId="35B010F1" w14:textId="14CE204E" w:rsidR="000D5B43" w:rsidRPr="00D36533" w:rsidRDefault="000D5B43" w:rsidP="00952837">
      <w:pPr>
        <w:ind w:left="720"/>
        <w:jc w:val="center"/>
        <w:rPr>
          <w:rFonts w:eastAsia="Times New Roman"/>
          <w:sz w:val="24"/>
          <w:szCs w:val="24"/>
        </w:rPr>
      </w:pPr>
      <m:oMathPara>
        <m:oMath>
          <m:r>
            <w:rPr>
              <w:rFonts w:ascii="Cambria Math" w:eastAsia="Times New Roman" w:hAnsi="Cambria Math"/>
              <w:sz w:val="24"/>
              <w:szCs w:val="24"/>
            </w:rPr>
            <m:t>Rel. Trans.=</m:t>
          </m:r>
          <m:f>
            <m:fPr>
              <m:ctrlPr>
                <w:rPr>
                  <w:rFonts w:ascii="Cambria Math" w:eastAsia="Times New Roman" w:hAnsi="Cambria Math"/>
                  <w:i/>
                  <w:sz w:val="24"/>
                  <w:szCs w:val="24"/>
                </w:rPr>
              </m:ctrlPr>
            </m:fPr>
            <m:num>
              <m:r>
                <w:rPr>
                  <w:rFonts w:ascii="Cambria Math" w:eastAsia="Times New Roman" w:hAnsi="Cambria Math"/>
                  <w:sz w:val="24"/>
                  <w:szCs w:val="24"/>
                </w:rPr>
                <m:t>exposure metalnes</m:t>
              </m:r>
            </m:num>
            <m:den>
              <m:r>
                <w:rPr>
                  <w:rFonts w:ascii="Cambria Math" w:eastAsia="Times New Roman" w:hAnsi="Cambria Math"/>
                  <w:sz w:val="24"/>
                  <w:szCs w:val="24"/>
                </w:rPr>
                <m:t>exposure commerical lens</m:t>
              </m:r>
            </m:den>
          </m:f>
          <m:r>
            <w:rPr>
              <w:rFonts w:ascii="Cambria Math" w:eastAsia="Times New Roman" w:hAnsi="Cambria Math"/>
              <w:sz w:val="24"/>
              <w:szCs w:val="24"/>
            </w:rPr>
            <m:t>∙</m:t>
          </m:r>
          <m:sSup>
            <m:sSupPr>
              <m:ctrlPr>
                <w:rPr>
                  <w:rFonts w:ascii="Cambria Math" w:eastAsia="Times New Roman" w:hAnsi="Cambria Math"/>
                  <w:i/>
                  <w:sz w:val="24"/>
                  <w:szCs w:val="24"/>
                </w:rPr>
              </m:ctrlPr>
            </m:sSupPr>
            <m:e>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F# metalens</m:t>
                      </m:r>
                    </m:num>
                    <m:den>
                      <m:r>
                        <w:rPr>
                          <w:rFonts w:ascii="Cambria Math" w:eastAsia="Times New Roman" w:hAnsi="Cambria Math"/>
                          <w:sz w:val="24"/>
                          <w:szCs w:val="24"/>
                        </w:rPr>
                        <m:t>F# commercial lens</m:t>
                      </m:r>
                    </m:den>
                  </m:f>
                </m:e>
              </m:d>
            </m:e>
            <m:sup>
              <m:r>
                <w:rPr>
                  <w:rFonts w:ascii="Cambria Math" w:eastAsia="Times New Roman" w:hAnsi="Cambria Math"/>
                  <w:sz w:val="24"/>
                  <w:szCs w:val="24"/>
                </w:rPr>
                <m:t>2</m:t>
              </m:r>
            </m:sup>
          </m:sSup>
        </m:oMath>
      </m:oMathPara>
    </w:p>
    <w:p w14:paraId="42BA03BD" w14:textId="77777777" w:rsidR="00D36533" w:rsidRDefault="00D36533" w:rsidP="00952837">
      <w:pPr>
        <w:ind w:left="720"/>
        <w:jc w:val="center"/>
        <w:rPr>
          <w:rFonts w:eastAsia="Times New Roman"/>
          <w:sz w:val="24"/>
          <w:szCs w:val="24"/>
        </w:rPr>
      </w:pPr>
    </w:p>
    <w:p w14:paraId="4ED7AEF0" w14:textId="4CC9752C" w:rsidR="00D63386" w:rsidRDefault="00952837" w:rsidP="00952837">
      <w:pPr>
        <w:ind w:left="720"/>
        <w:jc w:val="both"/>
        <w:rPr>
          <w:rFonts w:eastAsia="Times New Roman"/>
          <w:sz w:val="24"/>
          <w:szCs w:val="24"/>
        </w:rPr>
      </w:pPr>
      <w:r>
        <w:rPr>
          <w:rFonts w:eastAsia="Times New Roman"/>
          <w:sz w:val="24"/>
          <w:szCs w:val="24"/>
        </w:rPr>
        <w:t xml:space="preserve">We obtained a relative transmission of </w:t>
      </w:r>
      <w:r w:rsidR="000E7F1C">
        <w:rPr>
          <w:rFonts w:eastAsia="Times New Roman"/>
          <w:sz w:val="24"/>
          <w:szCs w:val="24"/>
        </w:rPr>
        <w:t>65</w:t>
      </w:r>
      <w:r>
        <w:rPr>
          <w:rFonts w:eastAsia="Times New Roman"/>
          <w:sz w:val="24"/>
          <w:szCs w:val="24"/>
        </w:rPr>
        <w:t xml:space="preserve">% for our lens compared to the Lensation lens (this includes all transmitted light, i.e. mostly the first and zero order, which explains why it is higher </w:t>
      </w:r>
      <w:r w:rsidR="000E7F1C">
        <w:rPr>
          <w:rFonts w:eastAsia="Times New Roman"/>
          <w:sz w:val="24"/>
          <w:szCs w:val="24"/>
        </w:rPr>
        <w:t xml:space="preserve">than </w:t>
      </w:r>
      <w:r>
        <w:rPr>
          <w:rFonts w:eastAsia="Times New Roman"/>
          <w:sz w:val="24"/>
          <w:szCs w:val="24"/>
        </w:rPr>
        <w:t xml:space="preserve">the efficiency of the lens). </w:t>
      </w:r>
    </w:p>
    <w:p w14:paraId="67A0E436" w14:textId="225FD38B" w:rsidR="00BE1B76" w:rsidRDefault="00BE1B76" w:rsidP="00952837">
      <w:pPr>
        <w:ind w:left="720"/>
        <w:jc w:val="both"/>
        <w:rPr>
          <w:rFonts w:eastAsia="Times New Roman"/>
          <w:sz w:val="24"/>
          <w:szCs w:val="24"/>
        </w:rPr>
      </w:pPr>
    </w:p>
    <w:p w14:paraId="514352DD" w14:textId="05CEB71D" w:rsidR="00BE1B76" w:rsidRDefault="00BE1B76" w:rsidP="00EA4B83">
      <w:pPr>
        <w:ind w:left="720"/>
        <w:jc w:val="both"/>
        <w:rPr>
          <w:rFonts w:eastAsia="Times New Roman"/>
          <w:sz w:val="24"/>
          <w:szCs w:val="24"/>
        </w:rPr>
      </w:pPr>
      <w:r>
        <w:rPr>
          <w:rFonts w:eastAsia="Times New Roman"/>
          <w:sz w:val="24"/>
          <w:szCs w:val="24"/>
        </w:rPr>
        <w:t xml:space="preserve">Of course, the commercial lens also gives a wider field of view than our metalens – this is not visible in the above cropped images. A metalens with improved FOV can be obtained by </w:t>
      </w:r>
      <w:r w:rsidR="00EA4B83">
        <w:rPr>
          <w:rFonts w:eastAsia="Times New Roman"/>
          <w:sz w:val="24"/>
          <w:szCs w:val="24"/>
        </w:rPr>
        <w:t>using</w:t>
      </w:r>
      <w:r>
        <w:rPr>
          <w:rFonts w:eastAsia="Times New Roman"/>
          <w:sz w:val="24"/>
          <w:szCs w:val="24"/>
        </w:rPr>
        <w:t xml:space="preserve"> a truncated-waveguide or geometrical phase type antenna.</w:t>
      </w:r>
    </w:p>
    <w:p w14:paraId="5D355076" w14:textId="615CA525" w:rsidR="0043760A" w:rsidRDefault="0043760A" w:rsidP="00952837">
      <w:pPr>
        <w:ind w:left="720"/>
        <w:jc w:val="both"/>
        <w:rPr>
          <w:rFonts w:eastAsia="Times New Roman"/>
          <w:sz w:val="24"/>
          <w:szCs w:val="24"/>
        </w:rPr>
      </w:pPr>
    </w:p>
    <w:p w14:paraId="3A3853F5" w14:textId="1B937EDA" w:rsidR="0043760A" w:rsidRDefault="0043760A" w:rsidP="003623C5">
      <w:pPr>
        <w:pStyle w:val="Heading1"/>
        <w:rPr>
          <w:rFonts w:eastAsia="Times New Roman"/>
        </w:rPr>
      </w:pPr>
      <w:r>
        <w:rPr>
          <w:rFonts w:eastAsia="Times New Roman"/>
        </w:rPr>
        <w:t>Comparison of wide-FOV metalenses</w:t>
      </w:r>
    </w:p>
    <w:p w14:paraId="35F08312" w14:textId="28C93DF6" w:rsidR="0080495A" w:rsidRDefault="00403611" w:rsidP="00403611">
      <w:pPr>
        <w:ind w:left="720"/>
        <w:jc w:val="both"/>
        <w:rPr>
          <w:rFonts w:eastAsia="Times New Roman"/>
          <w:sz w:val="24"/>
          <w:szCs w:val="24"/>
        </w:rPr>
      </w:pPr>
      <w:r>
        <w:rPr>
          <w:rFonts w:eastAsia="Times New Roman"/>
          <w:sz w:val="24"/>
          <w:szCs w:val="24"/>
        </w:rPr>
        <w:t>As of today, v</w:t>
      </w:r>
      <w:r w:rsidR="003623C5" w:rsidRPr="003623C5">
        <w:rPr>
          <w:rFonts w:eastAsia="Times New Roman"/>
          <w:sz w:val="24"/>
          <w:szCs w:val="24"/>
        </w:rPr>
        <w:t>ery few</w:t>
      </w:r>
      <w:r w:rsidR="003623C5">
        <w:rPr>
          <w:rFonts w:eastAsia="Times New Roman"/>
          <w:sz w:val="24"/>
          <w:szCs w:val="24"/>
        </w:rPr>
        <w:t xml:space="preserve"> wide-field-of-view metalenses have been demonstrated. </w:t>
      </w:r>
      <w:r w:rsidR="009A554F">
        <w:rPr>
          <w:rFonts w:eastAsia="Times New Roman"/>
          <w:sz w:val="24"/>
          <w:szCs w:val="24"/>
        </w:rPr>
        <w:t>In table S1</w:t>
      </w:r>
      <w:r w:rsidR="003623C5">
        <w:rPr>
          <w:rFonts w:eastAsia="Times New Roman"/>
          <w:sz w:val="24"/>
          <w:szCs w:val="24"/>
        </w:rPr>
        <w:t xml:space="preserve"> we compare the Huygens type metalens presented in this paper to previously presented truncated waveguide type </w:t>
      </w:r>
      <w:r w:rsidR="003623C5">
        <w:rPr>
          <w:rFonts w:eastAsia="Times New Roman"/>
          <w:sz w:val="24"/>
          <w:szCs w:val="24"/>
        </w:rPr>
        <w:fldChar w:fldCharType="begin" w:fldLock="1"/>
      </w:r>
      <w:r w:rsidR="003623C5">
        <w:rPr>
          <w:rFonts w:eastAsia="Times New Roman"/>
          <w:sz w:val="24"/>
          <w:szCs w:val="24"/>
        </w:rPr>
        <w:instrText>ADDIN CSL_CITATION {"citationItems":[{"id":"ITEM-1","itemData":{"DOI":"10.1038/ncomms13682","ISBN":"2041-1723 (Electronic) 2041-1723 (Linking)","ISSN":"2041-1723","PMID":"27892454","author":[{"dropping-particle":"","family":"Arbabi","given":"Amir","non-dropping-particle":"","parse-names":false,"suffix":""},{"dropping-particle":"","family":"Arbabi","given":"Ehsan","non-dropping-particle":"","parse-names":false,"suffix":""},{"dropping-particle":"","family":"Kamali","given":"Seyedeh Mahsa","non-dropping-particle":"","parse-names":false,"suffix":""},{"dropping-particle":"","family":"Horie","given":"Yu","non-dropping-particle":"","parse-names":false,"suffix":""},{"dropping-particle":"","family":"Han","given":"Seunghoon","non-dropping-particle":"","parse-names":false,"suffix":""},{"dropping-particle":"","family":"Faraon","given":"Andrei","non-dropping-particle":"","parse-names":false,"suffix":""}],"container-title":"Nature Communications","id":"ITEM-1","issued":{"date-parts":[["2016","11","28"]]},"page":"13682","publisher":"Nature Publishing Group","title":"Miniature optical planar camera based on a wide-angle metasurface doublet corrected for monochromatic aberrations","type":"article-journal","volume":"7"},"uris":["http://www.mendeley.com/documents/?uuid=e59b1cf8-e24b-4753-9f5f-68550ce3aced"]}],"mendeley":{"formattedCitation":" [1]","plainTextFormattedCitation":" [1]","previouslyFormattedCitation":" [1]"},"properties":{"noteIndex":0},"schema":"https://github.com/citation-style-language/schema/raw/master/csl-citation.json"}</w:instrText>
      </w:r>
      <w:r w:rsidR="003623C5">
        <w:rPr>
          <w:rFonts w:eastAsia="Times New Roman"/>
          <w:sz w:val="24"/>
          <w:szCs w:val="24"/>
        </w:rPr>
        <w:fldChar w:fldCharType="separate"/>
      </w:r>
      <w:r w:rsidR="003623C5" w:rsidRPr="003623C5">
        <w:rPr>
          <w:rFonts w:eastAsia="Times New Roman"/>
          <w:noProof/>
          <w:sz w:val="24"/>
          <w:szCs w:val="24"/>
        </w:rPr>
        <w:t> [1]</w:t>
      </w:r>
      <w:r w:rsidR="003623C5">
        <w:rPr>
          <w:rFonts w:eastAsia="Times New Roman"/>
          <w:sz w:val="24"/>
          <w:szCs w:val="24"/>
        </w:rPr>
        <w:fldChar w:fldCharType="end"/>
      </w:r>
      <w:r w:rsidR="003623C5">
        <w:rPr>
          <w:rFonts w:eastAsia="Times New Roman"/>
          <w:sz w:val="24"/>
          <w:szCs w:val="24"/>
        </w:rPr>
        <w:t xml:space="preserve"> and geometrical phase type </w:t>
      </w:r>
      <w:r w:rsidR="003623C5">
        <w:rPr>
          <w:rFonts w:eastAsia="Times New Roman"/>
          <w:sz w:val="24"/>
          <w:szCs w:val="24"/>
        </w:rPr>
        <w:fldChar w:fldCharType="begin" w:fldLock="1"/>
      </w:r>
      <w:r w:rsidR="003623C5">
        <w:rPr>
          <w:rFonts w:eastAsia="Times New Roman"/>
          <w:sz w:val="24"/>
          <w:szCs w:val="24"/>
        </w:rPr>
        <w:instrText>ADDIN CSL_CITATION {"citationItems":[{"id":"ITEM-1","itemData":{"DOI":"10.1021/acs.nanolett.7b01888","ISSN":"15306992","abstract":"Recently, developments in meta-surfaces have allowed for the possibility of a fundamental shift in lens manufacturing—from the century-old grinding technology to nanofabrication—opening a way toward mass producible high-end meta-lenses. Inspired by early camera lenses and to overcome the aberrations of planar single-layered meta-lenses, we demonstrate a compact meta-lens doublet by patterning two metasurfaces on both sides of a substrate. This meta-lens doublet has a numerical aperture of 0.44, a focal length of 342.5 μm, and a field of view of 50° that enables diffraction-limited monochromatic imaging along the focal plane at a wavelength of 532 nm. The compact design has various imaging applications in microscopy, machine vision, and computer vision.","author":[{"dropping-particle":"","family":"Groever","given":"Benedikt","non-dropping-particle":"","parse-names":false,"suffix":""},{"dropping-particle":"","family":"Chen","given":"Wei Ting","non-dropping-particle":"","parse-names":false,"suffix":""},{"dropping-particle":"","family":"Capasso","given":"Federico","non-dropping-particle":"","parse-names":false,"suffix":""}],"container-title":"Nano Letters","id":"ITEM-1","issue":"8","issued":{"date-parts":[["2017"]]},"page":"4902-4907","title":"Meta-lens doublet in the visible region","type":"article-journal","volume":"17"},"uris":["http://www.mendeley.com/documents/?uuid=19e047a3-fac3-4412-b7e2-ff3f9169aa9b"]}],"mendeley":{"formattedCitation":" [12]","plainTextFormattedCitation":" [12]"},"properties":{"noteIndex":0},"schema":"https://github.com/citation-style-language/schema/raw/master/csl-citation.json"}</w:instrText>
      </w:r>
      <w:r w:rsidR="003623C5">
        <w:rPr>
          <w:rFonts w:eastAsia="Times New Roman"/>
          <w:sz w:val="24"/>
          <w:szCs w:val="24"/>
        </w:rPr>
        <w:fldChar w:fldCharType="separate"/>
      </w:r>
      <w:r w:rsidR="003623C5" w:rsidRPr="003623C5">
        <w:rPr>
          <w:rFonts w:eastAsia="Times New Roman"/>
          <w:noProof/>
          <w:sz w:val="24"/>
          <w:szCs w:val="24"/>
        </w:rPr>
        <w:t> [12]</w:t>
      </w:r>
      <w:r w:rsidR="003623C5">
        <w:rPr>
          <w:rFonts w:eastAsia="Times New Roman"/>
          <w:sz w:val="24"/>
          <w:szCs w:val="24"/>
        </w:rPr>
        <w:fldChar w:fldCharType="end"/>
      </w:r>
      <w:r w:rsidR="003623C5">
        <w:rPr>
          <w:rFonts w:eastAsia="Times New Roman"/>
          <w:sz w:val="24"/>
          <w:szCs w:val="24"/>
        </w:rPr>
        <w:t xml:space="preserve"> wide-FOV metalenses. </w:t>
      </w:r>
    </w:p>
    <w:p w14:paraId="6733A51B" w14:textId="77777777" w:rsidR="0080495A" w:rsidRDefault="0080495A">
      <w:pPr>
        <w:spacing w:after="160" w:line="259" w:lineRule="auto"/>
        <w:rPr>
          <w:rFonts w:eastAsia="Times New Roman"/>
          <w:sz w:val="24"/>
          <w:szCs w:val="24"/>
        </w:rPr>
      </w:pPr>
      <w:r>
        <w:rPr>
          <w:rFonts w:eastAsia="Times New Roman"/>
          <w:sz w:val="24"/>
          <w:szCs w:val="24"/>
        </w:rPr>
        <w:br w:type="page"/>
      </w:r>
    </w:p>
    <w:p w14:paraId="04762234" w14:textId="66E12ACB" w:rsidR="003623C5" w:rsidRPr="003623C5" w:rsidRDefault="003623C5" w:rsidP="003623C5">
      <w:pPr>
        <w:ind w:left="720"/>
        <w:jc w:val="both"/>
        <w:rPr>
          <w:rFonts w:eastAsia="Times New Roman"/>
          <w:sz w:val="24"/>
          <w:szCs w:val="24"/>
        </w:rPr>
      </w:pPr>
      <w:r>
        <w:rPr>
          <w:rFonts w:eastAsia="Times New Roman"/>
          <w:sz w:val="24"/>
          <w:szCs w:val="24"/>
        </w:rPr>
        <w:lastRenderedPageBreak/>
        <w:t xml:space="preserve"> </w:t>
      </w:r>
    </w:p>
    <w:p w14:paraId="60FFE513" w14:textId="77777777" w:rsidR="0043760A" w:rsidRDefault="0043760A" w:rsidP="00952837">
      <w:pPr>
        <w:ind w:left="720"/>
        <w:jc w:val="both"/>
        <w:rPr>
          <w:rFonts w:eastAsia="Times New Roman"/>
          <w:sz w:val="24"/>
          <w:szCs w:val="24"/>
        </w:rPr>
      </w:pPr>
    </w:p>
    <w:tbl>
      <w:tblPr>
        <w:tblStyle w:val="GridTable5Dark-Accent5"/>
        <w:tblW w:w="0" w:type="auto"/>
        <w:jc w:val="center"/>
        <w:tblLook w:val="04A0" w:firstRow="1" w:lastRow="0" w:firstColumn="1" w:lastColumn="0" w:noHBand="0" w:noVBand="1"/>
      </w:tblPr>
      <w:tblGrid>
        <w:gridCol w:w="2155"/>
        <w:gridCol w:w="1530"/>
        <w:gridCol w:w="1890"/>
        <w:gridCol w:w="1980"/>
      </w:tblGrid>
      <w:tr w:rsidR="0043760A" w14:paraId="0E7A5420" w14:textId="77777777" w:rsidTr="00D56B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610DA60" w14:textId="2CE94D58" w:rsidR="0043760A" w:rsidRDefault="0043760A" w:rsidP="00952837">
            <w:pPr>
              <w:jc w:val="both"/>
              <w:rPr>
                <w:rFonts w:eastAsia="Times New Roman"/>
                <w:sz w:val="24"/>
                <w:szCs w:val="24"/>
              </w:rPr>
            </w:pPr>
            <w:r>
              <w:rPr>
                <w:rFonts w:eastAsia="Times New Roman"/>
                <w:sz w:val="24"/>
                <w:szCs w:val="24"/>
              </w:rPr>
              <w:t>Parameter\Type</w:t>
            </w:r>
          </w:p>
        </w:tc>
        <w:tc>
          <w:tcPr>
            <w:tcW w:w="1530" w:type="dxa"/>
          </w:tcPr>
          <w:p w14:paraId="4F9641FB" w14:textId="5D77FC21" w:rsidR="0043760A" w:rsidRDefault="0043760A" w:rsidP="00CB2B2F">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Huygens</w:t>
            </w:r>
          </w:p>
        </w:tc>
        <w:tc>
          <w:tcPr>
            <w:tcW w:w="1890" w:type="dxa"/>
          </w:tcPr>
          <w:p w14:paraId="526E215C" w14:textId="5F105C79" w:rsidR="0043760A" w:rsidRDefault="0043760A" w:rsidP="00CB2B2F">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Truncated waveguide</w:t>
            </w:r>
          </w:p>
        </w:tc>
        <w:tc>
          <w:tcPr>
            <w:tcW w:w="1980" w:type="dxa"/>
          </w:tcPr>
          <w:p w14:paraId="6602A4D4" w14:textId="20AE6EA0" w:rsidR="0043760A" w:rsidRDefault="0043760A" w:rsidP="00CB2B2F">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Geometrical phase</w:t>
            </w:r>
          </w:p>
        </w:tc>
      </w:tr>
      <w:tr w:rsidR="0043760A" w14:paraId="3F0BE849" w14:textId="77777777" w:rsidTr="00D56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5FA13D0" w14:textId="26E78D77" w:rsidR="0043760A" w:rsidRDefault="003623C5" w:rsidP="00952837">
            <w:pPr>
              <w:jc w:val="both"/>
              <w:rPr>
                <w:rFonts w:eastAsia="Times New Roman"/>
                <w:sz w:val="24"/>
                <w:szCs w:val="24"/>
              </w:rPr>
            </w:pPr>
            <w:r>
              <w:rPr>
                <w:rFonts w:eastAsia="Times New Roman"/>
                <w:sz w:val="24"/>
                <w:szCs w:val="24"/>
              </w:rPr>
              <w:t>Design wavelength</w:t>
            </w:r>
          </w:p>
        </w:tc>
        <w:tc>
          <w:tcPr>
            <w:tcW w:w="1530" w:type="dxa"/>
          </w:tcPr>
          <w:p w14:paraId="65D6D147" w14:textId="7320675D" w:rsidR="0043760A"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850nm</w:t>
            </w:r>
          </w:p>
        </w:tc>
        <w:tc>
          <w:tcPr>
            <w:tcW w:w="1890" w:type="dxa"/>
          </w:tcPr>
          <w:p w14:paraId="7D276BE7" w14:textId="41FDE200" w:rsidR="0043760A"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850nm</w:t>
            </w:r>
          </w:p>
        </w:tc>
        <w:tc>
          <w:tcPr>
            <w:tcW w:w="1980" w:type="dxa"/>
          </w:tcPr>
          <w:p w14:paraId="6C637853" w14:textId="2F673838" w:rsidR="0043760A"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532nm</w:t>
            </w:r>
          </w:p>
        </w:tc>
      </w:tr>
      <w:tr w:rsidR="003623C5" w14:paraId="7717D15F" w14:textId="77777777" w:rsidTr="00D56BF9">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6EC013E4" w14:textId="5DCAEFF7" w:rsidR="003623C5" w:rsidRDefault="003623C5" w:rsidP="003623C5">
            <w:pPr>
              <w:jc w:val="both"/>
              <w:rPr>
                <w:rFonts w:eastAsia="Times New Roman"/>
                <w:sz w:val="24"/>
                <w:szCs w:val="24"/>
              </w:rPr>
            </w:pPr>
            <w:r>
              <w:rPr>
                <w:rFonts w:eastAsia="Times New Roman"/>
                <w:sz w:val="24"/>
                <w:szCs w:val="24"/>
              </w:rPr>
              <w:t>Antenna material</w:t>
            </w:r>
          </w:p>
        </w:tc>
        <w:tc>
          <w:tcPr>
            <w:tcW w:w="1530" w:type="dxa"/>
          </w:tcPr>
          <w:p w14:paraId="59C80EF5" w14:textId="2EA7BB35" w:rsidR="003623C5" w:rsidRDefault="003623C5"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a-Si</w:t>
            </w:r>
          </w:p>
        </w:tc>
        <w:tc>
          <w:tcPr>
            <w:tcW w:w="1890" w:type="dxa"/>
          </w:tcPr>
          <w:p w14:paraId="6AF2B407" w14:textId="041675AB" w:rsidR="003623C5" w:rsidRDefault="003623C5"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a-Si</w:t>
            </w:r>
          </w:p>
        </w:tc>
        <w:tc>
          <w:tcPr>
            <w:tcW w:w="1980" w:type="dxa"/>
          </w:tcPr>
          <w:p w14:paraId="7BF16760" w14:textId="0FC6D482" w:rsidR="003623C5" w:rsidRPr="003623C5" w:rsidRDefault="003623C5"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bscript"/>
              </w:rPr>
            </w:pPr>
            <w:r>
              <w:rPr>
                <w:rFonts w:eastAsia="Times New Roman"/>
                <w:sz w:val="24"/>
                <w:szCs w:val="24"/>
              </w:rPr>
              <w:t>TiO</w:t>
            </w:r>
            <w:r>
              <w:rPr>
                <w:rFonts w:eastAsia="Times New Roman"/>
                <w:sz w:val="24"/>
                <w:szCs w:val="24"/>
                <w:vertAlign w:val="subscript"/>
              </w:rPr>
              <w:t>2</w:t>
            </w:r>
          </w:p>
        </w:tc>
      </w:tr>
      <w:tr w:rsidR="00D56BF9" w14:paraId="562580A9" w14:textId="77777777" w:rsidTr="00D56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46DB1428" w14:textId="0B7CA5DE" w:rsidR="003623C5" w:rsidRDefault="003623C5" w:rsidP="003623C5">
            <w:pPr>
              <w:jc w:val="both"/>
              <w:rPr>
                <w:rFonts w:eastAsia="Times New Roman"/>
                <w:sz w:val="24"/>
                <w:szCs w:val="24"/>
              </w:rPr>
            </w:pPr>
            <w:r>
              <w:rPr>
                <w:rFonts w:eastAsia="Times New Roman"/>
                <w:sz w:val="24"/>
                <w:szCs w:val="24"/>
              </w:rPr>
              <w:t>Focal length [mm]</w:t>
            </w:r>
          </w:p>
        </w:tc>
        <w:tc>
          <w:tcPr>
            <w:tcW w:w="1530" w:type="dxa"/>
          </w:tcPr>
          <w:p w14:paraId="5DA121FD" w14:textId="7B5A7B2D" w:rsidR="003623C5"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3.36</w:t>
            </w:r>
          </w:p>
        </w:tc>
        <w:tc>
          <w:tcPr>
            <w:tcW w:w="1890" w:type="dxa"/>
          </w:tcPr>
          <w:p w14:paraId="09A1D07D" w14:textId="5AAC9389" w:rsidR="003623C5"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0.717</w:t>
            </w:r>
          </w:p>
        </w:tc>
        <w:tc>
          <w:tcPr>
            <w:tcW w:w="1980" w:type="dxa"/>
          </w:tcPr>
          <w:p w14:paraId="1FC7FC44" w14:textId="73D164A7" w:rsidR="003623C5"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0.34</w:t>
            </w:r>
          </w:p>
        </w:tc>
      </w:tr>
      <w:tr w:rsidR="00D56BF9" w14:paraId="2FD560C5" w14:textId="77777777" w:rsidTr="00D56BF9">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77C5C9EE" w14:textId="367BCB40" w:rsidR="003623C5" w:rsidRDefault="003623C5" w:rsidP="003623C5">
            <w:pPr>
              <w:jc w:val="both"/>
              <w:rPr>
                <w:rFonts w:eastAsia="Times New Roman"/>
                <w:sz w:val="24"/>
                <w:szCs w:val="24"/>
              </w:rPr>
            </w:pPr>
            <w:r>
              <w:rPr>
                <w:rFonts w:eastAsia="Times New Roman"/>
                <w:sz w:val="24"/>
                <w:szCs w:val="24"/>
              </w:rPr>
              <w:t>F#</w:t>
            </w:r>
          </w:p>
        </w:tc>
        <w:tc>
          <w:tcPr>
            <w:tcW w:w="1530" w:type="dxa"/>
          </w:tcPr>
          <w:p w14:paraId="79E096EF" w14:textId="50F75636" w:rsidR="003623C5" w:rsidRDefault="003623C5"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2.5</w:t>
            </w:r>
          </w:p>
        </w:tc>
        <w:tc>
          <w:tcPr>
            <w:tcW w:w="1890" w:type="dxa"/>
          </w:tcPr>
          <w:p w14:paraId="380B492F" w14:textId="6C17F693" w:rsidR="003623C5" w:rsidRDefault="003623C5"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0.9</w:t>
            </w:r>
          </w:p>
        </w:tc>
        <w:tc>
          <w:tcPr>
            <w:tcW w:w="1980" w:type="dxa"/>
          </w:tcPr>
          <w:p w14:paraId="24035B61" w14:textId="11EEE06D" w:rsidR="003623C5" w:rsidRDefault="003623C5"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1</w:t>
            </w:r>
          </w:p>
        </w:tc>
      </w:tr>
      <w:tr w:rsidR="00D56BF9" w14:paraId="2F11C202" w14:textId="77777777" w:rsidTr="00D56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27EE38D0" w14:textId="3E864E4A" w:rsidR="003623C5" w:rsidRDefault="00403611" w:rsidP="003623C5">
            <w:pPr>
              <w:jc w:val="both"/>
              <w:rPr>
                <w:rFonts w:eastAsia="Times New Roman"/>
                <w:sz w:val="24"/>
                <w:szCs w:val="24"/>
              </w:rPr>
            </w:pPr>
            <w:r>
              <w:rPr>
                <w:rFonts w:eastAsia="Times New Roman"/>
                <w:sz w:val="24"/>
                <w:szCs w:val="24"/>
              </w:rPr>
              <w:t xml:space="preserve"># of </w:t>
            </w:r>
            <w:r w:rsidR="003623C5">
              <w:rPr>
                <w:rFonts w:eastAsia="Times New Roman"/>
                <w:sz w:val="24"/>
                <w:szCs w:val="24"/>
              </w:rPr>
              <w:t>Elements</w:t>
            </w:r>
          </w:p>
        </w:tc>
        <w:tc>
          <w:tcPr>
            <w:tcW w:w="1530" w:type="dxa"/>
          </w:tcPr>
          <w:p w14:paraId="790655D5" w14:textId="63B87333" w:rsidR="003623C5"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1</w:t>
            </w:r>
          </w:p>
        </w:tc>
        <w:tc>
          <w:tcPr>
            <w:tcW w:w="1890" w:type="dxa"/>
          </w:tcPr>
          <w:p w14:paraId="0317B728" w14:textId="3628497D" w:rsidR="003623C5"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2</w:t>
            </w:r>
          </w:p>
        </w:tc>
        <w:tc>
          <w:tcPr>
            <w:tcW w:w="1980" w:type="dxa"/>
          </w:tcPr>
          <w:p w14:paraId="3FDA26DD" w14:textId="429811B5" w:rsidR="003623C5" w:rsidRDefault="003623C5"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2</w:t>
            </w:r>
          </w:p>
        </w:tc>
      </w:tr>
      <w:tr w:rsidR="00D56BF9" w14:paraId="2CF9C722" w14:textId="77777777" w:rsidTr="00D56BF9">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574C8969" w14:textId="4D9AA86E" w:rsidR="003623C5" w:rsidRDefault="003623C5" w:rsidP="003623C5">
            <w:pPr>
              <w:jc w:val="both"/>
              <w:rPr>
                <w:rFonts w:eastAsia="Times New Roman"/>
                <w:sz w:val="24"/>
                <w:szCs w:val="24"/>
              </w:rPr>
            </w:pPr>
            <w:r>
              <w:rPr>
                <w:rFonts w:eastAsia="Times New Roman"/>
                <w:sz w:val="24"/>
                <w:szCs w:val="24"/>
              </w:rPr>
              <w:t>FOV</w:t>
            </w:r>
            <w:r w:rsidR="006B2571">
              <w:rPr>
                <w:rFonts w:eastAsia="Times New Roman"/>
                <w:sz w:val="24"/>
                <w:szCs w:val="24"/>
              </w:rPr>
              <w:t xml:space="preserve"> - full</w:t>
            </w:r>
          </w:p>
        </w:tc>
        <w:tc>
          <w:tcPr>
            <w:tcW w:w="1530" w:type="dxa"/>
          </w:tcPr>
          <w:p w14:paraId="2E407450" w14:textId="3B584148" w:rsidR="003623C5" w:rsidRDefault="006B2571"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30˚</w:t>
            </w:r>
          </w:p>
        </w:tc>
        <w:tc>
          <w:tcPr>
            <w:tcW w:w="1890" w:type="dxa"/>
          </w:tcPr>
          <w:p w14:paraId="79BADB81" w14:textId="37AF95EC" w:rsidR="003623C5" w:rsidRDefault="006B2571"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60˚</w:t>
            </w:r>
          </w:p>
        </w:tc>
        <w:tc>
          <w:tcPr>
            <w:tcW w:w="1980" w:type="dxa"/>
          </w:tcPr>
          <w:p w14:paraId="1083D7C8" w14:textId="3B243324" w:rsidR="003623C5" w:rsidRDefault="00892A56"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50˚</w:t>
            </w:r>
          </w:p>
        </w:tc>
      </w:tr>
      <w:tr w:rsidR="00D56BF9" w14:paraId="69F2477B" w14:textId="77777777" w:rsidTr="00D56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5593507" w14:textId="313ED876" w:rsidR="003623C5" w:rsidRDefault="003623C5" w:rsidP="003623C5">
            <w:pPr>
              <w:rPr>
                <w:rFonts w:eastAsia="Times New Roman"/>
                <w:sz w:val="24"/>
                <w:szCs w:val="24"/>
              </w:rPr>
            </w:pPr>
            <w:r>
              <w:rPr>
                <w:rFonts w:eastAsia="Times New Roman"/>
                <w:sz w:val="24"/>
                <w:szCs w:val="24"/>
              </w:rPr>
              <w:t xml:space="preserve">Resolution </w:t>
            </w:r>
            <w:r w:rsidR="009A554F">
              <w:rPr>
                <w:rFonts w:eastAsia="Times New Roman"/>
                <w:sz w:val="24"/>
                <w:szCs w:val="24"/>
              </w:rPr>
              <w:t>in</w:t>
            </w:r>
            <w:r>
              <w:rPr>
                <w:rFonts w:eastAsia="Times New Roman"/>
                <w:sz w:val="24"/>
                <w:szCs w:val="24"/>
              </w:rPr>
              <w:t xml:space="preserve"> image</w:t>
            </w:r>
            <w:r w:rsidR="009A554F">
              <w:rPr>
                <w:rFonts w:eastAsia="Times New Roman"/>
                <w:sz w:val="24"/>
                <w:szCs w:val="24"/>
              </w:rPr>
              <w:t xml:space="preserve"> plane [c/mm]</w:t>
            </w:r>
          </w:p>
        </w:tc>
        <w:tc>
          <w:tcPr>
            <w:tcW w:w="1530" w:type="dxa"/>
          </w:tcPr>
          <w:p w14:paraId="4A540092" w14:textId="322846FE" w:rsidR="003623C5" w:rsidRDefault="009A554F"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300</w:t>
            </w:r>
          </w:p>
        </w:tc>
        <w:tc>
          <w:tcPr>
            <w:tcW w:w="1890" w:type="dxa"/>
          </w:tcPr>
          <w:p w14:paraId="13A6AF44" w14:textId="6F5193C6" w:rsidR="003623C5" w:rsidRDefault="009A554F"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800</w:t>
            </w:r>
          </w:p>
        </w:tc>
        <w:tc>
          <w:tcPr>
            <w:tcW w:w="1980" w:type="dxa"/>
          </w:tcPr>
          <w:p w14:paraId="7C9E8F74" w14:textId="29655408" w:rsidR="003623C5" w:rsidRDefault="009A554F"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1100</w:t>
            </w:r>
          </w:p>
        </w:tc>
      </w:tr>
      <w:tr w:rsidR="00D56BF9" w14:paraId="7E8CEC84" w14:textId="77777777" w:rsidTr="00D56BF9">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0EAD1AB8" w14:textId="35F2F0E7" w:rsidR="003623C5" w:rsidRDefault="003623C5" w:rsidP="003623C5">
            <w:pPr>
              <w:rPr>
                <w:rFonts w:eastAsia="Times New Roman"/>
                <w:sz w:val="24"/>
                <w:szCs w:val="24"/>
              </w:rPr>
            </w:pPr>
            <w:r>
              <w:rPr>
                <w:rFonts w:eastAsia="Times New Roman"/>
                <w:sz w:val="24"/>
                <w:szCs w:val="24"/>
              </w:rPr>
              <w:t xml:space="preserve">Resolution </w:t>
            </w:r>
            <w:r w:rsidR="009A554F">
              <w:rPr>
                <w:rFonts w:eastAsia="Times New Roman"/>
                <w:sz w:val="24"/>
                <w:szCs w:val="24"/>
              </w:rPr>
              <w:t>in object space</w:t>
            </w:r>
            <w:r>
              <w:rPr>
                <w:rFonts w:eastAsia="Times New Roman"/>
                <w:sz w:val="24"/>
                <w:szCs w:val="24"/>
              </w:rPr>
              <w:t xml:space="preserve"> </w:t>
            </w:r>
            <w:r w:rsidR="009A554F">
              <w:rPr>
                <w:rFonts w:eastAsia="Times New Roman"/>
                <w:sz w:val="24"/>
                <w:szCs w:val="24"/>
              </w:rPr>
              <w:t>[degrees]</w:t>
            </w:r>
          </w:p>
        </w:tc>
        <w:tc>
          <w:tcPr>
            <w:tcW w:w="1530" w:type="dxa"/>
          </w:tcPr>
          <w:p w14:paraId="21E6C0F0" w14:textId="0D8B9176" w:rsidR="003623C5" w:rsidRDefault="009A554F"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0.06˚</w:t>
            </w:r>
          </w:p>
        </w:tc>
        <w:tc>
          <w:tcPr>
            <w:tcW w:w="1890" w:type="dxa"/>
          </w:tcPr>
          <w:p w14:paraId="2C848497" w14:textId="7A829E2D" w:rsidR="003623C5" w:rsidRDefault="009A554F"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0.1˚</w:t>
            </w:r>
          </w:p>
        </w:tc>
        <w:tc>
          <w:tcPr>
            <w:tcW w:w="1980" w:type="dxa"/>
          </w:tcPr>
          <w:p w14:paraId="72DF60AE" w14:textId="2AA631B6" w:rsidR="003623C5" w:rsidRDefault="009A554F" w:rsidP="00CB2B2F">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0.15˚</w:t>
            </w:r>
          </w:p>
        </w:tc>
      </w:tr>
      <w:tr w:rsidR="0080495A" w14:paraId="0F4367F4" w14:textId="77777777" w:rsidTr="00D56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07D41E7" w14:textId="0E733348" w:rsidR="0080495A" w:rsidRDefault="0080495A" w:rsidP="003623C5">
            <w:pPr>
              <w:rPr>
                <w:rFonts w:eastAsia="Times New Roman"/>
                <w:sz w:val="24"/>
                <w:szCs w:val="24"/>
              </w:rPr>
            </w:pPr>
            <w:r>
              <w:rPr>
                <w:rFonts w:eastAsia="Times New Roman"/>
                <w:sz w:val="24"/>
                <w:szCs w:val="24"/>
              </w:rPr>
              <w:t>Efficiency</w:t>
            </w:r>
            <w:r w:rsidR="00E57D67">
              <w:rPr>
                <w:rFonts w:eastAsia="Times New Roman"/>
                <w:sz w:val="24"/>
                <w:szCs w:val="24"/>
              </w:rPr>
              <w:t xml:space="preserve"> (on-axis)</w:t>
            </w:r>
          </w:p>
        </w:tc>
        <w:tc>
          <w:tcPr>
            <w:tcW w:w="1530" w:type="dxa"/>
          </w:tcPr>
          <w:p w14:paraId="6055E2A1" w14:textId="72FC486D" w:rsidR="0080495A" w:rsidRDefault="00E57D67"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20%</w:t>
            </w:r>
          </w:p>
        </w:tc>
        <w:tc>
          <w:tcPr>
            <w:tcW w:w="1890" w:type="dxa"/>
          </w:tcPr>
          <w:p w14:paraId="59E41EAB" w14:textId="182416DB" w:rsidR="0080495A" w:rsidRDefault="00E57D67"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70%</w:t>
            </w:r>
          </w:p>
        </w:tc>
        <w:tc>
          <w:tcPr>
            <w:tcW w:w="1980" w:type="dxa"/>
          </w:tcPr>
          <w:p w14:paraId="74BFA02A" w14:textId="77777777" w:rsidR="0080495A" w:rsidRDefault="00E57D67"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50% for CP light</w:t>
            </w:r>
          </w:p>
          <w:p w14:paraId="1F7965CF" w14:textId="6CAEE867" w:rsidR="00E57D67" w:rsidRDefault="00E57D67" w:rsidP="00CB2B2F">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25% for unpolarized light</w:t>
            </w:r>
          </w:p>
        </w:tc>
      </w:tr>
    </w:tbl>
    <w:p w14:paraId="406D4D49" w14:textId="77777777" w:rsidR="0043760A" w:rsidRDefault="0043760A" w:rsidP="00952837">
      <w:pPr>
        <w:ind w:left="720"/>
        <w:jc w:val="both"/>
        <w:rPr>
          <w:rFonts w:eastAsia="Times New Roman"/>
          <w:sz w:val="24"/>
          <w:szCs w:val="24"/>
        </w:rPr>
      </w:pPr>
    </w:p>
    <w:p w14:paraId="1ADD1F45" w14:textId="656D0F91" w:rsidR="007F12B5" w:rsidRPr="00374275" w:rsidRDefault="007D68A2" w:rsidP="007D68A2">
      <w:pPr>
        <w:ind w:left="720"/>
        <w:jc w:val="center"/>
        <w:rPr>
          <w:rFonts w:eastAsia="Times New Roman"/>
        </w:rPr>
      </w:pPr>
      <w:r w:rsidRPr="00374275">
        <w:rPr>
          <w:rFonts w:eastAsia="Times New Roman"/>
          <w:b/>
          <w:bCs/>
        </w:rPr>
        <w:t>Table S1</w:t>
      </w:r>
      <w:r w:rsidRPr="00374275">
        <w:rPr>
          <w:rFonts w:eastAsia="Times New Roman"/>
        </w:rPr>
        <w:t xml:space="preserve"> Comparison of demonstrated wide FOV metalenses</w:t>
      </w:r>
    </w:p>
    <w:p w14:paraId="632092D0" w14:textId="77777777" w:rsidR="00532F76" w:rsidRDefault="00532F76" w:rsidP="00532F76">
      <w:pPr>
        <w:ind w:left="720"/>
        <w:jc w:val="both"/>
      </w:pPr>
    </w:p>
    <w:p w14:paraId="1BF26587" w14:textId="205B0165" w:rsidR="00532F76" w:rsidRDefault="008009B8" w:rsidP="00374275">
      <w:pPr>
        <w:spacing w:after="240"/>
        <w:ind w:left="720"/>
        <w:jc w:val="both"/>
        <w:rPr>
          <w:rFonts w:eastAsia="Times New Roman"/>
          <w:sz w:val="24"/>
          <w:szCs w:val="24"/>
        </w:rPr>
      </w:pPr>
      <w:r>
        <w:rPr>
          <w:rFonts w:eastAsia="Times New Roman"/>
          <w:sz w:val="24"/>
          <w:szCs w:val="24"/>
        </w:rPr>
        <w:t>Our main conclusions from the comparison are</w:t>
      </w:r>
      <w:r w:rsidR="00532F76">
        <w:rPr>
          <w:rFonts w:eastAsia="Times New Roman"/>
          <w:sz w:val="24"/>
          <w:szCs w:val="24"/>
        </w:rPr>
        <w:t>:</w:t>
      </w:r>
    </w:p>
    <w:p w14:paraId="6E58C8AF" w14:textId="6F6481F9" w:rsidR="00532F76" w:rsidRPr="00532F76" w:rsidRDefault="00532F76" w:rsidP="00A17A4D">
      <w:pPr>
        <w:spacing w:after="240"/>
        <w:ind w:left="720"/>
        <w:jc w:val="both"/>
        <w:rPr>
          <w:rFonts w:eastAsia="Times New Roman"/>
          <w:sz w:val="24"/>
          <w:szCs w:val="24"/>
        </w:rPr>
      </w:pPr>
      <w:r>
        <w:rPr>
          <w:rFonts w:eastAsia="Times New Roman"/>
          <w:sz w:val="24"/>
          <w:szCs w:val="24"/>
        </w:rPr>
        <w:t xml:space="preserve">1. Our Huygens type metalens is more limited in </w:t>
      </w:r>
      <w:r w:rsidR="00403611">
        <w:rPr>
          <w:rFonts w:eastAsia="Times New Roman"/>
          <w:sz w:val="24"/>
          <w:szCs w:val="24"/>
        </w:rPr>
        <w:t xml:space="preserve">its </w:t>
      </w:r>
      <w:r>
        <w:rPr>
          <w:rFonts w:eastAsia="Times New Roman"/>
          <w:sz w:val="24"/>
          <w:szCs w:val="24"/>
        </w:rPr>
        <w:t>FOV compared to the other types, as a result of the angular sensitivity of the antenna response</w:t>
      </w:r>
      <w:r w:rsidR="00A17A4D">
        <w:rPr>
          <w:rFonts w:eastAsia="Times New Roman"/>
          <w:sz w:val="24"/>
          <w:szCs w:val="24"/>
        </w:rPr>
        <w:t>. O</w:t>
      </w:r>
      <w:r>
        <w:rPr>
          <w:rFonts w:eastAsia="Times New Roman"/>
          <w:sz w:val="24"/>
          <w:szCs w:val="24"/>
        </w:rPr>
        <w:t>n the other hand, the antenna aspect ratio is smaller, so if a 30˚ FOV is sufficient, Hu</w:t>
      </w:r>
      <w:r w:rsidR="00A17A4D">
        <w:rPr>
          <w:rFonts w:eastAsia="Times New Roman"/>
          <w:sz w:val="24"/>
          <w:szCs w:val="24"/>
        </w:rPr>
        <w:t>ygens type may be a good option</w:t>
      </w:r>
      <w:r>
        <w:rPr>
          <w:rFonts w:eastAsia="Times New Roman"/>
          <w:sz w:val="24"/>
          <w:szCs w:val="24"/>
        </w:rPr>
        <w:t>.</w:t>
      </w:r>
    </w:p>
    <w:p w14:paraId="61DE604E" w14:textId="348EFBB5" w:rsidR="00532F76" w:rsidRDefault="00532F76" w:rsidP="00A17A4D">
      <w:pPr>
        <w:spacing w:after="240"/>
        <w:ind w:left="720"/>
        <w:jc w:val="both"/>
        <w:rPr>
          <w:rFonts w:eastAsia="Times New Roman"/>
          <w:sz w:val="24"/>
          <w:szCs w:val="24"/>
        </w:rPr>
      </w:pPr>
      <w:r>
        <w:rPr>
          <w:rFonts w:eastAsia="Times New Roman"/>
          <w:sz w:val="24"/>
          <w:szCs w:val="24"/>
        </w:rPr>
        <w:t xml:space="preserve">2. The metalens presented in </w:t>
      </w:r>
      <w:r w:rsidR="00A17A4D">
        <w:rPr>
          <w:rFonts w:eastAsia="Times New Roman"/>
          <w:sz w:val="24"/>
          <w:szCs w:val="24"/>
        </w:rPr>
        <w:t>our</w:t>
      </w:r>
      <w:r>
        <w:rPr>
          <w:rFonts w:eastAsia="Times New Roman"/>
          <w:sz w:val="24"/>
          <w:szCs w:val="24"/>
        </w:rPr>
        <w:t xml:space="preserve"> paper has parameters that are more suited for practical photographic applications (longer focal length and higher F#). Therefore, despite the higher image space resolution of the other lenses (resulting mostly from the lower F#), our lens obtains the highest angular resolution in </w:t>
      </w:r>
      <w:r w:rsidR="00A17A4D">
        <w:rPr>
          <w:rFonts w:eastAsia="Times New Roman"/>
          <w:sz w:val="24"/>
          <w:szCs w:val="24"/>
        </w:rPr>
        <w:t xml:space="preserve">the </w:t>
      </w:r>
      <w:r>
        <w:rPr>
          <w:rFonts w:eastAsia="Times New Roman"/>
          <w:sz w:val="24"/>
          <w:szCs w:val="24"/>
        </w:rPr>
        <w:t>object space.</w:t>
      </w:r>
      <w:r w:rsidR="00E57D67">
        <w:rPr>
          <w:rFonts w:eastAsia="Times New Roman"/>
          <w:sz w:val="24"/>
          <w:szCs w:val="24"/>
        </w:rPr>
        <w:t xml:space="preserve"> This is not inherent in the type of metalens, but simply a result of the parameters chosen for the design.</w:t>
      </w:r>
    </w:p>
    <w:p w14:paraId="33FFD262" w14:textId="13DAAB70" w:rsidR="00532F76" w:rsidRDefault="00532F76" w:rsidP="00A17A4D">
      <w:pPr>
        <w:spacing w:after="240"/>
        <w:ind w:left="720"/>
        <w:jc w:val="both"/>
        <w:rPr>
          <w:rFonts w:eastAsia="Times New Roman"/>
          <w:sz w:val="24"/>
          <w:szCs w:val="24"/>
        </w:rPr>
      </w:pPr>
      <w:r>
        <w:rPr>
          <w:rFonts w:eastAsia="Times New Roman"/>
          <w:sz w:val="24"/>
          <w:szCs w:val="24"/>
        </w:rPr>
        <w:t xml:space="preserve">3. An advantage of using a higher F# is that a single metalens element is </w:t>
      </w:r>
      <w:r w:rsidR="00A17A4D">
        <w:rPr>
          <w:rFonts w:eastAsia="Times New Roman"/>
          <w:sz w:val="24"/>
          <w:szCs w:val="24"/>
        </w:rPr>
        <w:t>sufficient</w:t>
      </w:r>
      <w:r>
        <w:rPr>
          <w:rFonts w:eastAsia="Times New Roman"/>
          <w:sz w:val="24"/>
          <w:szCs w:val="24"/>
        </w:rPr>
        <w:t xml:space="preserve"> to obtain near diffraction limited performance.</w:t>
      </w:r>
    </w:p>
    <w:p w14:paraId="607ED214" w14:textId="3E4F08B4" w:rsidR="008009B8" w:rsidRDefault="008009B8" w:rsidP="00374275">
      <w:pPr>
        <w:spacing w:after="240"/>
        <w:ind w:left="720"/>
        <w:jc w:val="both"/>
        <w:rPr>
          <w:rFonts w:eastAsia="Times New Roman"/>
          <w:sz w:val="24"/>
          <w:szCs w:val="24"/>
        </w:rPr>
      </w:pPr>
      <w:r>
        <w:rPr>
          <w:rFonts w:eastAsia="Times New Roman"/>
          <w:sz w:val="24"/>
          <w:szCs w:val="24"/>
        </w:rPr>
        <w:t>4. The best efficiency for unpolarized light is obtained with truncated waveguide type antennas.</w:t>
      </w:r>
      <w:bookmarkStart w:id="2" w:name="_GoBack"/>
      <w:bookmarkEnd w:id="2"/>
    </w:p>
    <w:p w14:paraId="2BD82800" w14:textId="77777777" w:rsidR="00374275" w:rsidRDefault="00374275">
      <w:pPr>
        <w:spacing w:after="160" w:line="259" w:lineRule="auto"/>
        <w:rPr>
          <w:rFonts w:asciiTheme="majorHAnsi" w:eastAsia="Times New Roman" w:hAnsiTheme="majorHAnsi" w:cstheme="majorBidi"/>
          <w:color w:val="2F5496" w:themeColor="accent1" w:themeShade="BF"/>
          <w:sz w:val="32"/>
          <w:szCs w:val="32"/>
        </w:rPr>
      </w:pPr>
      <w:r>
        <w:rPr>
          <w:rFonts w:eastAsia="Times New Roman"/>
        </w:rPr>
        <w:br w:type="page"/>
      </w:r>
    </w:p>
    <w:p w14:paraId="0B9A5A32" w14:textId="1AC25233" w:rsidR="00480A66" w:rsidRPr="00E40847" w:rsidRDefault="00E40847" w:rsidP="00E40847">
      <w:pPr>
        <w:pStyle w:val="Heading1"/>
        <w:rPr>
          <w:rFonts w:eastAsia="Times New Roman"/>
        </w:rPr>
      </w:pPr>
      <w:r>
        <w:rPr>
          <w:rFonts w:eastAsia="Times New Roman"/>
        </w:rPr>
        <w:lastRenderedPageBreak/>
        <w:t>References</w:t>
      </w:r>
    </w:p>
    <w:p w14:paraId="29F4DA17" w14:textId="315F65FE" w:rsidR="00571114" w:rsidRDefault="00571114" w:rsidP="002E22DA">
      <w:pPr>
        <w:ind w:left="720"/>
        <w:jc w:val="both"/>
        <w:rPr>
          <w:rFonts w:eastAsia="Times New Roman"/>
          <w:sz w:val="24"/>
          <w:szCs w:val="24"/>
        </w:rPr>
      </w:pPr>
    </w:p>
    <w:p w14:paraId="3B0AD2D4" w14:textId="014CD12D" w:rsidR="003623C5" w:rsidRPr="003623C5" w:rsidRDefault="00571114" w:rsidP="003623C5">
      <w:pPr>
        <w:widowControl w:val="0"/>
        <w:autoSpaceDE w:val="0"/>
        <w:autoSpaceDN w:val="0"/>
        <w:adjustRightInd w:val="0"/>
        <w:ind w:left="640" w:hanging="640"/>
        <w:rPr>
          <w:noProof/>
          <w:sz w:val="24"/>
          <w:szCs w:val="24"/>
        </w:rPr>
      </w:pPr>
      <w:r>
        <w:rPr>
          <w:rFonts w:eastAsia="Times New Roman"/>
          <w:sz w:val="24"/>
          <w:szCs w:val="24"/>
        </w:rPr>
        <w:fldChar w:fldCharType="begin" w:fldLock="1"/>
      </w:r>
      <w:r>
        <w:rPr>
          <w:rFonts w:eastAsia="Times New Roman"/>
          <w:sz w:val="24"/>
          <w:szCs w:val="24"/>
        </w:rPr>
        <w:instrText xml:space="preserve">ADDIN Mendeley Bibliography CSL_BIBLIOGRAPHY </w:instrText>
      </w:r>
      <w:r>
        <w:rPr>
          <w:rFonts w:eastAsia="Times New Roman"/>
          <w:sz w:val="24"/>
          <w:szCs w:val="24"/>
        </w:rPr>
        <w:fldChar w:fldCharType="separate"/>
      </w:r>
      <w:r w:rsidR="003623C5" w:rsidRPr="003623C5">
        <w:rPr>
          <w:noProof/>
          <w:sz w:val="24"/>
          <w:szCs w:val="24"/>
        </w:rPr>
        <w:t xml:space="preserve">1. </w:t>
      </w:r>
      <w:r w:rsidR="003623C5" w:rsidRPr="003623C5">
        <w:rPr>
          <w:noProof/>
          <w:sz w:val="24"/>
          <w:szCs w:val="24"/>
        </w:rPr>
        <w:tab/>
        <w:t xml:space="preserve">A. Arbabi, E. Arbabi, S. M. Kamali, Y. Horie, S. Han, and A. Faraon, "Miniature optical planar camera based on a wide-angle metasurface doublet corrected for monochromatic aberrations," Nat. Commun. </w:t>
      </w:r>
      <w:r w:rsidR="003623C5" w:rsidRPr="003623C5">
        <w:rPr>
          <w:b/>
          <w:bCs/>
          <w:noProof/>
          <w:sz w:val="24"/>
          <w:szCs w:val="24"/>
        </w:rPr>
        <w:t>7</w:t>
      </w:r>
      <w:r w:rsidR="003623C5" w:rsidRPr="003623C5">
        <w:rPr>
          <w:noProof/>
          <w:sz w:val="24"/>
          <w:szCs w:val="24"/>
        </w:rPr>
        <w:t>, 13682 (2016).</w:t>
      </w:r>
    </w:p>
    <w:p w14:paraId="2946F345"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2. </w:t>
      </w:r>
      <w:r w:rsidRPr="003623C5">
        <w:rPr>
          <w:noProof/>
          <w:sz w:val="24"/>
          <w:szCs w:val="24"/>
        </w:rPr>
        <w:tab/>
        <w:t xml:space="preserve">W. T. Chen, A. Y. Zhu, M. Khorasaninejad, Z. Shi, V. Sanjeev, and F. Capasso, "Immersion Meta-Lenses at Visible Wavelengths for Nanoscale Imaging," Nano Lett. </w:t>
      </w:r>
      <w:r w:rsidRPr="003623C5">
        <w:rPr>
          <w:b/>
          <w:bCs/>
          <w:noProof/>
          <w:sz w:val="24"/>
          <w:szCs w:val="24"/>
        </w:rPr>
        <w:t>17</w:t>
      </w:r>
      <w:r w:rsidRPr="003623C5">
        <w:rPr>
          <w:noProof/>
          <w:sz w:val="24"/>
          <w:szCs w:val="24"/>
        </w:rPr>
        <w:t>, 3188–3194 (2017).</w:t>
      </w:r>
    </w:p>
    <w:p w14:paraId="21EF7942"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3. </w:t>
      </w:r>
      <w:r w:rsidRPr="003623C5">
        <w:rPr>
          <w:noProof/>
          <w:sz w:val="24"/>
          <w:szCs w:val="24"/>
        </w:rPr>
        <w:tab/>
        <w:t xml:space="preserve">E. (Adelphi U. Hecht, </w:t>
      </w:r>
      <w:r w:rsidRPr="003623C5">
        <w:rPr>
          <w:i/>
          <w:iCs/>
          <w:noProof/>
          <w:sz w:val="24"/>
          <w:szCs w:val="24"/>
        </w:rPr>
        <w:t>Optics</w:t>
      </w:r>
      <w:r w:rsidRPr="003623C5">
        <w:rPr>
          <w:noProof/>
          <w:sz w:val="24"/>
          <w:szCs w:val="24"/>
        </w:rPr>
        <w:t>, 4th ed. (Addison-Wesley, 2002).</w:t>
      </w:r>
    </w:p>
    <w:p w14:paraId="7B0B8E9F"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4. </w:t>
      </w:r>
      <w:r w:rsidRPr="003623C5">
        <w:rPr>
          <w:noProof/>
          <w:sz w:val="24"/>
          <w:szCs w:val="24"/>
        </w:rPr>
        <w:tab/>
        <w:t xml:space="preserve">A. Yariv and P. Yeh, </w:t>
      </w:r>
      <w:r w:rsidRPr="003623C5">
        <w:rPr>
          <w:i/>
          <w:iCs/>
          <w:noProof/>
          <w:sz w:val="24"/>
          <w:szCs w:val="24"/>
        </w:rPr>
        <w:t>Photonics - Optical Electronics in Modern Communications</w:t>
      </w:r>
      <w:r w:rsidRPr="003623C5">
        <w:rPr>
          <w:noProof/>
          <w:sz w:val="24"/>
          <w:szCs w:val="24"/>
        </w:rPr>
        <w:t>, Sixth Ed. (Oxford University, 2007).</w:t>
      </w:r>
    </w:p>
    <w:p w14:paraId="056B6C11"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5. </w:t>
      </w:r>
      <w:r w:rsidRPr="003623C5">
        <w:rPr>
          <w:noProof/>
          <w:sz w:val="24"/>
          <w:szCs w:val="24"/>
        </w:rPr>
        <w:tab/>
        <w:t xml:space="preserve">D. D. O’Shea, T. J. Suleski, A. D. Kathman, and D. W. Praather, </w:t>
      </w:r>
      <w:r w:rsidRPr="003623C5">
        <w:rPr>
          <w:i/>
          <w:iCs/>
          <w:noProof/>
          <w:sz w:val="24"/>
          <w:szCs w:val="24"/>
        </w:rPr>
        <w:t>Diffractive Optics</w:t>
      </w:r>
      <w:r w:rsidRPr="003623C5">
        <w:rPr>
          <w:noProof/>
          <w:sz w:val="24"/>
          <w:szCs w:val="24"/>
        </w:rPr>
        <w:t xml:space="preserve"> (SPIE Press, 2003).</w:t>
      </w:r>
    </w:p>
    <w:p w14:paraId="051D76DC"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6. </w:t>
      </w:r>
      <w:r w:rsidRPr="003623C5">
        <w:rPr>
          <w:noProof/>
          <w:sz w:val="24"/>
          <w:szCs w:val="24"/>
        </w:rPr>
        <w:tab/>
        <w:t xml:space="preserve">P. Lalanne and P. Chavel, "Metalenses at visible wavelengths : past , present , perspectives," Laser Photonics Rev. </w:t>
      </w:r>
      <w:r w:rsidRPr="003623C5">
        <w:rPr>
          <w:b/>
          <w:bCs/>
          <w:noProof/>
          <w:sz w:val="24"/>
          <w:szCs w:val="24"/>
        </w:rPr>
        <w:t>11</w:t>
      </w:r>
      <w:r w:rsidRPr="003623C5">
        <w:rPr>
          <w:noProof/>
          <w:sz w:val="24"/>
          <w:szCs w:val="24"/>
        </w:rPr>
        <w:t>, 1600295 (2017).</w:t>
      </w:r>
    </w:p>
    <w:p w14:paraId="56658F9E"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7. </w:t>
      </w:r>
      <w:r w:rsidRPr="003623C5">
        <w:rPr>
          <w:noProof/>
          <w:sz w:val="24"/>
          <w:szCs w:val="24"/>
        </w:rPr>
        <w:tab/>
      </w:r>
      <w:r w:rsidRPr="003623C5">
        <w:rPr>
          <w:i/>
          <w:iCs/>
          <w:noProof/>
          <w:sz w:val="24"/>
          <w:szCs w:val="24"/>
        </w:rPr>
        <w:t>Oslo Optics Reference</w:t>
      </w:r>
      <w:r w:rsidRPr="003623C5">
        <w:rPr>
          <w:noProof/>
          <w:sz w:val="24"/>
          <w:szCs w:val="24"/>
        </w:rPr>
        <w:t xml:space="preserve"> (Lambda Reseach Corp., 2011).</w:t>
      </w:r>
    </w:p>
    <w:p w14:paraId="114374FF"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8. </w:t>
      </w:r>
      <w:r w:rsidRPr="003623C5">
        <w:rPr>
          <w:noProof/>
          <w:sz w:val="24"/>
          <w:szCs w:val="24"/>
        </w:rPr>
        <w:tab/>
        <w:t xml:space="preserve">J. W. Goodman, </w:t>
      </w:r>
      <w:r w:rsidRPr="003623C5">
        <w:rPr>
          <w:i/>
          <w:iCs/>
          <w:noProof/>
          <w:sz w:val="24"/>
          <w:szCs w:val="24"/>
        </w:rPr>
        <w:t>Introduction to Fourier Optics</w:t>
      </w:r>
      <w:r w:rsidRPr="003623C5">
        <w:rPr>
          <w:noProof/>
          <w:sz w:val="24"/>
          <w:szCs w:val="24"/>
        </w:rPr>
        <w:t>, 2nd ed. (McGraw-Hill, 1996).</w:t>
      </w:r>
    </w:p>
    <w:p w14:paraId="63EC10E2"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9. </w:t>
      </w:r>
      <w:r w:rsidRPr="003623C5">
        <w:rPr>
          <w:noProof/>
          <w:sz w:val="24"/>
          <w:szCs w:val="24"/>
        </w:rPr>
        <w:tab/>
        <w:t xml:space="preserve">Y. M. Engelberg and S. Ruschin, "Fast method for physical optics propagation of high - numerical - aperture beams," JOSA A </w:t>
      </w:r>
      <w:r w:rsidRPr="003623C5">
        <w:rPr>
          <w:b/>
          <w:bCs/>
          <w:noProof/>
          <w:sz w:val="24"/>
          <w:szCs w:val="24"/>
        </w:rPr>
        <w:t>21</w:t>
      </w:r>
      <w:r w:rsidRPr="003623C5">
        <w:rPr>
          <w:noProof/>
          <w:sz w:val="24"/>
          <w:szCs w:val="24"/>
        </w:rPr>
        <w:t>, 2135–2145 (2004).</w:t>
      </w:r>
    </w:p>
    <w:p w14:paraId="72509B6B"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10. </w:t>
      </w:r>
      <w:r w:rsidRPr="003623C5">
        <w:rPr>
          <w:noProof/>
          <w:sz w:val="24"/>
          <w:szCs w:val="24"/>
        </w:rPr>
        <w:tab/>
        <w:t xml:space="preserve">J. Engelberg and U. Levy, "Optimizing the spectral range of diffractive metalenses for polychromatic imaging applications," Opt. Express </w:t>
      </w:r>
      <w:r w:rsidRPr="003623C5">
        <w:rPr>
          <w:b/>
          <w:bCs/>
          <w:noProof/>
          <w:sz w:val="24"/>
          <w:szCs w:val="24"/>
        </w:rPr>
        <w:t>25</w:t>
      </w:r>
      <w:r w:rsidRPr="003623C5">
        <w:rPr>
          <w:noProof/>
          <w:sz w:val="24"/>
          <w:szCs w:val="24"/>
        </w:rPr>
        <w:t>, (2017).</w:t>
      </w:r>
    </w:p>
    <w:p w14:paraId="1967589A" w14:textId="77777777" w:rsidR="003623C5" w:rsidRPr="003623C5" w:rsidRDefault="003623C5" w:rsidP="003623C5">
      <w:pPr>
        <w:widowControl w:val="0"/>
        <w:autoSpaceDE w:val="0"/>
        <w:autoSpaceDN w:val="0"/>
        <w:adjustRightInd w:val="0"/>
        <w:ind w:left="640" w:hanging="640"/>
        <w:rPr>
          <w:noProof/>
          <w:sz w:val="24"/>
          <w:szCs w:val="24"/>
        </w:rPr>
      </w:pPr>
      <w:r w:rsidRPr="003623C5">
        <w:rPr>
          <w:noProof/>
          <w:sz w:val="24"/>
          <w:szCs w:val="24"/>
        </w:rPr>
        <w:t xml:space="preserve">11. </w:t>
      </w:r>
      <w:r w:rsidRPr="003623C5">
        <w:rPr>
          <w:noProof/>
          <w:sz w:val="24"/>
          <w:szCs w:val="24"/>
        </w:rPr>
        <w:tab/>
        <w:t xml:space="preserve">R. Kingslake, </w:t>
      </w:r>
      <w:r w:rsidRPr="003623C5">
        <w:rPr>
          <w:i/>
          <w:iCs/>
          <w:noProof/>
          <w:sz w:val="24"/>
          <w:szCs w:val="24"/>
        </w:rPr>
        <w:t>Optics in Photography</w:t>
      </w:r>
      <w:r w:rsidRPr="003623C5">
        <w:rPr>
          <w:noProof/>
          <w:sz w:val="24"/>
          <w:szCs w:val="24"/>
        </w:rPr>
        <w:t xml:space="preserve"> (SPIE Press, 1992).</w:t>
      </w:r>
    </w:p>
    <w:p w14:paraId="2CBEC1D2" w14:textId="77777777" w:rsidR="003623C5" w:rsidRPr="003623C5" w:rsidRDefault="003623C5" w:rsidP="003623C5">
      <w:pPr>
        <w:widowControl w:val="0"/>
        <w:autoSpaceDE w:val="0"/>
        <w:autoSpaceDN w:val="0"/>
        <w:adjustRightInd w:val="0"/>
        <w:ind w:left="640" w:hanging="640"/>
        <w:rPr>
          <w:noProof/>
          <w:sz w:val="24"/>
        </w:rPr>
      </w:pPr>
      <w:r w:rsidRPr="003623C5">
        <w:rPr>
          <w:noProof/>
          <w:sz w:val="24"/>
          <w:szCs w:val="24"/>
        </w:rPr>
        <w:t xml:space="preserve">12. </w:t>
      </w:r>
      <w:r w:rsidRPr="003623C5">
        <w:rPr>
          <w:noProof/>
          <w:sz w:val="24"/>
          <w:szCs w:val="24"/>
        </w:rPr>
        <w:tab/>
        <w:t xml:space="preserve">B. Groever, W. T. Chen, and F. Capasso, "Meta-lens doublet in the visible region," Nano Lett. </w:t>
      </w:r>
      <w:r w:rsidRPr="003623C5">
        <w:rPr>
          <w:b/>
          <w:bCs/>
          <w:noProof/>
          <w:sz w:val="24"/>
          <w:szCs w:val="24"/>
        </w:rPr>
        <w:t>17</w:t>
      </w:r>
      <w:r w:rsidRPr="003623C5">
        <w:rPr>
          <w:noProof/>
          <w:sz w:val="24"/>
          <w:szCs w:val="24"/>
        </w:rPr>
        <w:t>, 4902–4907 (2017).</w:t>
      </w:r>
    </w:p>
    <w:p w14:paraId="33D89F9C" w14:textId="1F9197E0" w:rsidR="00571114" w:rsidRPr="002E22DA" w:rsidRDefault="00571114" w:rsidP="002E22DA">
      <w:pPr>
        <w:ind w:left="720"/>
        <w:jc w:val="both"/>
        <w:rPr>
          <w:rFonts w:eastAsia="Times New Roman"/>
          <w:sz w:val="24"/>
          <w:szCs w:val="24"/>
        </w:rPr>
      </w:pPr>
      <w:r>
        <w:rPr>
          <w:rFonts w:eastAsia="Times New Roman"/>
          <w:sz w:val="24"/>
          <w:szCs w:val="24"/>
        </w:rPr>
        <w:fldChar w:fldCharType="end"/>
      </w:r>
    </w:p>
    <w:sectPr w:rsidR="00571114" w:rsidRPr="002E22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A0DF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DA"/>
    <w:rsid w:val="00000F4F"/>
    <w:rsid w:val="00057C41"/>
    <w:rsid w:val="00092C11"/>
    <w:rsid w:val="000B09B0"/>
    <w:rsid w:val="000D5B43"/>
    <w:rsid w:val="000D6BD5"/>
    <w:rsid w:val="000E1453"/>
    <w:rsid w:val="000E7F1C"/>
    <w:rsid w:val="000F3A97"/>
    <w:rsid w:val="0014791E"/>
    <w:rsid w:val="00157BC0"/>
    <w:rsid w:val="00175920"/>
    <w:rsid w:val="001759E3"/>
    <w:rsid w:val="00177E00"/>
    <w:rsid w:val="00181CD4"/>
    <w:rsid w:val="00186B2E"/>
    <w:rsid w:val="002057A8"/>
    <w:rsid w:val="002262D5"/>
    <w:rsid w:val="00227BFD"/>
    <w:rsid w:val="002500C1"/>
    <w:rsid w:val="002A1990"/>
    <w:rsid w:val="002B4ED6"/>
    <w:rsid w:val="002C4503"/>
    <w:rsid w:val="002E22DA"/>
    <w:rsid w:val="00307065"/>
    <w:rsid w:val="003623C5"/>
    <w:rsid w:val="00374275"/>
    <w:rsid w:val="00396A5E"/>
    <w:rsid w:val="003C17C5"/>
    <w:rsid w:val="00403611"/>
    <w:rsid w:val="00411987"/>
    <w:rsid w:val="0043760A"/>
    <w:rsid w:val="00480A66"/>
    <w:rsid w:val="00482A9D"/>
    <w:rsid w:val="004C49D7"/>
    <w:rsid w:val="004D2959"/>
    <w:rsid w:val="004F4331"/>
    <w:rsid w:val="00523450"/>
    <w:rsid w:val="00532F76"/>
    <w:rsid w:val="00571114"/>
    <w:rsid w:val="0057330B"/>
    <w:rsid w:val="005D42D1"/>
    <w:rsid w:val="005F4E07"/>
    <w:rsid w:val="00616DFF"/>
    <w:rsid w:val="006548BE"/>
    <w:rsid w:val="006734C5"/>
    <w:rsid w:val="00690F5D"/>
    <w:rsid w:val="006B2571"/>
    <w:rsid w:val="006D1B65"/>
    <w:rsid w:val="006D2C18"/>
    <w:rsid w:val="006E04E6"/>
    <w:rsid w:val="00711B0B"/>
    <w:rsid w:val="00777819"/>
    <w:rsid w:val="00782AE6"/>
    <w:rsid w:val="00785D73"/>
    <w:rsid w:val="00794499"/>
    <w:rsid w:val="007D68A2"/>
    <w:rsid w:val="007F12B5"/>
    <w:rsid w:val="008009B8"/>
    <w:rsid w:val="0080495A"/>
    <w:rsid w:val="008145AE"/>
    <w:rsid w:val="00820A49"/>
    <w:rsid w:val="00830386"/>
    <w:rsid w:val="00850553"/>
    <w:rsid w:val="00862C48"/>
    <w:rsid w:val="00892A56"/>
    <w:rsid w:val="00897569"/>
    <w:rsid w:val="008E3B83"/>
    <w:rsid w:val="00915F1E"/>
    <w:rsid w:val="00952837"/>
    <w:rsid w:val="009A554F"/>
    <w:rsid w:val="009D491D"/>
    <w:rsid w:val="00A17A4D"/>
    <w:rsid w:val="00A24C59"/>
    <w:rsid w:val="00A40B40"/>
    <w:rsid w:val="00A5650C"/>
    <w:rsid w:val="00AA4CF3"/>
    <w:rsid w:val="00AF2CA9"/>
    <w:rsid w:val="00B236BC"/>
    <w:rsid w:val="00B2629D"/>
    <w:rsid w:val="00B4276D"/>
    <w:rsid w:val="00BD7262"/>
    <w:rsid w:val="00BE1B76"/>
    <w:rsid w:val="00BF67B1"/>
    <w:rsid w:val="00C57DF2"/>
    <w:rsid w:val="00CA1F5D"/>
    <w:rsid w:val="00CB2B2F"/>
    <w:rsid w:val="00CD3FBE"/>
    <w:rsid w:val="00D36533"/>
    <w:rsid w:val="00D56BF9"/>
    <w:rsid w:val="00D63386"/>
    <w:rsid w:val="00D8521F"/>
    <w:rsid w:val="00DF3B91"/>
    <w:rsid w:val="00E40847"/>
    <w:rsid w:val="00E57D67"/>
    <w:rsid w:val="00E652A9"/>
    <w:rsid w:val="00EA095B"/>
    <w:rsid w:val="00EA4B83"/>
    <w:rsid w:val="00F66A47"/>
    <w:rsid w:val="00F73A4C"/>
    <w:rsid w:val="00FC4D19"/>
    <w:rsid w:val="00FE2F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2BBD6"/>
  <w15:chartTrackingRefBased/>
  <w15:docId w15:val="{FA0A3D36-98DA-4F96-8FE2-9556162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2DA"/>
    <w:pPr>
      <w:spacing w:after="0" w:line="240" w:lineRule="auto"/>
    </w:pPr>
    <w:rPr>
      <w:rFonts w:ascii="Times New Roman" w:eastAsia="Calibri" w:hAnsi="Times New Roman" w:cs="Times New Roman"/>
      <w:sz w:val="20"/>
      <w:szCs w:val="20"/>
      <w:lang w:bidi="ar-SA"/>
    </w:rPr>
  </w:style>
  <w:style w:type="paragraph" w:styleId="Heading1">
    <w:name w:val="heading 1"/>
    <w:basedOn w:val="Normal"/>
    <w:next w:val="Normal"/>
    <w:link w:val="Heading1Char"/>
    <w:uiPriority w:val="9"/>
    <w:qFormat/>
    <w:rsid w:val="002E22DA"/>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81CD4"/>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1CD4"/>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81CD4"/>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81CD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1CD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1CD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1CD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1CD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2DA"/>
    <w:rPr>
      <w:rFonts w:asciiTheme="majorHAnsi" w:eastAsiaTheme="majorEastAsia" w:hAnsiTheme="majorHAnsi" w:cstheme="majorBidi"/>
      <w:color w:val="2F5496" w:themeColor="accent1" w:themeShade="BF"/>
      <w:sz w:val="32"/>
      <w:szCs w:val="32"/>
      <w:lang w:bidi="ar-SA"/>
    </w:rPr>
  </w:style>
  <w:style w:type="paragraph" w:customStyle="1" w:styleId="Acknowledgement">
    <w:name w:val="Acknowledgement"/>
    <w:basedOn w:val="Normal"/>
    <w:rsid w:val="002E22DA"/>
    <w:pPr>
      <w:spacing w:before="120"/>
      <w:ind w:left="720" w:hanging="720"/>
    </w:pPr>
    <w:rPr>
      <w:rFonts w:eastAsia="Times New Roman"/>
      <w:sz w:val="24"/>
      <w:szCs w:val="24"/>
    </w:rPr>
  </w:style>
  <w:style w:type="paragraph" w:customStyle="1" w:styleId="Paragraph">
    <w:name w:val="Paragraph"/>
    <w:basedOn w:val="Normal"/>
    <w:rsid w:val="002E22DA"/>
    <w:pPr>
      <w:spacing w:before="120"/>
      <w:ind w:firstLine="720"/>
    </w:pPr>
    <w:rPr>
      <w:rFonts w:eastAsia="Times New Roman"/>
      <w:sz w:val="24"/>
      <w:szCs w:val="24"/>
    </w:rPr>
  </w:style>
  <w:style w:type="paragraph" w:customStyle="1" w:styleId="SOMHead">
    <w:name w:val="SOMHead"/>
    <w:basedOn w:val="Normal"/>
    <w:rsid w:val="002E22DA"/>
    <w:pPr>
      <w:keepNext/>
      <w:spacing w:before="240"/>
      <w:outlineLvl w:val="0"/>
    </w:pPr>
    <w:rPr>
      <w:rFonts w:eastAsia="Times New Roman"/>
      <w:b/>
      <w:kern w:val="28"/>
      <w:sz w:val="24"/>
      <w:szCs w:val="24"/>
    </w:rPr>
  </w:style>
  <w:style w:type="table" w:styleId="TableGrid">
    <w:name w:val="Table Grid"/>
    <w:basedOn w:val="TableNormal"/>
    <w:uiPriority w:val="39"/>
    <w:rsid w:val="002E22DA"/>
    <w:pPr>
      <w:spacing w:after="0" w:line="240" w:lineRule="auto"/>
    </w:pPr>
    <w:rPr>
      <w:rFonts w:ascii="Times" w:eastAsia="Times New Roman" w:hAnsi="Times"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2E22DA"/>
    <w:pPr>
      <w:spacing w:line="480" w:lineRule="auto"/>
      <w:ind w:firstLine="202"/>
      <w:jc w:val="both"/>
    </w:pPr>
    <w:rPr>
      <w:rFonts w:ascii="Times" w:eastAsia="Times New Roman" w:hAnsi="Times"/>
      <w:sz w:val="24"/>
    </w:rPr>
  </w:style>
  <w:style w:type="paragraph" w:customStyle="1" w:styleId="VAFigureCaption">
    <w:name w:val="VA_Figure_Caption"/>
    <w:basedOn w:val="Normal"/>
    <w:next w:val="Normal"/>
    <w:rsid w:val="002E22DA"/>
    <w:pPr>
      <w:spacing w:after="200" w:line="480" w:lineRule="auto"/>
      <w:jc w:val="both"/>
    </w:pPr>
    <w:rPr>
      <w:rFonts w:ascii="Times" w:eastAsia="Times New Roman" w:hAnsi="Times"/>
      <w:sz w:val="24"/>
    </w:rPr>
  </w:style>
  <w:style w:type="paragraph" w:styleId="Subtitle">
    <w:name w:val="Subtitle"/>
    <w:basedOn w:val="Normal"/>
    <w:next w:val="Normal"/>
    <w:link w:val="SubtitleChar"/>
    <w:uiPriority w:val="11"/>
    <w:qFormat/>
    <w:rsid w:val="002E22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E22DA"/>
    <w:rPr>
      <w:rFonts w:eastAsiaTheme="minorEastAsia"/>
      <w:color w:val="5A5A5A" w:themeColor="text1" w:themeTint="A5"/>
      <w:spacing w:val="15"/>
      <w:lang w:bidi="ar-SA"/>
    </w:rPr>
  </w:style>
  <w:style w:type="paragraph" w:styleId="BalloonText">
    <w:name w:val="Balloon Text"/>
    <w:basedOn w:val="Normal"/>
    <w:link w:val="BalloonTextChar"/>
    <w:uiPriority w:val="99"/>
    <w:semiHidden/>
    <w:unhideWhenUsed/>
    <w:rsid w:val="00690F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F5D"/>
    <w:rPr>
      <w:rFonts w:ascii="Segoe UI" w:eastAsia="Calibri" w:hAnsi="Segoe UI" w:cs="Segoe UI"/>
      <w:sz w:val="18"/>
      <w:szCs w:val="18"/>
      <w:lang w:bidi="ar-SA"/>
    </w:rPr>
  </w:style>
  <w:style w:type="paragraph" w:styleId="NormalWeb">
    <w:name w:val="Normal (Web)"/>
    <w:basedOn w:val="Normal"/>
    <w:uiPriority w:val="99"/>
    <w:semiHidden/>
    <w:unhideWhenUsed/>
    <w:rsid w:val="00E40847"/>
    <w:pPr>
      <w:spacing w:before="100" w:beforeAutospacing="1" w:after="100" w:afterAutospacing="1"/>
    </w:pPr>
    <w:rPr>
      <w:rFonts w:eastAsia="Times New Roman"/>
      <w:sz w:val="24"/>
      <w:szCs w:val="24"/>
      <w:lang w:bidi="he-IL"/>
    </w:rPr>
  </w:style>
  <w:style w:type="character" w:styleId="Hyperlink">
    <w:name w:val="Hyperlink"/>
    <w:basedOn w:val="DefaultParagraphFont"/>
    <w:uiPriority w:val="99"/>
    <w:semiHidden/>
    <w:unhideWhenUsed/>
    <w:rsid w:val="006548BE"/>
    <w:rPr>
      <w:color w:val="0000FF"/>
      <w:u w:val="single"/>
    </w:rPr>
  </w:style>
  <w:style w:type="character" w:styleId="PlaceholderText">
    <w:name w:val="Placeholder Text"/>
    <w:basedOn w:val="DefaultParagraphFont"/>
    <w:uiPriority w:val="99"/>
    <w:semiHidden/>
    <w:rsid w:val="00AF2CA9"/>
    <w:rPr>
      <w:color w:val="808080"/>
    </w:rPr>
  </w:style>
  <w:style w:type="character" w:customStyle="1" w:styleId="Heading2Char">
    <w:name w:val="Heading 2 Char"/>
    <w:basedOn w:val="DefaultParagraphFont"/>
    <w:link w:val="Heading2"/>
    <w:uiPriority w:val="9"/>
    <w:semiHidden/>
    <w:rsid w:val="00181CD4"/>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uiPriority w:val="9"/>
    <w:semiHidden/>
    <w:rsid w:val="00181CD4"/>
    <w:rPr>
      <w:rFonts w:asciiTheme="majorHAnsi" w:eastAsiaTheme="majorEastAsia" w:hAnsiTheme="majorHAnsi" w:cstheme="majorBidi"/>
      <w:color w:val="1F3763" w:themeColor="accent1" w:themeShade="7F"/>
      <w:sz w:val="24"/>
      <w:szCs w:val="24"/>
      <w:lang w:bidi="ar-SA"/>
    </w:rPr>
  </w:style>
  <w:style w:type="character" w:customStyle="1" w:styleId="Heading4Char">
    <w:name w:val="Heading 4 Char"/>
    <w:basedOn w:val="DefaultParagraphFont"/>
    <w:link w:val="Heading4"/>
    <w:uiPriority w:val="9"/>
    <w:semiHidden/>
    <w:rsid w:val="00181CD4"/>
    <w:rPr>
      <w:rFonts w:asciiTheme="majorHAnsi" w:eastAsiaTheme="majorEastAsia" w:hAnsiTheme="majorHAnsi" w:cstheme="majorBidi"/>
      <w:i/>
      <w:iCs/>
      <w:color w:val="2F5496" w:themeColor="accent1" w:themeShade="BF"/>
      <w:sz w:val="20"/>
      <w:szCs w:val="20"/>
      <w:lang w:bidi="ar-SA"/>
    </w:rPr>
  </w:style>
  <w:style w:type="character" w:customStyle="1" w:styleId="Heading5Char">
    <w:name w:val="Heading 5 Char"/>
    <w:basedOn w:val="DefaultParagraphFont"/>
    <w:link w:val="Heading5"/>
    <w:uiPriority w:val="9"/>
    <w:semiHidden/>
    <w:rsid w:val="00181CD4"/>
    <w:rPr>
      <w:rFonts w:asciiTheme="majorHAnsi" w:eastAsiaTheme="majorEastAsia" w:hAnsiTheme="majorHAnsi" w:cstheme="majorBidi"/>
      <w:color w:val="2F5496" w:themeColor="accent1" w:themeShade="BF"/>
      <w:sz w:val="20"/>
      <w:szCs w:val="20"/>
      <w:lang w:bidi="ar-SA"/>
    </w:rPr>
  </w:style>
  <w:style w:type="character" w:customStyle="1" w:styleId="Heading6Char">
    <w:name w:val="Heading 6 Char"/>
    <w:basedOn w:val="DefaultParagraphFont"/>
    <w:link w:val="Heading6"/>
    <w:uiPriority w:val="9"/>
    <w:semiHidden/>
    <w:rsid w:val="00181CD4"/>
    <w:rPr>
      <w:rFonts w:asciiTheme="majorHAnsi" w:eastAsiaTheme="majorEastAsia" w:hAnsiTheme="majorHAnsi" w:cstheme="majorBidi"/>
      <w:color w:val="1F3763" w:themeColor="accent1" w:themeShade="7F"/>
      <w:sz w:val="20"/>
      <w:szCs w:val="20"/>
      <w:lang w:bidi="ar-SA"/>
    </w:rPr>
  </w:style>
  <w:style w:type="character" w:customStyle="1" w:styleId="Heading7Char">
    <w:name w:val="Heading 7 Char"/>
    <w:basedOn w:val="DefaultParagraphFont"/>
    <w:link w:val="Heading7"/>
    <w:uiPriority w:val="9"/>
    <w:semiHidden/>
    <w:rsid w:val="00181CD4"/>
    <w:rPr>
      <w:rFonts w:asciiTheme="majorHAnsi" w:eastAsiaTheme="majorEastAsia" w:hAnsiTheme="majorHAnsi" w:cstheme="majorBidi"/>
      <w:i/>
      <w:iCs/>
      <w:color w:val="1F3763" w:themeColor="accent1" w:themeShade="7F"/>
      <w:sz w:val="20"/>
      <w:szCs w:val="20"/>
      <w:lang w:bidi="ar-SA"/>
    </w:rPr>
  </w:style>
  <w:style w:type="character" w:customStyle="1" w:styleId="Heading8Char">
    <w:name w:val="Heading 8 Char"/>
    <w:basedOn w:val="DefaultParagraphFont"/>
    <w:link w:val="Heading8"/>
    <w:uiPriority w:val="9"/>
    <w:semiHidden/>
    <w:rsid w:val="00181CD4"/>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181CD4"/>
    <w:rPr>
      <w:rFonts w:asciiTheme="majorHAnsi" w:eastAsiaTheme="majorEastAsia" w:hAnsiTheme="majorHAnsi" w:cstheme="majorBidi"/>
      <w:i/>
      <w:iCs/>
      <w:color w:val="272727" w:themeColor="text1" w:themeTint="D8"/>
      <w:sz w:val="21"/>
      <w:szCs w:val="21"/>
      <w:lang w:bidi="ar-SA"/>
    </w:rPr>
  </w:style>
  <w:style w:type="table" w:styleId="GridTable5Dark-Accent5">
    <w:name w:val="Grid Table 5 Dark Accent 5"/>
    <w:basedOn w:val="TableNormal"/>
    <w:uiPriority w:val="50"/>
    <w:rsid w:val="009A55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51068">
      <w:bodyDiv w:val="1"/>
      <w:marLeft w:val="0"/>
      <w:marRight w:val="0"/>
      <w:marTop w:val="0"/>
      <w:marBottom w:val="0"/>
      <w:divBdr>
        <w:top w:val="none" w:sz="0" w:space="0" w:color="auto"/>
        <w:left w:val="none" w:sz="0" w:space="0" w:color="auto"/>
        <w:bottom w:val="none" w:sz="0" w:space="0" w:color="auto"/>
        <w:right w:val="none" w:sz="0" w:space="0" w:color="auto"/>
      </w:divBdr>
    </w:div>
    <w:div w:id="828323112">
      <w:bodyDiv w:val="1"/>
      <w:marLeft w:val="0"/>
      <w:marRight w:val="0"/>
      <w:marTop w:val="0"/>
      <w:marBottom w:val="0"/>
      <w:divBdr>
        <w:top w:val="none" w:sz="0" w:space="0" w:color="auto"/>
        <w:left w:val="none" w:sz="0" w:space="0" w:color="auto"/>
        <w:bottom w:val="none" w:sz="0" w:space="0" w:color="auto"/>
        <w:right w:val="none" w:sz="0" w:space="0" w:color="auto"/>
      </w:divBdr>
    </w:div>
    <w:div w:id="11170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1.tif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oleObject" Target="embeddings/oleObject12.bin"/><Relationship Id="rId42" Type="http://schemas.openxmlformats.org/officeDocument/2006/relationships/image" Target="media/image23.wmf"/><Relationship Id="rId47" Type="http://schemas.openxmlformats.org/officeDocument/2006/relationships/image" Target="media/image27.tif"/><Relationship Id="rId50" Type="http://schemas.openxmlformats.org/officeDocument/2006/relationships/theme" Target="theme/theme1.xml"/><Relationship Id="rId7" Type="http://schemas.openxmlformats.org/officeDocument/2006/relationships/image" Target="media/image2.tif"/><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image" Target="media/image20.tiff"/><Relationship Id="rId46" Type="http://schemas.openxmlformats.org/officeDocument/2006/relationships/image" Target="media/image26.ti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wmf"/><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image" Target="media/image16.tiff"/><Relationship Id="rId37" Type="http://schemas.openxmlformats.org/officeDocument/2006/relationships/image" Target="media/image19.tif"/><Relationship Id="rId40" Type="http://schemas.openxmlformats.org/officeDocument/2006/relationships/image" Target="media/image22.wmf"/><Relationship Id="rId45" Type="http://schemas.openxmlformats.org/officeDocument/2006/relationships/image" Target="media/image25.ti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5.tif"/><Relationship Id="rId44" Type="http://schemas.openxmlformats.org/officeDocument/2006/relationships/image" Target="media/image24.ti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image" Target="media/image28.tif"/><Relationship Id="rId8"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7DA92C0-EAAF-4915-9BDD-669BA2CB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5913</Words>
  <Characters>33705</Characters>
  <Application>Microsoft Office Word</Application>
  <DocSecurity>0</DocSecurity>
  <Lines>280</Lines>
  <Paragraphs>79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uriel levy</cp:lastModifiedBy>
  <cp:revision>5</cp:revision>
  <cp:lastPrinted>2019-07-21T14:17:00Z</cp:lastPrinted>
  <dcterms:created xsi:type="dcterms:W3CDTF">2019-07-24T05:42:00Z</dcterms:created>
  <dcterms:modified xsi:type="dcterms:W3CDTF">2019-07-24T06:40:00Z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http://www.zotero.org/styles/acs-photonics</vt:lpwstr>
  </property>
  <property fmtid="{D5CDD505-2E9C-101B-9397-08002B2CF9AE}" pid="3" name="Mendeley Recent Style Name 0_1">
    <vt:lpwstr>ACS Photonics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http://csl.mendeley.com/styles/481055071/science-kobi</vt:lpwstr>
  </property>
  <property fmtid="{D5CDD505-2E9C-101B-9397-08002B2CF9AE}" pid="17" name="Mendeley Recent Style Name 7_1">
    <vt:lpwstr>Science - Jacob Engelberg</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http://www.zotero.org/styles/the-optical-society</vt:lpwstr>
  </property>
  <property fmtid="{D5CDD505-2E9C-101B-9397-08002B2CF9AE}" pid="21" name="Mendeley Recent Style Name 9_1">
    <vt:lpwstr>The Optical Society</vt:lpwstr>
  </property>
  <property fmtid="{D5CDD505-2E9C-101B-9397-08002B2CF9AE}" pid="22" name="Mendeley Citation Style_1">
    <vt:lpwstr>http://www.zotero.org/styles/the-optical-society</vt:lpwstr>
  </property>
  <property fmtid="{D5CDD505-2E9C-101B-9397-08002B2CF9AE}" pid="23" name="Mendeley Document_1">
    <vt:lpwstr>True</vt:lpwstr>
  </property>
  <property fmtid="{D5CDD505-2E9C-101B-9397-08002B2CF9AE}" pid="24" name="Mendeley Unique User Id_1">
    <vt:lpwstr>de7a25a4-10d5-387b-bc29-eea4b6f9db96</vt:lpwstr>
  </property>
</Properties>
</file>