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552A69E" w14:textId="570A3B6F" w:rsidR="00AF6D42" w:rsidRPr="00AF6D42" w:rsidRDefault="00AF6D42" w:rsidP="00AF6D42">
      <w:pPr>
        <w:spacing w:line="360" w:lineRule="auto"/>
        <w:jc w:val="center"/>
        <w:rPr>
          <w:rFonts w:cs="Times New Roman"/>
          <w:b/>
          <w:sz w:val="32"/>
        </w:rPr>
      </w:pPr>
      <w:r w:rsidRPr="00AF6D42">
        <w:rPr>
          <w:rFonts w:cs="Times New Roman"/>
          <w:b/>
          <w:sz w:val="32"/>
        </w:rPr>
        <w:t>Supplementary Material</w:t>
      </w:r>
    </w:p>
    <w:p w14:paraId="3E96ED69" w14:textId="77777777" w:rsidR="00AF6D42" w:rsidRDefault="00AF6D42" w:rsidP="009727B7">
      <w:pPr>
        <w:spacing w:line="360" w:lineRule="auto"/>
        <w:rPr>
          <w:rFonts w:cs="Times New Roman"/>
        </w:rPr>
      </w:pPr>
    </w:p>
    <w:p w14:paraId="0FAA05DB" w14:textId="77777777" w:rsidR="00D66AD6" w:rsidRPr="00DF6BF2" w:rsidRDefault="009727B7" w:rsidP="009727B7">
      <w:pPr>
        <w:spacing w:line="360" w:lineRule="auto"/>
        <w:rPr>
          <w:rFonts w:cs="Times New Roman"/>
          <w:b/>
        </w:rPr>
      </w:pPr>
      <w:r w:rsidRPr="00DF6BF2">
        <w:rPr>
          <w:rFonts w:cs="Times New Roman"/>
          <w:b/>
        </w:rPr>
        <w:t>Title:</w:t>
      </w:r>
    </w:p>
    <w:p w14:paraId="08AF579D" w14:textId="77777777" w:rsidR="009727B7" w:rsidRPr="00477653" w:rsidRDefault="009727B7" w:rsidP="009727B7">
      <w:pPr>
        <w:spacing w:line="360" w:lineRule="auto"/>
        <w:rPr>
          <w:rFonts w:cs="Times New Roman"/>
        </w:rPr>
      </w:pPr>
      <w:r w:rsidRPr="00477653">
        <w:rPr>
          <w:rFonts w:cs="Times New Roman"/>
        </w:rPr>
        <w:t>Terahertz light-emitting graphene-channel transistor toward single mode lasing</w:t>
      </w:r>
    </w:p>
    <w:p w14:paraId="49C0C63A" w14:textId="77777777" w:rsidR="009727B7" w:rsidRPr="00477653" w:rsidRDefault="009727B7" w:rsidP="009727B7">
      <w:pPr>
        <w:spacing w:line="360" w:lineRule="auto"/>
        <w:rPr>
          <w:rFonts w:cs="Times New Roman"/>
        </w:rPr>
      </w:pPr>
    </w:p>
    <w:p w14:paraId="03816EA6" w14:textId="77777777" w:rsidR="009727B7" w:rsidRPr="00DF6BF2" w:rsidRDefault="009727B7" w:rsidP="009727B7">
      <w:pPr>
        <w:spacing w:line="360" w:lineRule="auto"/>
        <w:rPr>
          <w:rFonts w:cs="Times New Roman"/>
          <w:b/>
        </w:rPr>
      </w:pPr>
      <w:r w:rsidRPr="00DF6BF2">
        <w:rPr>
          <w:rFonts w:cs="Times New Roman"/>
          <w:b/>
        </w:rPr>
        <w:t>Short title:</w:t>
      </w:r>
    </w:p>
    <w:p w14:paraId="177E8609" w14:textId="77777777" w:rsidR="009727B7" w:rsidRPr="00477653" w:rsidRDefault="009727B7" w:rsidP="009727B7">
      <w:pPr>
        <w:spacing w:line="360" w:lineRule="auto"/>
        <w:rPr>
          <w:rFonts w:cs="Times New Roman"/>
        </w:rPr>
      </w:pPr>
      <w:r w:rsidRPr="00477653">
        <w:rPr>
          <w:rFonts w:cs="Times New Roman"/>
        </w:rPr>
        <w:t>Terahertz light-emitting graphene-channel transistor toward single mode lasing</w:t>
      </w:r>
    </w:p>
    <w:p w14:paraId="6BE8D5CB" w14:textId="77777777" w:rsidR="009727B7" w:rsidRPr="00477653" w:rsidRDefault="009727B7" w:rsidP="009727B7">
      <w:pPr>
        <w:spacing w:line="360" w:lineRule="auto"/>
        <w:rPr>
          <w:rFonts w:cs="Times New Roman"/>
        </w:rPr>
      </w:pPr>
    </w:p>
    <w:p w14:paraId="5E5EB45F" w14:textId="77777777" w:rsidR="009727B7" w:rsidRPr="00477653" w:rsidRDefault="009727B7" w:rsidP="009727B7">
      <w:pPr>
        <w:spacing w:line="360" w:lineRule="auto"/>
        <w:rPr>
          <w:rFonts w:cs="Times New Roman"/>
        </w:rPr>
      </w:pPr>
    </w:p>
    <w:p w14:paraId="723A8271" w14:textId="77777777" w:rsidR="009727B7" w:rsidRPr="00DF6BF2" w:rsidRDefault="009727B7" w:rsidP="009727B7">
      <w:pPr>
        <w:spacing w:line="360" w:lineRule="auto"/>
        <w:rPr>
          <w:rFonts w:cs="Times New Roman"/>
          <w:b/>
        </w:rPr>
      </w:pPr>
      <w:r w:rsidRPr="00DF6BF2">
        <w:rPr>
          <w:rFonts w:cs="Times New Roman"/>
          <w:b/>
        </w:rPr>
        <w:t>Authors:</w:t>
      </w:r>
    </w:p>
    <w:p w14:paraId="49AB1266" w14:textId="24BE71F1" w:rsidR="009727B7" w:rsidRPr="00477653" w:rsidRDefault="009727B7" w:rsidP="009727B7">
      <w:pPr>
        <w:spacing w:line="360" w:lineRule="auto"/>
        <w:rPr>
          <w:rFonts w:cs="Times New Roman"/>
        </w:rPr>
      </w:pPr>
      <w:r w:rsidRPr="00477653">
        <w:rPr>
          <w:rFonts w:cs="Times New Roman"/>
        </w:rPr>
        <w:t>Deepika Yadav</w:t>
      </w:r>
      <w:r w:rsidRPr="00477653">
        <w:rPr>
          <w:rFonts w:cs="Times New Roman"/>
          <w:vertAlign w:val="superscript"/>
        </w:rPr>
        <w:t>1</w:t>
      </w:r>
      <w:r w:rsidRPr="00477653">
        <w:rPr>
          <w:rFonts w:cs="Times New Roman"/>
        </w:rPr>
        <w:t>, Gen Tamamushi</w:t>
      </w:r>
      <w:r w:rsidRPr="00477653">
        <w:rPr>
          <w:rFonts w:cs="Times New Roman"/>
          <w:vertAlign w:val="superscript"/>
        </w:rPr>
        <w:t>1</w:t>
      </w:r>
      <w:r w:rsidRPr="00477653">
        <w:rPr>
          <w:rFonts w:cs="Times New Roman"/>
        </w:rPr>
        <w:t>, Takayuki Watanabe</w:t>
      </w:r>
      <w:r w:rsidRPr="00477653">
        <w:rPr>
          <w:rFonts w:cs="Times New Roman"/>
          <w:vertAlign w:val="superscript"/>
        </w:rPr>
        <w:t>1</w:t>
      </w:r>
      <w:r w:rsidRPr="00477653">
        <w:rPr>
          <w:rFonts w:cs="Times New Roman"/>
        </w:rPr>
        <w:t>, Junki Mitsushio</w:t>
      </w:r>
      <w:r w:rsidRPr="00477653">
        <w:rPr>
          <w:rFonts w:cs="Times New Roman"/>
          <w:vertAlign w:val="superscript"/>
        </w:rPr>
        <w:t>1</w:t>
      </w:r>
      <w:r w:rsidRPr="00477653">
        <w:rPr>
          <w:rFonts w:cs="Times New Roman"/>
        </w:rPr>
        <w:t>, Youssef Tobah</w:t>
      </w:r>
      <w:r w:rsidRPr="00477653">
        <w:rPr>
          <w:rFonts w:cs="Times New Roman"/>
          <w:vertAlign w:val="superscript"/>
        </w:rPr>
        <w:t>2</w:t>
      </w:r>
      <w:r w:rsidRPr="00477653">
        <w:rPr>
          <w:rFonts w:cs="Times New Roman"/>
        </w:rPr>
        <w:t>, Kenta Sugawara</w:t>
      </w:r>
      <w:r w:rsidRPr="00477653">
        <w:rPr>
          <w:rFonts w:cs="Times New Roman"/>
          <w:vertAlign w:val="superscript"/>
        </w:rPr>
        <w:t>1</w:t>
      </w:r>
      <w:r w:rsidRPr="00477653">
        <w:rPr>
          <w:rFonts w:cs="Times New Roman"/>
        </w:rPr>
        <w:t>, Alexander A. Dubinov</w:t>
      </w:r>
      <w:r w:rsidRPr="00477653">
        <w:rPr>
          <w:rFonts w:cs="Times New Roman"/>
          <w:vertAlign w:val="superscript"/>
        </w:rPr>
        <w:t>3</w:t>
      </w:r>
      <w:r w:rsidRPr="00477653">
        <w:rPr>
          <w:rFonts w:cs="Times New Roman"/>
        </w:rPr>
        <w:t xml:space="preserve">, </w:t>
      </w:r>
      <w:r w:rsidR="001B6D4A" w:rsidRPr="00477653">
        <w:rPr>
          <w:rFonts w:cs="Times New Roman"/>
        </w:rPr>
        <w:t>Akira Satou</w:t>
      </w:r>
      <w:r w:rsidR="001B6D4A" w:rsidRPr="00477653">
        <w:rPr>
          <w:rFonts w:cs="Times New Roman"/>
          <w:vertAlign w:val="superscript"/>
        </w:rPr>
        <w:t>1</w:t>
      </w:r>
      <w:r w:rsidR="001B6D4A" w:rsidRPr="00477653">
        <w:rPr>
          <w:rFonts w:cs="Times New Roman"/>
        </w:rPr>
        <w:t xml:space="preserve">, </w:t>
      </w:r>
      <w:r w:rsidRPr="00477653">
        <w:rPr>
          <w:rFonts w:cs="Times New Roman"/>
        </w:rPr>
        <w:t>Maxim Ryzhii</w:t>
      </w:r>
      <w:r w:rsidRPr="00477653">
        <w:rPr>
          <w:rFonts w:cs="Times New Roman"/>
          <w:vertAlign w:val="superscript"/>
        </w:rPr>
        <w:t>4</w:t>
      </w:r>
      <w:r w:rsidRPr="00477653">
        <w:rPr>
          <w:rFonts w:cs="Times New Roman"/>
        </w:rPr>
        <w:t>, Victor Ryzhii</w:t>
      </w:r>
      <w:r w:rsidRPr="00477653">
        <w:rPr>
          <w:rFonts w:cs="Times New Roman"/>
          <w:vertAlign w:val="superscript"/>
        </w:rPr>
        <w:t>1,5</w:t>
      </w:r>
      <w:r w:rsidRPr="00477653">
        <w:rPr>
          <w:rFonts w:cs="Times New Roman"/>
        </w:rPr>
        <w:t>, and Taiichi Otsuji</w:t>
      </w:r>
      <w:r w:rsidRPr="00477653">
        <w:rPr>
          <w:rFonts w:cs="Times New Roman"/>
          <w:vertAlign w:val="superscript"/>
        </w:rPr>
        <w:t>1</w:t>
      </w:r>
    </w:p>
    <w:p w14:paraId="42EDBBE1" w14:textId="77777777" w:rsidR="009727B7" w:rsidRPr="00477653" w:rsidRDefault="009727B7" w:rsidP="009727B7">
      <w:pPr>
        <w:spacing w:line="360" w:lineRule="auto"/>
        <w:rPr>
          <w:rFonts w:cs="Times New Roman"/>
        </w:rPr>
      </w:pPr>
    </w:p>
    <w:p w14:paraId="354D8500" w14:textId="77777777" w:rsidR="009727B7" w:rsidRPr="00477653" w:rsidRDefault="009727B7" w:rsidP="009727B7">
      <w:pPr>
        <w:spacing w:line="360" w:lineRule="auto"/>
        <w:ind w:left="154" w:hanging="154"/>
        <w:rPr>
          <w:rFonts w:cs="Times New Roman"/>
        </w:rPr>
      </w:pPr>
      <w:r w:rsidRPr="00477653">
        <w:rPr>
          <w:rFonts w:cs="Times New Roman"/>
          <w:vertAlign w:val="superscript"/>
        </w:rPr>
        <w:t xml:space="preserve">1 </w:t>
      </w:r>
      <w:r w:rsidRPr="00477653">
        <w:rPr>
          <w:rFonts w:cs="Times New Roman"/>
        </w:rPr>
        <w:t>Research Institute of Electrical Communication, Tohoku University, Sendai 9808577, Japan</w:t>
      </w:r>
    </w:p>
    <w:p w14:paraId="79F417CE" w14:textId="77777777" w:rsidR="009727B7" w:rsidRPr="00477653" w:rsidRDefault="009727B7" w:rsidP="009727B7">
      <w:pPr>
        <w:spacing w:line="360" w:lineRule="auto"/>
        <w:ind w:left="154" w:hanging="154"/>
        <w:rPr>
          <w:rFonts w:cs="Times New Roman"/>
        </w:rPr>
      </w:pPr>
      <w:r w:rsidRPr="00477653">
        <w:rPr>
          <w:rFonts w:cs="Times New Roman"/>
          <w:vertAlign w:val="superscript"/>
        </w:rPr>
        <w:t>2</w:t>
      </w:r>
      <w:r w:rsidRPr="00477653">
        <w:rPr>
          <w:rFonts w:cs="Times New Roman"/>
          <w:vertAlign w:val="superscript"/>
        </w:rPr>
        <w:tab/>
      </w:r>
      <w:r w:rsidRPr="00477653">
        <w:rPr>
          <w:rFonts w:cs="Times New Roman"/>
        </w:rPr>
        <w:t>Department of Electrical and Computer Engineering, University of Texas at Austin, Austin 78712, Texas, USA</w:t>
      </w:r>
    </w:p>
    <w:p w14:paraId="24422CA1" w14:textId="77777777" w:rsidR="009727B7" w:rsidRPr="00477653" w:rsidRDefault="009727B7" w:rsidP="009727B7">
      <w:pPr>
        <w:spacing w:line="360" w:lineRule="auto"/>
        <w:ind w:left="154" w:hanging="154"/>
        <w:rPr>
          <w:rFonts w:cs="Times New Roman"/>
        </w:rPr>
      </w:pPr>
      <w:r w:rsidRPr="00477653">
        <w:rPr>
          <w:rFonts w:cs="Times New Roman"/>
          <w:vertAlign w:val="superscript"/>
        </w:rPr>
        <w:t xml:space="preserve">3 </w:t>
      </w:r>
      <w:r w:rsidRPr="00477653">
        <w:rPr>
          <w:rFonts w:cs="Times New Roman"/>
        </w:rPr>
        <w:t>Institute for Physics of Microstructures, Russian Academy of Sciences, Lobachevsky State University of Nizhny Novgorod, Nizhny Novgorod 603950, Russia</w:t>
      </w:r>
    </w:p>
    <w:p w14:paraId="19B6DA75" w14:textId="77777777" w:rsidR="009727B7" w:rsidRPr="00477653" w:rsidRDefault="009727B7" w:rsidP="009727B7">
      <w:pPr>
        <w:spacing w:line="360" w:lineRule="auto"/>
        <w:ind w:left="154" w:hanging="154"/>
        <w:rPr>
          <w:rFonts w:cs="Times New Roman"/>
        </w:rPr>
      </w:pPr>
      <w:r w:rsidRPr="00477653">
        <w:rPr>
          <w:rFonts w:cs="Times New Roman"/>
          <w:vertAlign w:val="superscript"/>
        </w:rPr>
        <w:t>4</w:t>
      </w:r>
      <w:r w:rsidRPr="00477653">
        <w:rPr>
          <w:rFonts w:cs="Times New Roman"/>
          <w:vertAlign w:val="superscript"/>
        </w:rPr>
        <w:tab/>
      </w:r>
      <w:r w:rsidRPr="00477653">
        <w:rPr>
          <w:rFonts w:cs="Times New Roman"/>
        </w:rPr>
        <w:t>Department of Computer Science and Engineering, University of Aizu, Aizu-Wakamatsu 965-8580, Japan</w:t>
      </w:r>
    </w:p>
    <w:p w14:paraId="16E7764D" w14:textId="77777777" w:rsidR="009727B7" w:rsidRPr="00477653" w:rsidRDefault="009727B7" w:rsidP="009727B7">
      <w:pPr>
        <w:spacing w:line="360" w:lineRule="auto"/>
        <w:ind w:left="154" w:hanging="154"/>
        <w:rPr>
          <w:rFonts w:cs="Times New Roman"/>
        </w:rPr>
      </w:pPr>
      <w:r w:rsidRPr="00477653">
        <w:rPr>
          <w:rFonts w:cs="Times New Roman"/>
          <w:vertAlign w:val="superscript"/>
        </w:rPr>
        <w:t xml:space="preserve">5 </w:t>
      </w:r>
      <w:r w:rsidRPr="00477653">
        <w:rPr>
          <w:rFonts w:cs="Times New Roman"/>
        </w:rPr>
        <w:t>Center for Photonics and Infrared Engineering, Bauman Moscow State Technical University, Moscow 105005, Russia</w:t>
      </w:r>
    </w:p>
    <w:p w14:paraId="48B21980" w14:textId="77777777" w:rsidR="009727B7" w:rsidRDefault="009727B7" w:rsidP="009727B7">
      <w:pPr>
        <w:spacing w:line="360" w:lineRule="auto"/>
        <w:rPr>
          <w:rFonts w:cs="Times New Roman"/>
        </w:rPr>
      </w:pPr>
    </w:p>
    <w:p w14:paraId="3770F965" w14:textId="77777777" w:rsidR="00DF6BF2" w:rsidRPr="00477653" w:rsidRDefault="00DF6BF2" w:rsidP="009727B7">
      <w:pPr>
        <w:spacing w:line="360" w:lineRule="auto"/>
        <w:rPr>
          <w:rFonts w:cs="Times New Roman"/>
        </w:rPr>
      </w:pPr>
    </w:p>
    <w:p w14:paraId="73891FCF" w14:textId="77777777" w:rsidR="009727B7" w:rsidRPr="00DF6BF2" w:rsidRDefault="009727B7" w:rsidP="009727B7">
      <w:pPr>
        <w:spacing w:line="360" w:lineRule="auto"/>
        <w:rPr>
          <w:rFonts w:cs="Times New Roman"/>
          <w:b/>
        </w:rPr>
      </w:pPr>
      <w:r w:rsidRPr="00DF6BF2">
        <w:rPr>
          <w:rFonts w:cs="Times New Roman"/>
          <w:b/>
        </w:rPr>
        <w:t>Abstract:</w:t>
      </w:r>
    </w:p>
    <w:p w14:paraId="657850A9" w14:textId="13D46E45" w:rsidR="009727B7" w:rsidRPr="00477653" w:rsidRDefault="00AF6D42" w:rsidP="00AF6D42">
      <w:pPr>
        <w:spacing w:line="360" w:lineRule="auto"/>
        <w:rPr>
          <w:rFonts w:cs="Times New Roman"/>
        </w:rPr>
      </w:pPr>
      <w:r w:rsidRPr="00AF6D42">
        <w:rPr>
          <w:rFonts w:cs="Times New Roman"/>
        </w:rPr>
        <w:t>This document provides supplementary information to “</w:t>
      </w:r>
      <w:r w:rsidRPr="00477653">
        <w:rPr>
          <w:rFonts w:cs="Times New Roman"/>
        </w:rPr>
        <w:t>Terahertz light-emitting graphene-channel transistor toward single mode lasing</w:t>
      </w:r>
      <w:r>
        <w:rPr>
          <w:rFonts w:cs="Times New Roman"/>
        </w:rPr>
        <w:t>.</w:t>
      </w:r>
      <w:r w:rsidRPr="00AF6D42">
        <w:rPr>
          <w:rFonts w:cs="Times New Roman"/>
        </w:rPr>
        <w:t>”</w:t>
      </w:r>
    </w:p>
    <w:p w14:paraId="53BB5C8D" w14:textId="77777777" w:rsidR="009727B7" w:rsidRDefault="009727B7" w:rsidP="009727B7">
      <w:pPr>
        <w:spacing w:line="360" w:lineRule="auto"/>
        <w:rPr>
          <w:rFonts w:cs="Times New Roman"/>
        </w:rPr>
      </w:pPr>
    </w:p>
    <w:p w14:paraId="041C6805" w14:textId="65FD0DAF" w:rsidR="00DF6BF2" w:rsidRDefault="0065350C" w:rsidP="0065350C">
      <w:pPr>
        <w:tabs>
          <w:tab w:val="left" w:pos="5859"/>
        </w:tabs>
        <w:spacing w:line="360" w:lineRule="auto"/>
        <w:rPr>
          <w:rFonts w:cs="Times New Roman"/>
        </w:rPr>
      </w:pPr>
      <w:r>
        <w:rPr>
          <w:rFonts w:cs="Times New Roman"/>
        </w:rPr>
        <w:tab/>
      </w:r>
    </w:p>
    <w:p w14:paraId="50CF3080" w14:textId="77777777" w:rsidR="00DF6BF2" w:rsidRPr="00477653" w:rsidRDefault="00DF6BF2" w:rsidP="009727B7">
      <w:pPr>
        <w:spacing w:line="360" w:lineRule="auto"/>
        <w:rPr>
          <w:rFonts w:cs="Times New Roman"/>
        </w:rPr>
      </w:pPr>
    </w:p>
    <w:p w14:paraId="0F25534B" w14:textId="1706A380" w:rsidR="00DF6BF2" w:rsidRPr="00DF6BF2" w:rsidRDefault="009727B7" w:rsidP="00DF6BF2">
      <w:pPr>
        <w:widowControl/>
        <w:spacing w:line="360" w:lineRule="auto"/>
        <w:jc w:val="left"/>
        <w:rPr>
          <w:rFonts w:cs="Times New Roman"/>
          <w:b/>
        </w:rPr>
      </w:pPr>
      <w:r w:rsidRPr="00DF6BF2">
        <w:rPr>
          <w:rFonts w:cs="Times New Roman"/>
          <w:b/>
        </w:rPr>
        <w:t xml:space="preserve">1. </w:t>
      </w:r>
      <w:r w:rsidR="00AF6D42" w:rsidRPr="00DF6BF2">
        <w:rPr>
          <w:rFonts w:cs="Times New Roman"/>
          <w:b/>
        </w:rPr>
        <w:t>Experimental Methods</w:t>
      </w:r>
    </w:p>
    <w:p w14:paraId="384FA56A" w14:textId="53E4AA4A" w:rsidR="00AF6D42" w:rsidRDefault="00DD29A3" w:rsidP="00DF6BF2">
      <w:pPr>
        <w:spacing w:line="360" w:lineRule="auto"/>
        <w:rPr>
          <w:rFonts w:cs="Times New Roman"/>
        </w:rPr>
      </w:pPr>
      <w:r w:rsidRPr="00DD29A3">
        <w:rPr>
          <w:rFonts w:cs="Times New Roman"/>
        </w:rPr>
        <w:t xml:space="preserve"> </w:t>
      </w:r>
      <w:r w:rsidR="00AF6D42" w:rsidRPr="00AF6D42">
        <w:rPr>
          <w:rFonts w:cs="Times New Roman"/>
        </w:rPr>
        <w:t>The emission experiments were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carried out using Fourier-transformed far-infrared (FTIR)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spectrometer with a Martin-Puplett-type interferometer, JASCO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FARIS-1, at a series of temperatures starting from 300 K down to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100K. The sample was installed onto a dedicated sample housing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which was placed in the cryostat and the biases were controlled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using voltage/current source-measure units, Keithley 2400, while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the radiation intensity was measured using a 4.2K-cooled silicon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bolometer. Figure S1 (a) shows the experiment setup along with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the sample holder, a zoomed view of the device is shown in the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 xml:space="preserve">inset of S1 (b). The DFB-responsible THz </w:t>
      </w:r>
      <w:r w:rsidR="00AF6D42" w:rsidRPr="00AF6D42">
        <w:rPr>
          <w:rFonts w:cs="Times New Roman"/>
        </w:rPr>
        <w:lastRenderedPageBreak/>
        <w:t>photons are to be emitted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from the edge of the graphene active region. Thus, the sample was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placed so that its edge was facing to the FTIR interferometer via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the parabolic mirror. The THz electric field of the laser or LED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emission is polarized along with the in-plane drain-source axis.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The sample was, therefore, rotated so as to align its THz photon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field being transparent to the metal mesh filter placed at the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entrance of the Martin-Puplett interferometer. To carry out the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experiments, we first measured the background spectrum, i.e. the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spectrum with a sample unbiased. Then we measured bias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dependent spectra with current flowing through the sample and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normalized it with the background spectra to eliminate the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undesired effects arising due to static blackbody radiation and any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spectral artifacts emitted from the elements inside the</w:t>
      </w:r>
      <w:r w:rsidR="00AF6D42">
        <w:rPr>
          <w:rFonts w:cs="Times New Roman"/>
        </w:rPr>
        <w:t xml:space="preserve"> </w:t>
      </w:r>
      <w:r w:rsidR="00AF6D42" w:rsidRPr="00AF6D42">
        <w:rPr>
          <w:rFonts w:cs="Times New Roman"/>
        </w:rPr>
        <w:t>spectrometer</w:t>
      </w:r>
    </w:p>
    <w:p w14:paraId="19D916D1" w14:textId="50707873" w:rsidR="00AF6D42" w:rsidRDefault="00DF6BF2" w:rsidP="00AF6D42">
      <w:pPr>
        <w:spacing w:line="360" w:lineRule="auto"/>
        <w:jc w:val="center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66C9635C" wp14:editId="6E6C5D4F">
            <wp:extent cx="4556686" cy="4694767"/>
            <wp:effectExtent l="0" t="0" r="0" b="4445"/>
            <wp:docPr id="9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7412" cy="469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BB824B" w14:textId="77777777" w:rsidR="00DF6BF2" w:rsidRDefault="00DF6BF2" w:rsidP="00AF6D42">
      <w:pPr>
        <w:spacing w:line="360" w:lineRule="auto"/>
        <w:jc w:val="center"/>
        <w:rPr>
          <w:rFonts w:cs="Times New Roman"/>
        </w:rPr>
      </w:pPr>
    </w:p>
    <w:p w14:paraId="6289AB19" w14:textId="5DEAEAB4" w:rsidR="00AF6D42" w:rsidRDefault="00AF6D42" w:rsidP="00AF6D42">
      <w:pPr>
        <w:spacing w:line="360" w:lineRule="auto"/>
        <w:rPr>
          <w:rFonts w:cs="Times New Roman"/>
        </w:rPr>
      </w:pPr>
      <w:r w:rsidRPr="00AF6D42">
        <w:rPr>
          <w:rFonts w:cs="Times New Roman"/>
        </w:rPr>
        <w:t>Fig. S1. (a) Measurement setup for THz emission experiments, (b) The</w:t>
      </w:r>
      <w:r>
        <w:rPr>
          <w:rFonts w:cs="Times New Roman"/>
        </w:rPr>
        <w:t xml:space="preserve"> </w:t>
      </w:r>
      <w:r w:rsidRPr="00AF6D42">
        <w:rPr>
          <w:rFonts w:cs="Times New Roman"/>
        </w:rPr>
        <w:t>sample die is installed in a cryostat with a dedicated mount holder</w:t>
      </w:r>
      <w:r w:rsidR="00DF6BF2">
        <w:rPr>
          <w:rFonts w:cs="Times New Roman"/>
        </w:rPr>
        <w:t>.</w:t>
      </w:r>
    </w:p>
    <w:p w14:paraId="74BB20C4" w14:textId="77777777" w:rsidR="00DF6BF2" w:rsidRDefault="00DF6BF2" w:rsidP="00AF6D42">
      <w:pPr>
        <w:spacing w:line="360" w:lineRule="auto"/>
        <w:rPr>
          <w:rFonts w:cs="Times New Roman"/>
        </w:rPr>
      </w:pPr>
    </w:p>
    <w:p w14:paraId="4E449B1B" w14:textId="77777777" w:rsidR="00DF6BF2" w:rsidRDefault="00DF6BF2" w:rsidP="00AF6D42">
      <w:pPr>
        <w:spacing w:line="360" w:lineRule="auto"/>
        <w:rPr>
          <w:rFonts w:cs="Times New Roman"/>
        </w:rPr>
      </w:pPr>
    </w:p>
    <w:p w14:paraId="5AD3C642" w14:textId="31476827" w:rsidR="00AF6D42" w:rsidRPr="00DF6BF2" w:rsidRDefault="00DF6BF2" w:rsidP="00477653">
      <w:pPr>
        <w:spacing w:line="360" w:lineRule="auto"/>
        <w:rPr>
          <w:rFonts w:cs="Times New Roman"/>
          <w:b/>
        </w:rPr>
      </w:pPr>
      <w:r w:rsidRPr="00DF6BF2">
        <w:rPr>
          <w:rFonts w:cs="Times New Roman"/>
          <w:b/>
        </w:rPr>
        <w:t>2. DFB Cavity Design Parameters</w:t>
      </w:r>
    </w:p>
    <w:p w14:paraId="1B736F5F" w14:textId="1FBB9223" w:rsidR="00DF6BF2" w:rsidRDefault="00DF6BF2" w:rsidP="00DF6BF2">
      <w:pPr>
        <w:spacing w:line="360" w:lineRule="auto"/>
        <w:rPr>
          <w:rFonts w:cs="Times New Roman"/>
        </w:rPr>
      </w:pPr>
      <w:r w:rsidRPr="00DF6BF2">
        <w:rPr>
          <w:rFonts w:cs="Times New Roman"/>
        </w:rPr>
        <w:t>Figure S2 (a) shows various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DFB cavity design parameters. The improvement of quality factor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hugely depends on these parameters. For example, when we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increase the number of periods of DFB (N</w:t>
      </w:r>
      <w:r w:rsidRPr="00E42820">
        <w:rPr>
          <w:rFonts w:cs="Times New Roman"/>
          <w:vertAlign w:val="subscript"/>
        </w:rPr>
        <w:t>DFB</w:t>
      </w:r>
      <w:r w:rsidRPr="00DF6BF2">
        <w:rPr>
          <w:rFonts w:cs="Times New Roman"/>
        </w:rPr>
        <w:t>) from 16 to 24 the Q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value increases by 2 orders (see Fig. S2 (b) and S2 (c)). Figure S2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(d) gives numerically simulated Q values when the value of L</w:t>
      </w:r>
      <w:r w:rsidRPr="00E42820">
        <w:rPr>
          <w:rFonts w:cs="Times New Roman"/>
          <w:vertAlign w:val="subscript"/>
        </w:rPr>
        <w:t>dfb</w:t>
      </w:r>
      <w:r w:rsidRPr="00DF6BF2">
        <w:rPr>
          <w:rFonts w:cs="Times New Roman"/>
        </w:rPr>
        <w:t>,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that is, the degree of concavity and convexity of DFB is changed.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Here also, we can observe that an increase of the DFB cavity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modulation index L</w:t>
      </w:r>
      <w:r w:rsidRPr="00E42820">
        <w:rPr>
          <w:rFonts w:cs="Times New Roman"/>
          <w:vertAlign w:val="subscript"/>
        </w:rPr>
        <w:t>int</w:t>
      </w:r>
      <w:r w:rsidRPr="00DF6BF2">
        <w:rPr>
          <w:rFonts w:cs="Times New Roman"/>
        </w:rPr>
        <w:t>/L</w:t>
      </w:r>
      <w:r w:rsidRPr="00E42820">
        <w:rPr>
          <w:rFonts w:cs="Times New Roman"/>
          <w:vertAlign w:val="subscript"/>
        </w:rPr>
        <w:t>dfb</w:t>
      </w:r>
      <w:r w:rsidRPr="00DF6BF2">
        <w:rPr>
          <w:rFonts w:cs="Times New Roman"/>
        </w:rPr>
        <w:t xml:space="preserve"> from 20/18 to 20/4 give rise to an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increase of the quality factor of the DFB cavity by two orders of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magnitude. From these plots, it can be summarized that Q value is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dramatically improved by increasing the number of periods of DFB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and by increasing the degree of modulation of the gain coefficient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i.e. by increasing the degree of unevenness of DFB structure.</w:t>
      </w:r>
    </w:p>
    <w:p w14:paraId="0A2208EF" w14:textId="51AA5981" w:rsidR="00DF6BF2" w:rsidRDefault="00DF6BF2" w:rsidP="00DF6BF2">
      <w:pPr>
        <w:spacing w:line="360" w:lineRule="auto"/>
        <w:jc w:val="center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045E104D" wp14:editId="6ECE999D">
            <wp:extent cx="4595350" cy="2041451"/>
            <wp:effectExtent l="0" t="0" r="0" b="0"/>
            <wp:docPr id="11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687" cy="2048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4CDF2" w14:textId="15609F91" w:rsidR="00DF6BF2" w:rsidRPr="00477653" w:rsidRDefault="00DF6BF2" w:rsidP="00DF6BF2">
      <w:pPr>
        <w:spacing w:line="360" w:lineRule="auto"/>
        <w:jc w:val="center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77F7952E" wp14:editId="6989A652">
            <wp:extent cx="3388242" cy="4481224"/>
            <wp:effectExtent l="0" t="0" r="3175" b="0"/>
            <wp:docPr id="12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9902" cy="4483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42624" w14:textId="67EAD818" w:rsidR="00477653" w:rsidRPr="00477653" w:rsidRDefault="00DF6BF2" w:rsidP="00DF6BF2">
      <w:pPr>
        <w:spacing w:line="360" w:lineRule="auto"/>
        <w:rPr>
          <w:rFonts w:cs="Times New Roman"/>
        </w:rPr>
      </w:pPr>
      <w:r w:rsidRPr="00DF6BF2">
        <w:rPr>
          <w:rFonts w:cs="Times New Roman"/>
        </w:rPr>
        <w:t>Fig. S2. (a) Design parameters for the DFB structure; numerical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simulation plots for these DFB cavities having different design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parameters (b) N</w:t>
      </w:r>
      <w:r w:rsidRPr="00DF6BF2">
        <w:rPr>
          <w:rFonts w:cs="Times New Roman"/>
          <w:vertAlign w:val="subscript"/>
        </w:rPr>
        <w:t>DFB</w:t>
      </w:r>
      <w:r w:rsidRPr="00DF6BF2">
        <w:rPr>
          <w:rFonts w:cs="Times New Roman"/>
        </w:rPr>
        <w:t xml:space="preserve"> = 16, (c) N</w:t>
      </w:r>
      <w:r w:rsidRPr="00DF6BF2">
        <w:rPr>
          <w:rFonts w:cs="Times New Roman"/>
          <w:vertAlign w:val="subscript"/>
        </w:rPr>
        <w:t>DFB</w:t>
      </w:r>
      <w:r w:rsidRPr="00DF6BF2">
        <w:rPr>
          <w:rFonts w:cs="Times New Roman"/>
        </w:rPr>
        <w:t>= 24, and (d) comparison of quality</w:t>
      </w:r>
      <w:r>
        <w:rPr>
          <w:rFonts w:cs="Times New Roman"/>
        </w:rPr>
        <w:t xml:space="preserve"> </w:t>
      </w:r>
      <w:r w:rsidRPr="00DF6BF2">
        <w:rPr>
          <w:rFonts w:cs="Times New Roman"/>
        </w:rPr>
        <w:t>factors for various DFB cavity modulation index.</w:t>
      </w:r>
      <w:bookmarkStart w:id="0" w:name="_GoBack"/>
      <w:bookmarkEnd w:id="0"/>
    </w:p>
    <w:sectPr w:rsidR="00477653" w:rsidRPr="00477653" w:rsidSect="0065350C">
      <w:footerReference w:type="default" r:id="rId11"/>
      <w:pgSz w:w="11900" w:h="16840" w:code="9"/>
      <w:pgMar w:top="1440" w:right="1077" w:bottom="1440" w:left="1077" w:header="851" w:footer="624" w:gutter="0"/>
      <w:cols w:space="425"/>
      <w:docGrid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AB456F1" w14:textId="77777777" w:rsidR="00AF6D42" w:rsidRDefault="00AF6D42" w:rsidP="009727B7">
      <w:r>
        <w:separator/>
      </w:r>
    </w:p>
  </w:endnote>
  <w:endnote w:type="continuationSeparator" w:id="0">
    <w:p w14:paraId="38990CFD" w14:textId="77777777" w:rsidR="00AF6D42" w:rsidRDefault="00AF6D42" w:rsidP="009727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ヒラギノ角ゴ ProN W3">
    <w:charset w:val="4E"/>
    <w:family w:val="auto"/>
    <w:pitch w:val="variable"/>
    <w:sig w:usb0="00000001" w:usb1="08070000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03289240"/>
      <w:docPartObj>
        <w:docPartGallery w:val="Page Numbers (Bottom of Page)"/>
        <w:docPartUnique/>
      </w:docPartObj>
    </w:sdtPr>
    <w:sdtContent>
      <w:sdt>
        <w:sdtPr>
          <w:id w:val="-1669238322"/>
          <w:docPartObj>
            <w:docPartGallery w:val="Page Numbers (Top of Page)"/>
            <w:docPartUnique/>
          </w:docPartObj>
        </w:sdtPr>
        <w:sdtContent>
          <w:p w14:paraId="3E5BD74F" w14:textId="4AAB77D2" w:rsidR="0065350C" w:rsidRDefault="0065350C">
            <w:pPr>
              <w:pStyle w:val="a5"/>
              <w:jc w:val="center"/>
            </w:pPr>
            <w:r w:rsidRPr="0065350C">
              <w:rPr>
                <w:lang w:val="ja-JP"/>
              </w:rPr>
              <w:t xml:space="preserve"> </w:t>
            </w:r>
            <w:r w:rsidRPr="0065350C">
              <w:rPr>
                <w:bCs/>
              </w:rPr>
              <w:fldChar w:fldCharType="begin"/>
            </w:r>
            <w:r w:rsidRPr="0065350C">
              <w:rPr>
                <w:bCs/>
              </w:rPr>
              <w:instrText>PAGE</w:instrText>
            </w:r>
            <w:r w:rsidRPr="0065350C">
              <w:rPr>
                <w:bCs/>
              </w:rPr>
              <w:fldChar w:fldCharType="separate"/>
            </w:r>
            <w:r>
              <w:rPr>
                <w:bCs/>
                <w:noProof/>
              </w:rPr>
              <w:t>1</w:t>
            </w:r>
            <w:r w:rsidRPr="0065350C">
              <w:rPr>
                <w:bCs/>
              </w:rPr>
              <w:fldChar w:fldCharType="end"/>
            </w:r>
            <w:r w:rsidRPr="0065350C">
              <w:rPr>
                <w:lang w:val="ja-JP"/>
              </w:rPr>
              <w:t xml:space="preserve"> / </w:t>
            </w:r>
            <w:r w:rsidRPr="0065350C">
              <w:rPr>
                <w:bCs/>
              </w:rPr>
              <w:fldChar w:fldCharType="begin"/>
            </w:r>
            <w:r w:rsidRPr="0065350C">
              <w:rPr>
                <w:bCs/>
              </w:rPr>
              <w:instrText>NUMPAGES</w:instrText>
            </w:r>
            <w:r w:rsidRPr="0065350C">
              <w:rPr>
                <w:bCs/>
              </w:rPr>
              <w:fldChar w:fldCharType="separate"/>
            </w:r>
            <w:r>
              <w:rPr>
                <w:bCs/>
                <w:noProof/>
              </w:rPr>
              <w:t>2</w:t>
            </w:r>
            <w:r w:rsidRPr="0065350C">
              <w:rPr>
                <w:bCs/>
              </w:rPr>
              <w:fldChar w:fldCharType="end"/>
            </w:r>
          </w:p>
        </w:sdtContent>
      </w:sdt>
    </w:sdtContent>
  </w:sdt>
  <w:p w14:paraId="2A475505" w14:textId="77777777" w:rsidR="0065350C" w:rsidRDefault="0065350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7E4DD1B" w14:textId="77777777" w:rsidR="00AF6D42" w:rsidRDefault="00AF6D42" w:rsidP="009727B7">
      <w:r>
        <w:separator/>
      </w:r>
    </w:p>
  </w:footnote>
  <w:footnote w:type="continuationSeparator" w:id="0">
    <w:p w14:paraId="782B3828" w14:textId="77777777" w:rsidR="00AF6D42" w:rsidRDefault="00AF6D42" w:rsidP="009727B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DF071C5"/>
    <w:multiLevelType w:val="hybridMultilevel"/>
    <w:tmpl w:val="9BA21B6C"/>
    <w:lvl w:ilvl="0" w:tplc="F87A0560">
      <w:start w:val="1"/>
      <w:numFmt w:val="decimal"/>
      <w:lvlText w:val="[%1]"/>
      <w:lvlJc w:val="left"/>
      <w:pPr>
        <w:ind w:left="480" w:hanging="480"/>
      </w:pPr>
      <w:rPr>
        <w:rFonts w:ascii="Times New Roman" w:hAnsi="Times New Roman" w:hint="default"/>
        <w:b w:val="0"/>
        <w:bCs w:val="0"/>
        <w:i w:val="0"/>
        <w:iCs w:val="0"/>
        <w:sz w:val="22"/>
        <w:szCs w:val="22"/>
      </w:rPr>
    </w:lvl>
    <w:lvl w:ilvl="1" w:tplc="04090017" w:tentative="1">
      <w:start w:val="1"/>
      <w:numFmt w:val="aiueoFullWidth"/>
      <w:lvlText w:val="(%2)"/>
      <w:lvlJc w:val="left"/>
      <w:pPr>
        <w:ind w:left="960" w:hanging="480"/>
      </w:pPr>
    </w:lvl>
    <w:lvl w:ilvl="2" w:tplc="04090011" w:tentative="1">
      <w:start w:val="1"/>
      <w:numFmt w:val="decimalEnclosedCircle"/>
      <w:lvlText w:val="%3"/>
      <w:lvlJc w:val="lef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7" w:tentative="1">
      <w:start w:val="1"/>
      <w:numFmt w:val="aiueoFullWidth"/>
      <w:lvlText w:val="(%5)"/>
      <w:lvlJc w:val="left"/>
      <w:pPr>
        <w:ind w:left="2400" w:hanging="480"/>
      </w:pPr>
    </w:lvl>
    <w:lvl w:ilvl="5" w:tplc="04090011" w:tentative="1">
      <w:start w:val="1"/>
      <w:numFmt w:val="decimalEnclosedCircle"/>
      <w:lvlText w:val="%6"/>
      <w:lvlJc w:val="lef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7" w:tentative="1">
      <w:start w:val="1"/>
      <w:numFmt w:val="aiueoFullWidth"/>
      <w:lvlText w:val="(%8)"/>
      <w:lvlJc w:val="left"/>
      <w:pPr>
        <w:ind w:left="3840" w:hanging="480"/>
      </w:pPr>
    </w:lvl>
    <w:lvl w:ilvl="8" w:tplc="04090011" w:tentative="1">
      <w:start w:val="1"/>
      <w:numFmt w:val="decimalEnclosedCircle"/>
      <w:lvlText w:val="%9"/>
      <w:lvlJc w:val="lef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34"/>
  <w:bordersDoNotSurroundHeader/>
  <w:bordersDoNotSurroundFooter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27B7"/>
    <w:rsid w:val="0008793F"/>
    <w:rsid w:val="001B6D4A"/>
    <w:rsid w:val="002A77B8"/>
    <w:rsid w:val="003D2A41"/>
    <w:rsid w:val="004262A6"/>
    <w:rsid w:val="00477653"/>
    <w:rsid w:val="00481CA7"/>
    <w:rsid w:val="004B2BCD"/>
    <w:rsid w:val="004E60FF"/>
    <w:rsid w:val="0053220A"/>
    <w:rsid w:val="0065350C"/>
    <w:rsid w:val="009727B7"/>
    <w:rsid w:val="00987372"/>
    <w:rsid w:val="00A11D6E"/>
    <w:rsid w:val="00AF6D42"/>
    <w:rsid w:val="00B07B24"/>
    <w:rsid w:val="00C34EE3"/>
    <w:rsid w:val="00D66AD6"/>
    <w:rsid w:val="00DD29A3"/>
    <w:rsid w:val="00DF6BF2"/>
    <w:rsid w:val="00E035FD"/>
    <w:rsid w:val="00E42820"/>
    <w:rsid w:val="00E4309E"/>
    <w:rsid w:val="00E977F6"/>
    <w:rsid w:val="00F5484E"/>
    <w:rsid w:val="00FB6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9E18EF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7653"/>
    <w:pPr>
      <w:widowControl w:val="0"/>
      <w:jc w:val="both"/>
    </w:pPr>
    <w:rPr>
      <w:rFonts w:ascii="Times New Roman" w:hAnsi="Times New Roman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727B7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727B7"/>
  </w:style>
  <w:style w:type="paragraph" w:styleId="a5">
    <w:name w:val="footer"/>
    <w:basedOn w:val="a"/>
    <w:link w:val="a6"/>
    <w:uiPriority w:val="99"/>
    <w:unhideWhenUsed/>
    <w:rsid w:val="009727B7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727B7"/>
  </w:style>
  <w:style w:type="paragraph" w:styleId="a7">
    <w:name w:val="List Paragraph"/>
    <w:basedOn w:val="a"/>
    <w:uiPriority w:val="34"/>
    <w:qFormat/>
    <w:rsid w:val="00477653"/>
    <w:pPr>
      <w:ind w:leftChars="400" w:left="960"/>
    </w:pPr>
  </w:style>
  <w:style w:type="paragraph" w:styleId="a8">
    <w:name w:val="annotation text"/>
    <w:basedOn w:val="a"/>
    <w:link w:val="a9"/>
    <w:uiPriority w:val="99"/>
    <w:semiHidden/>
    <w:unhideWhenUsed/>
    <w:rsid w:val="00DD29A3"/>
    <w:pPr>
      <w:jc w:val="left"/>
    </w:pPr>
  </w:style>
  <w:style w:type="character" w:customStyle="1" w:styleId="a9">
    <w:name w:val="コメント文字列 (文字)"/>
    <w:basedOn w:val="a0"/>
    <w:link w:val="a8"/>
    <w:uiPriority w:val="99"/>
    <w:semiHidden/>
    <w:rsid w:val="00DD29A3"/>
    <w:rPr>
      <w:rFonts w:ascii="Times New Roman" w:hAnsi="Times New Roman"/>
      <w:sz w:val="22"/>
      <w:szCs w:val="22"/>
    </w:rPr>
  </w:style>
  <w:style w:type="character" w:styleId="aa">
    <w:name w:val="annotation reference"/>
    <w:uiPriority w:val="99"/>
    <w:semiHidden/>
    <w:unhideWhenUsed/>
    <w:rsid w:val="00DD29A3"/>
    <w:rPr>
      <w:sz w:val="16"/>
      <w:szCs w:val="16"/>
    </w:rPr>
  </w:style>
  <w:style w:type="paragraph" w:styleId="ab">
    <w:name w:val="Balloon Text"/>
    <w:basedOn w:val="a"/>
    <w:link w:val="ac"/>
    <w:uiPriority w:val="99"/>
    <w:semiHidden/>
    <w:unhideWhenUsed/>
    <w:rsid w:val="00DD29A3"/>
    <w:rPr>
      <w:rFonts w:ascii="ヒラギノ角ゴ ProN W3" w:eastAsia="ヒラギノ角ゴ ProN W3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DD29A3"/>
    <w:rPr>
      <w:rFonts w:ascii="ヒラギノ角ゴ ProN W3" w:eastAsia="ヒラギノ角ゴ ProN W3" w:hAnsi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7653"/>
    <w:pPr>
      <w:widowControl w:val="0"/>
      <w:jc w:val="both"/>
    </w:pPr>
    <w:rPr>
      <w:rFonts w:ascii="Times New Roman" w:hAnsi="Times New Roman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727B7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727B7"/>
  </w:style>
  <w:style w:type="paragraph" w:styleId="a5">
    <w:name w:val="footer"/>
    <w:basedOn w:val="a"/>
    <w:link w:val="a6"/>
    <w:uiPriority w:val="99"/>
    <w:unhideWhenUsed/>
    <w:rsid w:val="009727B7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727B7"/>
  </w:style>
  <w:style w:type="paragraph" w:styleId="a7">
    <w:name w:val="List Paragraph"/>
    <w:basedOn w:val="a"/>
    <w:uiPriority w:val="34"/>
    <w:qFormat/>
    <w:rsid w:val="00477653"/>
    <w:pPr>
      <w:ind w:leftChars="400" w:left="960"/>
    </w:pPr>
  </w:style>
  <w:style w:type="paragraph" w:styleId="a8">
    <w:name w:val="annotation text"/>
    <w:basedOn w:val="a"/>
    <w:link w:val="a9"/>
    <w:uiPriority w:val="99"/>
    <w:semiHidden/>
    <w:unhideWhenUsed/>
    <w:rsid w:val="00DD29A3"/>
    <w:pPr>
      <w:jc w:val="left"/>
    </w:pPr>
  </w:style>
  <w:style w:type="character" w:customStyle="1" w:styleId="a9">
    <w:name w:val="コメント文字列 (文字)"/>
    <w:basedOn w:val="a0"/>
    <w:link w:val="a8"/>
    <w:uiPriority w:val="99"/>
    <w:semiHidden/>
    <w:rsid w:val="00DD29A3"/>
    <w:rPr>
      <w:rFonts w:ascii="Times New Roman" w:hAnsi="Times New Roman"/>
      <w:sz w:val="22"/>
      <w:szCs w:val="22"/>
    </w:rPr>
  </w:style>
  <w:style w:type="character" w:styleId="aa">
    <w:name w:val="annotation reference"/>
    <w:uiPriority w:val="99"/>
    <w:semiHidden/>
    <w:unhideWhenUsed/>
    <w:rsid w:val="00DD29A3"/>
    <w:rPr>
      <w:sz w:val="16"/>
      <w:szCs w:val="16"/>
    </w:rPr>
  </w:style>
  <w:style w:type="paragraph" w:styleId="ab">
    <w:name w:val="Balloon Text"/>
    <w:basedOn w:val="a"/>
    <w:link w:val="ac"/>
    <w:uiPriority w:val="99"/>
    <w:semiHidden/>
    <w:unhideWhenUsed/>
    <w:rsid w:val="00DD29A3"/>
    <w:rPr>
      <w:rFonts w:ascii="ヒラギノ角ゴ ProN W3" w:eastAsia="ヒラギノ角ゴ ProN W3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DD29A3"/>
    <w:rPr>
      <w:rFonts w:ascii="ヒラギノ角ゴ ProN W3" w:eastAsia="ヒラギノ角ゴ ProN W3" w:hAnsi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587</Words>
  <Characters>3348</Characters>
  <Application>Microsoft Office Word</Application>
  <DocSecurity>0</DocSecurity>
  <Lines>27</Lines>
  <Paragraphs>7</Paragraphs>
  <ScaleCrop>false</ScaleCrop>
  <Company>TOHOKU UNIV</Company>
  <LinksUpToDate>false</LinksUpToDate>
  <CharactersWithSpaces>3928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OTSUJI TAIICHI</dc:creator>
  <cp:keywords/>
  <dc:description/>
  <cp:lastModifiedBy>otsuji</cp:lastModifiedBy>
  <cp:revision>7</cp:revision>
  <cp:lastPrinted>2017-10-30T07:56:00Z</cp:lastPrinted>
  <dcterms:created xsi:type="dcterms:W3CDTF">2017-10-30T03:08:00Z</dcterms:created>
  <dcterms:modified xsi:type="dcterms:W3CDTF">2017-12-30T01:57:00Z</dcterms:modified>
</cp:coreProperties>
</file>