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263F" w:rsidRPr="00FB6304" w:rsidRDefault="00FB6304" w:rsidP="004D71BF">
      <w:pPr>
        <w:jc w:val="center"/>
        <w:rPr>
          <w:rFonts w:ascii="Arial" w:hAnsi="Arial" w:cs="Arial"/>
          <w:sz w:val="24"/>
          <w:szCs w:val="32"/>
        </w:rPr>
      </w:pPr>
      <w:r w:rsidRPr="00FB6304">
        <w:rPr>
          <w:rFonts w:ascii="Arial" w:hAnsi="Arial" w:cs="Arial"/>
          <w:sz w:val="24"/>
          <w:szCs w:val="32"/>
        </w:rPr>
        <w:t xml:space="preserve">Table </w:t>
      </w:r>
      <w:r w:rsidR="0000527E">
        <w:rPr>
          <w:rFonts w:ascii="Arial" w:hAnsi="Arial" w:cs="Arial"/>
          <w:sz w:val="24"/>
          <w:szCs w:val="32"/>
        </w:rPr>
        <w:t>S</w:t>
      </w:r>
      <w:r w:rsidRPr="00FB6304">
        <w:rPr>
          <w:rFonts w:ascii="Arial" w:hAnsi="Arial" w:cs="Arial"/>
          <w:sz w:val="24"/>
          <w:szCs w:val="32"/>
        </w:rPr>
        <w:t>3. Summary of secretomics studies of ADSCs and BMSCs</w:t>
      </w:r>
    </w:p>
    <w:tbl>
      <w:tblPr>
        <w:tblW w:w="14280" w:type="dxa"/>
        <w:tblBorders>
          <w:top w:val="single" w:sz="4" w:space="0" w:color="auto"/>
          <w:bottom w:val="single" w:sz="4" w:space="0" w:color="auto"/>
        </w:tblBorders>
        <w:tblLook w:val="04A0" w:firstRow="1" w:lastRow="0" w:firstColumn="1" w:lastColumn="0" w:noHBand="0" w:noVBand="1"/>
      </w:tblPr>
      <w:tblGrid>
        <w:gridCol w:w="973"/>
        <w:gridCol w:w="2141"/>
        <w:gridCol w:w="2126"/>
        <w:gridCol w:w="3645"/>
        <w:gridCol w:w="3501"/>
        <w:gridCol w:w="1894"/>
      </w:tblGrid>
      <w:tr w:rsidR="00FB6304" w:rsidRPr="00FB6304" w:rsidTr="00C91745">
        <w:trPr>
          <w:trHeight w:val="620"/>
        </w:trPr>
        <w:tc>
          <w:tcPr>
            <w:tcW w:w="973" w:type="dxa"/>
            <w:tcBorders>
              <w:top w:val="single" w:sz="12" w:space="0" w:color="auto"/>
              <w:bottom w:val="single" w:sz="4" w:space="0" w:color="auto"/>
            </w:tcBorders>
            <w:shd w:val="clear" w:color="auto" w:fill="auto"/>
            <w:vAlign w:val="center"/>
            <w:hideMark/>
          </w:tcPr>
          <w:p w:rsidR="00FB6304" w:rsidRPr="00FB6304" w:rsidRDefault="00FB6304" w:rsidP="00FB6304">
            <w:pPr>
              <w:widowControl/>
              <w:jc w:val="center"/>
              <w:rPr>
                <w:rFonts w:ascii="Arial" w:eastAsia="DengXian" w:hAnsi="Arial" w:cs="Arial"/>
                <w:b/>
                <w:bCs/>
                <w:color w:val="000000"/>
                <w:kern w:val="0"/>
                <w:sz w:val="20"/>
                <w:szCs w:val="20"/>
              </w:rPr>
            </w:pPr>
            <w:r w:rsidRPr="00FB6304">
              <w:rPr>
                <w:rFonts w:ascii="Arial" w:eastAsia="DengXian" w:hAnsi="Arial" w:cs="Arial"/>
                <w:b/>
                <w:bCs/>
                <w:color w:val="000000"/>
                <w:kern w:val="0"/>
                <w:sz w:val="20"/>
                <w:szCs w:val="20"/>
              </w:rPr>
              <w:t>Species</w:t>
            </w:r>
          </w:p>
        </w:tc>
        <w:tc>
          <w:tcPr>
            <w:tcW w:w="2141" w:type="dxa"/>
            <w:tcBorders>
              <w:top w:val="single" w:sz="12" w:space="0" w:color="auto"/>
              <w:bottom w:val="single" w:sz="4" w:space="0" w:color="auto"/>
            </w:tcBorders>
            <w:shd w:val="clear" w:color="auto" w:fill="auto"/>
            <w:vAlign w:val="center"/>
            <w:hideMark/>
          </w:tcPr>
          <w:p w:rsidR="00FB6304" w:rsidRPr="00FB6304" w:rsidRDefault="00FB6304" w:rsidP="00FB6304">
            <w:pPr>
              <w:widowControl/>
              <w:jc w:val="center"/>
              <w:rPr>
                <w:rFonts w:ascii="Arial" w:eastAsia="DengXian" w:hAnsi="Arial" w:cs="Arial"/>
                <w:b/>
                <w:bCs/>
                <w:color w:val="000000"/>
                <w:kern w:val="0"/>
                <w:sz w:val="20"/>
                <w:szCs w:val="20"/>
              </w:rPr>
            </w:pPr>
            <w:r w:rsidRPr="00FB6304">
              <w:rPr>
                <w:rFonts w:ascii="Arial" w:eastAsia="DengXian" w:hAnsi="Arial" w:cs="Arial"/>
                <w:b/>
                <w:bCs/>
                <w:color w:val="000000"/>
                <w:kern w:val="0"/>
                <w:sz w:val="20"/>
                <w:szCs w:val="20"/>
              </w:rPr>
              <w:t>Metabolomics analytical techniques</w:t>
            </w:r>
          </w:p>
        </w:tc>
        <w:tc>
          <w:tcPr>
            <w:tcW w:w="2126" w:type="dxa"/>
            <w:tcBorders>
              <w:top w:val="single" w:sz="12" w:space="0" w:color="auto"/>
              <w:bottom w:val="single" w:sz="4" w:space="0" w:color="auto"/>
            </w:tcBorders>
            <w:shd w:val="clear" w:color="auto" w:fill="auto"/>
            <w:vAlign w:val="center"/>
            <w:hideMark/>
          </w:tcPr>
          <w:p w:rsidR="00FB6304" w:rsidRPr="00FB6304" w:rsidRDefault="00FB6304" w:rsidP="00FB6304">
            <w:pPr>
              <w:widowControl/>
              <w:jc w:val="center"/>
              <w:rPr>
                <w:rFonts w:ascii="Arial" w:eastAsia="DengXian" w:hAnsi="Arial" w:cs="Arial"/>
                <w:b/>
                <w:bCs/>
                <w:color w:val="000000"/>
                <w:kern w:val="0"/>
                <w:sz w:val="20"/>
                <w:szCs w:val="20"/>
              </w:rPr>
            </w:pPr>
            <w:r w:rsidRPr="00FB6304">
              <w:rPr>
                <w:rFonts w:ascii="Arial" w:eastAsia="DengXian" w:hAnsi="Arial" w:cs="Arial"/>
                <w:b/>
                <w:bCs/>
                <w:color w:val="000000"/>
                <w:kern w:val="0"/>
                <w:sz w:val="20"/>
                <w:szCs w:val="20"/>
              </w:rPr>
              <w:t>Substances</w:t>
            </w:r>
          </w:p>
        </w:tc>
        <w:tc>
          <w:tcPr>
            <w:tcW w:w="3645" w:type="dxa"/>
            <w:tcBorders>
              <w:top w:val="single" w:sz="12" w:space="0" w:color="auto"/>
              <w:bottom w:val="single" w:sz="4" w:space="0" w:color="auto"/>
            </w:tcBorders>
            <w:shd w:val="clear" w:color="auto" w:fill="auto"/>
            <w:vAlign w:val="center"/>
            <w:hideMark/>
          </w:tcPr>
          <w:p w:rsidR="00FB6304" w:rsidRPr="00FB6304" w:rsidRDefault="00FB6304" w:rsidP="00FB6304">
            <w:pPr>
              <w:widowControl/>
              <w:jc w:val="center"/>
              <w:rPr>
                <w:rFonts w:ascii="Arial" w:eastAsia="DengXian" w:hAnsi="Arial" w:cs="Arial"/>
                <w:b/>
                <w:bCs/>
                <w:color w:val="000000"/>
                <w:kern w:val="0"/>
                <w:sz w:val="20"/>
                <w:szCs w:val="20"/>
              </w:rPr>
            </w:pPr>
            <w:r w:rsidRPr="00FB6304">
              <w:rPr>
                <w:rFonts w:ascii="Arial" w:eastAsia="DengXian" w:hAnsi="Arial" w:cs="Arial"/>
                <w:b/>
                <w:bCs/>
                <w:color w:val="000000"/>
                <w:kern w:val="0"/>
                <w:sz w:val="20"/>
                <w:szCs w:val="20"/>
              </w:rPr>
              <w:t xml:space="preserve">Characteristics </w:t>
            </w:r>
          </w:p>
        </w:tc>
        <w:tc>
          <w:tcPr>
            <w:tcW w:w="3501" w:type="dxa"/>
            <w:tcBorders>
              <w:top w:val="single" w:sz="12" w:space="0" w:color="auto"/>
              <w:bottom w:val="single" w:sz="4" w:space="0" w:color="auto"/>
            </w:tcBorders>
            <w:shd w:val="clear" w:color="auto" w:fill="auto"/>
            <w:vAlign w:val="center"/>
            <w:hideMark/>
          </w:tcPr>
          <w:p w:rsidR="00FB6304" w:rsidRPr="00FB6304" w:rsidRDefault="00FB6304" w:rsidP="00FB6304">
            <w:pPr>
              <w:widowControl/>
              <w:jc w:val="center"/>
              <w:rPr>
                <w:rFonts w:ascii="Arial" w:eastAsia="DengXian" w:hAnsi="Arial" w:cs="Arial"/>
                <w:b/>
                <w:bCs/>
                <w:color w:val="000000"/>
                <w:kern w:val="0"/>
                <w:sz w:val="20"/>
                <w:szCs w:val="20"/>
              </w:rPr>
            </w:pPr>
            <w:r w:rsidRPr="00FB6304">
              <w:rPr>
                <w:rFonts w:ascii="Arial" w:eastAsia="DengXian" w:hAnsi="Arial" w:cs="Arial"/>
                <w:b/>
                <w:bCs/>
                <w:color w:val="000000"/>
                <w:kern w:val="0"/>
                <w:sz w:val="20"/>
                <w:szCs w:val="20"/>
              </w:rPr>
              <w:t>Verification</w:t>
            </w:r>
          </w:p>
        </w:tc>
        <w:tc>
          <w:tcPr>
            <w:tcW w:w="1894" w:type="dxa"/>
            <w:tcBorders>
              <w:top w:val="single" w:sz="12" w:space="0" w:color="auto"/>
              <w:bottom w:val="single" w:sz="4" w:space="0" w:color="auto"/>
            </w:tcBorders>
            <w:shd w:val="clear" w:color="auto" w:fill="auto"/>
            <w:vAlign w:val="center"/>
            <w:hideMark/>
          </w:tcPr>
          <w:p w:rsidR="00FB6304" w:rsidRPr="00FB6304" w:rsidRDefault="00FB6304" w:rsidP="00FB6304">
            <w:pPr>
              <w:widowControl/>
              <w:jc w:val="center"/>
              <w:rPr>
                <w:rFonts w:ascii="Arial" w:eastAsia="DengXian" w:hAnsi="Arial" w:cs="Arial"/>
                <w:b/>
                <w:bCs/>
                <w:color w:val="000000"/>
                <w:kern w:val="0"/>
                <w:sz w:val="20"/>
                <w:szCs w:val="20"/>
              </w:rPr>
            </w:pPr>
            <w:r w:rsidRPr="00FB6304">
              <w:rPr>
                <w:rFonts w:ascii="Arial" w:eastAsia="DengXian" w:hAnsi="Arial" w:cs="Arial"/>
                <w:b/>
                <w:bCs/>
                <w:color w:val="000000"/>
                <w:kern w:val="0"/>
                <w:sz w:val="20"/>
                <w:szCs w:val="20"/>
              </w:rPr>
              <w:t>References</w:t>
            </w:r>
          </w:p>
        </w:tc>
      </w:tr>
      <w:tr w:rsidR="00FB6304" w:rsidRPr="00FB6304" w:rsidTr="004D71BF">
        <w:trPr>
          <w:trHeight w:val="620"/>
        </w:trPr>
        <w:tc>
          <w:tcPr>
            <w:tcW w:w="973" w:type="dxa"/>
            <w:vMerge w:val="restart"/>
            <w:tcBorders>
              <w:top w:val="single" w:sz="4" w:space="0" w:color="auto"/>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Mice</w:t>
            </w:r>
          </w:p>
        </w:tc>
        <w:tc>
          <w:tcPr>
            <w:tcW w:w="2141" w:type="dxa"/>
            <w:vMerge w:val="restart"/>
            <w:tcBorders>
              <w:top w:val="single" w:sz="4" w:space="0" w:color="auto"/>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LC-MS of CM</w:t>
            </w:r>
          </w:p>
        </w:tc>
        <w:tc>
          <w:tcPr>
            <w:tcW w:w="2126" w:type="dxa"/>
            <w:vMerge w:val="restart"/>
            <w:tcBorders>
              <w:top w:val="single" w:sz="4" w:space="0" w:color="auto"/>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Proteomic</w:t>
            </w:r>
          </w:p>
        </w:tc>
        <w:tc>
          <w:tcPr>
            <w:tcW w:w="3645" w:type="dxa"/>
            <w:tcBorders>
              <w:top w:val="single" w:sz="4" w:space="0" w:color="auto"/>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ADSCs of visceral fat: Showing detoxification activity in response to toxic substances and drugs</w:t>
            </w:r>
          </w:p>
        </w:tc>
        <w:tc>
          <w:tcPr>
            <w:tcW w:w="3501" w:type="dxa"/>
            <w:vMerge w:val="restart"/>
            <w:tcBorders>
              <w:top w:val="single" w:sz="4" w:space="0" w:color="auto"/>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1894" w:type="dxa"/>
            <w:vMerge w:val="restart"/>
            <w:tcBorders>
              <w:top w:val="single" w:sz="4" w:space="0" w:color="auto"/>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Ayaz-Guner et al.</w:t>
            </w:r>
            <w:r w:rsidR="004D71BF">
              <w:rPr>
                <w:rFonts w:ascii="Arial" w:eastAsia="DengXian" w:hAnsi="Arial" w:cs="Arial"/>
                <w:color w:val="000000"/>
                <w:kern w:val="0"/>
                <w:sz w:val="20"/>
                <w:szCs w:val="20"/>
              </w:rPr>
              <w:t xml:space="preserve"> </w:t>
            </w:r>
            <w:r w:rsidRPr="00FB6304">
              <w:rPr>
                <w:rFonts w:ascii="Arial" w:eastAsia="DengXian" w:hAnsi="Arial" w:cs="Arial"/>
                <w:color w:val="000000"/>
                <w:kern w:val="0"/>
                <w:sz w:val="20"/>
                <w:szCs w:val="20"/>
              </w:rPr>
              <w:t>(1)</w:t>
            </w:r>
          </w:p>
        </w:tc>
      </w:tr>
      <w:tr w:rsidR="00FB6304" w:rsidRPr="00FB6304" w:rsidTr="004D71BF">
        <w:trPr>
          <w:trHeight w:val="620"/>
        </w:trPr>
        <w:tc>
          <w:tcPr>
            <w:tcW w:w="973"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2141"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2126"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3645"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ADSCs of subcutaneous fat: Facilitating chondrogenesis, osteogenesis, and angiogenesis</w:t>
            </w:r>
          </w:p>
        </w:tc>
        <w:tc>
          <w:tcPr>
            <w:tcW w:w="3501"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1894"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r>
      <w:tr w:rsidR="00FB6304" w:rsidRPr="00FB6304" w:rsidTr="004D71BF">
        <w:trPr>
          <w:trHeight w:val="620"/>
        </w:trPr>
        <w:tc>
          <w:tcPr>
            <w:tcW w:w="973"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2141"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2126"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3645"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BMSCs: Remodeling extracellular matrix structures, such as those containing glycosaminoglycans</w:t>
            </w:r>
          </w:p>
        </w:tc>
        <w:tc>
          <w:tcPr>
            <w:tcW w:w="3501"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1894"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r>
      <w:tr w:rsidR="00FB6304" w:rsidRPr="00FB6304" w:rsidTr="004D71BF">
        <w:trPr>
          <w:trHeight w:val="620"/>
        </w:trPr>
        <w:tc>
          <w:tcPr>
            <w:tcW w:w="973"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Human</w:t>
            </w:r>
          </w:p>
        </w:tc>
        <w:tc>
          <w:tcPr>
            <w:tcW w:w="2141"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LC-MS of CM</w:t>
            </w:r>
          </w:p>
        </w:tc>
        <w:tc>
          <w:tcPr>
            <w:tcW w:w="2126"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Proteomic</w:t>
            </w:r>
          </w:p>
        </w:tc>
        <w:tc>
          <w:tcPr>
            <w:tcW w:w="3645"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BMSCs CM might be the most advantageous choice for a therapy designed to reduce oxidative stress</w:t>
            </w:r>
          </w:p>
        </w:tc>
        <w:tc>
          <w:tcPr>
            <w:tcW w:w="3501"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Both CM of ADSCs and BMSCs induced neural progenitor cells differentiation towards the neuronal phenotype; CM of ADSCs demonstrated higher potential in promoting axonal growth</w:t>
            </w:r>
          </w:p>
        </w:tc>
        <w:tc>
          <w:tcPr>
            <w:tcW w:w="1894"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Pires et al.</w:t>
            </w:r>
            <w:r w:rsidR="004D71BF">
              <w:rPr>
                <w:rFonts w:ascii="Arial" w:eastAsia="DengXian" w:hAnsi="Arial" w:cs="Arial"/>
                <w:color w:val="000000"/>
                <w:kern w:val="0"/>
                <w:sz w:val="20"/>
                <w:szCs w:val="20"/>
              </w:rPr>
              <w:t xml:space="preserve"> </w:t>
            </w:r>
            <w:r w:rsidRPr="00FB6304">
              <w:rPr>
                <w:rFonts w:ascii="Arial" w:eastAsia="DengXian" w:hAnsi="Arial" w:cs="Arial"/>
                <w:color w:val="000000"/>
                <w:kern w:val="0"/>
                <w:sz w:val="20"/>
                <w:szCs w:val="20"/>
              </w:rPr>
              <w:t>(2), Assunção-Silva et al.</w:t>
            </w:r>
            <w:r w:rsidR="004D71BF">
              <w:rPr>
                <w:rFonts w:ascii="Arial" w:eastAsia="DengXian" w:hAnsi="Arial" w:cs="Arial"/>
                <w:color w:val="000000"/>
                <w:kern w:val="0"/>
                <w:sz w:val="20"/>
                <w:szCs w:val="20"/>
              </w:rPr>
              <w:t xml:space="preserve"> </w:t>
            </w:r>
            <w:r w:rsidRPr="00FB6304">
              <w:rPr>
                <w:rFonts w:ascii="Arial" w:eastAsia="DengXian" w:hAnsi="Arial" w:cs="Arial"/>
                <w:color w:val="000000"/>
                <w:kern w:val="0"/>
                <w:sz w:val="20"/>
                <w:szCs w:val="20"/>
              </w:rPr>
              <w:t>(3)</w:t>
            </w:r>
          </w:p>
        </w:tc>
      </w:tr>
      <w:tr w:rsidR="00FB6304" w:rsidRPr="00FB6304" w:rsidTr="004D71BF">
        <w:trPr>
          <w:trHeight w:val="620"/>
        </w:trPr>
        <w:tc>
          <w:tcPr>
            <w:tcW w:w="973"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2141"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2126"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3645"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ADSCs CM was more beneficial in the protection against excitotoxicity</w:t>
            </w:r>
          </w:p>
        </w:tc>
        <w:tc>
          <w:tcPr>
            <w:tcW w:w="3501"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1894"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r>
      <w:tr w:rsidR="00FB6304" w:rsidRPr="00FB6304" w:rsidTr="004D71BF">
        <w:trPr>
          <w:trHeight w:val="620"/>
        </w:trPr>
        <w:tc>
          <w:tcPr>
            <w:tcW w:w="973"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Human</w:t>
            </w:r>
          </w:p>
        </w:tc>
        <w:tc>
          <w:tcPr>
            <w:tcW w:w="2141"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Targeted protein array of CM</w:t>
            </w:r>
          </w:p>
        </w:tc>
        <w:tc>
          <w:tcPr>
            <w:tcW w:w="2126"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Growth factors and inflammation mediators</w:t>
            </w:r>
          </w:p>
        </w:tc>
        <w:tc>
          <w:tcPr>
            <w:tcW w:w="3645"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BMSCs CM was counteracted by higher levels of various immunomodulatory mediators</w:t>
            </w:r>
          </w:p>
        </w:tc>
        <w:tc>
          <w:tcPr>
            <w:tcW w:w="3501"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1894"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Luca et al.</w:t>
            </w:r>
            <w:r w:rsidR="004D71BF">
              <w:rPr>
                <w:rFonts w:ascii="Arial" w:eastAsia="DengXian" w:hAnsi="Arial" w:cs="Arial"/>
                <w:color w:val="000000"/>
                <w:kern w:val="0"/>
                <w:sz w:val="20"/>
                <w:szCs w:val="20"/>
              </w:rPr>
              <w:t xml:space="preserve"> </w:t>
            </w:r>
            <w:r w:rsidRPr="00FB6304">
              <w:rPr>
                <w:rFonts w:ascii="Arial" w:eastAsia="DengXian" w:hAnsi="Arial" w:cs="Arial"/>
                <w:color w:val="000000"/>
                <w:kern w:val="0"/>
                <w:sz w:val="20"/>
                <w:szCs w:val="20"/>
              </w:rPr>
              <w:t xml:space="preserve">(4) </w:t>
            </w:r>
          </w:p>
        </w:tc>
      </w:tr>
      <w:tr w:rsidR="00FB6304" w:rsidRPr="00FB6304" w:rsidTr="004D71BF">
        <w:trPr>
          <w:trHeight w:val="620"/>
        </w:trPr>
        <w:tc>
          <w:tcPr>
            <w:tcW w:w="973"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Human</w:t>
            </w:r>
          </w:p>
        </w:tc>
        <w:tc>
          <w:tcPr>
            <w:tcW w:w="2141"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LC-MS of CM</w:t>
            </w:r>
          </w:p>
        </w:tc>
        <w:tc>
          <w:tcPr>
            <w:tcW w:w="2126"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Lipidomics</w:t>
            </w:r>
          </w:p>
        </w:tc>
        <w:tc>
          <w:tcPr>
            <w:tcW w:w="3645"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Higher levels of lipids were found in BMSCs CM, these lipids show both pro-inflammatory and anti-inflammatory activity</w:t>
            </w:r>
          </w:p>
        </w:tc>
        <w:tc>
          <w:tcPr>
            <w:tcW w:w="3501"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1894"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Casati et al.</w:t>
            </w:r>
            <w:r w:rsidR="004D71BF">
              <w:rPr>
                <w:rFonts w:ascii="Arial" w:eastAsia="DengXian" w:hAnsi="Arial" w:cs="Arial"/>
                <w:color w:val="000000"/>
                <w:kern w:val="0"/>
                <w:sz w:val="20"/>
                <w:szCs w:val="20"/>
              </w:rPr>
              <w:t xml:space="preserve"> </w:t>
            </w:r>
            <w:r w:rsidRPr="00FB6304">
              <w:rPr>
                <w:rFonts w:ascii="Arial" w:eastAsia="DengXian" w:hAnsi="Arial" w:cs="Arial"/>
                <w:color w:val="000000"/>
                <w:kern w:val="0"/>
                <w:sz w:val="20"/>
                <w:szCs w:val="20"/>
              </w:rPr>
              <w:t xml:space="preserve">(5) </w:t>
            </w:r>
          </w:p>
        </w:tc>
      </w:tr>
      <w:tr w:rsidR="00FB6304" w:rsidRPr="00FB6304" w:rsidTr="004D71BF">
        <w:trPr>
          <w:trHeight w:val="620"/>
        </w:trPr>
        <w:tc>
          <w:tcPr>
            <w:tcW w:w="973"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2141"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LC-MS of EV</w:t>
            </w:r>
          </w:p>
        </w:tc>
        <w:tc>
          <w:tcPr>
            <w:tcW w:w="2126"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3645"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3501"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1894"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r>
      <w:tr w:rsidR="00FB6304" w:rsidRPr="00FB6304" w:rsidTr="004D71BF">
        <w:trPr>
          <w:trHeight w:val="620"/>
        </w:trPr>
        <w:tc>
          <w:tcPr>
            <w:tcW w:w="973"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lastRenderedPageBreak/>
              <w:t>Human</w:t>
            </w:r>
          </w:p>
        </w:tc>
        <w:tc>
          <w:tcPr>
            <w:tcW w:w="2141"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miRNA array of EV</w:t>
            </w:r>
          </w:p>
        </w:tc>
        <w:tc>
          <w:tcPr>
            <w:tcW w:w="2126"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 xml:space="preserve">miRNA </w:t>
            </w:r>
          </w:p>
        </w:tc>
        <w:tc>
          <w:tcPr>
            <w:tcW w:w="3645"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ADSCs EV: hsa-miR-143-3p, hsa-miR-124-3p</w:t>
            </w:r>
          </w:p>
        </w:tc>
        <w:tc>
          <w:tcPr>
            <w:tcW w:w="3501"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Reduce cardiac hypertrophy: The ADSCs EV were more effective in reducing the protein expressions of hypertrophic and inflammatory markers, while BMSCs EV in reducing the gene expressions of transcription factors.</w:t>
            </w:r>
          </w:p>
        </w:tc>
        <w:tc>
          <w:tcPr>
            <w:tcW w:w="1894"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Constantin et al.</w:t>
            </w:r>
            <w:r w:rsidR="004D71BF">
              <w:rPr>
                <w:rFonts w:ascii="Arial" w:eastAsia="DengXian" w:hAnsi="Arial" w:cs="Arial"/>
                <w:color w:val="000000"/>
                <w:kern w:val="0"/>
                <w:sz w:val="20"/>
                <w:szCs w:val="20"/>
              </w:rPr>
              <w:t xml:space="preserve"> </w:t>
            </w:r>
            <w:r w:rsidRPr="00FB6304">
              <w:rPr>
                <w:rFonts w:ascii="Arial" w:eastAsia="DengXian" w:hAnsi="Arial" w:cs="Arial"/>
                <w:color w:val="000000"/>
                <w:kern w:val="0"/>
                <w:sz w:val="20"/>
                <w:szCs w:val="20"/>
              </w:rPr>
              <w:t>(6)</w:t>
            </w:r>
          </w:p>
        </w:tc>
      </w:tr>
      <w:tr w:rsidR="00FB6304" w:rsidRPr="00FB6304" w:rsidTr="004D71BF">
        <w:trPr>
          <w:trHeight w:val="620"/>
        </w:trPr>
        <w:tc>
          <w:tcPr>
            <w:tcW w:w="973"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2141"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2126"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3645"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BMSCs EV: hsa-miR-146a-5p, hsa-miR-93a-5p</w:t>
            </w:r>
          </w:p>
        </w:tc>
        <w:tc>
          <w:tcPr>
            <w:tcW w:w="3501"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1894"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r>
      <w:tr w:rsidR="00FB6304" w:rsidRPr="00FB6304" w:rsidTr="004D71BF">
        <w:trPr>
          <w:trHeight w:val="620"/>
        </w:trPr>
        <w:tc>
          <w:tcPr>
            <w:tcW w:w="973"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Human</w:t>
            </w:r>
          </w:p>
        </w:tc>
        <w:tc>
          <w:tcPr>
            <w:tcW w:w="2141"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LC-MS/MS of CM</w:t>
            </w:r>
          </w:p>
        </w:tc>
        <w:tc>
          <w:tcPr>
            <w:tcW w:w="2126"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Peptides</w:t>
            </w:r>
          </w:p>
        </w:tc>
        <w:tc>
          <w:tcPr>
            <w:tcW w:w="3645"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Proteins related to antiapoptotic activity were identified in ADSCs CM</w:t>
            </w:r>
          </w:p>
        </w:tc>
        <w:tc>
          <w:tcPr>
            <w:tcW w:w="3501"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1894"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Shin et al.</w:t>
            </w:r>
            <w:r w:rsidR="004D71BF">
              <w:rPr>
                <w:rFonts w:ascii="Arial" w:eastAsia="DengXian" w:hAnsi="Arial" w:cs="Arial"/>
                <w:color w:val="000000"/>
                <w:kern w:val="0"/>
                <w:sz w:val="20"/>
                <w:szCs w:val="20"/>
              </w:rPr>
              <w:t xml:space="preserve"> </w:t>
            </w:r>
            <w:r w:rsidRPr="00FB6304">
              <w:rPr>
                <w:rFonts w:ascii="Arial" w:eastAsia="DengXian" w:hAnsi="Arial" w:cs="Arial"/>
                <w:color w:val="000000"/>
                <w:kern w:val="0"/>
                <w:sz w:val="20"/>
                <w:szCs w:val="20"/>
              </w:rPr>
              <w:t>(7)</w:t>
            </w:r>
          </w:p>
        </w:tc>
      </w:tr>
      <w:tr w:rsidR="00FB6304" w:rsidRPr="00FB6304" w:rsidTr="004D71BF">
        <w:trPr>
          <w:trHeight w:val="620"/>
        </w:trPr>
        <w:tc>
          <w:tcPr>
            <w:tcW w:w="973"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2141"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2126"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3645"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Proteins related to tissue development and remodeling and chemotaxis were abundant in BMSCs CM</w:t>
            </w:r>
          </w:p>
        </w:tc>
        <w:tc>
          <w:tcPr>
            <w:tcW w:w="3501"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1894"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r>
      <w:tr w:rsidR="00FB6304" w:rsidRPr="00FB6304" w:rsidTr="004D71BF">
        <w:trPr>
          <w:trHeight w:val="620"/>
        </w:trPr>
        <w:tc>
          <w:tcPr>
            <w:tcW w:w="973"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Human</w:t>
            </w:r>
          </w:p>
        </w:tc>
        <w:tc>
          <w:tcPr>
            <w:tcW w:w="2141"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Cytokine and chemokines arrays of EV</w:t>
            </w:r>
          </w:p>
        </w:tc>
        <w:tc>
          <w:tcPr>
            <w:tcW w:w="2126"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Cytokine and chemokines</w:t>
            </w:r>
          </w:p>
        </w:tc>
        <w:tc>
          <w:tcPr>
            <w:tcW w:w="3645"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ADSCs EV overexpressed pro-angiogenic factors in comparison to the BMSC-counterpart</w:t>
            </w:r>
          </w:p>
        </w:tc>
        <w:tc>
          <w:tcPr>
            <w:tcW w:w="3501"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ADSCs EV were able to induce a significant increase in endothelial cord outgrowth;</w:t>
            </w:r>
          </w:p>
        </w:tc>
        <w:tc>
          <w:tcPr>
            <w:tcW w:w="1894"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Gorgun et al.</w:t>
            </w:r>
            <w:r w:rsidR="004D71BF">
              <w:rPr>
                <w:rFonts w:ascii="Arial" w:eastAsia="DengXian" w:hAnsi="Arial" w:cs="Arial"/>
                <w:color w:val="000000"/>
                <w:kern w:val="0"/>
                <w:sz w:val="20"/>
                <w:szCs w:val="20"/>
              </w:rPr>
              <w:t xml:space="preserve"> </w:t>
            </w:r>
            <w:r w:rsidRPr="00FB6304">
              <w:rPr>
                <w:rFonts w:ascii="Arial" w:eastAsia="DengXian" w:hAnsi="Arial" w:cs="Arial"/>
                <w:color w:val="000000"/>
                <w:kern w:val="0"/>
                <w:sz w:val="20"/>
                <w:szCs w:val="20"/>
              </w:rPr>
              <w:t>(8)</w:t>
            </w:r>
          </w:p>
        </w:tc>
      </w:tr>
      <w:tr w:rsidR="00FB6304" w:rsidRPr="00FB6304" w:rsidTr="004D71BF">
        <w:trPr>
          <w:trHeight w:val="620"/>
        </w:trPr>
        <w:tc>
          <w:tcPr>
            <w:tcW w:w="973"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2141"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2126"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3645"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BMSCs EV contained a higher amount of pro-differentiation and chemotactic proteins</w:t>
            </w:r>
          </w:p>
        </w:tc>
        <w:tc>
          <w:tcPr>
            <w:tcW w:w="3501"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BMSCs EV were able to prompt growth plate organization</w:t>
            </w:r>
          </w:p>
        </w:tc>
        <w:tc>
          <w:tcPr>
            <w:tcW w:w="1894" w:type="dxa"/>
            <w:vMerge/>
            <w:vAlign w:val="center"/>
            <w:hideMark/>
          </w:tcPr>
          <w:p w:rsidR="00FB6304" w:rsidRPr="00FB6304" w:rsidRDefault="00FB6304" w:rsidP="00FB6304">
            <w:pPr>
              <w:widowControl/>
              <w:jc w:val="left"/>
              <w:rPr>
                <w:rFonts w:ascii="Arial" w:eastAsia="DengXian" w:hAnsi="Arial" w:cs="Arial"/>
                <w:color w:val="000000"/>
                <w:kern w:val="0"/>
                <w:sz w:val="20"/>
                <w:szCs w:val="20"/>
              </w:rPr>
            </w:pPr>
          </w:p>
        </w:tc>
      </w:tr>
      <w:tr w:rsidR="00FB6304" w:rsidRPr="00FB6304" w:rsidTr="004D71BF">
        <w:trPr>
          <w:trHeight w:val="620"/>
        </w:trPr>
        <w:tc>
          <w:tcPr>
            <w:tcW w:w="973"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Human</w:t>
            </w:r>
          </w:p>
        </w:tc>
        <w:tc>
          <w:tcPr>
            <w:tcW w:w="2141"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Cytokine assay of CM</w:t>
            </w:r>
          </w:p>
        </w:tc>
        <w:tc>
          <w:tcPr>
            <w:tcW w:w="2126"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Angiogenic factors and neurotrophic factors</w:t>
            </w:r>
          </w:p>
        </w:tc>
        <w:tc>
          <w:tcPr>
            <w:tcW w:w="3645"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ADSCs secrete more neurovascular factors under extreme environmental stimulation</w:t>
            </w:r>
          </w:p>
        </w:tc>
        <w:tc>
          <w:tcPr>
            <w:tcW w:w="3501"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1894"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Binch et al.</w:t>
            </w:r>
            <w:r w:rsidR="004D71BF">
              <w:rPr>
                <w:rFonts w:ascii="Arial" w:eastAsia="DengXian" w:hAnsi="Arial" w:cs="Arial"/>
                <w:color w:val="000000"/>
                <w:kern w:val="0"/>
                <w:sz w:val="20"/>
                <w:szCs w:val="20"/>
              </w:rPr>
              <w:t xml:space="preserve"> </w:t>
            </w:r>
            <w:r w:rsidRPr="00FB6304">
              <w:rPr>
                <w:rFonts w:ascii="Arial" w:eastAsia="DengXian" w:hAnsi="Arial" w:cs="Arial"/>
                <w:color w:val="000000"/>
                <w:kern w:val="0"/>
                <w:sz w:val="20"/>
                <w:szCs w:val="20"/>
              </w:rPr>
              <w:t>(9)</w:t>
            </w:r>
          </w:p>
        </w:tc>
      </w:tr>
      <w:tr w:rsidR="00FB6304" w:rsidRPr="00FB6304" w:rsidTr="004D71BF">
        <w:trPr>
          <w:trHeight w:val="620"/>
        </w:trPr>
        <w:tc>
          <w:tcPr>
            <w:tcW w:w="973"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Human</w:t>
            </w:r>
          </w:p>
        </w:tc>
        <w:tc>
          <w:tcPr>
            <w:tcW w:w="2141"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miRNA array of EV</w:t>
            </w:r>
          </w:p>
        </w:tc>
        <w:tc>
          <w:tcPr>
            <w:tcW w:w="2126"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 xml:space="preserve">miRNA </w:t>
            </w:r>
          </w:p>
        </w:tc>
        <w:tc>
          <w:tcPr>
            <w:tcW w:w="3645"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ADSCs EV were highly correlated to angiogenesis</w:t>
            </w:r>
          </w:p>
        </w:tc>
        <w:tc>
          <w:tcPr>
            <w:tcW w:w="3501"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ADSCs EV, but not BMSCs EV, promote wound healing on a murine model of diabetic wounds</w:t>
            </w:r>
          </w:p>
        </w:tc>
        <w:tc>
          <w:tcPr>
            <w:tcW w:w="1894" w:type="dxa"/>
            <w:vMerge w:val="restart"/>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Pomatto et al.</w:t>
            </w:r>
            <w:r w:rsidR="004D71BF">
              <w:rPr>
                <w:rFonts w:ascii="Arial" w:eastAsia="DengXian" w:hAnsi="Arial" w:cs="Arial"/>
                <w:color w:val="000000"/>
                <w:kern w:val="0"/>
                <w:sz w:val="20"/>
                <w:szCs w:val="20"/>
              </w:rPr>
              <w:t xml:space="preserve"> </w:t>
            </w:r>
            <w:r w:rsidRPr="00FB6304">
              <w:rPr>
                <w:rFonts w:ascii="Arial" w:eastAsia="DengXian" w:hAnsi="Arial" w:cs="Arial"/>
                <w:color w:val="000000"/>
                <w:kern w:val="0"/>
                <w:sz w:val="20"/>
                <w:szCs w:val="20"/>
              </w:rPr>
              <w:t>(10)</w:t>
            </w:r>
          </w:p>
        </w:tc>
      </w:tr>
      <w:tr w:rsidR="00FB6304" w:rsidRPr="00FB6304" w:rsidTr="00C91745">
        <w:trPr>
          <w:trHeight w:val="620"/>
        </w:trPr>
        <w:tc>
          <w:tcPr>
            <w:tcW w:w="973" w:type="dxa"/>
            <w:vMerge/>
            <w:tcBorders>
              <w:bottom w:val="single" w:sz="12" w:space="0" w:color="auto"/>
            </w:tcBorders>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2141" w:type="dxa"/>
            <w:tcBorders>
              <w:bottom w:val="single" w:sz="12" w:space="0" w:color="auto"/>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protein dataset of EV</w:t>
            </w:r>
          </w:p>
        </w:tc>
        <w:tc>
          <w:tcPr>
            <w:tcW w:w="2126" w:type="dxa"/>
            <w:tcBorders>
              <w:bottom w:val="single" w:sz="12" w:space="0" w:color="auto"/>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Protein</w:t>
            </w:r>
          </w:p>
        </w:tc>
        <w:tc>
          <w:tcPr>
            <w:tcW w:w="3645" w:type="dxa"/>
            <w:tcBorders>
              <w:bottom w:val="single" w:sz="12" w:space="0" w:color="auto"/>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0"/>
                <w:szCs w:val="20"/>
              </w:rPr>
            </w:pPr>
            <w:r w:rsidRPr="00FB6304">
              <w:rPr>
                <w:rFonts w:ascii="Arial" w:eastAsia="DengXian" w:hAnsi="Arial" w:cs="Arial"/>
                <w:color w:val="000000"/>
                <w:kern w:val="0"/>
                <w:sz w:val="20"/>
                <w:szCs w:val="20"/>
              </w:rPr>
              <w:t>BMSCs EV were preferentially involved in cellular proliferation</w:t>
            </w:r>
          </w:p>
        </w:tc>
        <w:tc>
          <w:tcPr>
            <w:tcW w:w="3501" w:type="dxa"/>
            <w:vMerge/>
            <w:tcBorders>
              <w:bottom w:val="single" w:sz="12" w:space="0" w:color="auto"/>
            </w:tcBorders>
            <w:vAlign w:val="center"/>
            <w:hideMark/>
          </w:tcPr>
          <w:p w:rsidR="00FB6304" w:rsidRPr="00FB6304" w:rsidRDefault="00FB6304" w:rsidP="00FB6304">
            <w:pPr>
              <w:widowControl/>
              <w:jc w:val="left"/>
              <w:rPr>
                <w:rFonts w:ascii="Arial" w:eastAsia="DengXian" w:hAnsi="Arial" w:cs="Arial"/>
                <w:color w:val="000000"/>
                <w:kern w:val="0"/>
                <w:sz w:val="20"/>
                <w:szCs w:val="20"/>
              </w:rPr>
            </w:pPr>
          </w:p>
        </w:tc>
        <w:tc>
          <w:tcPr>
            <w:tcW w:w="1894" w:type="dxa"/>
            <w:vMerge/>
            <w:tcBorders>
              <w:bottom w:val="single" w:sz="12" w:space="0" w:color="auto"/>
            </w:tcBorders>
            <w:vAlign w:val="center"/>
            <w:hideMark/>
          </w:tcPr>
          <w:p w:rsidR="00FB6304" w:rsidRPr="00FB6304" w:rsidRDefault="00FB6304" w:rsidP="00FB6304">
            <w:pPr>
              <w:widowControl/>
              <w:jc w:val="left"/>
              <w:rPr>
                <w:rFonts w:ascii="Arial" w:eastAsia="DengXian" w:hAnsi="Arial" w:cs="Arial"/>
                <w:color w:val="000000"/>
                <w:kern w:val="0"/>
                <w:sz w:val="20"/>
                <w:szCs w:val="20"/>
              </w:rPr>
            </w:pPr>
          </w:p>
        </w:tc>
      </w:tr>
    </w:tbl>
    <w:p w:rsidR="00FB6304" w:rsidRPr="0009546E" w:rsidRDefault="0009546E">
      <w:pPr>
        <w:rPr>
          <w:rFonts w:ascii="Arial" w:hAnsi="Arial" w:cs="Arial"/>
        </w:rPr>
      </w:pPr>
      <w:r>
        <w:rPr>
          <w:rFonts w:ascii="Arial" w:hAnsi="Arial" w:cs="Arial"/>
        </w:rPr>
        <w:t xml:space="preserve">LC-MS: </w:t>
      </w:r>
      <w:r w:rsidRPr="0009546E">
        <w:rPr>
          <w:rFonts w:ascii="Arial" w:hAnsi="Arial" w:cs="Arial"/>
        </w:rPr>
        <w:t>Liquid chromatography–mass spectrometry</w:t>
      </w:r>
      <w:r>
        <w:rPr>
          <w:rFonts w:ascii="Arial" w:hAnsi="Arial" w:cs="Arial"/>
        </w:rPr>
        <w:t xml:space="preserve">; </w:t>
      </w:r>
      <w:r w:rsidRPr="0009546E">
        <w:rPr>
          <w:rFonts w:ascii="Arial" w:hAnsi="Arial" w:cs="Arial"/>
        </w:rPr>
        <w:t>CM: Conditioned media</w:t>
      </w:r>
      <w:r>
        <w:rPr>
          <w:rFonts w:ascii="Arial" w:hAnsi="Arial" w:cs="Arial"/>
        </w:rPr>
        <w:t>; EV: E</w:t>
      </w:r>
      <w:r w:rsidRPr="0009546E">
        <w:rPr>
          <w:rFonts w:ascii="Arial" w:hAnsi="Arial" w:cs="Arial"/>
        </w:rPr>
        <w:t>xtracellular vesicles</w:t>
      </w:r>
    </w:p>
    <w:tbl>
      <w:tblPr>
        <w:tblW w:w="14280" w:type="dxa"/>
        <w:tblLook w:val="04A0" w:firstRow="1" w:lastRow="0" w:firstColumn="1" w:lastColumn="0" w:noHBand="0" w:noVBand="1"/>
      </w:tblPr>
      <w:tblGrid>
        <w:gridCol w:w="14280"/>
      </w:tblGrid>
      <w:tr w:rsidR="00FB6304" w:rsidRPr="00FB6304" w:rsidTr="00FB6304">
        <w:trPr>
          <w:trHeight w:val="620"/>
        </w:trPr>
        <w:tc>
          <w:tcPr>
            <w:tcW w:w="14280" w:type="dxa"/>
            <w:tcBorders>
              <w:top w:val="nil"/>
              <w:left w:val="nil"/>
              <w:bottom w:val="nil"/>
              <w:right w:val="nil"/>
            </w:tcBorders>
            <w:shd w:val="clear" w:color="auto" w:fill="auto"/>
            <w:noWrap/>
            <w:vAlign w:val="center"/>
            <w:hideMark/>
          </w:tcPr>
          <w:p w:rsidR="00FB6304" w:rsidRPr="00FB6304" w:rsidRDefault="00FB6304" w:rsidP="00FB6304">
            <w:pPr>
              <w:widowControl/>
              <w:jc w:val="left"/>
              <w:rPr>
                <w:rFonts w:ascii="Arial" w:eastAsia="DengXian" w:hAnsi="Arial" w:cs="Arial"/>
                <w:b/>
                <w:bCs/>
                <w:color w:val="000000"/>
                <w:kern w:val="0"/>
                <w:sz w:val="24"/>
              </w:rPr>
            </w:pPr>
            <w:r w:rsidRPr="00FB6304">
              <w:rPr>
                <w:rFonts w:ascii="Arial" w:eastAsia="DengXian" w:hAnsi="Arial" w:cs="Arial"/>
                <w:b/>
                <w:bCs/>
                <w:color w:val="000000"/>
                <w:kern w:val="0"/>
                <w:sz w:val="24"/>
              </w:rPr>
              <w:lastRenderedPageBreak/>
              <w:t>Reference</w:t>
            </w:r>
          </w:p>
        </w:tc>
      </w:tr>
      <w:tr w:rsidR="00FB6304" w:rsidRPr="00FB6304" w:rsidTr="00FB6304">
        <w:trPr>
          <w:trHeight w:val="620"/>
        </w:trPr>
        <w:tc>
          <w:tcPr>
            <w:tcW w:w="14280" w:type="dxa"/>
            <w:tcBorders>
              <w:top w:val="nil"/>
              <w:left w:val="nil"/>
              <w:bottom w:val="nil"/>
              <w:right w:val="nil"/>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4"/>
              </w:rPr>
            </w:pPr>
            <w:r w:rsidRPr="00FB6304">
              <w:rPr>
                <w:rFonts w:ascii="Arial" w:eastAsia="DengXian" w:hAnsi="Arial" w:cs="Arial"/>
                <w:color w:val="000000"/>
                <w:kern w:val="0"/>
                <w:sz w:val="24"/>
              </w:rPr>
              <w:t>1. Ayaz-Guner S, Alessio N, Acar MB, Aprile D, Ozcan S, Di Bernardo G, et al. A comparative study on normal and obese mice indicates that the secretome of mesenchymal stromal cells is influenced by tissue environment and physiopathological conditions. Cell Commun Signal. 2020;18(1):118.</w:t>
            </w:r>
          </w:p>
        </w:tc>
      </w:tr>
      <w:tr w:rsidR="00FB6304" w:rsidRPr="00FB6304" w:rsidTr="00FB6304">
        <w:trPr>
          <w:trHeight w:val="620"/>
        </w:trPr>
        <w:tc>
          <w:tcPr>
            <w:tcW w:w="14280" w:type="dxa"/>
            <w:tcBorders>
              <w:top w:val="nil"/>
              <w:left w:val="nil"/>
              <w:bottom w:val="nil"/>
              <w:right w:val="nil"/>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4"/>
              </w:rPr>
            </w:pPr>
            <w:r w:rsidRPr="00FB6304">
              <w:rPr>
                <w:rFonts w:ascii="Arial" w:eastAsia="DengXian" w:hAnsi="Arial" w:cs="Arial"/>
                <w:color w:val="000000"/>
                <w:kern w:val="0"/>
                <w:sz w:val="24"/>
              </w:rPr>
              <w:t>2. Pires AO, Mendes-Pinheiro B, Teixeira FG, Anjo SI, Ribeiro-Samy S, Gomes ED, et al. Unveiling the Differences of Secretome of Human Bone Marrow Mesenchymal Stem Cells, Adipose Tissue-Derived Stem Cells, and Human Umbilical Cord Perivascular Cells: A Proteomic Analysis. Stem Cells Dev. 2016;25(14):1073-83.</w:t>
            </w:r>
          </w:p>
        </w:tc>
      </w:tr>
      <w:tr w:rsidR="00FB6304" w:rsidRPr="00FB6304" w:rsidTr="00FB6304">
        <w:trPr>
          <w:trHeight w:val="620"/>
        </w:trPr>
        <w:tc>
          <w:tcPr>
            <w:tcW w:w="14280" w:type="dxa"/>
            <w:tcBorders>
              <w:top w:val="nil"/>
              <w:left w:val="nil"/>
              <w:bottom w:val="nil"/>
              <w:right w:val="nil"/>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4"/>
              </w:rPr>
            </w:pPr>
            <w:r w:rsidRPr="00FB6304">
              <w:rPr>
                <w:rFonts w:ascii="Arial" w:eastAsia="DengXian" w:hAnsi="Arial" w:cs="Arial"/>
                <w:color w:val="000000"/>
                <w:kern w:val="0"/>
                <w:sz w:val="24"/>
              </w:rPr>
              <w:t>3. Assuncao-Silva RC, Mendes-Pinheiro B, Patricio P, Behie LA, Teixeira FG, Pinto L, et al. Exploiting the impact of the secretome of MSCs isolated from different tissue sources on neuronal differentiation and axonal growth. Biochimie. 2018;155:83-91.</w:t>
            </w:r>
          </w:p>
        </w:tc>
      </w:tr>
      <w:tr w:rsidR="00FB6304" w:rsidRPr="00FB6304" w:rsidTr="00FB6304">
        <w:trPr>
          <w:trHeight w:val="620"/>
        </w:trPr>
        <w:tc>
          <w:tcPr>
            <w:tcW w:w="14280" w:type="dxa"/>
            <w:tcBorders>
              <w:top w:val="nil"/>
              <w:left w:val="nil"/>
              <w:bottom w:val="nil"/>
              <w:right w:val="nil"/>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4"/>
              </w:rPr>
            </w:pPr>
            <w:r w:rsidRPr="00FB6304">
              <w:rPr>
                <w:rFonts w:ascii="Arial" w:eastAsia="DengXian" w:hAnsi="Arial" w:cs="Arial"/>
                <w:color w:val="000000"/>
                <w:kern w:val="0"/>
                <w:sz w:val="24"/>
              </w:rPr>
              <w:t>4. De Luca P, Kouroupis D, Vigano M, Perucca-Orfei C, Kaplan L, Zagra L, et al. Human Diseased Articular Cartilage Contains a Mesenchymal Stem Cell-Like Population of Chondroprogenitors with Strong Immunomodulatory Responses. J Clin Med. 2019;8(4).</w:t>
            </w:r>
          </w:p>
        </w:tc>
      </w:tr>
      <w:tr w:rsidR="00FB6304" w:rsidRPr="00FB6304" w:rsidTr="00FB6304">
        <w:trPr>
          <w:trHeight w:val="620"/>
        </w:trPr>
        <w:tc>
          <w:tcPr>
            <w:tcW w:w="14280" w:type="dxa"/>
            <w:tcBorders>
              <w:top w:val="nil"/>
              <w:left w:val="nil"/>
              <w:bottom w:val="nil"/>
              <w:right w:val="nil"/>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4"/>
              </w:rPr>
            </w:pPr>
            <w:r w:rsidRPr="00FB6304">
              <w:rPr>
                <w:rFonts w:ascii="Arial" w:eastAsia="DengXian" w:hAnsi="Arial" w:cs="Arial"/>
                <w:color w:val="000000"/>
                <w:kern w:val="0"/>
                <w:sz w:val="24"/>
              </w:rPr>
              <w:t>5. Casati S, Giannasi C, Niada S, Della Morte E, Orioli M, Brini AT. Lipidomics of Cell Secretome Combined with the Study of Selected Bioactive Lipids in an In Vitro Model of Osteoarthritis. Stem Cells Transl Med. 2022;11(9):959-70.</w:t>
            </w:r>
          </w:p>
        </w:tc>
      </w:tr>
      <w:tr w:rsidR="00FB6304" w:rsidRPr="00FB6304" w:rsidTr="00FB6304">
        <w:trPr>
          <w:trHeight w:val="620"/>
        </w:trPr>
        <w:tc>
          <w:tcPr>
            <w:tcW w:w="14280" w:type="dxa"/>
            <w:tcBorders>
              <w:top w:val="nil"/>
              <w:left w:val="nil"/>
              <w:bottom w:val="nil"/>
              <w:right w:val="nil"/>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4"/>
              </w:rPr>
            </w:pPr>
            <w:r w:rsidRPr="00FB6304">
              <w:rPr>
                <w:rFonts w:ascii="Arial" w:eastAsia="DengXian" w:hAnsi="Arial" w:cs="Arial"/>
                <w:color w:val="000000"/>
                <w:kern w:val="0"/>
                <w:sz w:val="24"/>
              </w:rPr>
              <w:t>6. Constantin A, Comarita IK, Alexandru N, Filippi A, Bojin F, Gherghiceanu M, et al. Stem cell-derived extracellular vesicles reduce the expression of molecules involved in cardiac hypertrophy-In a model of human-induced pluripotent stem cell-derived cardiomyocytes. Front Pharmacol. 2022;13:1003684.</w:t>
            </w:r>
          </w:p>
        </w:tc>
      </w:tr>
      <w:tr w:rsidR="00FB6304" w:rsidRPr="00FB6304" w:rsidTr="00FB6304">
        <w:trPr>
          <w:trHeight w:val="620"/>
        </w:trPr>
        <w:tc>
          <w:tcPr>
            <w:tcW w:w="14280" w:type="dxa"/>
            <w:tcBorders>
              <w:top w:val="nil"/>
              <w:left w:val="nil"/>
              <w:bottom w:val="nil"/>
              <w:right w:val="nil"/>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4"/>
              </w:rPr>
            </w:pPr>
            <w:r w:rsidRPr="00FB6304">
              <w:rPr>
                <w:rFonts w:ascii="Arial" w:eastAsia="DengXian" w:hAnsi="Arial" w:cs="Arial"/>
                <w:color w:val="000000"/>
                <w:kern w:val="0"/>
                <w:sz w:val="24"/>
              </w:rPr>
              <w:t>7. Shin S, Lee J, Kwon Y, Park KS, Jeong JH, Choi SJ, et al. Comparative Proteomic Analysis of the Mesenchymal Stem Cells Secretome from Adipose, Bone Marrow, Placenta and Wharton's Jelly. Int J Mol Sci. 2021;22(2).</w:t>
            </w:r>
          </w:p>
        </w:tc>
      </w:tr>
      <w:tr w:rsidR="00FB6304" w:rsidRPr="00FB6304" w:rsidTr="00FB6304">
        <w:trPr>
          <w:trHeight w:val="620"/>
        </w:trPr>
        <w:tc>
          <w:tcPr>
            <w:tcW w:w="14280" w:type="dxa"/>
            <w:tcBorders>
              <w:top w:val="nil"/>
              <w:left w:val="nil"/>
              <w:bottom w:val="nil"/>
              <w:right w:val="nil"/>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4"/>
              </w:rPr>
            </w:pPr>
            <w:r w:rsidRPr="00FB6304">
              <w:rPr>
                <w:rFonts w:ascii="Arial" w:eastAsia="DengXian" w:hAnsi="Arial" w:cs="Arial"/>
                <w:color w:val="000000"/>
                <w:kern w:val="0"/>
                <w:sz w:val="24"/>
              </w:rPr>
              <w:t>8. Gorgun C, Palama MEF, Reverberi D, Gagliani MC, Cortese K, Tasso R, et al. Role of extracellular vesicles from adipose tissue- and bone marrow-mesenchymal stromal cells in endothelial proliferation and chondrogenesis. Stem Cells Transl Med. 2021;10(12):1680-95.</w:t>
            </w:r>
          </w:p>
        </w:tc>
      </w:tr>
      <w:tr w:rsidR="00FB6304" w:rsidRPr="00FB6304" w:rsidTr="00B24503">
        <w:trPr>
          <w:trHeight w:val="620"/>
        </w:trPr>
        <w:tc>
          <w:tcPr>
            <w:tcW w:w="14280" w:type="dxa"/>
            <w:tcBorders>
              <w:top w:val="nil"/>
              <w:left w:val="nil"/>
              <w:right w:val="nil"/>
            </w:tcBorders>
            <w:shd w:val="clear" w:color="auto" w:fill="auto"/>
            <w:vAlign w:val="center"/>
            <w:hideMark/>
          </w:tcPr>
          <w:p w:rsidR="00FB6304" w:rsidRPr="00FB6304" w:rsidRDefault="00FB6304" w:rsidP="00FB6304">
            <w:pPr>
              <w:widowControl/>
              <w:jc w:val="left"/>
              <w:rPr>
                <w:rFonts w:ascii="Arial" w:eastAsia="DengXian" w:hAnsi="Arial" w:cs="Arial"/>
                <w:color w:val="000000"/>
                <w:kern w:val="0"/>
                <w:sz w:val="24"/>
              </w:rPr>
            </w:pPr>
            <w:r w:rsidRPr="00FB6304">
              <w:rPr>
                <w:rFonts w:ascii="Arial" w:eastAsia="DengXian" w:hAnsi="Arial" w:cs="Arial"/>
                <w:color w:val="000000"/>
                <w:kern w:val="0"/>
                <w:sz w:val="24"/>
              </w:rPr>
              <w:t>9. Binch ALA, Richardson SM, Hoyland JA, Barry FP. Combinatorial conditioning of adipose derived-mesenchymal stem cells enhances their neurovascular potential: Implications for intervertebral disc degeneration. JOR Spine. 2019;2(4):e1072.</w:t>
            </w:r>
          </w:p>
        </w:tc>
      </w:tr>
      <w:tr w:rsidR="00FB6304" w:rsidRPr="00B24503" w:rsidTr="00B24503">
        <w:trPr>
          <w:trHeight w:val="834"/>
        </w:trPr>
        <w:tc>
          <w:tcPr>
            <w:tcW w:w="14280" w:type="dxa"/>
            <w:shd w:val="clear" w:color="auto" w:fill="auto"/>
            <w:vAlign w:val="center"/>
            <w:hideMark/>
          </w:tcPr>
          <w:p w:rsidR="00FB6304" w:rsidRPr="00FB6304" w:rsidRDefault="00FB6304" w:rsidP="00FB6304">
            <w:pPr>
              <w:widowControl/>
              <w:jc w:val="left"/>
              <w:rPr>
                <w:rFonts w:ascii="Arial" w:eastAsia="DengXian" w:hAnsi="Arial" w:cs="Arial"/>
                <w:color w:val="000000"/>
                <w:kern w:val="0"/>
                <w:sz w:val="24"/>
              </w:rPr>
            </w:pPr>
            <w:r w:rsidRPr="00FB6304">
              <w:rPr>
                <w:rFonts w:ascii="Arial" w:eastAsia="DengXian" w:hAnsi="Arial" w:cs="Arial"/>
                <w:color w:val="000000"/>
                <w:kern w:val="0"/>
                <w:sz w:val="24"/>
              </w:rPr>
              <w:lastRenderedPageBreak/>
              <w:t>10. Pomatto M, Gai C, Negro F, Cedrino M, Grange C, Ceccotti E, et al. Differential Therapeutic Effect of Extracellular Vesicles Derived by Bone Marrow and Adipose Mesenchymal Stem Cells on Wound Healing of Diabetic Ulcers and Correlation to Their Cargoes. Int J Mol Sci. 2021;22(8).</w:t>
            </w:r>
          </w:p>
        </w:tc>
      </w:tr>
    </w:tbl>
    <w:p w:rsidR="00FB6304" w:rsidRPr="00B24503" w:rsidRDefault="00FB6304" w:rsidP="00B24503">
      <w:pPr>
        <w:widowControl/>
        <w:jc w:val="left"/>
        <w:rPr>
          <w:rFonts w:ascii="Arial" w:eastAsia="DengXian" w:hAnsi="Arial" w:cs="Arial"/>
          <w:color w:val="000000"/>
          <w:kern w:val="0"/>
          <w:sz w:val="24"/>
        </w:rPr>
      </w:pPr>
    </w:p>
    <w:sectPr w:rsidR="00FB6304" w:rsidRPr="00B24503" w:rsidSect="00FB630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SFC&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2xds2r60zswreawttxv0a32r5tvpr5zfx9&quot;&gt;Zhouwenyan Library&lt;record-ids&gt;&lt;item&gt;1081&lt;/item&gt;&lt;/record-ids&gt;&lt;/item&gt;&lt;/Libraries&gt;"/>
  </w:docVars>
  <w:rsids>
    <w:rsidRoot w:val="00FB6304"/>
    <w:rsid w:val="0000527E"/>
    <w:rsid w:val="000218E7"/>
    <w:rsid w:val="0009546E"/>
    <w:rsid w:val="000E0876"/>
    <w:rsid w:val="000F0E4D"/>
    <w:rsid w:val="00145747"/>
    <w:rsid w:val="0016287D"/>
    <w:rsid w:val="00185100"/>
    <w:rsid w:val="001A0E9E"/>
    <w:rsid w:val="001A2D04"/>
    <w:rsid w:val="001D36C4"/>
    <w:rsid w:val="00251232"/>
    <w:rsid w:val="0027263F"/>
    <w:rsid w:val="003907DA"/>
    <w:rsid w:val="003908C2"/>
    <w:rsid w:val="003D2788"/>
    <w:rsid w:val="00452D02"/>
    <w:rsid w:val="004D71BF"/>
    <w:rsid w:val="005242C1"/>
    <w:rsid w:val="0054196D"/>
    <w:rsid w:val="00550CD4"/>
    <w:rsid w:val="005A2898"/>
    <w:rsid w:val="00780529"/>
    <w:rsid w:val="008633E1"/>
    <w:rsid w:val="008E42FF"/>
    <w:rsid w:val="0094195B"/>
    <w:rsid w:val="00954E38"/>
    <w:rsid w:val="00977C33"/>
    <w:rsid w:val="00985CA0"/>
    <w:rsid w:val="00991774"/>
    <w:rsid w:val="009A46BD"/>
    <w:rsid w:val="00A81A51"/>
    <w:rsid w:val="00AB28DE"/>
    <w:rsid w:val="00B24503"/>
    <w:rsid w:val="00B423FD"/>
    <w:rsid w:val="00B9189E"/>
    <w:rsid w:val="00BC14DE"/>
    <w:rsid w:val="00BF4D37"/>
    <w:rsid w:val="00C531B1"/>
    <w:rsid w:val="00C91745"/>
    <w:rsid w:val="00CB5831"/>
    <w:rsid w:val="00CD1876"/>
    <w:rsid w:val="00E209B3"/>
    <w:rsid w:val="00E55A73"/>
    <w:rsid w:val="00EC121F"/>
    <w:rsid w:val="00F85ECF"/>
    <w:rsid w:val="00FB6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B9AE1-E70E-2A47-8190-C89C8C12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0"/>
    <w:rsid w:val="00B24503"/>
    <w:pPr>
      <w:jc w:val="center"/>
    </w:pPr>
    <w:rPr>
      <w:rFonts w:ascii="DengXian" w:eastAsia="DengXian" w:hAnsi="DengXian"/>
      <w:sz w:val="20"/>
    </w:rPr>
  </w:style>
  <w:style w:type="character" w:customStyle="1" w:styleId="EndNoteBibliographyTitle0">
    <w:name w:val="EndNote Bibliography Title 字符"/>
    <w:basedOn w:val="a0"/>
    <w:link w:val="EndNoteBibliographyTitle"/>
    <w:rsid w:val="00B24503"/>
    <w:rPr>
      <w:rFonts w:ascii="DengXian" w:eastAsia="DengXian" w:hAnsi="DengXian"/>
      <w:sz w:val="20"/>
    </w:rPr>
  </w:style>
  <w:style w:type="paragraph" w:customStyle="1" w:styleId="EndNoteBibliography">
    <w:name w:val="EndNote Bibliography"/>
    <w:basedOn w:val="a"/>
    <w:link w:val="EndNoteBibliography0"/>
    <w:rsid w:val="00B24503"/>
    <w:pPr>
      <w:jc w:val="left"/>
    </w:pPr>
    <w:rPr>
      <w:rFonts w:ascii="DengXian" w:eastAsia="DengXian" w:hAnsi="DengXian"/>
      <w:sz w:val="20"/>
    </w:rPr>
  </w:style>
  <w:style w:type="character" w:customStyle="1" w:styleId="EndNoteBibliography0">
    <w:name w:val="EndNote Bibliography 字符"/>
    <w:basedOn w:val="a0"/>
    <w:link w:val="EndNoteBibliography"/>
    <w:rsid w:val="00B24503"/>
    <w:rPr>
      <w:rFonts w:ascii="DengXian" w:eastAsia="DengXian" w:hAnsi="DengXi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639460">
      <w:bodyDiv w:val="1"/>
      <w:marLeft w:val="0"/>
      <w:marRight w:val="0"/>
      <w:marTop w:val="0"/>
      <w:marBottom w:val="0"/>
      <w:divBdr>
        <w:top w:val="none" w:sz="0" w:space="0" w:color="auto"/>
        <w:left w:val="none" w:sz="0" w:space="0" w:color="auto"/>
        <w:bottom w:val="none" w:sz="0" w:space="0" w:color="auto"/>
        <w:right w:val="none" w:sz="0" w:space="0" w:color="auto"/>
      </w:divBdr>
    </w:div>
    <w:div w:id="1155803843">
      <w:bodyDiv w:val="1"/>
      <w:marLeft w:val="0"/>
      <w:marRight w:val="0"/>
      <w:marTop w:val="0"/>
      <w:marBottom w:val="0"/>
      <w:divBdr>
        <w:top w:val="none" w:sz="0" w:space="0" w:color="auto"/>
        <w:left w:val="none" w:sz="0" w:space="0" w:color="auto"/>
        <w:bottom w:val="none" w:sz="0" w:space="0" w:color="auto"/>
        <w:right w:val="none" w:sz="0" w:space="0" w:color="auto"/>
      </w:divBdr>
    </w:div>
    <w:div w:id="200955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Wenyan</dc:creator>
  <cp:keywords/>
  <dc:description/>
  <cp:lastModifiedBy>Zhou, Wenyan</cp:lastModifiedBy>
  <cp:revision>8</cp:revision>
  <dcterms:created xsi:type="dcterms:W3CDTF">2024-06-26T08:11:00Z</dcterms:created>
  <dcterms:modified xsi:type="dcterms:W3CDTF">2024-07-28T06:05:00Z</dcterms:modified>
</cp:coreProperties>
</file>