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28"/>
        <w:tblW w:w="1031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8"/>
        <w:gridCol w:w="1701"/>
        <w:gridCol w:w="4110"/>
        <w:gridCol w:w="1811"/>
      </w:tblGrid>
      <w:tr w:rsidR="00B27713" w:rsidRPr="00B27713" w:rsidTr="00F453C3">
        <w:trPr>
          <w:trHeight w:val="320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  <w:t>Cell source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  <w:t>Cell passage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  <w:t>Subpopulations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  <w:t>References</w:t>
            </w: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ADSCs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May relate with microenvironment maintenance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Qu et al.</w:t>
            </w:r>
            <w:r w:rsidR="00491DAD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(1)</w:t>
            </w: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Directly participate in ossification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Directly participate in ossification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May relate with endochondral ossification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ADSCs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Multipotential differentiation cells</w:t>
            </w:r>
          </w:p>
        </w:tc>
        <w:tc>
          <w:tcPr>
            <w:tcW w:w="1811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Liang et al.</w:t>
            </w:r>
            <w:r w:rsidR="00491DAD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(2)</w:t>
            </w: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Self-regulatory cells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Self-renewal cells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Immunoregulatory cells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Metabolism and hematopoiesis associated cells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BMSCs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Stem-like active proliferative cell</w:t>
            </w:r>
          </w:p>
        </w:tc>
        <w:tc>
          <w:tcPr>
            <w:tcW w:w="1811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Zhang et al.</w:t>
            </w:r>
            <w:r w:rsidR="00491DAD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(3)</w:t>
            </w: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Tripotent multipotent MPCs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Unipotent preadipocytes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Bipotent prechondro-osteoblasts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Immunoregulatory prechondrocytes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Pre-smooth muscle cells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BMSCs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Stemness subpopulation</w:t>
            </w:r>
          </w:p>
        </w:tc>
        <w:tc>
          <w:tcPr>
            <w:tcW w:w="1811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Xie</w:t>
            </w:r>
            <w:proofErr w:type="spellEnd"/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 et al.</w:t>
            </w:r>
            <w:r w:rsidR="00491DAD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(4) </w:t>
            </w: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Functional subpopulation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Proliferative subpopulation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Proliferative subpopulation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Monocytes/macrophages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Monocytes/macrophages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Stemness subpopulation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Proliferative subpopulation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Functional subpopulation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Proliferative subpopulation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Proliferative subpopulation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Senescent cells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Monocytes/macrophages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ADSCs and BMSCs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0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Tissue conserved</w:t>
            </w:r>
          </w:p>
        </w:tc>
        <w:tc>
          <w:tcPr>
            <w:tcW w:w="1811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Wang et al.</w:t>
            </w:r>
            <w:r w:rsidR="00491DAD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(5)</w:t>
            </w: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110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10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110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10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110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ADSC specific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110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BMSC specific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ADSCs and BMSCs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ADSC: 3; BMSC: Telomerase-immortalized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Chondrocyte lineage MSCs</w:t>
            </w:r>
          </w:p>
        </w:tc>
        <w:tc>
          <w:tcPr>
            <w:tcW w:w="1811" w:type="dxa"/>
            <w:vMerge w:val="restart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Hou et al.</w:t>
            </w:r>
            <w:r w:rsidR="00491DAD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(6)</w:t>
            </w:r>
          </w:p>
        </w:tc>
      </w:tr>
      <w:tr w:rsidR="00B27713" w:rsidRPr="00B27713" w:rsidTr="00491DAD">
        <w:trPr>
          <w:trHeight w:val="320"/>
        </w:trPr>
        <w:tc>
          <w:tcPr>
            <w:tcW w:w="1276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Adipocyte/myocyte lineage MSCs</w:t>
            </w:r>
          </w:p>
        </w:tc>
        <w:tc>
          <w:tcPr>
            <w:tcW w:w="1811" w:type="dxa"/>
            <w:vMerge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27713" w:rsidRPr="00B27713" w:rsidTr="00F453C3">
        <w:trPr>
          <w:trHeight w:val="320"/>
        </w:trPr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Osteocyte lineage MSCs</w:t>
            </w:r>
          </w:p>
        </w:tc>
        <w:tc>
          <w:tcPr>
            <w:tcW w:w="181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B27713" w:rsidRPr="00B27713" w:rsidRDefault="00B27713" w:rsidP="00B2771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B27713" w:rsidRDefault="00B27713" w:rsidP="00491DAD">
      <w:pPr>
        <w:jc w:val="left"/>
        <w:rPr>
          <w:rFonts w:ascii="Arial" w:eastAsia="宋体" w:hAnsi="Arial" w:cs="Arial"/>
          <w:szCs w:val="21"/>
        </w:rPr>
      </w:pPr>
      <w:r w:rsidRPr="00B111E1">
        <w:rPr>
          <w:rFonts w:ascii="Arial" w:eastAsia="宋体" w:hAnsi="Arial" w:cs="Arial"/>
          <w:szCs w:val="21"/>
        </w:rPr>
        <w:t xml:space="preserve">Table </w:t>
      </w:r>
      <w:r w:rsidR="00B111E1">
        <w:rPr>
          <w:rFonts w:ascii="Arial" w:eastAsia="宋体" w:hAnsi="Arial" w:cs="Arial"/>
          <w:szCs w:val="21"/>
        </w:rPr>
        <w:t>S</w:t>
      </w:r>
      <w:r w:rsidRPr="00B111E1">
        <w:rPr>
          <w:rFonts w:ascii="Arial" w:eastAsia="宋体" w:hAnsi="Arial" w:cs="Arial"/>
          <w:szCs w:val="21"/>
        </w:rPr>
        <w:t>1. Summary of studies on the heterogeneity within cultured ADSCs and BMSCs</w:t>
      </w:r>
    </w:p>
    <w:p w:rsidR="00491DAD" w:rsidRDefault="00491DAD" w:rsidP="00491DAD">
      <w:pPr>
        <w:jc w:val="left"/>
        <w:rPr>
          <w:rFonts w:ascii="Arial" w:eastAsia="宋体" w:hAnsi="Arial" w:cs="Arial"/>
          <w:szCs w:val="21"/>
        </w:rPr>
      </w:pPr>
    </w:p>
    <w:tbl>
      <w:tblPr>
        <w:tblpPr w:leftFromText="180" w:rightFromText="180" w:vertAnchor="page" w:horzAnchor="margin" w:tblpXSpec="center" w:tblpY="1541"/>
        <w:tblW w:w="10240" w:type="dxa"/>
        <w:tblLook w:val="04A0" w:firstRow="1" w:lastRow="0" w:firstColumn="1" w:lastColumn="0" w:noHBand="0" w:noVBand="1"/>
      </w:tblPr>
      <w:tblGrid>
        <w:gridCol w:w="10240"/>
      </w:tblGrid>
      <w:tr w:rsidR="00491DAD" w:rsidRPr="00B27713" w:rsidTr="00491DAD">
        <w:trPr>
          <w:trHeight w:val="320"/>
        </w:trPr>
        <w:tc>
          <w:tcPr>
            <w:tcW w:w="10240" w:type="dxa"/>
            <w:shd w:val="clear" w:color="auto" w:fill="auto"/>
            <w:noWrap/>
            <w:vAlign w:val="center"/>
            <w:hideMark/>
          </w:tcPr>
          <w:p w:rsidR="00491DAD" w:rsidRPr="00B27713" w:rsidRDefault="00491DAD" w:rsidP="00491DAD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Reference</w:t>
            </w:r>
          </w:p>
        </w:tc>
      </w:tr>
      <w:tr w:rsidR="00491DAD" w:rsidRPr="00B27713" w:rsidTr="00491DAD">
        <w:trPr>
          <w:trHeight w:val="680"/>
        </w:trPr>
        <w:tc>
          <w:tcPr>
            <w:tcW w:w="10240" w:type="dxa"/>
            <w:shd w:val="clear" w:color="auto" w:fill="auto"/>
            <w:vAlign w:val="center"/>
            <w:hideMark/>
          </w:tcPr>
          <w:p w:rsidR="00491DAD" w:rsidRPr="00B27713" w:rsidRDefault="00491DAD" w:rsidP="00491DA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1.Qu R, He K, Fan T, Yang Y, Mai L, Lian Z, et al. Single-cell transcriptomic sequencing analyses of cell heterogeneity during osteogenesis of human adipose-derived mesenchymal stem cells. Stem Cells. 2021;39(11):1478-88.</w:t>
            </w:r>
          </w:p>
        </w:tc>
      </w:tr>
      <w:tr w:rsidR="00491DAD" w:rsidRPr="00B27713" w:rsidTr="00491DAD">
        <w:trPr>
          <w:trHeight w:val="720"/>
        </w:trPr>
        <w:tc>
          <w:tcPr>
            <w:tcW w:w="10240" w:type="dxa"/>
            <w:shd w:val="clear" w:color="auto" w:fill="auto"/>
            <w:vAlign w:val="center"/>
            <w:hideMark/>
          </w:tcPr>
          <w:p w:rsidR="00491DAD" w:rsidRPr="00B27713" w:rsidRDefault="00491DAD" w:rsidP="00491DA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2.Liang Z-X, Liu H-S, </w:t>
            </w:r>
            <w:proofErr w:type="spellStart"/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Xiong</w:t>
            </w:r>
            <w:proofErr w:type="spellEnd"/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 L, Zeng Z-W, Zheng X-B, Kang L, et al. GAS6 From CD200(+) Adipose-Derived Stem Cells Mitigates Colonic Inflammation in a Macrophage-Dependent Manner. Journal of </w:t>
            </w:r>
            <w:proofErr w:type="spellStart"/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Crohns</w:t>
            </w:r>
            <w:proofErr w:type="spellEnd"/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 &amp; Colitis. 2023;17(2):289-301.</w:t>
            </w:r>
          </w:p>
        </w:tc>
      </w:tr>
      <w:tr w:rsidR="00491DAD" w:rsidRPr="00B27713" w:rsidTr="00491DAD">
        <w:trPr>
          <w:trHeight w:val="680"/>
        </w:trPr>
        <w:tc>
          <w:tcPr>
            <w:tcW w:w="10240" w:type="dxa"/>
            <w:shd w:val="clear" w:color="auto" w:fill="auto"/>
            <w:vAlign w:val="center"/>
            <w:hideMark/>
          </w:tcPr>
          <w:p w:rsidR="00491DAD" w:rsidRPr="00B27713" w:rsidRDefault="00491DAD" w:rsidP="00491DA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3.Zhang C, Han X, Liu J, Chen L, Lei Y, Chen K, et al. Single-cell Transcriptomic Analysis Reveals the Cellular Heterogeneity of Mesenchymal Stem Cells. Genomics Proteomics Bioinformatics. 2022;20(1):70-86.</w:t>
            </w:r>
          </w:p>
        </w:tc>
      </w:tr>
      <w:tr w:rsidR="00491DAD" w:rsidRPr="00B27713" w:rsidTr="00491DAD">
        <w:trPr>
          <w:trHeight w:val="680"/>
        </w:trPr>
        <w:tc>
          <w:tcPr>
            <w:tcW w:w="10240" w:type="dxa"/>
            <w:shd w:val="clear" w:color="auto" w:fill="auto"/>
            <w:vAlign w:val="center"/>
            <w:hideMark/>
          </w:tcPr>
          <w:p w:rsidR="00491DAD" w:rsidRPr="00B27713" w:rsidRDefault="00491DAD" w:rsidP="00491DA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4.Xie Z, Yu W, Ye G, Li J, Zheng G, Liu W, et al. Single-cell RNA sequencing analysis of human bone-marrow-derived mesenchymal stem cells and functional subpopulation identification. Exp Mol Med. 2022;54(4):483-92.</w:t>
            </w:r>
          </w:p>
        </w:tc>
      </w:tr>
      <w:tr w:rsidR="00491DAD" w:rsidRPr="00B27713" w:rsidTr="00491DAD">
        <w:trPr>
          <w:trHeight w:val="680"/>
        </w:trPr>
        <w:tc>
          <w:tcPr>
            <w:tcW w:w="10240" w:type="dxa"/>
            <w:shd w:val="clear" w:color="auto" w:fill="auto"/>
            <w:vAlign w:val="center"/>
            <w:hideMark/>
          </w:tcPr>
          <w:p w:rsidR="00491DAD" w:rsidRPr="00B27713" w:rsidRDefault="00491DAD" w:rsidP="00491DA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5.Wang Z, Chai C, Wang R, Feng Y, Huang L, Zhang Y, et al. Single-cell transcriptome atlas of human mesenchymal stem cells exploring cellular heterogeneity. Clin </w:t>
            </w:r>
            <w:proofErr w:type="spellStart"/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Transl</w:t>
            </w:r>
            <w:proofErr w:type="spellEnd"/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 Med. 2021;11(12</w:t>
            </w:r>
            <w:proofErr w:type="gramStart"/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):e</w:t>
            </w:r>
            <w:proofErr w:type="gramEnd"/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650.</w:t>
            </w:r>
          </w:p>
        </w:tc>
      </w:tr>
      <w:tr w:rsidR="00491DAD" w:rsidRPr="00B27713" w:rsidTr="00491DAD">
        <w:trPr>
          <w:trHeight w:val="680"/>
        </w:trPr>
        <w:tc>
          <w:tcPr>
            <w:tcW w:w="10240" w:type="dxa"/>
            <w:shd w:val="clear" w:color="auto" w:fill="auto"/>
            <w:vAlign w:val="center"/>
            <w:hideMark/>
          </w:tcPr>
          <w:p w:rsidR="00491DAD" w:rsidRPr="00B27713" w:rsidRDefault="00491DAD" w:rsidP="00491DA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6.Hou W, Duan L, Huang C, Li X, Xu X, Qin P, et al. Cross-Tissue Characterization of Heterogeneities of Mesenchymal Stem Cells and Their Differentiation Potentials. Front Cell Dev Biol. </w:t>
            </w:r>
            <w:proofErr w:type="gramStart"/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2021;9:781021</w:t>
            </w:r>
            <w:proofErr w:type="gramEnd"/>
            <w:r w:rsidRPr="00B27713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</w:tr>
    </w:tbl>
    <w:p w:rsidR="00491DAD" w:rsidRPr="00491DAD" w:rsidRDefault="00491DAD" w:rsidP="00491DAD">
      <w:pPr>
        <w:jc w:val="left"/>
        <w:rPr>
          <w:rFonts w:ascii="Arial" w:eastAsia="宋体" w:hAnsi="Arial" w:cs="Arial"/>
          <w:szCs w:val="21"/>
        </w:rPr>
      </w:pPr>
    </w:p>
    <w:sectPr w:rsidR="00491DAD" w:rsidRPr="00491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13"/>
    <w:rsid w:val="000218E7"/>
    <w:rsid w:val="000E0876"/>
    <w:rsid w:val="000F0E4D"/>
    <w:rsid w:val="0016287D"/>
    <w:rsid w:val="00185100"/>
    <w:rsid w:val="001A0E9E"/>
    <w:rsid w:val="001A2D04"/>
    <w:rsid w:val="001D36C4"/>
    <w:rsid w:val="0027263F"/>
    <w:rsid w:val="003907DA"/>
    <w:rsid w:val="003908C2"/>
    <w:rsid w:val="003D2788"/>
    <w:rsid w:val="00452D02"/>
    <w:rsid w:val="00491DAD"/>
    <w:rsid w:val="005242C1"/>
    <w:rsid w:val="0054196D"/>
    <w:rsid w:val="00550CD4"/>
    <w:rsid w:val="005A2898"/>
    <w:rsid w:val="00780529"/>
    <w:rsid w:val="008633E1"/>
    <w:rsid w:val="008E42FF"/>
    <w:rsid w:val="0094195B"/>
    <w:rsid w:val="00954E38"/>
    <w:rsid w:val="00977C33"/>
    <w:rsid w:val="00985CA0"/>
    <w:rsid w:val="009A46BD"/>
    <w:rsid w:val="00A81A51"/>
    <w:rsid w:val="00AB28DE"/>
    <w:rsid w:val="00B111E1"/>
    <w:rsid w:val="00B27713"/>
    <w:rsid w:val="00B423FD"/>
    <w:rsid w:val="00B9189E"/>
    <w:rsid w:val="00BC14DE"/>
    <w:rsid w:val="00BF4D37"/>
    <w:rsid w:val="00C531B1"/>
    <w:rsid w:val="00CB5831"/>
    <w:rsid w:val="00CD1876"/>
    <w:rsid w:val="00E209B3"/>
    <w:rsid w:val="00E55A73"/>
    <w:rsid w:val="00EC121F"/>
    <w:rsid w:val="00F453C3"/>
    <w:rsid w:val="00F8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2154EFA-E49A-4C44-8173-6DB663BC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Wenyan</dc:creator>
  <cp:keywords/>
  <dc:description/>
  <cp:lastModifiedBy>Zhou, Wenyan</cp:lastModifiedBy>
  <cp:revision>4</cp:revision>
  <dcterms:created xsi:type="dcterms:W3CDTF">2024-06-26T07:55:00Z</dcterms:created>
  <dcterms:modified xsi:type="dcterms:W3CDTF">2024-07-28T06:05:00Z</dcterms:modified>
</cp:coreProperties>
</file>