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tif" ContentType="image/tif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b/>
          <w:bCs/>
          <w:sz w:val="24"/>
          <w:szCs w:val="24"/>
          <w:lang w:val="en-US"/>
        </w:rPr>
      </w:pPr>
      <w:r>
        <w:rPr>
          <w:b/>
          <w:bCs/>
          <w:sz w:val="24"/>
          <w:szCs w:val="24"/>
          <w:lang w:val="en-US"/>
        </w:rPr>
        <w:t>Appendix</w:t>
      </w:r>
    </w:p>
    <w:p>
      <w:pPr>
        <w:pStyle w:val="NoSpacing"/>
        <w:rPr>
          <w:lang w:val="en-US"/>
        </w:rPr>
      </w:pPr>
      <w:r>
        <w:rPr>
          <w:lang w:val="en-US"/>
        </w:rPr>
      </w:r>
    </w:p>
    <w:p>
      <w:pPr>
        <w:pStyle w:val="Figuuronderschrift"/>
        <w:rPr>
          <w:i/>
          <w:i/>
          <w:iCs/>
          <w:sz w:val="20"/>
          <w:szCs w:val="20"/>
          <w:lang w:val="en-US"/>
        </w:rPr>
      </w:pPr>
      <w:r>
        <w:rPr>
          <w:b/>
          <w:bCs/>
          <w:i/>
          <w:iCs/>
          <w:sz w:val="20"/>
          <w:szCs w:val="20"/>
          <w:lang w:val="en-US"/>
        </w:rPr>
        <w:t>Table A1:</w:t>
      </w:r>
      <w:r>
        <w:rPr>
          <w:i/>
          <w:iCs/>
          <w:sz w:val="20"/>
          <w:szCs w:val="20"/>
          <w:lang w:val="en-US"/>
        </w:rPr>
        <w:t xml:space="preserve"> Lamina thickness in CLSM and STED microscopy images of NHDF stained for lamins A/C and deconvolved with different PSFs. The lamina thickness is determined by calculating the Full Width at Half Maximum (FWHM) of intensity plots drawn perpendicular to the lamina as shown in Figure A1 B, D. Values represent average FWHM ± SD. The FWHM is determined at five positions in each nucleus, for 10 nuclei in total.</w:t>
      </w:r>
    </w:p>
    <w:tbl>
      <w:tblPr>
        <w:tblStyle w:val="TableGrid"/>
        <w:tblW w:w="947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95"/>
        <w:gridCol w:w="1895"/>
        <w:gridCol w:w="1895"/>
        <w:gridCol w:w="1895"/>
        <w:gridCol w:w="1895"/>
      </w:tblGrid>
      <w:tr>
        <w:trPr>
          <w:trHeight w:val="296" w:hRule="atLeast"/>
        </w:trPr>
        <w:tc>
          <w:tcPr>
            <w:tcW w:w="1895" w:type="dxa"/>
            <w:tcBorders/>
          </w:tcPr>
          <w:p>
            <w:pPr>
              <w:pStyle w:val="NoSpacing"/>
              <w:widowControl w:val="false"/>
              <w:suppressAutoHyphens w:val="true"/>
              <w:spacing w:before="0" w:after="0"/>
              <w:jc w:val="left"/>
              <w:rPr>
                <w:b/>
                <w:bCs/>
              </w:rPr>
            </w:pPr>
            <w:r>
              <w:rPr>
                <w:rFonts w:eastAsia="" w:cs=""/>
                <w:b/>
                <w:bCs/>
                <w:kern w:val="0"/>
                <w:szCs w:val="22"/>
                <w:lang w:val="nl-NL" w:eastAsia="zh-CN" w:bidi="ar-SA"/>
              </w:rPr>
              <w:t>PSF used for deconvolution</w:t>
            </w:r>
          </w:p>
        </w:tc>
        <w:tc>
          <w:tcPr>
            <w:tcW w:w="1895" w:type="dxa"/>
            <w:tcBorders/>
          </w:tcPr>
          <w:p>
            <w:pPr>
              <w:pStyle w:val="NoSpacing"/>
              <w:widowControl w:val="false"/>
              <w:suppressAutoHyphens w:val="true"/>
              <w:spacing w:before="0" w:after="0"/>
              <w:jc w:val="left"/>
              <w:rPr>
                <w:b/>
                <w:bCs/>
                <w:lang w:val="en-US"/>
              </w:rPr>
            </w:pPr>
            <w:r>
              <w:rPr>
                <w:rFonts w:eastAsia="" w:cs=""/>
                <w:b/>
                <w:bCs/>
                <w:kern w:val="0"/>
                <w:szCs w:val="22"/>
                <w:lang w:val="en-US" w:eastAsia="zh-CN" w:bidi="ar-SA"/>
              </w:rPr>
              <w:t xml:space="preserve">CLSM </w:t>
            </w:r>
          </w:p>
          <w:p>
            <w:pPr>
              <w:pStyle w:val="NoSpacing"/>
              <w:widowControl w:val="false"/>
              <w:suppressAutoHyphens w:val="true"/>
              <w:spacing w:before="0" w:after="0"/>
              <w:jc w:val="left"/>
              <w:rPr>
                <w:b/>
                <w:bCs/>
                <w:lang w:val="en-US"/>
              </w:rPr>
            </w:pPr>
            <w:r>
              <w:rPr>
                <w:rFonts w:eastAsia="" w:cs=""/>
                <w:b/>
                <w:bCs/>
                <w:kern w:val="0"/>
                <w:szCs w:val="22"/>
                <w:lang w:val="en-US" w:eastAsia="zh-CN" w:bidi="ar-SA"/>
              </w:rPr>
              <w:t>lamins A/C (nm)</w:t>
            </w:r>
          </w:p>
        </w:tc>
        <w:tc>
          <w:tcPr>
            <w:tcW w:w="1895" w:type="dxa"/>
            <w:tcBorders/>
          </w:tcPr>
          <w:p>
            <w:pPr>
              <w:pStyle w:val="NoSpacing"/>
              <w:widowControl w:val="false"/>
              <w:suppressAutoHyphens w:val="true"/>
              <w:spacing w:before="0" w:after="0"/>
              <w:jc w:val="left"/>
              <w:rPr>
                <w:lang w:val="en-US"/>
              </w:rPr>
            </w:pPr>
            <w:r>
              <w:rPr>
                <w:rFonts w:eastAsia="" w:cs=""/>
                <w:b/>
                <w:bCs/>
                <w:kern w:val="0"/>
                <w:szCs w:val="22"/>
                <w:lang w:val="en-US" w:eastAsia="zh-CN" w:bidi="ar-SA"/>
              </w:rPr>
              <w:t>STED microscopy lamins A/C (nm)</w:t>
            </w:r>
          </w:p>
        </w:tc>
        <w:tc>
          <w:tcPr>
            <w:tcW w:w="1895" w:type="dxa"/>
            <w:tcBorders/>
          </w:tcPr>
          <w:p>
            <w:pPr>
              <w:pStyle w:val="NoSpacing"/>
              <w:widowControl w:val="false"/>
              <w:suppressAutoHyphens w:val="true"/>
              <w:spacing w:before="0" w:after="0"/>
              <w:jc w:val="left"/>
              <w:rPr>
                <w:b/>
                <w:bCs/>
                <w:lang w:val="en-US"/>
              </w:rPr>
            </w:pPr>
            <w:r>
              <w:rPr>
                <w:rFonts w:eastAsia="" w:cs=""/>
                <w:b/>
                <w:bCs/>
                <w:kern w:val="0"/>
                <w:szCs w:val="22"/>
                <w:lang w:val="en-US" w:eastAsia="zh-CN" w:bidi="ar-SA"/>
              </w:rPr>
              <w:t xml:space="preserve">CLSM </w:t>
            </w:r>
          </w:p>
          <w:p>
            <w:pPr>
              <w:pStyle w:val="NoSpacing"/>
              <w:widowControl w:val="false"/>
              <w:suppressAutoHyphens w:val="true"/>
              <w:spacing w:before="0" w:after="0"/>
              <w:jc w:val="left"/>
              <w:rPr>
                <w:b/>
                <w:bCs/>
                <w:lang w:val="en-US"/>
              </w:rPr>
            </w:pPr>
            <w:r>
              <w:rPr>
                <w:rFonts w:eastAsia="" w:cs=""/>
                <w:b/>
                <w:bCs/>
                <w:kern w:val="0"/>
                <w:szCs w:val="22"/>
                <w:lang w:val="en-US" w:eastAsia="zh-CN" w:bidi="ar-SA"/>
              </w:rPr>
              <w:t>lamin B1 (nm)</w:t>
            </w:r>
          </w:p>
        </w:tc>
        <w:tc>
          <w:tcPr>
            <w:tcW w:w="1895" w:type="dxa"/>
            <w:tcBorders/>
          </w:tcPr>
          <w:p>
            <w:pPr>
              <w:pStyle w:val="NoSpacing"/>
              <w:widowControl w:val="false"/>
              <w:suppressAutoHyphens w:val="true"/>
              <w:spacing w:before="0" w:after="0"/>
              <w:jc w:val="left"/>
              <w:rPr>
                <w:b/>
                <w:bCs/>
                <w:lang w:val="en-US"/>
              </w:rPr>
            </w:pPr>
            <w:r>
              <w:rPr>
                <w:rFonts w:eastAsia="" w:cs=""/>
                <w:b/>
                <w:bCs/>
                <w:kern w:val="0"/>
                <w:szCs w:val="22"/>
                <w:lang w:val="en-US" w:eastAsia="zh-CN" w:bidi="ar-SA"/>
              </w:rPr>
              <w:t>STED microscopy lamin B1 (nm)</w:t>
            </w:r>
          </w:p>
        </w:tc>
      </w:tr>
      <w:tr>
        <w:trPr>
          <w:trHeight w:val="172" w:hRule="atLeast"/>
        </w:trPr>
        <w:tc>
          <w:tcPr>
            <w:tcW w:w="1895" w:type="dxa"/>
            <w:tcBorders/>
          </w:tcPr>
          <w:p>
            <w:pPr>
              <w:pStyle w:val="NoSpacing"/>
              <w:widowControl w:val="false"/>
              <w:suppressAutoHyphens w:val="true"/>
              <w:spacing w:before="0" w:after="0"/>
              <w:rPr>
                <w:b/>
                <w:bCs/>
              </w:rPr>
            </w:pPr>
            <w:r>
              <w:rPr>
                <w:rFonts w:eastAsia="" w:cs=""/>
                <w:b/>
                <w:bCs/>
                <w:kern w:val="0"/>
                <w:szCs w:val="22"/>
                <w:lang w:val="nl-NL" w:eastAsia="zh-CN" w:bidi="ar-SA"/>
              </w:rPr>
              <w:t>Theoretical</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219 ± 29</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108 ±22</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201 ± 22</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122 ± 17</w:t>
            </w:r>
          </w:p>
        </w:tc>
      </w:tr>
      <w:tr>
        <w:trPr>
          <w:trHeight w:val="172" w:hRule="atLeast"/>
        </w:trPr>
        <w:tc>
          <w:tcPr>
            <w:tcW w:w="1895" w:type="dxa"/>
            <w:tcBorders/>
          </w:tcPr>
          <w:p>
            <w:pPr>
              <w:pStyle w:val="NoSpacing"/>
              <w:widowControl w:val="false"/>
              <w:suppressAutoHyphens w:val="true"/>
              <w:spacing w:before="0" w:after="0"/>
              <w:rPr>
                <w:b/>
                <w:bCs/>
              </w:rPr>
            </w:pPr>
            <w:r>
              <w:rPr>
                <w:rFonts w:eastAsia="" w:cs=""/>
                <w:b/>
                <w:bCs/>
                <w:kern w:val="0"/>
                <w:szCs w:val="22"/>
                <w:lang w:val="nl-NL" w:eastAsia="zh-CN" w:bidi="ar-SA"/>
              </w:rPr>
              <w:t>Experimental</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210 ± 24</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110 ± 19</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186 ± 13</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162 ± 33</w:t>
            </w:r>
          </w:p>
        </w:tc>
      </w:tr>
      <w:tr>
        <w:trPr>
          <w:trHeight w:val="267" w:hRule="atLeast"/>
        </w:trPr>
        <w:tc>
          <w:tcPr>
            <w:tcW w:w="1895" w:type="dxa"/>
            <w:tcBorders/>
          </w:tcPr>
          <w:p>
            <w:pPr>
              <w:pStyle w:val="NoSpacing"/>
              <w:widowControl w:val="false"/>
              <w:suppressAutoHyphens w:val="true"/>
              <w:spacing w:before="0" w:after="0"/>
              <w:rPr>
                <w:b/>
                <w:bCs/>
              </w:rPr>
            </w:pPr>
            <w:r>
              <w:rPr>
                <w:rFonts w:eastAsia="" w:cs=""/>
                <w:b/>
                <w:bCs/>
                <w:kern w:val="0"/>
                <w:szCs w:val="22"/>
                <w:lang w:val="nl-NL" w:eastAsia="zh-CN" w:bidi="ar-SA"/>
              </w:rPr>
              <w:t>EST</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N/A</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116 ± 26</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N/A</w:t>
            </w:r>
          </w:p>
        </w:tc>
        <w:tc>
          <w:tcPr>
            <w:tcW w:w="1895" w:type="dxa"/>
            <w:tcBorders/>
          </w:tcPr>
          <w:p>
            <w:pPr>
              <w:pStyle w:val="NoSpacing"/>
              <w:widowControl w:val="false"/>
              <w:suppressAutoHyphens w:val="true"/>
              <w:spacing w:before="0" w:after="0"/>
              <w:rPr>
                <w:rFonts w:eastAsia="" w:cs=""/>
                <w:kern w:val="0"/>
                <w:szCs w:val="22"/>
                <w:lang w:val="nl-NL" w:eastAsia="zh-CN" w:bidi="ar-SA"/>
              </w:rPr>
            </w:pPr>
            <w:r>
              <w:rPr>
                <w:rFonts w:eastAsia="" w:cs=""/>
                <w:kern w:val="0"/>
                <w:szCs w:val="22"/>
                <w:lang w:val="nl-NL" w:eastAsia="zh-CN" w:bidi="ar-SA"/>
              </w:rPr>
              <w:t>122 ± 17</w:t>
            </w:r>
          </w:p>
        </w:tc>
      </w:tr>
    </w:tbl>
    <w:p>
      <w:pPr>
        <w:pStyle w:val="Figuuronderschrift"/>
        <w:jc w:val="center"/>
        <w:rPr/>
      </w:pPr>
      <w:r>
        <w:rPr/>
      </w:r>
    </w:p>
    <w:p>
      <w:pPr>
        <w:pStyle w:val="NoSpacing"/>
        <w:rPr/>
      </w:pPr>
      <w:r>
        <w:rPr/>
      </w:r>
    </w:p>
    <w:p>
      <w:pPr>
        <w:pStyle w:val="NoSpacing"/>
        <w:rPr/>
      </w:pPr>
      <w:r>
        <w:rPr/>
        <w:drawing>
          <wp:inline distT="0" distB="0" distL="0" distR="0">
            <wp:extent cx="6074410" cy="3351530"/>
            <wp:effectExtent l="0" t="0" r="0" b="0"/>
            <wp:docPr id="1" name="Picture 1" descr="A collage of images of a green ov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images of a green oval&#10;&#10;AI-generated content may be incorrect."/>
                    <pic:cNvPicPr>
                      <a:picLocks noChangeAspect="1" noChangeArrowheads="1"/>
                    </pic:cNvPicPr>
                  </pic:nvPicPr>
                  <pic:blipFill>
                    <a:blip r:embed="rId2"/>
                    <a:srcRect l="7677" t="0" r="26274" b="0"/>
                    <a:stretch>
                      <a:fillRect/>
                    </a:stretch>
                  </pic:blipFill>
                  <pic:spPr bwMode="auto">
                    <a:xfrm>
                      <a:off x="0" y="0"/>
                      <a:ext cx="6074410" cy="3351530"/>
                    </a:xfrm>
                    <a:prstGeom prst="rect">
                      <a:avLst/>
                    </a:prstGeom>
                    <a:noFill/>
                  </pic:spPr>
                </pic:pic>
              </a:graphicData>
            </a:graphic>
          </wp:inline>
        </w:drawing>
      </w:r>
    </w:p>
    <w:p>
      <w:pPr>
        <w:pStyle w:val="Figuuronderschrift"/>
        <w:rPr>
          <w:i/>
          <w:i/>
          <w:iCs/>
          <w:sz w:val="20"/>
          <w:szCs w:val="20"/>
          <w:lang w:val="en-US"/>
        </w:rPr>
      </w:pPr>
      <w:r>
        <w:rPr>
          <w:b/>
          <w:i/>
          <w:iCs/>
          <w:sz w:val="20"/>
          <w:szCs w:val="20"/>
          <w:lang w:val="en-US"/>
        </w:rPr>
        <w:t xml:space="preserve">Figure A1: </w:t>
      </w:r>
      <w:r>
        <w:rPr>
          <w:i/>
          <w:iCs/>
          <w:sz w:val="20"/>
          <w:szCs w:val="20"/>
          <w:lang w:val="en-US"/>
        </w:rPr>
        <w:t xml:space="preserve">Full Width at Half Maximum (FWHM) determination in CLSM and STED microscopy images of NHDF immunostained for lamins A/C. </w:t>
      </w:r>
      <w:r>
        <w:rPr>
          <w:b/>
          <w:i/>
          <w:iCs/>
          <w:sz w:val="20"/>
          <w:szCs w:val="20"/>
          <w:lang w:val="en-US"/>
        </w:rPr>
        <w:t>A-B</w:t>
      </w:r>
      <w:r>
        <w:rPr>
          <w:i/>
          <w:iCs/>
          <w:sz w:val="20"/>
          <w:szCs w:val="20"/>
          <w:lang w:val="en-US"/>
        </w:rPr>
        <w:t>) CLSM microscopy images of lamins A/C, either non-deconvolved (</w:t>
      </w:r>
      <w:r>
        <w:rPr>
          <w:b/>
          <w:bCs/>
          <w:i/>
          <w:iCs/>
          <w:sz w:val="20"/>
          <w:szCs w:val="20"/>
          <w:lang w:val="en-US"/>
        </w:rPr>
        <w:t>A</w:t>
      </w:r>
      <w:r>
        <w:rPr>
          <w:i/>
          <w:iCs/>
          <w:sz w:val="20"/>
          <w:szCs w:val="20"/>
          <w:lang w:val="en-US"/>
        </w:rPr>
        <w:t>) or deconvolved with the experimental PSF (</w:t>
      </w:r>
      <w:r>
        <w:rPr>
          <w:b/>
          <w:bCs/>
          <w:i/>
          <w:iCs/>
          <w:sz w:val="20"/>
          <w:szCs w:val="20"/>
          <w:lang w:val="en-US"/>
        </w:rPr>
        <w:t>B</w:t>
      </w:r>
      <w:r>
        <w:rPr>
          <w:i/>
          <w:iCs/>
          <w:sz w:val="20"/>
          <w:szCs w:val="20"/>
          <w:lang w:val="en-US"/>
        </w:rPr>
        <w:t>); the yellow line is used for the plot profiles displayed in (</w:t>
      </w:r>
      <w:r>
        <w:rPr>
          <w:b/>
          <w:i/>
          <w:iCs/>
          <w:sz w:val="20"/>
          <w:szCs w:val="20"/>
          <w:lang w:val="en-US"/>
        </w:rPr>
        <w:t>C-D</w:t>
      </w:r>
      <w:r>
        <w:rPr>
          <w:i/>
          <w:iCs/>
          <w:sz w:val="20"/>
          <w:szCs w:val="20"/>
          <w:lang w:val="en-US"/>
        </w:rPr>
        <w:t xml:space="preserve">). </w:t>
      </w:r>
      <w:r>
        <w:rPr>
          <w:b/>
          <w:i/>
          <w:iCs/>
          <w:sz w:val="20"/>
          <w:szCs w:val="20"/>
          <w:lang w:val="en-US"/>
        </w:rPr>
        <w:t>A’-B’</w:t>
      </w:r>
      <w:r>
        <w:rPr>
          <w:i/>
          <w:iCs/>
          <w:sz w:val="20"/>
          <w:szCs w:val="20"/>
          <w:lang w:val="en-US"/>
        </w:rPr>
        <w:t>) Higher magnification of the ROIs (white boxes) in (</w:t>
      </w:r>
      <w:r>
        <w:rPr>
          <w:b/>
          <w:i/>
          <w:iCs/>
          <w:sz w:val="20"/>
          <w:szCs w:val="20"/>
          <w:lang w:val="en-US"/>
        </w:rPr>
        <w:t>A</w:t>
      </w:r>
      <w:r>
        <w:rPr>
          <w:i/>
          <w:iCs/>
          <w:sz w:val="20"/>
          <w:szCs w:val="20"/>
          <w:lang w:val="en-US"/>
        </w:rPr>
        <w:t>) and (</w:t>
      </w:r>
      <w:r>
        <w:rPr>
          <w:b/>
          <w:i/>
          <w:iCs/>
          <w:sz w:val="20"/>
          <w:szCs w:val="20"/>
          <w:lang w:val="en-US"/>
        </w:rPr>
        <w:t>B</w:t>
      </w:r>
      <w:r>
        <w:rPr>
          <w:i/>
          <w:iCs/>
          <w:sz w:val="20"/>
          <w:szCs w:val="20"/>
          <w:lang w:val="en-US"/>
        </w:rPr>
        <w:t xml:space="preserve">), respectively. </w:t>
      </w:r>
      <w:r>
        <w:rPr>
          <w:b/>
          <w:i/>
          <w:iCs/>
          <w:sz w:val="20"/>
          <w:szCs w:val="20"/>
          <w:lang w:val="en-US"/>
        </w:rPr>
        <w:t>C-D</w:t>
      </w:r>
      <w:r>
        <w:rPr>
          <w:i/>
          <w:iCs/>
          <w:sz w:val="20"/>
          <w:szCs w:val="20"/>
          <w:lang w:val="en-US"/>
        </w:rPr>
        <w:t>) Example of a Gaussian fit of a CLSM microscopy image not deconvolved (</w:t>
      </w:r>
      <w:r>
        <w:rPr>
          <w:b/>
          <w:bCs/>
          <w:i/>
          <w:iCs/>
          <w:sz w:val="20"/>
          <w:szCs w:val="20"/>
          <w:lang w:val="en-US"/>
        </w:rPr>
        <w:t>C</w:t>
      </w:r>
      <w:r>
        <w:rPr>
          <w:i/>
          <w:iCs/>
          <w:sz w:val="20"/>
          <w:szCs w:val="20"/>
          <w:lang w:val="en-US"/>
        </w:rPr>
        <w:t>) or deconvolved with the experimental PSF (</w:t>
      </w:r>
      <w:r>
        <w:rPr>
          <w:b/>
          <w:bCs/>
          <w:i/>
          <w:iCs/>
          <w:sz w:val="20"/>
          <w:szCs w:val="20"/>
          <w:lang w:val="en-US"/>
        </w:rPr>
        <w:t>D</w:t>
      </w:r>
      <w:r>
        <w:rPr>
          <w:i/>
          <w:iCs/>
          <w:sz w:val="20"/>
          <w:szCs w:val="20"/>
          <w:lang w:val="en-US"/>
        </w:rPr>
        <w:t>); Gaussian fit (pink dotted line) of the plot profile (black solid line) of the yellow line in (</w:t>
      </w:r>
      <w:r>
        <w:rPr>
          <w:b/>
          <w:i/>
          <w:iCs/>
          <w:sz w:val="20"/>
          <w:szCs w:val="20"/>
          <w:lang w:val="en-US"/>
        </w:rPr>
        <w:t>A-B</w:t>
      </w:r>
      <w:r>
        <w:rPr>
          <w:i/>
          <w:iCs/>
          <w:sz w:val="20"/>
          <w:szCs w:val="20"/>
          <w:lang w:val="en-US"/>
        </w:rPr>
        <w:t xml:space="preserve">). </w:t>
      </w:r>
      <w:r>
        <w:rPr>
          <w:b/>
          <w:i/>
          <w:iCs/>
          <w:sz w:val="20"/>
          <w:szCs w:val="20"/>
          <w:lang w:val="en-US"/>
        </w:rPr>
        <w:t>E-F</w:t>
      </w:r>
      <w:r>
        <w:rPr>
          <w:i/>
          <w:iCs/>
          <w:sz w:val="20"/>
          <w:szCs w:val="20"/>
          <w:lang w:val="en-US"/>
        </w:rPr>
        <w:t>) STED microscopy image of lamins A/C, either non-deconvolved (</w:t>
      </w:r>
      <w:r>
        <w:rPr>
          <w:b/>
          <w:bCs/>
          <w:i/>
          <w:iCs/>
          <w:sz w:val="20"/>
          <w:szCs w:val="20"/>
          <w:lang w:val="en-US"/>
        </w:rPr>
        <w:t>E</w:t>
      </w:r>
      <w:r>
        <w:rPr>
          <w:i/>
          <w:iCs/>
          <w:sz w:val="20"/>
          <w:szCs w:val="20"/>
          <w:lang w:val="en-US"/>
        </w:rPr>
        <w:t>) or deconvolved with the EST PSF (</w:t>
      </w:r>
      <w:r>
        <w:rPr>
          <w:b/>
          <w:bCs/>
          <w:i/>
          <w:iCs/>
          <w:sz w:val="20"/>
          <w:szCs w:val="20"/>
          <w:lang w:val="en-US"/>
        </w:rPr>
        <w:t>F</w:t>
      </w:r>
      <w:r>
        <w:rPr>
          <w:i/>
          <w:iCs/>
          <w:sz w:val="20"/>
          <w:szCs w:val="20"/>
          <w:lang w:val="en-US"/>
        </w:rPr>
        <w:t>); the yellow line is used for the plot profiles displayed in (</w:t>
      </w:r>
      <w:r>
        <w:rPr>
          <w:b/>
          <w:i/>
          <w:iCs/>
          <w:sz w:val="20"/>
          <w:szCs w:val="20"/>
          <w:lang w:val="en-US"/>
        </w:rPr>
        <w:t>G-H</w:t>
      </w:r>
      <w:r>
        <w:rPr>
          <w:i/>
          <w:iCs/>
          <w:sz w:val="20"/>
          <w:szCs w:val="20"/>
          <w:lang w:val="en-US"/>
        </w:rPr>
        <w:t xml:space="preserve">). </w:t>
      </w:r>
      <w:r>
        <w:rPr>
          <w:b/>
          <w:i/>
          <w:iCs/>
          <w:sz w:val="20"/>
          <w:szCs w:val="20"/>
          <w:lang w:val="en-US"/>
        </w:rPr>
        <w:t>E’-F’</w:t>
      </w:r>
      <w:r>
        <w:rPr>
          <w:i/>
          <w:iCs/>
          <w:sz w:val="20"/>
          <w:szCs w:val="20"/>
          <w:lang w:val="en-US"/>
        </w:rPr>
        <w:t>) Higher magnifications of the ROIs (white boxes) in (</w:t>
      </w:r>
      <w:r>
        <w:rPr>
          <w:b/>
          <w:i/>
          <w:iCs/>
          <w:sz w:val="20"/>
          <w:szCs w:val="20"/>
          <w:lang w:val="en-US"/>
        </w:rPr>
        <w:t>E</w:t>
      </w:r>
      <w:r>
        <w:rPr>
          <w:i/>
          <w:iCs/>
          <w:sz w:val="20"/>
          <w:szCs w:val="20"/>
          <w:lang w:val="en-US"/>
        </w:rPr>
        <w:t>) and (</w:t>
      </w:r>
      <w:r>
        <w:rPr>
          <w:b/>
          <w:i/>
          <w:iCs/>
          <w:sz w:val="20"/>
          <w:szCs w:val="20"/>
          <w:lang w:val="en-US"/>
        </w:rPr>
        <w:t>F</w:t>
      </w:r>
      <w:r>
        <w:rPr>
          <w:i/>
          <w:iCs/>
          <w:sz w:val="20"/>
          <w:szCs w:val="20"/>
          <w:lang w:val="en-US"/>
        </w:rPr>
        <w:t xml:space="preserve">), respectively. </w:t>
      </w:r>
      <w:r>
        <w:rPr>
          <w:b/>
          <w:i/>
          <w:iCs/>
          <w:sz w:val="20"/>
          <w:szCs w:val="20"/>
          <w:lang w:val="en-US"/>
        </w:rPr>
        <w:t>G</w:t>
      </w:r>
      <w:r>
        <w:rPr>
          <w:i/>
          <w:iCs/>
          <w:sz w:val="20"/>
          <w:szCs w:val="20"/>
          <w:lang w:val="en-US"/>
        </w:rPr>
        <w:t>) Example of a Gaussian fit of the non-deconvolved STED microscopy image displayed in (</w:t>
      </w:r>
      <w:r>
        <w:rPr>
          <w:b/>
          <w:bCs/>
          <w:i/>
          <w:iCs/>
          <w:sz w:val="20"/>
          <w:szCs w:val="20"/>
          <w:lang w:val="en-US"/>
        </w:rPr>
        <w:t>E</w:t>
      </w:r>
      <w:r>
        <w:rPr>
          <w:i/>
          <w:iCs/>
          <w:sz w:val="20"/>
          <w:szCs w:val="20"/>
          <w:lang w:val="en-US"/>
        </w:rPr>
        <w:t xml:space="preserve">). Note that the height of the fitted curve (pink dotted line) is lower as compared to the raw data (black solid line) and therefore the FWHM of the fitted peak will be broader than is truly the case in the raw data. </w:t>
      </w:r>
      <w:r>
        <w:rPr>
          <w:b/>
          <w:i/>
          <w:iCs/>
          <w:sz w:val="20"/>
          <w:szCs w:val="20"/>
          <w:lang w:val="en-US"/>
        </w:rPr>
        <w:t>H</w:t>
      </w:r>
      <w:r>
        <w:rPr>
          <w:i/>
          <w:iCs/>
          <w:sz w:val="20"/>
          <w:szCs w:val="20"/>
          <w:lang w:val="en-US"/>
        </w:rPr>
        <w:t>) Example of a Gaussian fit of the deconvolved STED microscopy image displayed in (</w:t>
      </w:r>
      <w:r>
        <w:rPr>
          <w:b/>
          <w:bCs/>
          <w:i/>
          <w:iCs/>
          <w:sz w:val="20"/>
          <w:szCs w:val="20"/>
          <w:lang w:val="en-US"/>
        </w:rPr>
        <w:t>F</w:t>
      </w:r>
      <w:r>
        <w:rPr>
          <w:i/>
          <w:iCs/>
          <w:sz w:val="20"/>
          <w:szCs w:val="20"/>
          <w:lang w:val="en-US"/>
        </w:rPr>
        <w:t>). Scale bars A-B, E-F: 5 µm. Scale bars A’, B’, E’, F’: 1 µm.</w:t>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Aptos">
    <w:charset w:val="00"/>
    <w:family w:val="swiss"/>
    <w:pitch w:val="variable"/>
  </w:font>
  <w:font w:name="Aptos Display">
    <w:charset w:val="00"/>
    <w:family w:val="swiss"/>
    <w:pitch w:val="variable"/>
  </w:font>
  <w:font w:name="Calibri">
    <w:charset w:val="00"/>
    <w:family w:val="swiss"/>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trackRevision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Aptos" w:cs="" w:cstheme="minorBidi" w:eastAsiaTheme="minorHAnsi"/>
        <w:kern w:val="2"/>
        <w:szCs w:val="2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73d0"/>
    <w:pPr>
      <w:widowControl/>
      <w:bidi w:val="0"/>
      <w:spacing w:lineRule="auto" w:line="259" w:before="0" w:after="160"/>
      <w:jc w:val="left"/>
    </w:pPr>
    <w:rPr>
      <w:rFonts w:ascii="Aptos" w:hAnsi="Aptos" w:asciiTheme="minorHAnsi" w:hAnsiTheme="minorHAnsi" w:eastAsia="Aptos" w:cs=""/>
      <w:color w:val="auto"/>
      <w:kern w:val="0"/>
      <w:sz w:val="22"/>
      <w:szCs w:val="22"/>
      <w:lang w:val="en-US" w:eastAsia="en-US" w:bidi="ar-SA"/>
      <w14:ligatures w14:val="none"/>
    </w:rPr>
  </w:style>
  <w:style w:type="paragraph" w:styleId="Heading1">
    <w:name w:val="heading 1"/>
    <w:basedOn w:val="Normal"/>
    <w:next w:val="Normal"/>
    <w:link w:val="Heading1Char"/>
    <w:uiPriority w:val="9"/>
    <w:qFormat/>
    <w:rsid w:val="008873d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2E74B5"/>
      <w:sz w:val="40"/>
      <w:szCs w:val="40"/>
    </w:rPr>
  </w:style>
  <w:style w:type="paragraph" w:styleId="Heading2">
    <w:name w:val="heading 2"/>
    <w:basedOn w:val="Normal"/>
    <w:next w:val="Normal"/>
    <w:link w:val="Heading2Char"/>
    <w:uiPriority w:val="9"/>
    <w:unhideWhenUsed/>
    <w:qFormat/>
    <w:rsid w:val="008873d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2E74B5"/>
      <w:sz w:val="32"/>
      <w:szCs w:val="32"/>
    </w:rPr>
  </w:style>
  <w:style w:type="paragraph" w:styleId="Heading3">
    <w:name w:val="heading 3"/>
    <w:basedOn w:val="Normal"/>
    <w:next w:val="Normal"/>
    <w:link w:val="Heading3Char"/>
    <w:uiPriority w:val="9"/>
    <w:semiHidden/>
    <w:unhideWhenUsed/>
    <w:qFormat/>
    <w:rsid w:val="008873d0"/>
    <w:pPr>
      <w:keepNext w:val="true"/>
      <w:keepLines/>
      <w:spacing w:before="160" w:after="80"/>
      <w:outlineLvl w:val="2"/>
    </w:pPr>
    <w:rPr>
      <w:rFonts w:eastAsia="" w:cs="" w:cstheme="majorBidi" w:eastAsiaTheme="majorEastAsia"/>
      <w:color w:themeColor="accent1" w:themeShade="bf" w:val="2E74B5"/>
      <w:sz w:val="28"/>
      <w:szCs w:val="28"/>
    </w:rPr>
  </w:style>
  <w:style w:type="paragraph" w:styleId="Heading4">
    <w:name w:val="heading 4"/>
    <w:basedOn w:val="Normal"/>
    <w:next w:val="Normal"/>
    <w:link w:val="Heading4Char"/>
    <w:uiPriority w:val="9"/>
    <w:semiHidden/>
    <w:unhideWhenUsed/>
    <w:qFormat/>
    <w:rsid w:val="008873d0"/>
    <w:pPr>
      <w:keepNext w:val="true"/>
      <w:keepLines/>
      <w:spacing w:before="80" w:after="40"/>
      <w:outlineLvl w:val="3"/>
    </w:pPr>
    <w:rPr>
      <w:rFonts w:eastAsia="" w:cs="" w:cstheme="majorBidi" w:eastAsiaTheme="majorEastAsia"/>
      <w:i/>
      <w:iCs/>
      <w:color w:themeColor="accent1" w:themeShade="bf" w:val="2E74B5"/>
    </w:rPr>
  </w:style>
  <w:style w:type="paragraph" w:styleId="Heading5">
    <w:name w:val="heading 5"/>
    <w:basedOn w:val="Normal"/>
    <w:next w:val="Normal"/>
    <w:link w:val="Heading5Char"/>
    <w:uiPriority w:val="9"/>
    <w:semiHidden/>
    <w:unhideWhenUsed/>
    <w:qFormat/>
    <w:rsid w:val="008873d0"/>
    <w:pPr>
      <w:keepNext w:val="true"/>
      <w:keepLines/>
      <w:spacing w:before="80" w:after="40"/>
      <w:outlineLvl w:val="4"/>
    </w:pPr>
    <w:rPr>
      <w:rFonts w:eastAsia="" w:cs="" w:cstheme="majorBidi" w:eastAsiaTheme="majorEastAsia"/>
      <w:color w:themeColor="accent1" w:themeShade="bf" w:val="2E74B5"/>
    </w:rPr>
  </w:style>
  <w:style w:type="paragraph" w:styleId="Heading6">
    <w:name w:val="heading 6"/>
    <w:basedOn w:val="Normal"/>
    <w:next w:val="Normal"/>
    <w:link w:val="Heading6Char"/>
    <w:uiPriority w:val="9"/>
    <w:semiHidden/>
    <w:unhideWhenUsed/>
    <w:qFormat/>
    <w:rsid w:val="008873d0"/>
    <w:pPr>
      <w:keepNext w:val="true"/>
      <w:keepLines/>
      <w:spacing w:before="40" w:after="16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8873d0"/>
    <w:pPr>
      <w:keepNext w:val="true"/>
      <w:keepLines/>
      <w:spacing w:before="40" w:after="16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8873d0"/>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8873d0"/>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873d0"/>
    <w:rPr>
      <w:rFonts w:ascii="Aptos Display" w:hAnsi="Aptos Display" w:eastAsia="" w:cs="" w:asciiTheme="majorHAnsi" w:cstheme="majorBidi" w:eastAsiaTheme="majorEastAsia" w:hAnsiTheme="majorHAnsi"/>
      <w:color w:themeColor="accent1" w:themeShade="bf" w:val="2E74B5"/>
      <w:sz w:val="40"/>
      <w:szCs w:val="40"/>
    </w:rPr>
  </w:style>
  <w:style w:type="character" w:styleId="Heading2Char" w:customStyle="1">
    <w:name w:val="Heading 2 Char"/>
    <w:basedOn w:val="DefaultParagraphFont"/>
    <w:link w:val="Heading2"/>
    <w:uiPriority w:val="9"/>
    <w:qFormat/>
    <w:rsid w:val="008873d0"/>
    <w:rPr>
      <w:rFonts w:ascii="Aptos Display" w:hAnsi="Aptos Display" w:eastAsia="" w:cs="" w:asciiTheme="majorHAnsi" w:cstheme="majorBidi" w:eastAsiaTheme="majorEastAsia" w:hAnsiTheme="majorHAnsi"/>
      <w:color w:themeColor="accent1" w:themeShade="bf" w:val="2E74B5"/>
      <w:sz w:val="32"/>
      <w:szCs w:val="32"/>
    </w:rPr>
  </w:style>
  <w:style w:type="character" w:styleId="Heading3Char" w:customStyle="1">
    <w:name w:val="Heading 3 Char"/>
    <w:basedOn w:val="DefaultParagraphFont"/>
    <w:link w:val="Heading3"/>
    <w:uiPriority w:val="9"/>
    <w:semiHidden/>
    <w:qFormat/>
    <w:rsid w:val="008873d0"/>
    <w:rPr>
      <w:rFonts w:ascii="Aptos" w:hAnsi="Aptos" w:eastAsia="" w:cs="" w:asciiTheme="minorHAnsi" w:cstheme="majorBidi" w:eastAsiaTheme="majorEastAsia" w:hAnsiTheme="minorHAnsi"/>
      <w:color w:themeColor="accent1" w:themeShade="bf" w:val="2E74B5"/>
      <w:sz w:val="28"/>
      <w:szCs w:val="28"/>
    </w:rPr>
  </w:style>
  <w:style w:type="character" w:styleId="Heading4Char" w:customStyle="1">
    <w:name w:val="Heading 4 Char"/>
    <w:basedOn w:val="DefaultParagraphFont"/>
    <w:link w:val="Heading4"/>
    <w:uiPriority w:val="9"/>
    <w:semiHidden/>
    <w:qFormat/>
    <w:rsid w:val="008873d0"/>
    <w:rPr>
      <w:rFonts w:ascii="Aptos" w:hAnsi="Aptos" w:eastAsia="" w:cs="" w:asciiTheme="minorHAnsi" w:cstheme="majorBidi" w:eastAsiaTheme="majorEastAsia" w:hAnsiTheme="minorHAnsi"/>
      <w:i/>
      <w:iCs/>
      <w:color w:themeColor="accent1" w:themeShade="bf" w:val="2E74B5"/>
    </w:rPr>
  </w:style>
  <w:style w:type="character" w:styleId="Heading5Char" w:customStyle="1">
    <w:name w:val="Heading 5 Char"/>
    <w:basedOn w:val="DefaultParagraphFont"/>
    <w:link w:val="Heading5"/>
    <w:uiPriority w:val="9"/>
    <w:semiHidden/>
    <w:qFormat/>
    <w:rsid w:val="008873d0"/>
    <w:rPr>
      <w:rFonts w:ascii="Aptos" w:hAnsi="Aptos" w:eastAsia="" w:cs="" w:asciiTheme="minorHAnsi" w:cstheme="majorBidi" w:eastAsiaTheme="majorEastAsia" w:hAnsiTheme="minorHAnsi"/>
      <w:color w:themeColor="accent1" w:themeShade="bf" w:val="2E74B5"/>
    </w:rPr>
  </w:style>
  <w:style w:type="character" w:styleId="Heading6Char" w:customStyle="1">
    <w:name w:val="Heading 6 Char"/>
    <w:basedOn w:val="DefaultParagraphFont"/>
    <w:link w:val="Heading6"/>
    <w:uiPriority w:val="9"/>
    <w:semiHidden/>
    <w:qFormat/>
    <w:rsid w:val="008873d0"/>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8873d0"/>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8873d0"/>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8873d0"/>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8873d0"/>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873d0"/>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8873d0"/>
    <w:rPr>
      <w:i/>
      <w:iCs/>
      <w:color w:themeColor="text1" w:themeTint="bf" w:val="404040"/>
    </w:rPr>
  </w:style>
  <w:style w:type="character" w:styleId="IntenseEmphasis">
    <w:name w:val="Intense Emphasis"/>
    <w:basedOn w:val="DefaultParagraphFont"/>
    <w:uiPriority w:val="21"/>
    <w:qFormat/>
    <w:rsid w:val="008873d0"/>
    <w:rPr>
      <w:i/>
      <w:iCs/>
      <w:color w:themeColor="accent1" w:themeShade="bf" w:val="2E74B5"/>
    </w:rPr>
  </w:style>
  <w:style w:type="character" w:styleId="IntenseQuoteChar" w:customStyle="1">
    <w:name w:val="Intense Quote Char"/>
    <w:basedOn w:val="DefaultParagraphFont"/>
    <w:link w:val="IntenseQuote"/>
    <w:uiPriority w:val="30"/>
    <w:qFormat/>
    <w:rsid w:val="008873d0"/>
    <w:rPr>
      <w:i/>
      <w:iCs/>
      <w:color w:themeColor="accent1" w:themeShade="bf" w:val="2E74B5"/>
    </w:rPr>
  </w:style>
  <w:style w:type="character" w:styleId="IntenseReference">
    <w:name w:val="Intense Reference"/>
    <w:basedOn w:val="DefaultParagraphFont"/>
    <w:uiPriority w:val="32"/>
    <w:qFormat/>
    <w:rsid w:val="008873d0"/>
    <w:rPr>
      <w:b/>
      <w:bCs/>
      <w:smallCaps/>
      <w:color w:themeColor="accent1" w:themeShade="bf" w:val="2E74B5"/>
      <w:spacing w:val="5"/>
    </w:rPr>
  </w:style>
  <w:style w:type="character" w:styleId="NoSpacingChar" w:customStyle="1">
    <w:name w:val="No Spacing Char"/>
    <w:basedOn w:val="DefaultParagraphFont"/>
    <w:link w:val="NoSpacing"/>
    <w:uiPriority w:val="1"/>
    <w:qFormat/>
    <w:rsid w:val="008873d0"/>
    <w:rPr>
      <w:rFonts w:ascii="Calibri" w:hAnsi="Calibri"/>
      <w:sz w:val="22"/>
    </w:rPr>
  </w:style>
  <w:style w:type="character" w:styleId="FiguuronderschriftChar" w:customStyle="1">
    <w:name w:val="Figuur onderschrift Char"/>
    <w:basedOn w:val="NoSpacingChar"/>
    <w:link w:val="Figuuronderschrift"/>
    <w:qFormat/>
    <w:rsid w:val="008873d0"/>
    <w:rPr>
      <w:rFonts w:ascii="Calibri" w:hAnsi="Calibri"/>
      <w:sz w:val="22"/>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8873d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873d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8873d0"/>
    <w:pPr>
      <w:spacing w:before="160" w:after="160"/>
      <w:jc w:val="center"/>
    </w:pPr>
    <w:rPr>
      <w:i/>
      <w:iCs/>
      <w:color w:themeColor="text1" w:themeTint="bf" w:val="404040"/>
    </w:rPr>
  </w:style>
  <w:style w:type="paragraph" w:styleId="ListParagraph">
    <w:name w:val="List Paragraph"/>
    <w:basedOn w:val="Normal"/>
    <w:uiPriority w:val="34"/>
    <w:qFormat/>
    <w:rsid w:val="008873d0"/>
    <w:pPr>
      <w:spacing w:before="0" w:after="160"/>
      <w:ind w:left="720"/>
      <w:contextualSpacing/>
    </w:pPr>
    <w:rPr/>
  </w:style>
  <w:style w:type="paragraph" w:styleId="IntenseQuote">
    <w:name w:val="Intense Quote"/>
    <w:basedOn w:val="Normal"/>
    <w:next w:val="Normal"/>
    <w:link w:val="IntenseQuoteChar"/>
    <w:uiPriority w:val="30"/>
    <w:qFormat/>
    <w:rsid w:val="008873d0"/>
    <w:pPr>
      <w:pBdr>
        <w:top w:val="single" w:sz="4" w:space="10" w:color="2E74B5" w:themeColor="accent1" w:themeShade="bf"/>
        <w:bottom w:val="single" w:sz="4" w:space="10" w:color="2E74B5" w:themeColor="accent1" w:themeShade="bf"/>
      </w:pBdr>
      <w:spacing w:before="360" w:after="360"/>
      <w:ind w:left="864" w:right="864"/>
      <w:jc w:val="center"/>
    </w:pPr>
    <w:rPr>
      <w:i/>
      <w:iCs/>
      <w:color w:themeColor="accent1" w:themeShade="bf" w:val="2E74B5"/>
    </w:rPr>
  </w:style>
  <w:style w:type="paragraph" w:styleId="NoSpacing">
    <w:name w:val="No Spacing"/>
    <w:link w:val="NoSpacingChar"/>
    <w:uiPriority w:val="1"/>
    <w:qFormat/>
    <w:rsid w:val="008873d0"/>
    <w:pPr>
      <w:widowControl/>
      <w:bidi w:val="0"/>
      <w:spacing w:lineRule="auto" w:line="240" w:before="0" w:after="0"/>
      <w:jc w:val="both"/>
    </w:pPr>
    <w:rPr>
      <w:rFonts w:ascii="Calibri" w:hAnsi="Calibri" w:eastAsia="Aptos" w:cs="" w:cstheme="minorBidi" w:eastAsiaTheme="minorHAnsi"/>
      <w:color w:val="auto"/>
      <w:kern w:val="2"/>
      <w:sz w:val="22"/>
      <w:szCs w:val="22"/>
      <w:lang w:val="nl-NL" w:eastAsia="en-US" w:bidi="ar-SA"/>
      <w14:ligatures w14:val="standardContextual"/>
    </w:rPr>
  </w:style>
  <w:style w:type="paragraph" w:styleId="Figuuronderschrift" w:customStyle="1">
    <w:name w:val="Figuur onderschrift"/>
    <w:basedOn w:val="NoSpacing"/>
    <w:next w:val="NoSpacing"/>
    <w:link w:val="FiguuronderschriftChar"/>
    <w:qFormat/>
    <w:rsid w:val="008873d0"/>
    <w:pPr/>
    <w:rPr/>
  </w:style>
  <w:style w:type="paragraph" w:styleId="Revision">
    <w:name w:val="Revision"/>
    <w:uiPriority w:val="99"/>
    <w:semiHidden/>
    <w:qFormat/>
    <w:rsid w:val="00837378"/>
    <w:pPr>
      <w:widowControl/>
      <w:bidi w:val="0"/>
      <w:spacing w:lineRule="auto" w:line="240" w:before="0" w:after="0"/>
      <w:jc w:val="left"/>
    </w:pPr>
    <w:rPr>
      <w:rFonts w:ascii="Aptos" w:hAnsi="Aptos" w:asciiTheme="minorHAnsi" w:hAnsiTheme="minorHAnsi" w:eastAsia="Aptos" w:cs=""/>
      <w:color w:val="auto"/>
      <w:kern w:val="0"/>
      <w:sz w:val="22"/>
      <w:szCs w:val="22"/>
      <w:lang w:val="en-US" w:eastAsia="en-US"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873d0"/>
    <w:pPr>
      <w:spacing w:line="240" w:lineRule="auto"/>
    </w:pPr>
    <w:rPr>
      <w:rFonts w:eastAsiaTheme="minorEastAsia"/>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ti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LibreOffice/25.2.6.2$Windows_X86_64 LibreOffice_project/729c5bfe710f5eb71ed3bbde9e06a6065e9c6c5d</Application>
  <AppVersion>15.0000</AppVersion>
  <Pages>1</Pages>
  <Words>358</Words>
  <Characters>1656</Characters>
  <CharactersWithSpaces>1991</CharactersWithSpaces>
  <Paragraphs>26</Paragraphs>
  <Company>Maastricht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2025-09-27T14:21:00Z</dcterms:created>
  <dc:creator>Stiekema, Merel (GEN)</dc:creator>
  <dc:description/>
  <dc:language>en-IN</dc:language>
  <cp:lastModifiedBy/>
  <dcterms:modified xsi:type="dcterms:W3CDTF">2025-11-19T18:44:07Z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