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30" w:rsidRPr="0076704B" w:rsidRDefault="0076704B" w:rsidP="0076704B">
      <w:pPr>
        <w:spacing w:before="0" w:after="120" w:line="240" w:lineRule="atLeast"/>
        <w:rPr>
          <w:b/>
          <w:sz w:val="28"/>
          <w:szCs w:val="28"/>
        </w:rPr>
      </w:pPr>
      <w:bookmarkStart w:id="0" w:name="_GoBack"/>
      <w:bookmarkEnd w:id="0"/>
      <w:r w:rsidRPr="0076704B">
        <w:rPr>
          <w:b/>
          <w:sz w:val="28"/>
          <w:szCs w:val="28"/>
        </w:rPr>
        <w:t>Supplementary material</w:t>
      </w:r>
    </w:p>
    <w:p w:rsidR="00A17479" w:rsidRPr="0076704B" w:rsidRDefault="00A17479" w:rsidP="0076704B">
      <w:pPr>
        <w:spacing w:before="0" w:after="120" w:line="240" w:lineRule="atLeast"/>
        <w:rPr>
          <w:b/>
          <w:sz w:val="22"/>
          <w:szCs w:val="22"/>
        </w:rPr>
      </w:pPr>
      <w:r w:rsidRPr="0076704B">
        <w:rPr>
          <w:b/>
          <w:sz w:val="22"/>
          <w:szCs w:val="22"/>
        </w:rPr>
        <w:t xml:space="preserve">Taxonomy of </w:t>
      </w:r>
      <w:r w:rsidRPr="0076704B">
        <w:rPr>
          <w:b/>
          <w:i/>
          <w:sz w:val="22"/>
          <w:szCs w:val="22"/>
        </w:rPr>
        <w:t>Ctenomys</w:t>
      </w:r>
      <w:r w:rsidRPr="0076704B">
        <w:rPr>
          <w:b/>
          <w:sz w:val="22"/>
          <w:szCs w:val="22"/>
        </w:rPr>
        <w:t xml:space="preserve"> (Rodentia: Ctenomyidae) in northwestern Patagonia, Argentina: the occurrence of the “</w:t>
      </w:r>
      <w:r w:rsidRPr="0076704B">
        <w:rPr>
          <w:b/>
          <w:i/>
          <w:sz w:val="22"/>
          <w:szCs w:val="22"/>
        </w:rPr>
        <w:t>mendocinus</w:t>
      </w:r>
      <w:r w:rsidRPr="0076704B">
        <w:rPr>
          <w:b/>
          <w:sz w:val="22"/>
          <w:szCs w:val="22"/>
        </w:rPr>
        <w:t xml:space="preserve">” lineage </w:t>
      </w:r>
    </w:p>
    <w:p w:rsidR="005B5930" w:rsidRPr="0076704B" w:rsidRDefault="0076704B" w:rsidP="0076704B">
      <w:pPr>
        <w:spacing w:before="0" w:after="120" w:line="240" w:lineRule="atLeast"/>
        <w:rPr>
          <w:sz w:val="22"/>
          <w:szCs w:val="22"/>
        </w:rPr>
      </w:pPr>
      <w:r w:rsidRPr="0076704B">
        <w:rPr>
          <w:sz w:val="22"/>
          <w:szCs w:val="22"/>
        </w:rPr>
        <w:t xml:space="preserve">Mauro N. Tammone </w:t>
      </w:r>
      <w:r w:rsidR="005B5930" w:rsidRPr="0076704B">
        <w:rPr>
          <w:sz w:val="22"/>
          <w:szCs w:val="22"/>
        </w:rPr>
        <w:t>and Ulyses F.J. Pardiñas</w:t>
      </w:r>
    </w:p>
    <w:p w:rsidR="0076704B" w:rsidRPr="0076704B" w:rsidRDefault="0076704B" w:rsidP="0076704B">
      <w:pPr>
        <w:spacing w:before="0" w:after="120" w:line="240" w:lineRule="atLeast"/>
        <w:rPr>
          <w:sz w:val="22"/>
          <w:szCs w:val="22"/>
        </w:rPr>
      </w:pPr>
      <w:r w:rsidRPr="0076704B">
        <w:rPr>
          <w:sz w:val="22"/>
          <w:szCs w:val="22"/>
        </w:rPr>
        <w:t>DOI 10.1515/mammalia-2021-0032</w:t>
      </w:r>
    </w:p>
    <w:p w:rsidR="005B5930" w:rsidRDefault="005B5930" w:rsidP="00CF7ED9">
      <w:pPr>
        <w:rPr>
          <w:b/>
        </w:rPr>
      </w:pPr>
    </w:p>
    <w:p w:rsidR="0076704B" w:rsidRPr="001932A3" w:rsidRDefault="0076704B" w:rsidP="00CF7ED9">
      <w:pPr>
        <w:rPr>
          <w:b/>
        </w:rPr>
      </w:pPr>
    </w:p>
    <w:p w:rsidR="005B5930" w:rsidRDefault="005B5930" w:rsidP="00CF7ED9">
      <w:r>
        <w:rPr>
          <w:b/>
        </w:rPr>
        <w:t xml:space="preserve">Appendix </w:t>
      </w:r>
      <w:r w:rsidR="0076704B">
        <w:rPr>
          <w:b/>
        </w:rPr>
        <w:t>1:</w:t>
      </w:r>
      <w:r w:rsidRPr="001932A3">
        <w:rPr>
          <w:b/>
        </w:rPr>
        <w:t xml:space="preserve"> </w:t>
      </w:r>
      <w:r w:rsidRPr="001932A3">
        <w:t>Selected localities (from Bidau 2015, except as noted) that are representative of species in the “</w:t>
      </w:r>
      <w:r w:rsidRPr="001932A3">
        <w:rPr>
          <w:i/>
        </w:rPr>
        <w:t>mendocinus</w:t>
      </w:r>
      <w:r w:rsidRPr="001932A3">
        <w:t>” and “</w:t>
      </w:r>
      <w:r w:rsidRPr="001932A3">
        <w:rPr>
          <w:i/>
        </w:rPr>
        <w:t>magellanicus</w:t>
      </w:r>
      <w:r w:rsidRPr="001932A3">
        <w:t xml:space="preserve">” lineages. Also are indicated populations of unresolved species identity. Numbers and letters correspond to those used in Figure 1. </w:t>
      </w:r>
    </w:p>
    <w:p w:rsidR="0076704B" w:rsidRPr="001932A3" w:rsidRDefault="0076704B" w:rsidP="00CF7ED9"/>
    <w:p w:rsidR="005B5930" w:rsidRPr="001932A3" w:rsidRDefault="005B5930" w:rsidP="00CF7ED9">
      <w:pPr>
        <w:rPr>
          <w:lang w:val="es-AR"/>
        </w:rPr>
      </w:pPr>
      <w:r w:rsidRPr="001932A3">
        <w:rPr>
          <w:b/>
        </w:rPr>
        <w:t>“</w:t>
      </w:r>
      <w:r w:rsidRPr="001932A3">
        <w:rPr>
          <w:b/>
          <w:i/>
        </w:rPr>
        <w:t>mendocinus</w:t>
      </w:r>
      <w:r w:rsidRPr="001932A3">
        <w:rPr>
          <w:b/>
        </w:rPr>
        <w:t>” lineage:</w:t>
      </w:r>
      <w:r w:rsidRPr="001932A3">
        <w:t xml:space="preserve"> </w:t>
      </w:r>
      <w:r w:rsidRPr="001932A3">
        <w:rPr>
          <w:i/>
        </w:rPr>
        <w:t>C. mendocinus</w:t>
      </w:r>
      <w:r w:rsidRPr="001932A3">
        <w:t xml:space="preserve">.—Mendoza Province: (1) Mendoza (type locality), (2) Nacuñán, (3) El Nihuil (Tammone et al. </w:t>
      </w:r>
      <w:r w:rsidR="00F506AA">
        <w:t>in press</w:t>
      </w:r>
      <w:r w:rsidRPr="001932A3">
        <w:t xml:space="preserve">); </w:t>
      </w:r>
      <w:r w:rsidRPr="001932A3">
        <w:rPr>
          <w:i/>
        </w:rPr>
        <w:t>C. azarae</w:t>
      </w:r>
      <w:r w:rsidRPr="001932A3">
        <w:t xml:space="preserve">.—La Pampa Province, (4) General Acha (type locality), (5) 25 de Mayo; </w:t>
      </w:r>
      <w:r w:rsidRPr="001932A3">
        <w:rPr>
          <w:i/>
        </w:rPr>
        <w:t>C. porteousi</w:t>
      </w:r>
      <w:r w:rsidRPr="001932A3">
        <w:t xml:space="preserve">.—Buenos Aires Province, (6) Laguna Alsina (= Estación Bonifacio; type locality); </w:t>
      </w:r>
      <w:r w:rsidRPr="001932A3">
        <w:rPr>
          <w:i/>
        </w:rPr>
        <w:t>C. australis</w:t>
      </w:r>
      <w:r w:rsidRPr="001932A3">
        <w:t xml:space="preserve">.—Buenos Aires Province, (7) Necochea (type locality); </w:t>
      </w:r>
      <w:r w:rsidRPr="001932A3">
        <w:rPr>
          <w:i/>
        </w:rPr>
        <w:t xml:space="preserve">C. </w:t>
      </w:r>
      <w:r w:rsidRPr="001932A3">
        <w:t>“</w:t>
      </w:r>
      <w:r w:rsidRPr="001932A3">
        <w:rPr>
          <w:i/>
        </w:rPr>
        <w:t>chasiquensis</w:t>
      </w:r>
      <w:r w:rsidRPr="001932A3">
        <w:t xml:space="preserve">.”—Buenos Aires Province, (8) Laguna Chasicó (Mapelli et al. 2017), </w:t>
      </w:r>
      <w:r w:rsidRPr="001932A3">
        <w:rPr>
          <w:i/>
        </w:rPr>
        <w:t>Ctenomys</w:t>
      </w:r>
      <w:r w:rsidRPr="001932A3">
        <w:t xml:space="preserve"> sp.— </w:t>
      </w:r>
      <w:r w:rsidRPr="001932A3">
        <w:rPr>
          <w:lang w:val="es-AR"/>
        </w:rPr>
        <w:t>Neuquén Province: (a) Reserva Provincial Auca Mahuida (red dot; this paper), (b) Añelo (red dot; this paper).</w:t>
      </w:r>
    </w:p>
    <w:p w:rsidR="005B5930" w:rsidRPr="001932A3" w:rsidRDefault="005B5930" w:rsidP="00CF7ED9">
      <w:pPr>
        <w:rPr>
          <w:lang w:val="es-AR"/>
        </w:rPr>
      </w:pPr>
      <w:r w:rsidRPr="001932A3">
        <w:rPr>
          <w:b/>
          <w:lang w:val="es-AR"/>
        </w:rPr>
        <w:t>“</w:t>
      </w:r>
      <w:r w:rsidRPr="001932A3">
        <w:rPr>
          <w:b/>
          <w:i/>
          <w:lang w:val="es-AR"/>
        </w:rPr>
        <w:t>magellanicus</w:t>
      </w:r>
      <w:r w:rsidRPr="001932A3">
        <w:rPr>
          <w:b/>
          <w:lang w:val="es-AR"/>
        </w:rPr>
        <w:t>” lineage:</w:t>
      </w:r>
      <w:r w:rsidRPr="001932A3">
        <w:rPr>
          <w:lang w:val="es-AR"/>
        </w:rPr>
        <w:t xml:space="preserve"> </w:t>
      </w:r>
      <w:r w:rsidRPr="001932A3">
        <w:rPr>
          <w:i/>
          <w:lang w:val="es-AR"/>
        </w:rPr>
        <w:t>C. haigi</w:t>
      </w:r>
      <w:r w:rsidRPr="001932A3">
        <w:rPr>
          <w:lang w:val="es-AR"/>
        </w:rPr>
        <w:t>.—Neuquén Province, (9) Collón Cura, (10) Zapala; Río Negro Province, (11) Comallo, (12) Pilca</w:t>
      </w:r>
      <w:r>
        <w:rPr>
          <w:lang w:val="es-AR"/>
        </w:rPr>
        <w:t>niyeu, (13) Cerro Corona (Teta and D’</w:t>
      </w:r>
      <w:r w:rsidRPr="001932A3">
        <w:rPr>
          <w:lang w:val="es-AR"/>
        </w:rPr>
        <w:t>Elía 2020); Chubut Province, (14) El Maitén (</w:t>
      </w:r>
      <w:r>
        <w:rPr>
          <w:lang w:val="es-AR"/>
        </w:rPr>
        <w:t>type locality), Talagapa (Teta and</w:t>
      </w:r>
      <w:r w:rsidRPr="001932A3">
        <w:rPr>
          <w:lang w:val="es-AR"/>
        </w:rPr>
        <w:t xml:space="preserve"> D’Elía 2020). </w:t>
      </w:r>
      <w:r w:rsidRPr="00C16097">
        <w:rPr>
          <w:i/>
        </w:rPr>
        <w:t>C. bidaui</w:t>
      </w:r>
      <w:r w:rsidRPr="00C16097">
        <w:t xml:space="preserve">.—Chubut Province, (15) Puerto Pirámides (type locality, Teta and D’Elía 2020). </w:t>
      </w:r>
      <w:r w:rsidRPr="001932A3">
        <w:rPr>
          <w:i/>
          <w:lang w:val="es-AR"/>
        </w:rPr>
        <w:t>C. contrerasi</w:t>
      </w:r>
      <w:r w:rsidRPr="001932A3">
        <w:rPr>
          <w:lang w:val="es-AR"/>
        </w:rPr>
        <w:t xml:space="preserve">.—Chubut Province, (16) Estancia El </w:t>
      </w:r>
      <w:r>
        <w:rPr>
          <w:lang w:val="es-AR"/>
        </w:rPr>
        <w:t>Desempeño (type locality, Teta and</w:t>
      </w:r>
      <w:r w:rsidRPr="001932A3">
        <w:rPr>
          <w:lang w:val="es-AR"/>
        </w:rPr>
        <w:t xml:space="preserve"> D’Elía 2020). </w:t>
      </w:r>
    </w:p>
    <w:p w:rsidR="005B5930" w:rsidRDefault="005B5930" w:rsidP="00CF7ED9">
      <w:r w:rsidRPr="001932A3">
        <w:rPr>
          <w:b/>
        </w:rPr>
        <w:t>Populations of unresolved species status</w:t>
      </w:r>
      <w:r w:rsidRPr="001932A3">
        <w:t xml:space="preserve">: Río Negro Province: (17, 18, 19) Aguada Cecilio, Arroyo Los Berros, San Antonio Oeste, respectively, assigned to </w:t>
      </w:r>
      <w:r w:rsidRPr="001932A3">
        <w:rPr>
          <w:i/>
        </w:rPr>
        <w:t>C. sericeus</w:t>
      </w:r>
      <w:r w:rsidRPr="001932A3">
        <w:t xml:space="preserve"> (“</w:t>
      </w:r>
      <w:r w:rsidRPr="001932A3">
        <w:rPr>
          <w:i/>
        </w:rPr>
        <w:t>magellanicus</w:t>
      </w:r>
      <w:r w:rsidRPr="001932A3">
        <w:t xml:space="preserve">” lineage) by Thomas (1929), who indicated that it may grade into </w:t>
      </w:r>
      <w:r w:rsidRPr="001932A3">
        <w:rPr>
          <w:i/>
        </w:rPr>
        <w:t xml:space="preserve">C. </w:t>
      </w:r>
      <w:r w:rsidRPr="001932A3">
        <w:rPr>
          <w:i/>
        </w:rPr>
        <w:lastRenderedPageBreak/>
        <w:t>mendocinus</w:t>
      </w:r>
      <w:r w:rsidRPr="001932A3">
        <w:t xml:space="preserve">, (20) Pichi Mahuida assigned to </w:t>
      </w:r>
      <w:r w:rsidRPr="001932A3">
        <w:rPr>
          <w:i/>
        </w:rPr>
        <w:t>C. mendocinus</w:t>
      </w:r>
      <w:r w:rsidRPr="001932A3">
        <w:t xml:space="preserve"> but it may grade into </w:t>
      </w:r>
      <w:r w:rsidRPr="001932A3">
        <w:rPr>
          <w:i/>
        </w:rPr>
        <w:t>C. azarae</w:t>
      </w:r>
      <w:r w:rsidRPr="001932A3">
        <w:t xml:space="preserve"> </w:t>
      </w:r>
      <w:r w:rsidR="00BE4E36">
        <w:rPr>
          <w:noProof/>
        </w:rPr>
        <w:t>(Thomas 1927a</w:t>
      </w:r>
      <w:r>
        <w:rPr>
          <w:noProof/>
        </w:rPr>
        <w:t>)</w:t>
      </w:r>
      <w:r w:rsidRPr="001932A3">
        <w:t xml:space="preserve">, (21, 22) Choele-Choel, Las Perlas, respectively, un-sampled, (23) Angostura 1 archaeological site </w:t>
      </w:r>
      <w:r w:rsidRPr="001932A3">
        <w:rPr>
          <w:i/>
        </w:rPr>
        <w:t>Ctenomys</w:t>
      </w:r>
      <w:r w:rsidRPr="001932A3">
        <w:t xml:space="preserve"> sp. (Fernández et al. 2011); Neuquén Province: (24) Chos-Malal assigned to a combinations of names including, </w:t>
      </w:r>
      <w:r w:rsidRPr="001932A3">
        <w:rPr>
          <w:i/>
        </w:rPr>
        <w:t>C. mendocinus</w:t>
      </w:r>
      <w:r w:rsidRPr="001932A3">
        <w:t xml:space="preserve">, </w:t>
      </w:r>
      <w:r w:rsidRPr="001932A3">
        <w:rPr>
          <w:i/>
        </w:rPr>
        <w:t>C. haigi</w:t>
      </w:r>
      <w:r w:rsidRPr="001932A3">
        <w:t xml:space="preserve">, </w:t>
      </w:r>
      <w:r w:rsidRPr="001932A3">
        <w:rPr>
          <w:i/>
        </w:rPr>
        <w:t>C. maulinus</w:t>
      </w:r>
      <w:r w:rsidRPr="001932A3">
        <w:t>, or a combination of them (Thomas 1926</w:t>
      </w:r>
      <w:r>
        <w:t>a</w:t>
      </w:r>
      <w:r w:rsidRPr="001932A3">
        <w:t>,</w:t>
      </w:r>
      <w:r>
        <w:t xml:space="preserve"> b; Thomas and Saint Leger 1926</w:t>
      </w:r>
      <w:r w:rsidRPr="001932A3">
        <w:t>).</w:t>
      </w:r>
    </w:p>
    <w:p w:rsidR="005B5930" w:rsidRPr="0086615B" w:rsidRDefault="005B5930" w:rsidP="00CF7ED9">
      <w:pPr>
        <w:rPr>
          <w:b/>
        </w:rPr>
      </w:pPr>
      <w:r w:rsidRPr="0086615B">
        <w:rPr>
          <w:b/>
        </w:rPr>
        <w:t>Reference</w:t>
      </w:r>
      <w:r w:rsidR="0076704B">
        <w:rPr>
          <w:b/>
        </w:rPr>
        <w:t>s</w:t>
      </w:r>
    </w:p>
    <w:p w:rsidR="005B5930" w:rsidRPr="00320085" w:rsidRDefault="005B5930" w:rsidP="00320085">
      <w:pPr>
        <w:pStyle w:val="EndNoteBibliography"/>
        <w:spacing w:after="0"/>
        <w:ind w:left="720" w:hanging="720"/>
      </w:pPr>
      <w:bookmarkStart w:id="1" w:name="_ENREF_1"/>
      <w:r w:rsidRPr="00320085">
        <w:t xml:space="preserve">Bidau, C.J. (2015). Family Ctenomyidae Lesson, 1842. In: Patton, J.L., Pardiñas, U.F.J. and D'Elía, G. (Eds.) </w:t>
      </w:r>
      <w:r w:rsidRPr="00320085">
        <w:rPr>
          <w:i/>
        </w:rPr>
        <w:t>Mammals of South America, Volume 2. Rodents.</w:t>
      </w:r>
      <w:r w:rsidRPr="00320085">
        <w:t xml:space="preserve"> University of Chicago Press, Chicago, USA, pp. 818-877.</w:t>
      </w:r>
      <w:bookmarkEnd w:id="1"/>
    </w:p>
    <w:p w:rsidR="005B5930" w:rsidRPr="00320085" w:rsidRDefault="005B5930" w:rsidP="00320085">
      <w:pPr>
        <w:pStyle w:val="EndNoteBibliography"/>
        <w:spacing w:after="0"/>
        <w:ind w:left="720" w:hanging="720"/>
      </w:pPr>
      <w:bookmarkStart w:id="2" w:name="_ENREF_2"/>
      <w:r w:rsidRPr="00BE4E36">
        <w:rPr>
          <w:lang w:val="es-AR"/>
        </w:rPr>
        <w:t xml:space="preserve">Fernández, F.J., del Papa, L.M., Moreira, G.J., Prates, L. and De Santis, L.J.M. (2011). </w:t>
      </w:r>
      <w:r w:rsidRPr="00320085">
        <w:t>Small mammal remains recovered from two archaeological sites in the middle and lower Negro River valley (Late Holocene, Argentina): taphonomic issues and paleoe</w:t>
      </w:r>
      <w:r w:rsidR="00BE4E36">
        <w:t>nvironmental implications. Quat.</w:t>
      </w:r>
      <w:r w:rsidRPr="00320085">
        <w:t xml:space="preserve"> Int</w:t>
      </w:r>
      <w:r w:rsidR="00BE4E36">
        <w:t>.</w:t>
      </w:r>
      <w:r w:rsidRPr="00320085">
        <w:t xml:space="preserve"> 245</w:t>
      </w:r>
      <w:r w:rsidRPr="00320085">
        <w:rPr>
          <w:b/>
        </w:rPr>
        <w:t>:</w:t>
      </w:r>
      <w:r w:rsidRPr="00320085">
        <w:t xml:space="preserve"> 136-147.</w:t>
      </w:r>
      <w:bookmarkEnd w:id="2"/>
    </w:p>
    <w:p w:rsidR="005B5930" w:rsidRPr="00320085" w:rsidRDefault="005B5930" w:rsidP="00320085">
      <w:pPr>
        <w:pStyle w:val="EndNoteBibliography"/>
        <w:spacing w:after="0"/>
        <w:ind w:left="720" w:hanging="720"/>
      </w:pPr>
      <w:bookmarkStart w:id="3" w:name="_ENREF_3"/>
      <w:r w:rsidRPr="00320085">
        <w:t xml:space="preserve">Mapelli, F.J., Mora, M.S., Lancia, J.P., Gómez Fernández, M.J., Mirol, P.M. and Kittlein, M.J. (2017). Evolution and phylogenetic relationships in subterranean rodents of the </w:t>
      </w:r>
      <w:r w:rsidRPr="00320085">
        <w:rPr>
          <w:i/>
        </w:rPr>
        <w:t>Ctenomys mendocinus</w:t>
      </w:r>
      <w:r w:rsidR="0076704B">
        <w:t xml:space="preserve"> species complex: e</w:t>
      </w:r>
      <w:r w:rsidRPr="00320085">
        <w:t>ffects of Late Quaternary landscape cha</w:t>
      </w:r>
      <w:r w:rsidR="00BE4E36">
        <w:t>nges of Central Argentina. Mamm.</w:t>
      </w:r>
      <w:r w:rsidRPr="00320085">
        <w:t xml:space="preserve"> Biol</w:t>
      </w:r>
      <w:r w:rsidR="00BE4E36">
        <w:t>.</w:t>
      </w:r>
      <w:r w:rsidRPr="00320085">
        <w:t xml:space="preserve"> 87</w:t>
      </w:r>
      <w:r w:rsidRPr="00320085">
        <w:rPr>
          <w:b/>
        </w:rPr>
        <w:t>:</w:t>
      </w:r>
      <w:r w:rsidRPr="00320085">
        <w:t xml:space="preserve"> 130-142.</w:t>
      </w:r>
      <w:bookmarkEnd w:id="3"/>
    </w:p>
    <w:p w:rsidR="005B5930" w:rsidRPr="00320085" w:rsidRDefault="005B5930" w:rsidP="00320085">
      <w:pPr>
        <w:pStyle w:val="EndNoteBibliography"/>
        <w:spacing w:after="0"/>
        <w:ind w:left="720" w:hanging="720"/>
      </w:pPr>
      <w:bookmarkStart w:id="4" w:name="_ENREF_4"/>
      <w:r w:rsidRPr="00320085">
        <w:t xml:space="preserve">Teta, P. and D'Elía, G. (2020). Uncovering the species diversity of subterranean rodents at the end of the World: three new species of Patagonian tuco-tucos (Rodentia, Hystricomorpha, </w:t>
      </w:r>
      <w:r w:rsidRPr="00320085">
        <w:rPr>
          <w:i/>
        </w:rPr>
        <w:t>Ctenomys</w:t>
      </w:r>
      <w:r w:rsidRPr="00320085">
        <w:t>). PeerJ 8</w:t>
      </w:r>
      <w:r w:rsidRPr="00320085">
        <w:rPr>
          <w:b/>
        </w:rPr>
        <w:t>:</w:t>
      </w:r>
      <w:r w:rsidRPr="00320085">
        <w:t xml:space="preserve"> e9259.</w:t>
      </w:r>
      <w:bookmarkEnd w:id="4"/>
    </w:p>
    <w:p w:rsidR="005B5930" w:rsidRDefault="00BE4E36" w:rsidP="00320085">
      <w:pPr>
        <w:pStyle w:val="EndNoteBibliography"/>
        <w:spacing w:after="0"/>
        <w:ind w:left="720" w:hanging="720"/>
      </w:pPr>
      <w:bookmarkStart w:id="5" w:name="_ENREF_6"/>
      <w:r>
        <w:t>Thomas, O. (1927a</w:t>
      </w:r>
      <w:r w:rsidR="005B5930" w:rsidRPr="00320085">
        <w:t xml:space="preserve">). On further Patagonian mammals from Neuquen and the Rio Colorado collected by Señor E. Budin. </w:t>
      </w:r>
      <w:r w:rsidRPr="00BE4E36">
        <w:t>Ann. Mag. Nat. Hist.</w:t>
      </w:r>
      <w:r w:rsidR="005B5930" w:rsidRPr="00320085">
        <w:t xml:space="preserve"> 9th series, 20</w:t>
      </w:r>
      <w:r w:rsidR="005B5930" w:rsidRPr="00320085">
        <w:rPr>
          <w:b/>
        </w:rPr>
        <w:t>:</w:t>
      </w:r>
      <w:r w:rsidR="005B5930" w:rsidRPr="00320085">
        <w:t xml:space="preserve"> 199-205.</w:t>
      </w:r>
      <w:bookmarkEnd w:id="5"/>
    </w:p>
    <w:p w:rsidR="00BE4E36" w:rsidRPr="00320085" w:rsidRDefault="00BE4E36" w:rsidP="00BE4E36">
      <w:pPr>
        <w:pStyle w:val="EndNoteBibliography"/>
        <w:spacing w:after="0"/>
        <w:ind w:left="720" w:hanging="720"/>
      </w:pPr>
      <w:bookmarkStart w:id="6" w:name="_ENREF_5"/>
      <w:r>
        <w:t>Thomas, O. (1927b</w:t>
      </w:r>
      <w:r w:rsidRPr="00320085">
        <w:t xml:space="preserve">). On a further collection of mammals made by Sr. E. Budin in Neuquen, Patagonia. </w:t>
      </w:r>
      <w:r w:rsidRPr="00BE4E36">
        <w:t>Ann. Mag. Nat. Hist.</w:t>
      </w:r>
      <w:r w:rsidRPr="00320085">
        <w:t xml:space="preserve"> 9th series, 19</w:t>
      </w:r>
      <w:r w:rsidRPr="00320085">
        <w:rPr>
          <w:b/>
        </w:rPr>
        <w:t>:</w:t>
      </w:r>
      <w:r w:rsidRPr="00320085">
        <w:t xml:space="preserve"> 650-658.</w:t>
      </w:r>
      <w:bookmarkEnd w:id="6"/>
    </w:p>
    <w:p w:rsidR="005B5930" w:rsidRPr="00320085" w:rsidRDefault="005B5930" w:rsidP="00320085">
      <w:pPr>
        <w:pStyle w:val="EndNoteBibliography"/>
        <w:spacing w:after="0"/>
        <w:ind w:left="720" w:hanging="720"/>
      </w:pPr>
      <w:bookmarkStart w:id="7" w:name="_ENREF_7"/>
      <w:r w:rsidRPr="00320085">
        <w:t xml:space="preserve">Thomas, O. (1929). The mammals of Señor Budin's Patagonia Expedition, 1927-28. </w:t>
      </w:r>
      <w:r w:rsidR="00BE4E36" w:rsidRPr="00BE4E36">
        <w:t>Ann. Mag. Nat. Hist.</w:t>
      </w:r>
      <w:r w:rsidR="00BE4E36">
        <w:t xml:space="preserve"> </w:t>
      </w:r>
      <w:r w:rsidRPr="00320085">
        <w:t>10th Series, 4</w:t>
      </w:r>
      <w:r w:rsidRPr="00320085">
        <w:rPr>
          <w:b/>
        </w:rPr>
        <w:t>:</w:t>
      </w:r>
      <w:r w:rsidRPr="00320085">
        <w:t xml:space="preserve"> 35-45.</w:t>
      </w:r>
      <w:bookmarkEnd w:id="7"/>
    </w:p>
    <w:p w:rsidR="005B5930" w:rsidRPr="00320085" w:rsidRDefault="005B5930" w:rsidP="00320085">
      <w:pPr>
        <w:pStyle w:val="EndNoteBibliography"/>
        <w:ind w:left="720" w:hanging="720"/>
      </w:pPr>
      <w:bookmarkStart w:id="8" w:name="_ENREF_8"/>
      <w:r w:rsidRPr="00320085">
        <w:t>Thomas, O. and Saint Leger, J. (1926). The Spedan Lewis South American Exploration. V. Mammals obtained by Señor E. Budin in Neuquén.</w:t>
      </w:r>
      <w:r w:rsidR="00BE4E36">
        <w:t xml:space="preserve"> </w:t>
      </w:r>
      <w:r w:rsidR="00BE4E36" w:rsidRPr="00BE4E36">
        <w:t>Ann. Mag. Nat. Hist.</w:t>
      </w:r>
      <w:r w:rsidRPr="00320085">
        <w:t xml:space="preserve"> 9th Series, 18</w:t>
      </w:r>
      <w:r w:rsidRPr="00320085">
        <w:rPr>
          <w:b/>
        </w:rPr>
        <w:t>:</w:t>
      </w:r>
      <w:r w:rsidRPr="00320085">
        <w:t xml:space="preserve"> 635-641.</w:t>
      </w:r>
      <w:bookmarkEnd w:id="8"/>
    </w:p>
    <w:p w:rsidR="005B5930" w:rsidRDefault="005B5930" w:rsidP="00CF7ED9"/>
    <w:p w:rsidR="007925F3" w:rsidRDefault="007925F3"/>
    <w:sectPr w:rsidR="007925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B5930"/>
    <w:rsid w:val="005B5930"/>
    <w:rsid w:val="0076704B"/>
    <w:rsid w:val="007925F3"/>
    <w:rsid w:val="00A17479"/>
    <w:rsid w:val="00BE4E36"/>
    <w:rsid w:val="00F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2215"/>
  <w15:chartTrackingRefBased/>
  <w15:docId w15:val="{B83EF728-2F2D-4A9F-AFA1-F0C3B90E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5930"/>
    <w:pPr>
      <w:spacing w:before="120" w:after="320" w:line="36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Car"/>
    <w:rsid w:val="005B5930"/>
    <w:pPr>
      <w:spacing w:after="0"/>
      <w:jc w:val="center"/>
    </w:pPr>
    <w:rPr>
      <w:noProof/>
    </w:rPr>
  </w:style>
  <w:style w:type="character" w:customStyle="1" w:styleId="EndNoteBibliographyTitleCar">
    <w:name w:val="EndNote Bibliography Title Car"/>
    <w:basedOn w:val="Absatz-Standardschriftart"/>
    <w:link w:val="EndNoteBibliographyTitle"/>
    <w:rsid w:val="005B5930"/>
    <w:rPr>
      <w:rFonts w:ascii="Times New Roman" w:eastAsia="Calibri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Standard"/>
    <w:link w:val="EndNoteBibliographyCar"/>
    <w:rsid w:val="005B5930"/>
    <w:pPr>
      <w:spacing w:line="240" w:lineRule="auto"/>
    </w:pPr>
    <w:rPr>
      <w:noProof/>
    </w:rPr>
  </w:style>
  <w:style w:type="character" w:customStyle="1" w:styleId="EndNoteBibliographyCar">
    <w:name w:val="EndNote Bibliography Car"/>
    <w:basedOn w:val="Absatz-Standardschriftart"/>
    <w:link w:val="EndNoteBibliography"/>
    <w:rsid w:val="005B5930"/>
    <w:rPr>
      <w:rFonts w:ascii="Times New Roman" w:eastAsia="Calibri" w:hAnsi="Times New Roman" w:cs="Times New Roman"/>
      <w:noProof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5B5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Stoeber, Gunda</cp:lastModifiedBy>
  <cp:revision>5</cp:revision>
  <dcterms:created xsi:type="dcterms:W3CDTF">2021-02-24T18:16:00Z</dcterms:created>
  <dcterms:modified xsi:type="dcterms:W3CDTF">2021-04-15T11:28:00Z</dcterms:modified>
</cp:coreProperties>
</file>