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F1" w:rsidRPr="00417D85" w:rsidRDefault="00F926F1" w:rsidP="00F926F1">
      <w:pPr>
        <w:pStyle w:val="Ttulo1"/>
        <w:rPr>
          <w:lang w:val="en-US"/>
        </w:rPr>
      </w:pPr>
      <w:r w:rsidRPr="00417D85">
        <w:rPr>
          <w:lang w:val="en-US"/>
        </w:rPr>
        <w:t>Appendix 1</w:t>
      </w:r>
    </w:p>
    <w:p w:rsidR="00302204" w:rsidRPr="00417D85" w:rsidRDefault="00895EBC" w:rsidP="00302204">
      <w:pPr>
        <w:spacing w:before="0" w:after="0"/>
        <w:rPr>
          <w:lang w:val="en-US"/>
        </w:rPr>
      </w:pPr>
      <w:r w:rsidRPr="00417D85">
        <w:rPr>
          <w:lang w:val="en-US"/>
        </w:rPr>
        <w:t xml:space="preserve">Table S1. </w:t>
      </w:r>
      <w:r w:rsidR="00302204" w:rsidRPr="00417D85">
        <w:rPr>
          <w:lang w:val="en-US"/>
        </w:rPr>
        <w:t xml:space="preserve">List of specimens used in </w:t>
      </w:r>
      <w:proofErr w:type="spellStart"/>
      <w:r w:rsidR="00302204" w:rsidRPr="00417D85">
        <w:rPr>
          <w:lang w:val="en-US"/>
        </w:rPr>
        <w:t>phylogenetic</w:t>
      </w:r>
      <w:proofErr w:type="spellEnd"/>
      <w:r w:rsidR="00302204" w:rsidRPr="00417D85">
        <w:rPr>
          <w:lang w:val="en-US"/>
        </w:rPr>
        <w:t xml:space="preserve"> analyses, with </w:t>
      </w:r>
      <w:proofErr w:type="spellStart"/>
      <w:r w:rsidR="00302204" w:rsidRPr="00417D85">
        <w:rPr>
          <w:lang w:val="en-US"/>
        </w:rPr>
        <w:t>Genbank</w:t>
      </w:r>
      <w:proofErr w:type="spellEnd"/>
      <w:r w:rsidR="00302204" w:rsidRPr="00417D85">
        <w:rPr>
          <w:lang w:val="en-US"/>
        </w:rPr>
        <w:t xml:space="preserve"> accession numbers, and source of the data.</w:t>
      </w:r>
    </w:p>
    <w:tbl>
      <w:tblPr>
        <w:tblpPr w:leftFromText="141" w:rightFromText="141" w:vertAnchor="page" w:horzAnchor="margin" w:tblpXSpec="center" w:tblpY="3274"/>
        <w:tblW w:w="0" w:type="auto"/>
        <w:tblLook w:val="04A0"/>
      </w:tblPr>
      <w:tblGrid>
        <w:gridCol w:w="2574"/>
        <w:gridCol w:w="1640"/>
        <w:gridCol w:w="1195"/>
        <w:gridCol w:w="2696"/>
      </w:tblGrid>
      <w:tr w:rsidR="00302204" w:rsidRPr="00417D85" w:rsidTr="00E103D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Catalog 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GenBank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Source</w:t>
            </w:r>
          </w:p>
        </w:tc>
      </w:tr>
      <w:tr w:rsidR="00302204" w:rsidRPr="00417D85" w:rsidTr="00E103D0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417D85">
              <w:rPr>
                <w:i/>
                <w:sz w:val="20"/>
                <w:szCs w:val="20"/>
              </w:rPr>
              <w:t>Cryptonanus chacoensis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GD 521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GQ911596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7D85">
              <w:rPr>
                <w:sz w:val="20"/>
                <w:szCs w:val="20"/>
                <w:lang w:val="en-US"/>
              </w:rPr>
              <w:t>Teta</w:t>
            </w:r>
            <w:proofErr w:type="spellEnd"/>
            <w:r w:rsidRPr="00417D85">
              <w:rPr>
                <w:sz w:val="20"/>
                <w:szCs w:val="20"/>
                <w:lang w:val="en-US"/>
              </w:rPr>
              <w:t xml:space="preserve"> et al. (2009)</w:t>
            </w:r>
          </w:p>
        </w:tc>
      </w:tr>
      <w:tr w:rsidR="00302204" w:rsidRPr="00417D85" w:rsidTr="00E103D0"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417D85">
              <w:rPr>
                <w:i/>
                <w:sz w:val="20"/>
                <w:szCs w:val="20"/>
                <w:lang w:val="en-US"/>
              </w:rPr>
              <w:t>Cryptonanus</w:t>
            </w:r>
            <w:proofErr w:type="spellEnd"/>
            <w:r w:rsidRPr="00417D8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D85">
              <w:rPr>
                <w:i/>
                <w:sz w:val="20"/>
                <w:szCs w:val="20"/>
                <w:lang w:val="en-US"/>
              </w:rPr>
              <w:t>agricolai</w:t>
            </w:r>
            <w:proofErr w:type="spellEnd"/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417D85">
              <w:rPr>
                <w:sz w:val="20"/>
                <w:szCs w:val="20"/>
                <w:lang w:val="en-US"/>
              </w:rPr>
              <w:t>UUPI167</w:t>
            </w:r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417D85">
              <w:rPr>
                <w:sz w:val="20"/>
                <w:szCs w:val="20"/>
                <w:lang w:val="en-US"/>
              </w:rPr>
              <w:t>HQ622148</w:t>
            </w:r>
          </w:p>
        </w:tc>
        <w:tc>
          <w:tcPr>
            <w:tcW w:w="0" w:type="auto"/>
            <w:vAlign w:val="center"/>
          </w:tcPr>
          <w:p w:rsidR="00302204" w:rsidRPr="00417D85" w:rsidRDefault="0033049F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7D85">
              <w:rPr>
                <w:sz w:val="20"/>
                <w:szCs w:val="20"/>
                <w:lang w:val="en-US"/>
              </w:rPr>
              <w:t>Ló</w:t>
            </w:r>
            <w:r w:rsidR="00302204" w:rsidRPr="00417D85">
              <w:rPr>
                <w:sz w:val="20"/>
                <w:szCs w:val="20"/>
                <w:lang w:val="en-US"/>
              </w:rPr>
              <w:t>ss</w:t>
            </w:r>
            <w:proofErr w:type="spellEnd"/>
            <w:r w:rsidR="00302204" w:rsidRPr="00417D85">
              <w:rPr>
                <w:sz w:val="20"/>
                <w:szCs w:val="20"/>
                <w:lang w:val="en-US"/>
              </w:rPr>
              <w:t xml:space="preserve"> et al. (2011)</w:t>
            </w:r>
          </w:p>
        </w:tc>
      </w:tr>
      <w:tr w:rsidR="00302204" w:rsidRPr="00417D85" w:rsidTr="00E103D0"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417D85">
              <w:rPr>
                <w:i/>
                <w:sz w:val="20"/>
                <w:szCs w:val="20"/>
                <w:lang w:val="en-US"/>
              </w:rPr>
              <w:t>Cryptonanus</w:t>
            </w:r>
            <w:proofErr w:type="spellEnd"/>
            <w:r w:rsidRPr="00417D8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D85">
              <w:rPr>
                <w:i/>
                <w:sz w:val="20"/>
                <w:szCs w:val="20"/>
                <w:lang w:val="en-US"/>
              </w:rPr>
              <w:t>unduaviensis</w:t>
            </w:r>
            <w:proofErr w:type="spellEnd"/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417D85">
              <w:rPr>
                <w:sz w:val="20"/>
                <w:szCs w:val="20"/>
                <w:lang w:val="en-US"/>
              </w:rPr>
              <w:t>NK14234</w:t>
            </w:r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417D85">
              <w:rPr>
                <w:sz w:val="20"/>
                <w:szCs w:val="20"/>
                <w:lang w:val="en-US"/>
              </w:rPr>
              <w:t>HM583366</w:t>
            </w:r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7D85">
              <w:rPr>
                <w:sz w:val="20"/>
                <w:szCs w:val="20"/>
                <w:lang w:val="en-US"/>
              </w:rPr>
              <w:t>Giarla</w:t>
            </w:r>
            <w:proofErr w:type="spellEnd"/>
            <w:r w:rsidRPr="00417D85">
              <w:rPr>
                <w:sz w:val="20"/>
                <w:szCs w:val="20"/>
                <w:lang w:val="en-US"/>
              </w:rPr>
              <w:t xml:space="preserve"> et al. (2010)</w:t>
            </w:r>
          </w:p>
        </w:tc>
      </w:tr>
      <w:tr w:rsidR="00302204" w:rsidRPr="00417D85" w:rsidTr="00E103D0"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417D85">
              <w:rPr>
                <w:i/>
                <w:sz w:val="20"/>
                <w:szCs w:val="20"/>
                <w:lang w:val="en-US"/>
              </w:rPr>
              <w:t>Cryptonanus</w:t>
            </w:r>
            <w:proofErr w:type="spellEnd"/>
            <w:r w:rsidRPr="00417D8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D85">
              <w:rPr>
                <w:i/>
                <w:sz w:val="20"/>
                <w:szCs w:val="20"/>
                <w:lang w:val="en-US"/>
              </w:rPr>
              <w:t>guahybae</w:t>
            </w:r>
            <w:proofErr w:type="spellEnd"/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417D85">
              <w:rPr>
                <w:sz w:val="20"/>
                <w:szCs w:val="20"/>
                <w:lang w:val="en-US"/>
              </w:rPr>
              <w:t>UFSC 4854</w:t>
            </w:r>
          </w:p>
        </w:tc>
        <w:tc>
          <w:tcPr>
            <w:tcW w:w="0" w:type="auto"/>
            <w:vAlign w:val="center"/>
          </w:tcPr>
          <w:p w:rsidR="00302204" w:rsidRPr="00417D85" w:rsidRDefault="002446D5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417D85">
              <w:rPr>
                <w:sz w:val="20"/>
                <w:szCs w:val="20"/>
                <w:lang w:val="en-US"/>
              </w:rPr>
              <w:t>KM403638</w:t>
            </w:r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417D85">
              <w:rPr>
                <w:sz w:val="20"/>
                <w:szCs w:val="20"/>
                <w:lang w:val="en-US"/>
              </w:rPr>
              <w:t>This study</w:t>
            </w:r>
          </w:p>
        </w:tc>
      </w:tr>
      <w:tr w:rsidR="00302204" w:rsidRPr="00417D85" w:rsidTr="00E103D0"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417D85">
              <w:rPr>
                <w:i/>
                <w:sz w:val="20"/>
                <w:szCs w:val="20"/>
                <w:lang w:val="en-US"/>
              </w:rPr>
              <w:t>Cryptonanus</w:t>
            </w:r>
            <w:proofErr w:type="spellEnd"/>
            <w:r w:rsidRPr="00417D8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D85">
              <w:rPr>
                <w:i/>
                <w:sz w:val="20"/>
                <w:szCs w:val="20"/>
                <w:lang w:val="en-US"/>
              </w:rPr>
              <w:t>guahybae</w:t>
            </w:r>
            <w:proofErr w:type="spellEnd"/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417D85">
              <w:rPr>
                <w:sz w:val="20"/>
                <w:szCs w:val="20"/>
                <w:lang w:val="en-US"/>
              </w:rPr>
              <w:t>MCNU 1725</w:t>
            </w:r>
          </w:p>
        </w:tc>
        <w:tc>
          <w:tcPr>
            <w:tcW w:w="0" w:type="auto"/>
            <w:vAlign w:val="center"/>
          </w:tcPr>
          <w:p w:rsidR="00302204" w:rsidRPr="00417D85" w:rsidRDefault="002446D5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417D85">
              <w:rPr>
                <w:sz w:val="20"/>
                <w:szCs w:val="20"/>
                <w:lang w:val="en-US"/>
              </w:rPr>
              <w:t>KM403640</w:t>
            </w:r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This study</w:t>
            </w:r>
          </w:p>
        </w:tc>
      </w:tr>
      <w:tr w:rsidR="00302204" w:rsidRPr="00417D85" w:rsidTr="00E103D0"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417D85">
              <w:rPr>
                <w:i/>
                <w:sz w:val="20"/>
                <w:szCs w:val="20"/>
              </w:rPr>
              <w:t>Cryptonanus guahybae</w:t>
            </w:r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MCNU 2808</w:t>
            </w:r>
          </w:p>
        </w:tc>
        <w:tc>
          <w:tcPr>
            <w:tcW w:w="0" w:type="auto"/>
            <w:vAlign w:val="center"/>
          </w:tcPr>
          <w:p w:rsidR="00302204" w:rsidRPr="00417D85" w:rsidRDefault="002446D5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KM403639</w:t>
            </w:r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This study</w:t>
            </w:r>
          </w:p>
        </w:tc>
      </w:tr>
      <w:tr w:rsidR="00675033" w:rsidRPr="00417D85" w:rsidTr="00E103D0">
        <w:tc>
          <w:tcPr>
            <w:tcW w:w="0" w:type="auto"/>
            <w:vAlign w:val="center"/>
          </w:tcPr>
          <w:p w:rsidR="00675033" w:rsidRPr="00417D85" w:rsidRDefault="00675033" w:rsidP="00E103D0">
            <w:pPr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417D85">
              <w:rPr>
                <w:i/>
                <w:sz w:val="20"/>
                <w:szCs w:val="20"/>
              </w:rPr>
              <w:t>Gracilinanus microtarsus</w:t>
            </w:r>
          </w:p>
        </w:tc>
        <w:tc>
          <w:tcPr>
            <w:tcW w:w="0" w:type="auto"/>
            <w:vAlign w:val="center"/>
          </w:tcPr>
          <w:p w:rsidR="00675033" w:rsidRPr="00417D85" w:rsidRDefault="00AF3B9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YL237</w:t>
            </w:r>
          </w:p>
        </w:tc>
        <w:tc>
          <w:tcPr>
            <w:tcW w:w="0" w:type="auto"/>
            <w:vAlign w:val="center"/>
          </w:tcPr>
          <w:p w:rsidR="00675033" w:rsidRPr="00417D85" w:rsidRDefault="00AF3B9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GU112890</w:t>
            </w:r>
          </w:p>
        </w:tc>
        <w:tc>
          <w:tcPr>
            <w:tcW w:w="0" w:type="auto"/>
            <w:vAlign w:val="center"/>
          </w:tcPr>
          <w:p w:rsidR="00675033" w:rsidRPr="00417D85" w:rsidRDefault="00AF3B9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Agrizzi et al. (2012)</w:t>
            </w:r>
          </w:p>
        </w:tc>
      </w:tr>
      <w:tr w:rsidR="00675033" w:rsidRPr="00417D85" w:rsidTr="00E103D0">
        <w:tc>
          <w:tcPr>
            <w:tcW w:w="0" w:type="auto"/>
            <w:vAlign w:val="center"/>
          </w:tcPr>
          <w:p w:rsidR="00675033" w:rsidRPr="00417D85" w:rsidRDefault="00AF3B90" w:rsidP="00E103D0">
            <w:pPr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417D85">
              <w:rPr>
                <w:i/>
                <w:sz w:val="20"/>
                <w:szCs w:val="20"/>
              </w:rPr>
              <w:t>Gracilinanus microtarsus</w:t>
            </w:r>
          </w:p>
        </w:tc>
        <w:tc>
          <w:tcPr>
            <w:tcW w:w="0" w:type="auto"/>
            <w:vAlign w:val="center"/>
          </w:tcPr>
          <w:p w:rsidR="00675033" w:rsidRPr="00417D85" w:rsidRDefault="00AF3B9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LPC1204</w:t>
            </w:r>
          </w:p>
        </w:tc>
        <w:tc>
          <w:tcPr>
            <w:tcW w:w="0" w:type="auto"/>
            <w:vAlign w:val="center"/>
          </w:tcPr>
          <w:p w:rsidR="00675033" w:rsidRPr="00417D85" w:rsidRDefault="00AF3B9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GU112891</w:t>
            </w:r>
          </w:p>
        </w:tc>
        <w:tc>
          <w:tcPr>
            <w:tcW w:w="0" w:type="auto"/>
            <w:vAlign w:val="center"/>
          </w:tcPr>
          <w:p w:rsidR="00675033" w:rsidRPr="00417D85" w:rsidRDefault="00AF3B9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Agrizzi et al. (2012)</w:t>
            </w:r>
          </w:p>
        </w:tc>
      </w:tr>
      <w:tr w:rsidR="00675033" w:rsidRPr="00417D85" w:rsidTr="00E103D0">
        <w:tc>
          <w:tcPr>
            <w:tcW w:w="0" w:type="auto"/>
            <w:vAlign w:val="center"/>
          </w:tcPr>
          <w:p w:rsidR="00675033" w:rsidRPr="00417D85" w:rsidRDefault="00675033" w:rsidP="00E103D0">
            <w:pPr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417D85">
              <w:rPr>
                <w:i/>
                <w:sz w:val="20"/>
                <w:szCs w:val="20"/>
              </w:rPr>
              <w:t>Gracilinanus agilis</w:t>
            </w:r>
          </w:p>
        </w:tc>
        <w:tc>
          <w:tcPr>
            <w:tcW w:w="0" w:type="auto"/>
            <w:vAlign w:val="center"/>
          </w:tcPr>
          <w:p w:rsidR="00675033" w:rsidRPr="00417D85" w:rsidRDefault="00E103D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LBCE3832</w:t>
            </w:r>
          </w:p>
        </w:tc>
        <w:tc>
          <w:tcPr>
            <w:tcW w:w="0" w:type="auto"/>
            <w:vAlign w:val="center"/>
          </w:tcPr>
          <w:p w:rsidR="00675033" w:rsidRPr="00417D85" w:rsidRDefault="00E103D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KF313976</w:t>
            </w:r>
          </w:p>
        </w:tc>
        <w:tc>
          <w:tcPr>
            <w:tcW w:w="0" w:type="auto"/>
            <w:vAlign w:val="center"/>
          </w:tcPr>
          <w:p w:rsidR="00675033" w:rsidRPr="00417D85" w:rsidRDefault="00E103D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Faria et al. (2013)</w:t>
            </w:r>
          </w:p>
        </w:tc>
      </w:tr>
      <w:tr w:rsidR="00675033" w:rsidRPr="00417D85" w:rsidTr="00E103D0">
        <w:tc>
          <w:tcPr>
            <w:tcW w:w="0" w:type="auto"/>
            <w:vAlign w:val="center"/>
          </w:tcPr>
          <w:p w:rsidR="00675033" w:rsidRPr="00417D85" w:rsidRDefault="00675033" w:rsidP="00E103D0">
            <w:pPr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417D85">
              <w:rPr>
                <w:i/>
                <w:sz w:val="20"/>
                <w:szCs w:val="20"/>
              </w:rPr>
              <w:t>Gracilinanus agilis</w:t>
            </w:r>
          </w:p>
        </w:tc>
        <w:tc>
          <w:tcPr>
            <w:tcW w:w="0" w:type="auto"/>
            <w:vAlign w:val="center"/>
          </w:tcPr>
          <w:p w:rsidR="00675033" w:rsidRPr="00417D85" w:rsidRDefault="00AF3B9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JAO1184</w:t>
            </w:r>
          </w:p>
        </w:tc>
        <w:tc>
          <w:tcPr>
            <w:tcW w:w="0" w:type="auto"/>
            <w:vAlign w:val="center"/>
          </w:tcPr>
          <w:p w:rsidR="00675033" w:rsidRPr="00417D85" w:rsidRDefault="00AF3B9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KF313981</w:t>
            </w:r>
          </w:p>
        </w:tc>
        <w:tc>
          <w:tcPr>
            <w:tcW w:w="0" w:type="auto"/>
            <w:vAlign w:val="center"/>
          </w:tcPr>
          <w:p w:rsidR="00675033" w:rsidRPr="00417D85" w:rsidRDefault="00E103D0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Faria et al. (2013)</w:t>
            </w:r>
          </w:p>
        </w:tc>
      </w:tr>
      <w:tr w:rsidR="00302204" w:rsidRPr="00417D85" w:rsidTr="00E103D0"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417D85">
              <w:rPr>
                <w:i/>
                <w:sz w:val="20"/>
                <w:szCs w:val="20"/>
              </w:rPr>
              <w:t>Didelphis marsupialis</w:t>
            </w:r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MPEG24569</w:t>
            </w:r>
          </w:p>
        </w:tc>
        <w:tc>
          <w:tcPr>
            <w:tcW w:w="0" w:type="auto"/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DQ236278</w:t>
            </w:r>
          </w:p>
        </w:tc>
        <w:tc>
          <w:tcPr>
            <w:tcW w:w="0" w:type="auto"/>
            <w:vAlign w:val="center"/>
          </w:tcPr>
          <w:p w:rsidR="00302204" w:rsidRPr="00417D85" w:rsidRDefault="00302204" w:rsidP="00575816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Nunes et al. (2006)</w:t>
            </w:r>
          </w:p>
        </w:tc>
      </w:tr>
      <w:tr w:rsidR="00302204" w:rsidRPr="00417D85" w:rsidTr="00E103D0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i/>
                <w:sz w:val="20"/>
                <w:szCs w:val="20"/>
              </w:rPr>
            </w:pPr>
            <w:r w:rsidRPr="00417D85">
              <w:rPr>
                <w:i/>
                <w:sz w:val="20"/>
                <w:szCs w:val="20"/>
              </w:rPr>
              <w:t>Didelphis albiventris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T-1786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417D85">
              <w:rPr>
                <w:sz w:val="20"/>
                <w:szCs w:val="20"/>
              </w:rPr>
              <w:t>AJ487004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02204" w:rsidRPr="00417D85" w:rsidRDefault="00302204" w:rsidP="00E103D0">
            <w:p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417D85">
              <w:rPr>
                <w:sz w:val="20"/>
                <w:szCs w:val="20"/>
                <w:lang w:val="en-US"/>
              </w:rPr>
              <w:t xml:space="preserve">Steiner and </w:t>
            </w:r>
            <w:proofErr w:type="spellStart"/>
            <w:r w:rsidRPr="00417D85">
              <w:rPr>
                <w:sz w:val="20"/>
                <w:szCs w:val="20"/>
                <w:lang w:val="en-US"/>
              </w:rPr>
              <w:t>Catzeflis</w:t>
            </w:r>
            <w:proofErr w:type="spellEnd"/>
            <w:r w:rsidRPr="00417D85">
              <w:rPr>
                <w:sz w:val="20"/>
                <w:szCs w:val="20"/>
                <w:lang w:val="en-US"/>
              </w:rPr>
              <w:t xml:space="preserve"> (2003)</w:t>
            </w:r>
          </w:p>
        </w:tc>
      </w:tr>
    </w:tbl>
    <w:p w:rsidR="00417D85" w:rsidRPr="00417D85" w:rsidRDefault="00417D85" w:rsidP="003E6DBE">
      <w:pPr>
        <w:pStyle w:val="Ttulo1"/>
        <w:rPr>
          <w:b w:val="0"/>
          <w:sz w:val="24"/>
          <w:szCs w:val="24"/>
          <w:lang w:val="en-US"/>
        </w:rPr>
      </w:pPr>
    </w:p>
    <w:p w:rsidR="00302204" w:rsidRPr="00417D85" w:rsidRDefault="00417D85" w:rsidP="003E6DBE">
      <w:pPr>
        <w:pStyle w:val="Ttulo1"/>
        <w:rPr>
          <w:b w:val="0"/>
          <w:sz w:val="24"/>
          <w:szCs w:val="24"/>
          <w:highlight w:val="green"/>
          <w:lang w:val="en-US"/>
        </w:rPr>
      </w:pPr>
      <w:r w:rsidRPr="00417D85">
        <w:rPr>
          <w:b w:val="0"/>
          <w:sz w:val="24"/>
          <w:szCs w:val="24"/>
          <w:highlight w:val="green"/>
          <w:lang w:val="en-US"/>
        </w:rPr>
        <w:t>References</w:t>
      </w:r>
    </w:p>
    <w:p w:rsidR="00417D85" w:rsidRPr="00417D85" w:rsidRDefault="00417D85" w:rsidP="00417D85">
      <w:pPr>
        <w:ind w:left="709" w:hanging="709"/>
        <w:rPr>
          <w:highlight w:val="green"/>
          <w:lang w:val="pt-BR"/>
        </w:rPr>
      </w:pPr>
      <w:proofErr w:type="spellStart"/>
      <w:r w:rsidRPr="00417D85">
        <w:rPr>
          <w:highlight w:val="green"/>
          <w:lang w:val="pt-BR"/>
        </w:rPr>
        <w:t>Agrizzi</w:t>
      </w:r>
      <w:proofErr w:type="spellEnd"/>
      <w:r w:rsidRPr="00417D85">
        <w:rPr>
          <w:highlight w:val="green"/>
          <w:lang w:val="pt-BR"/>
        </w:rPr>
        <w:t xml:space="preserve">, J., </w:t>
      </w:r>
      <w:proofErr w:type="spellStart"/>
      <w:r w:rsidRPr="00417D85">
        <w:rPr>
          <w:highlight w:val="green"/>
          <w:lang w:val="pt-BR"/>
        </w:rPr>
        <w:t>Loss</w:t>
      </w:r>
      <w:proofErr w:type="spellEnd"/>
      <w:r w:rsidRPr="00417D85">
        <w:rPr>
          <w:highlight w:val="green"/>
          <w:lang w:val="pt-BR"/>
        </w:rPr>
        <w:t xml:space="preserve">, A.C., </w:t>
      </w:r>
      <w:proofErr w:type="spellStart"/>
      <w:r w:rsidRPr="00417D85">
        <w:rPr>
          <w:highlight w:val="green"/>
          <w:lang w:val="pt-BR"/>
        </w:rPr>
        <w:t>Farro</w:t>
      </w:r>
      <w:proofErr w:type="spellEnd"/>
      <w:r w:rsidRPr="00417D85">
        <w:rPr>
          <w:highlight w:val="green"/>
          <w:lang w:val="pt-BR"/>
        </w:rPr>
        <w:t xml:space="preserve">, A.C., Costa, </w:t>
      </w:r>
      <w:proofErr w:type="spellStart"/>
      <w:r w:rsidRPr="00417D85">
        <w:rPr>
          <w:highlight w:val="green"/>
          <w:lang w:val="pt-BR"/>
        </w:rPr>
        <w:t>L.P.</w:t>
      </w:r>
      <w:proofErr w:type="spellEnd"/>
      <w:r w:rsidRPr="00417D85">
        <w:rPr>
          <w:highlight w:val="green"/>
          <w:lang w:val="pt-BR"/>
        </w:rPr>
        <w:t xml:space="preserve">, Leite, </w:t>
      </w:r>
      <w:proofErr w:type="spellStart"/>
      <w:r w:rsidRPr="00417D85">
        <w:rPr>
          <w:highlight w:val="green"/>
          <w:lang w:val="pt-BR"/>
        </w:rPr>
        <w:t>Y.L.R.</w:t>
      </w:r>
      <w:proofErr w:type="spellEnd"/>
      <w:r w:rsidRPr="00417D85">
        <w:rPr>
          <w:highlight w:val="green"/>
          <w:lang w:val="pt-BR"/>
        </w:rPr>
        <w:t xml:space="preserve"> 2012. </w:t>
      </w:r>
      <w:r w:rsidRPr="00417D85">
        <w:rPr>
          <w:highlight w:val="green"/>
          <w:lang w:val="en-US"/>
        </w:rPr>
        <w:t>Molecular diagnosis of Atlantic Forest opossums (</w:t>
      </w:r>
      <w:proofErr w:type="spellStart"/>
      <w:r w:rsidRPr="00417D85">
        <w:rPr>
          <w:highlight w:val="green"/>
          <w:lang w:val="en-US"/>
        </w:rPr>
        <w:t>Mammalia</w:t>
      </w:r>
      <w:proofErr w:type="spellEnd"/>
      <w:r w:rsidRPr="00417D85">
        <w:rPr>
          <w:highlight w:val="green"/>
          <w:lang w:val="en-US"/>
        </w:rPr>
        <w:t xml:space="preserve">, </w:t>
      </w:r>
      <w:proofErr w:type="spellStart"/>
      <w:r w:rsidRPr="00417D85">
        <w:rPr>
          <w:highlight w:val="green"/>
          <w:lang w:val="en-US"/>
        </w:rPr>
        <w:t>Didelphimorphia</w:t>
      </w:r>
      <w:proofErr w:type="spellEnd"/>
      <w:r w:rsidRPr="00417D85">
        <w:rPr>
          <w:highlight w:val="green"/>
          <w:lang w:val="en-US"/>
        </w:rPr>
        <w:t xml:space="preserve">, </w:t>
      </w:r>
      <w:proofErr w:type="spellStart"/>
      <w:r w:rsidRPr="00417D85">
        <w:rPr>
          <w:highlight w:val="green"/>
          <w:lang w:val="en-US"/>
        </w:rPr>
        <w:t>Didelphidae</w:t>
      </w:r>
      <w:proofErr w:type="spellEnd"/>
      <w:r w:rsidRPr="00417D85">
        <w:rPr>
          <w:highlight w:val="green"/>
          <w:lang w:val="en-US"/>
        </w:rPr>
        <w:t xml:space="preserve">) using mitochondrial DNA sequences. </w:t>
      </w:r>
      <w:r w:rsidRPr="00417D85">
        <w:rPr>
          <w:highlight w:val="green"/>
          <w:lang w:val="pt-BR"/>
        </w:rPr>
        <w:t>Open Zool. J. 5: 2–9.</w:t>
      </w:r>
    </w:p>
    <w:p w:rsidR="00417D85" w:rsidRPr="00417D85" w:rsidRDefault="00417D85" w:rsidP="00417D85">
      <w:pPr>
        <w:ind w:left="709" w:hanging="709"/>
        <w:rPr>
          <w:highlight w:val="green"/>
          <w:lang w:val="en-US"/>
        </w:rPr>
      </w:pPr>
      <w:r w:rsidRPr="00417D85">
        <w:rPr>
          <w:highlight w:val="green"/>
          <w:lang w:val="pt-BR"/>
        </w:rPr>
        <w:t xml:space="preserve">Faria, </w:t>
      </w:r>
      <w:proofErr w:type="spellStart"/>
      <w:r w:rsidRPr="00417D85">
        <w:rPr>
          <w:highlight w:val="green"/>
          <w:lang w:val="pt-BR"/>
        </w:rPr>
        <w:t>M.B.</w:t>
      </w:r>
      <w:proofErr w:type="spellEnd"/>
      <w:r w:rsidRPr="00417D85">
        <w:rPr>
          <w:highlight w:val="green"/>
          <w:lang w:val="pt-BR"/>
        </w:rPr>
        <w:t xml:space="preserve">, Nascimento, </w:t>
      </w:r>
      <w:proofErr w:type="spellStart"/>
      <w:r w:rsidRPr="00417D85">
        <w:rPr>
          <w:highlight w:val="green"/>
          <w:lang w:val="pt-BR"/>
        </w:rPr>
        <w:t>F.F.</w:t>
      </w:r>
      <w:proofErr w:type="spellEnd"/>
      <w:r w:rsidRPr="00417D85">
        <w:rPr>
          <w:highlight w:val="green"/>
          <w:lang w:val="pt-BR"/>
        </w:rPr>
        <w:t xml:space="preserve">, Oliveira, </w:t>
      </w:r>
      <w:proofErr w:type="spellStart"/>
      <w:r w:rsidRPr="00417D85">
        <w:rPr>
          <w:highlight w:val="green"/>
          <w:lang w:val="pt-BR"/>
        </w:rPr>
        <w:t>J.A.</w:t>
      </w:r>
      <w:proofErr w:type="spellEnd"/>
      <w:r w:rsidRPr="00417D85">
        <w:rPr>
          <w:highlight w:val="green"/>
          <w:lang w:val="pt-BR"/>
        </w:rPr>
        <w:t xml:space="preserve"> De, </w:t>
      </w:r>
      <w:proofErr w:type="spellStart"/>
      <w:r w:rsidRPr="00417D85">
        <w:rPr>
          <w:highlight w:val="green"/>
          <w:lang w:val="pt-BR"/>
        </w:rPr>
        <w:t>Bonvicino</w:t>
      </w:r>
      <w:proofErr w:type="spellEnd"/>
      <w:r w:rsidRPr="00417D85">
        <w:rPr>
          <w:highlight w:val="green"/>
          <w:lang w:val="pt-BR"/>
        </w:rPr>
        <w:t xml:space="preserve">, </w:t>
      </w:r>
      <w:proofErr w:type="spellStart"/>
      <w:r w:rsidRPr="00417D85">
        <w:rPr>
          <w:highlight w:val="green"/>
          <w:lang w:val="pt-BR"/>
        </w:rPr>
        <w:t>C.R.</w:t>
      </w:r>
      <w:proofErr w:type="spellEnd"/>
      <w:r w:rsidRPr="00417D85">
        <w:rPr>
          <w:highlight w:val="green"/>
          <w:lang w:val="pt-BR"/>
        </w:rPr>
        <w:t xml:space="preserve">, 2013. </w:t>
      </w:r>
      <w:proofErr w:type="spellStart"/>
      <w:r w:rsidRPr="00417D85">
        <w:rPr>
          <w:highlight w:val="green"/>
          <w:lang w:val="en-US"/>
        </w:rPr>
        <w:t>Biogeographic</w:t>
      </w:r>
      <w:proofErr w:type="spellEnd"/>
      <w:r w:rsidRPr="00417D85">
        <w:rPr>
          <w:highlight w:val="green"/>
          <w:lang w:val="en-US"/>
        </w:rPr>
        <w:t xml:space="preserve"> determinants of genetic diversification in the mouse opossum </w:t>
      </w:r>
      <w:proofErr w:type="spellStart"/>
      <w:r w:rsidRPr="00417D85">
        <w:rPr>
          <w:i/>
          <w:highlight w:val="green"/>
          <w:lang w:val="en-US"/>
        </w:rPr>
        <w:t>Gracilinanus</w:t>
      </w:r>
      <w:proofErr w:type="spellEnd"/>
      <w:r w:rsidRPr="00417D85">
        <w:rPr>
          <w:i/>
          <w:highlight w:val="green"/>
          <w:lang w:val="en-US"/>
        </w:rPr>
        <w:t xml:space="preserve"> </w:t>
      </w:r>
      <w:proofErr w:type="spellStart"/>
      <w:r w:rsidRPr="00417D85">
        <w:rPr>
          <w:i/>
          <w:highlight w:val="green"/>
          <w:lang w:val="en-US"/>
        </w:rPr>
        <w:t>agilis</w:t>
      </w:r>
      <w:proofErr w:type="spellEnd"/>
      <w:r w:rsidRPr="00417D85">
        <w:rPr>
          <w:highlight w:val="green"/>
          <w:lang w:val="en-US"/>
        </w:rPr>
        <w:t xml:space="preserve"> (</w:t>
      </w:r>
      <w:proofErr w:type="spellStart"/>
      <w:r w:rsidRPr="00417D85">
        <w:rPr>
          <w:highlight w:val="green"/>
          <w:lang w:val="en-US"/>
        </w:rPr>
        <w:t>Didelphimorphia</w:t>
      </w:r>
      <w:proofErr w:type="spellEnd"/>
      <w:r w:rsidRPr="00417D85">
        <w:rPr>
          <w:highlight w:val="green"/>
          <w:lang w:val="en-US"/>
        </w:rPr>
        <w:t xml:space="preserve">: </w:t>
      </w:r>
      <w:proofErr w:type="spellStart"/>
      <w:r w:rsidRPr="00417D85">
        <w:rPr>
          <w:highlight w:val="green"/>
          <w:lang w:val="en-US"/>
        </w:rPr>
        <w:t>Didelphidae</w:t>
      </w:r>
      <w:proofErr w:type="spellEnd"/>
      <w:r w:rsidRPr="00417D85">
        <w:rPr>
          <w:highlight w:val="green"/>
          <w:lang w:val="en-US"/>
        </w:rPr>
        <w:t xml:space="preserve">). J. </w:t>
      </w:r>
      <w:proofErr w:type="spellStart"/>
      <w:r w:rsidRPr="00417D85">
        <w:rPr>
          <w:highlight w:val="green"/>
          <w:lang w:val="en-US"/>
        </w:rPr>
        <w:t>Hered</w:t>
      </w:r>
      <w:proofErr w:type="spellEnd"/>
      <w:r w:rsidRPr="00417D85">
        <w:rPr>
          <w:highlight w:val="green"/>
          <w:lang w:val="en-US"/>
        </w:rPr>
        <w:t>. 104: 613–26.</w:t>
      </w:r>
    </w:p>
    <w:p w:rsidR="00417D85" w:rsidRPr="00417D85" w:rsidRDefault="00417D85" w:rsidP="00417D85">
      <w:pPr>
        <w:spacing w:before="0" w:after="0"/>
        <w:ind w:left="709" w:hanging="709"/>
        <w:rPr>
          <w:highlight w:val="green"/>
          <w:lang w:val="en-US"/>
        </w:rPr>
      </w:pPr>
      <w:proofErr w:type="spellStart"/>
      <w:r w:rsidRPr="00417D85">
        <w:rPr>
          <w:highlight w:val="green"/>
          <w:lang w:val="pt-BR"/>
        </w:rPr>
        <w:lastRenderedPageBreak/>
        <w:t>Giarla</w:t>
      </w:r>
      <w:proofErr w:type="spellEnd"/>
      <w:r w:rsidRPr="00417D85">
        <w:rPr>
          <w:highlight w:val="green"/>
          <w:lang w:val="pt-BR"/>
        </w:rPr>
        <w:t xml:space="preserve">, </w:t>
      </w:r>
      <w:proofErr w:type="spellStart"/>
      <w:r w:rsidRPr="00417D85">
        <w:rPr>
          <w:highlight w:val="green"/>
          <w:lang w:val="pt-BR"/>
        </w:rPr>
        <w:t>T.C.</w:t>
      </w:r>
      <w:proofErr w:type="spellEnd"/>
      <w:r w:rsidRPr="00417D85">
        <w:rPr>
          <w:highlight w:val="green"/>
          <w:lang w:val="pt-BR"/>
        </w:rPr>
        <w:t xml:space="preserve">, </w:t>
      </w:r>
      <w:proofErr w:type="spellStart"/>
      <w:r w:rsidRPr="00417D85">
        <w:rPr>
          <w:highlight w:val="green"/>
          <w:lang w:val="pt-BR"/>
        </w:rPr>
        <w:t>Voss</w:t>
      </w:r>
      <w:proofErr w:type="spellEnd"/>
      <w:r w:rsidRPr="00417D85">
        <w:rPr>
          <w:highlight w:val="green"/>
          <w:lang w:val="pt-BR"/>
        </w:rPr>
        <w:t xml:space="preserve">, </w:t>
      </w:r>
      <w:proofErr w:type="spellStart"/>
      <w:r w:rsidRPr="00417D85">
        <w:rPr>
          <w:highlight w:val="green"/>
          <w:lang w:val="pt-BR"/>
        </w:rPr>
        <w:t>R.S.</w:t>
      </w:r>
      <w:proofErr w:type="spellEnd"/>
      <w:r w:rsidRPr="00417D85">
        <w:rPr>
          <w:highlight w:val="green"/>
          <w:lang w:val="pt-BR"/>
        </w:rPr>
        <w:t xml:space="preserve">, </w:t>
      </w:r>
      <w:proofErr w:type="spellStart"/>
      <w:r w:rsidRPr="00417D85">
        <w:rPr>
          <w:highlight w:val="green"/>
          <w:lang w:val="pt-BR"/>
        </w:rPr>
        <w:t>Jansa</w:t>
      </w:r>
      <w:proofErr w:type="spellEnd"/>
      <w:r w:rsidRPr="00417D85">
        <w:rPr>
          <w:highlight w:val="green"/>
          <w:lang w:val="pt-BR"/>
        </w:rPr>
        <w:t xml:space="preserve">, S.A. 2010. </w:t>
      </w:r>
      <w:r w:rsidRPr="00417D85">
        <w:rPr>
          <w:highlight w:val="green"/>
          <w:lang w:val="en-US"/>
        </w:rPr>
        <w:t xml:space="preserve">Species Limits and </w:t>
      </w:r>
      <w:proofErr w:type="spellStart"/>
      <w:r w:rsidRPr="00417D85">
        <w:rPr>
          <w:highlight w:val="green"/>
          <w:lang w:val="en-US"/>
        </w:rPr>
        <w:t>Phylogenetic</w:t>
      </w:r>
      <w:proofErr w:type="spellEnd"/>
      <w:r w:rsidRPr="00417D85">
        <w:rPr>
          <w:highlight w:val="green"/>
          <w:lang w:val="en-US"/>
        </w:rPr>
        <w:t xml:space="preserve"> Relationships in the </w:t>
      </w:r>
      <w:proofErr w:type="spellStart"/>
      <w:r w:rsidRPr="00417D85">
        <w:rPr>
          <w:highlight w:val="green"/>
          <w:lang w:val="en-US"/>
        </w:rPr>
        <w:t>Didelphid</w:t>
      </w:r>
      <w:proofErr w:type="spellEnd"/>
      <w:r w:rsidRPr="00417D85">
        <w:rPr>
          <w:highlight w:val="green"/>
          <w:lang w:val="en-US"/>
        </w:rPr>
        <w:t xml:space="preserve"> Marsupial Genus </w:t>
      </w:r>
      <w:proofErr w:type="spellStart"/>
      <w:r w:rsidRPr="00417D85">
        <w:rPr>
          <w:i/>
          <w:highlight w:val="green"/>
          <w:lang w:val="en-US"/>
        </w:rPr>
        <w:t>Thylamys</w:t>
      </w:r>
      <w:proofErr w:type="spellEnd"/>
      <w:r w:rsidRPr="00417D85">
        <w:rPr>
          <w:highlight w:val="green"/>
          <w:lang w:val="en-US"/>
        </w:rPr>
        <w:t xml:space="preserve"> Based on Mitochondrial DNA Sequences and Morphology. Bulletin of the American Museum of Natural History 346: 1–67.</w:t>
      </w:r>
    </w:p>
    <w:p w:rsidR="00417D85" w:rsidRPr="00417D85" w:rsidRDefault="00417D85" w:rsidP="00417D85">
      <w:pPr>
        <w:spacing w:before="0" w:after="0"/>
        <w:ind w:left="709" w:hanging="709"/>
        <w:rPr>
          <w:highlight w:val="green"/>
          <w:lang w:val="pt-BR"/>
        </w:rPr>
      </w:pPr>
      <w:proofErr w:type="spellStart"/>
      <w:r w:rsidRPr="00417D85">
        <w:rPr>
          <w:highlight w:val="green"/>
          <w:lang w:val="en-US"/>
        </w:rPr>
        <w:t>Lóss</w:t>
      </w:r>
      <w:proofErr w:type="spellEnd"/>
      <w:r w:rsidRPr="00417D85">
        <w:rPr>
          <w:highlight w:val="green"/>
          <w:lang w:val="en-US"/>
        </w:rPr>
        <w:t xml:space="preserve">, S., Costa, L.P., </w:t>
      </w:r>
      <w:proofErr w:type="spellStart"/>
      <w:r w:rsidRPr="00417D85">
        <w:rPr>
          <w:highlight w:val="green"/>
          <w:lang w:val="en-US"/>
        </w:rPr>
        <w:t>Leite</w:t>
      </w:r>
      <w:proofErr w:type="spellEnd"/>
      <w:r w:rsidRPr="00417D85">
        <w:rPr>
          <w:highlight w:val="green"/>
          <w:lang w:val="en-US"/>
        </w:rPr>
        <w:t xml:space="preserve">, Y.L.R. 2011. Geographic variation, phylogeny and systematic status of </w:t>
      </w:r>
      <w:proofErr w:type="spellStart"/>
      <w:r w:rsidRPr="00417D85">
        <w:rPr>
          <w:i/>
          <w:iCs/>
          <w:highlight w:val="green"/>
          <w:lang w:val="en-US"/>
        </w:rPr>
        <w:t>Gracilinanus</w:t>
      </w:r>
      <w:proofErr w:type="spellEnd"/>
      <w:r w:rsidRPr="00417D85">
        <w:rPr>
          <w:i/>
          <w:iCs/>
          <w:highlight w:val="green"/>
          <w:lang w:val="en-US"/>
        </w:rPr>
        <w:t xml:space="preserve"> </w:t>
      </w:r>
      <w:proofErr w:type="spellStart"/>
      <w:r w:rsidRPr="00417D85">
        <w:rPr>
          <w:i/>
          <w:iCs/>
          <w:highlight w:val="green"/>
          <w:lang w:val="en-US"/>
        </w:rPr>
        <w:t>microtarsus</w:t>
      </w:r>
      <w:proofErr w:type="spellEnd"/>
      <w:r w:rsidRPr="00417D85">
        <w:rPr>
          <w:highlight w:val="green"/>
          <w:lang w:val="en-US"/>
        </w:rPr>
        <w:t xml:space="preserve"> (</w:t>
      </w:r>
      <w:proofErr w:type="spellStart"/>
      <w:r w:rsidRPr="00417D85">
        <w:rPr>
          <w:highlight w:val="green"/>
          <w:lang w:val="en-US"/>
        </w:rPr>
        <w:t>Mammalia</w:t>
      </w:r>
      <w:proofErr w:type="spellEnd"/>
      <w:r w:rsidRPr="00417D85">
        <w:rPr>
          <w:highlight w:val="green"/>
          <w:lang w:val="en-US"/>
        </w:rPr>
        <w:t xml:space="preserve">: </w:t>
      </w:r>
      <w:proofErr w:type="spellStart"/>
      <w:r w:rsidRPr="00417D85">
        <w:rPr>
          <w:highlight w:val="green"/>
          <w:lang w:val="en-US"/>
        </w:rPr>
        <w:t>Didelphimorphia</w:t>
      </w:r>
      <w:proofErr w:type="spellEnd"/>
      <w:r w:rsidRPr="00417D85">
        <w:rPr>
          <w:highlight w:val="green"/>
          <w:lang w:val="en-US"/>
        </w:rPr>
        <w:t xml:space="preserve">: </w:t>
      </w:r>
      <w:proofErr w:type="spellStart"/>
      <w:r w:rsidRPr="00417D85">
        <w:rPr>
          <w:highlight w:val="green"/>
          <w:lang w:val="en-US"/>
        </w:rPr>
        <w:t>Didelphidae</w:t>
      </w:r>
      <w:proofErr w:type="spellEnd"/>
      <w:r w:rsidRPr="00417D85">
        <w:rPr>
          <w:highlight w:val="green"/>
          <w:lang w:val="en-US"/>
        </w:rPr>
        <w:t xml:space="preserve">). </w:t>
      </w:r>
      <w:proofErr w:type="spellStart"/>
      <w:r w:rsidRPr="00417D85">
        <w:rPr>
          <w:highlight w:val="green"/>
          <w:lang w:val="pt-BR"/>
        </w:rPr>
        <w:t>Zootaxa</w:t>
      </w:r>
      <w:proofErr w:type="spellEnd"/>
      <w:r w:rsidRPr="00417D85">
        <w:rPr>
          <w:highlight w:val="green"/>
          <w:lang w:val="pt-BR"/>
        </w:rPr>
        <w:t xml:space="preserve"> 2761: 1–33.</w:t>
      </w:r>
    </w:p>
    <w:p w:rsidR="00417D85" w:rsidRPr="00417D85" w:rsidRDefault="00417D85" w:rsidP="00417D85">
      <w:pPr>
        <w:spacing w:before="0" w:after="0"/>
        <w:ind w:left="709" w:hanging="709"/>
        <w:rPr>
          <w:highlight w:val="green"/>
          <w:lang w:val="en-US"/>
        </w:rPr>
      </w:pPr>
      <w:r w:rsidRPr="00417D85">
        <w:rPr>
          <w:highlight w:val="green"/>
          <w:lang w:val="pt-BR"/>
        </w:rPr>
        <w:t xml:space="preserve">Nunes, C., Ayres, </w:t>
      </w:r>
      <w:proofErr w:type="spellStart"/>
      <w:r w:rsidRPr="00417D85">
        <w:rPr>
          <w:highlight w:val="green"/>
          <w:lang w:val="pt-BR"/>
        </w:rPr>
        <w:t>J.M.</w:t>
      </w:r>
      <w:proofErr w:type="spellEnd"/>
      <w:r w:rsidRPr="00417D85">
        <w:rPr>
          <w:highlight w:val="green"/>
          <w:lang w:val="pt-BR"/>
        </w:rPr>
        <w:t xml:space="preserve">, Sampaio, I., Schneider, H. 2006. </w:t>
      </w:r>
      <w:proofErr w:type="gramStart"/>
      <w:r w:rsidRPr="00417D85">
        <w:rPr>
          <w:highlight w:val="green"/>
          <w:lang w:val="en-US"/>
        </w:rPr>
        <w:t xml:space="preserve">Molecular discrimination of pouched four-eyed opossums from the </w:t>
      </w:r>
      <w:proofErr w:type="spellStart"/>
      <w:r w:rsidRPr="00417D85">
        <w:rPr>
          <w:highlight w:val="green"/>
          <w:lang w:val="en-US"/>
        </w:rPr>
        <w:t>Mamirauá</w:t>
      </w:r>
      <w:proofErr w:type="spellEnd"/>
      <w:r w:rsidRPr="00417D85">
        <w:rPr>
          <w:highlight w:val="green"/>
          <w:lang w:val="en-US"/>
        </w:rPr>
        <w:t xml:space="preserve"> Reserve in the Brazilian Amazon.</w:t>
      </w:r>
      <w:proofErr w:type="gramEnd"/>
      <w:r w:rsidRPr="00417D85">
        <w:rPr>
          <w:highlight w:val="green"/>
          <w:lang w:val="en-US"/>
        </w:rPr>
        <w:t xml:space="preserve"> </w:t>
      </w:r>
      <w:proofErr w:type="gramStart"/>
      <w:r w:rsidRPr="00417D85">
        <w:rPr>
          <w:highlight w:val="green"/>
          <w:lang w:val="en-US"/>
        </w:rPr>
        <w:t>Genet.</w:t>
      </w:r>
      <w:proofErr w:type="gramEnd"/>
      <w:r w:rsidRPr="00417D85">
        <w:rPr>
          <w:highlight w:val="green"/>
          <w:lang w:val="en-US"/>
        </w:rPr>
        <w:t xml:space="preserve"> Mol. Biol. 29: 283–286.</w:t>
      </w:r>
    </w:p>
    <w:p w:rsidR="00417D85" w:rsidRPr="00417D85" w:rsidRDefault="00417D85" w:rsidP="00417D85">
      <w:pPr>
        <w:spacing w:before="0" w:after="0"/>
        <w:ind w:left="709" w:hanging="709"/>
        <w:rPr>
          <w:highlight w:val="green"/>
          <w:lang w:val="pt-BR"/>
        </w:rPr>
      </w:pPr>
      <w:r w:rsidRPr="00417D85">
        <w:rPr>
          <w:highlight w:val="green"/>
          <w:lang w:val="en-US"/>
        </w:rPr>
        <w:t xml:space="preserve">Steiner, C., </w:t>
      </w:r>
      <w:proofErr w:type="spellStart"/>
      <w:r w:rsidRPr="00417D85">
        <w:rPr>
          <w:highlight w:val="green"/>
          <w:lang w:val="en-US"/>
        </w:rPr>
        <w:t>Catzeflis</w:t>
      </w:r>
      <w:proofErr w:type="spellEnd"/>
      <w:r w:rsidRPr="00417D85">
        <w:rPr>
          <w:highlight w:val="green"/>
          <w:lang w:val="en-US"/>
        </w:rPr>
        <w:t xml:space="preserve">, F.M. 2003. </w:t>
      </w:r>
      <w:proofErr w:type="gramStart"/>
      <w:r w:rsidRPr="00417D85">
        <w:rPr>
          <w:highlight w:val="green"/>
          <w:lang w:val="en-US"/>
        </w:rPr>
        <w:t xml:space="preserve">Mitochondrial diversity and morphological variation of </w:t>
      </w:r>
      <w:proofErr w:type="spellStart"/>
      <w:r w:rsidRPr="00417D85">
        <w:rPr>
          <w:i/>
          <w:iCs/>
          <w:highlight w:val="green"/>
          <w:lang w:val="en-US"/>
        </w:rPr>
        <w:t>Marmosa</w:t>
      </w:r>
      <w:proofErr w:type="spellEnd"/>
      <w:r w:rsidRPr="00417D85">
        <w:rPr>
          <w:i/>
          <w:iCs/>
          <w:highlight w:val="green"/>
          <w:lang w:val="en-US"/>
        </w:rPr>
        <w:t xml:space="preserve"> </w:t>
      </w:r>
      <w:proofErr w:type="spellStart"/>
      <w:r w:rsidRPr="00417D85">
        <w:rPr>
          <w:i/>
          <w:iCs/>
          <w:highlight w:val="green"/>
          <w:lang w:val="en-US"/>
        </w:rPr>
        <w:t>murina</w:t>
      </w:r>
      <w:proofErr w:type="spellEnd"/>
      <w:r w:rsidRPr="00417D85">
        <w:rPr>
          <w:highlight w:val="green"/>
          <w:lang w:val="en-US"/>
        </w:rPr>
        <w:t xml:space="preserve"> (</w:t>
      </w:r>
      <w:proofErr w:type="spellStart"/>
      <w:r w:rsidRPr="00417D85">
        <w:rPr>
          <w:highlight w:val="green"/>
          <w:lang w:val="en-US"/>
        </w:rPr>
        <w:t>Didelphidae</w:t>
      </w:r>
      <w:proofErr w:type="spellEnd"/>
      <w:r w:rsidRPr="00417D85">
        <w:rPr>
          <w:highlight w:val="green"/>
          <w:lang w:val="en-US"/>
        </w:rPr>
        <w:t>) in French Guiana.</w:t>
      </w:r>
      <w:proofErr w:type="gramEnd"/>
      <w:r w:rsidRPr="00417D85">
        <w:rPr>
          <w:highlight w:val="green"/>
          <w:lang w:val="en-US"/>
        </w:rPr>
        <w:t xml:space="preserve"> </w:t>
      </w:r>
      <w:r w:rsidRPr="00417D85">
        <w:rPr>
          <w:highlight w:val="green"/>
          <w:lang w:val="pt-BR"/>
        </w:rPr>
        <w:t xml:space="preserve">J. </w:t>
      </w:r>
      <w:proofErr w:type="spellStart"/>
      <w:r w:rsidRPr="00417D85">
        <w:rPr>
          <w:highlight w:val="green"/>
          <w:lang w:val="pt-BR"/>
        </w:rPr>
        <w:t>Mammal</w:t>
      </w:r>
      <w:proofErr w:type="spellEnd"/>
      <w:r w:rsidRPr="00417D85">
        <w:rPr>
          <w:highlight w:val="green"/>
          <w:lang w:val="pt-BR"/>
        </w:rPr>
        <w:t>. 84: 822–831.</w:t>
      </w:r>
    </w:p>
    <w:p w:rsidR="00417D85" w:rsidRPr="00417D85" w:rsidRDefault="00417D85" w:rsidP="00417D85">
      <w:pPr>
        <w:spacing w:before="0" w:after="0"/>
        <w:ind w:left="709" w:hanging="709"/>
        <w:rPr>
          <w:lang w:val="en-US"/>
        </w:rPr>
      </w:pPr>
      <w:r w:rsidRPr="00417D85">
        <w:rPr>
          <w:highlight w:val="green"/>
          <w:lang w:val="es-ES_tradnl"/>
        </w:rPr>
        <w:t xml:space="preserve">Teta, P., </w:t>
      </w:r>
      <w:proofErr w:type="spellStart"/>
      <w:r w:rsidRPr="00417D85">
        <w:rPr>
          <w:highlight w:val="green"/>
          <w:lang w:val="es-ES_tradnl"/>
        </w:rPr>
        <w:t>D’Elía</w:t>
      </w:r>
      <w:proofErr w:type="spellEnd"/>
      <w:r w:rsidRPr="00417D85">
        <w:rPr>
          <w:highlight w:val="green"/>
          <w:lang w:val="es-ES_tradnl"/>
        </w:rPr>
        <w:t xml:space="preserve">, G., Flores, D., de La Sancha, N. 2009. </w:t>
      </w:r>
      <w:proofErr w:type="gramStart"/>
      <w:r w:rsidRPr="00417D85">
        <w:rPr>
          <w:highlight w:val="green"/>
          <w:lang w:val="en-US"/>
        </w:rPr>
        <w:t xml:space="preserve">Diversity and Distribution of the Mouse Opossums of the genus </w:t>
      </w:r>
      <w:proofErr w:type="spellStart"/>
      <w:r w:rsidRPr="00417D85">
        <w:rPr>
          <w:i/>
          <w:highlight w:val="green"/>
          <w:lang w:val="en-US"/>
        </w:rPr>
        <w:t>Thylamys</w:t>
      </w:r>
      <w:proofErr w:type="spellEnd"/>
      <w:r w:rsidRPr="00417D85">
        <w:rPr>
          <w:highlight w:val="green"/>
          <w:lang w:val="en-US"/>
        </w:rPr>
        <w:t xml:space="preserve"> (</w:t>
      </w:r>
      <w:proofErr w:type="spellStart"/>
      <w:r w:rsidRPr="00417D85">
        <w:rPr>
          <w:highlight w:val="green"/>
          <w:lang w:val="en-US"/>
        </w:rPr>
        <w:t>Didelphimorphia</w:t>
      </w:r>
      <w:proofErr w:type="spellEnd"/>
      <w:r w:rsidRPr="00417D85">
        <w:rPr>
          <w:highlight w:val="green"/>
          <w:lang w:val="en-US"/>
        </w:rPr>
        <w:t xml:space="preserve">, </w:t>
      </w:r>
      <w:proofErr w:type="spellStart"/>
      <w:r w:rsidRPr="00417D85">
        <w:rPr>
          <w:highlight w:val="green"/>
          <w:lang w:val="en-US"/>
        </w:rPr>
        <w:t>Didelphidae</w:t>
      </w:r>
      <w:proofErr w:type="spellEnd"/>
      <w:r w:rsidRPr="00417D85">
        <w:rPr>
          <w:highlight w:val="green"/>
          <w:lang w:val="en-US"/>
        </w:rPr>
        <w:t>) in Northeastern and Central Argentina.</w:t>
      </w:r>
      <w:proofErr w:type="gramEnd"/>
      <w:r w:rsidRPr="00417D85">
        <w:rPr>
          <w:highlight w:val="green"/>
          <w:lang w:val="en-US"/>
        </w:rPr>
        <w:t xml:space="preserve"> </w:t>
      </w:r>
      <w:proofErr w:type="spellStart"/>
      <w:r w:rsidRPr="00417D85">
        <w:rPr>
          <w:highlight w:val="green"/>
          <w:lang w:val="en-US"/>
        </w:rPr>
        <w:t>Gayana</w:t>
      </w:r>
      <w:proofErr w:type="spellEnd"/>
      <w:r w:rsidRPr="00417D85">
        <w:rPr>
          <w:highlight w:val="green"/>
          <w:lang w:val="en-US"/>
        </w:rPr>
        <w:t xml:space="preserve"> (Concepción) 73: 144–150.</w:t>
      </w:r>
    </w:p>
    <w:p w:rsidR="003E6DBE" w:rsidRPr="00417D85" w:rsidRDefault="003E6DBE" w:rsidP="003E6DBE">
      <w:pPr>
        <w:pStyle w:val="Ttulo1"/>
        <w:rPr>
          <w:lang w:val="en-US"/>
        </w:rPr>
      </w:pPr>
      <w:r w:rsidRPr="00417D85">
        <w:rPr>
          <w:lang w:val="en-US"/>
        </w:rPr>
        <w:t xml:space="preserve">Appendix </w:t>
      </w:r>
      <w:r w:rsidR="004E1547" w:rsidRPr="00417D85">
        <w:rPr>
          <w:lang w:val="en-US"/>
        </w:rPr>
        <w:t>2</w:t>
      </w:r>
    </w:p>
    <w:p w:rsidR="00895EBC" w:rsidRPr="00417D85" w:rsidRDefault="008B48A7" w:rsidP="003E6DBE">
      <w:pPr>
        <w:spacing w:before="0" w:after="0"/>
        <w:rPr>
          <w:b/>
          <w:lang w:val="en-US"/>
        </w:rPr>
      </w:pPr>
      <w:r w:rsidRPr="00417D85">
        <w:rPr>
          <w:b/>
          <w:lang w:val="en-US"/>
        </w:rPr>
        <w:t>Gazetteer</w:t>
      </w:r>
    </w:p>
    <w:p w:rsidR="003E6DBE" w:rsidRPr="00417D85" w:rsidRDefault="00FB1396" w:rsidP="00FB1396">
      <w:pPr>
        <w:spacing w:before="0" w:after="0"/>
        <w:rPr>
          <w:lang w:val="en-US"/>
        </w:rPr>
      </w:pPr>
      <w:r w:rsidRPr="00417D85">
        <w:rPr>
          <w:lang w:val="en-US"/>
        </w:rPr>
        <w:t xml:space="preserve">List of collecting localities and specimens examined. </w:t>
      </w:r>
      <w:r w:rsidR="009B18DD" w:rsidRPr="00417D85">
        <w:rPr>
          <w:lang w:val="en-US"/>
        </w:rPr>
        <w:t>L</w:t>
      </w:r>
      <w:r w:rsidRPr="00417D85">
        <w:rPr>
          <w:lang w:val="en-US"/>
        </w:rPr>
        <w:t xml:space="preserve">ocalities of </w:t>
      </w:r>
      <w:proofErr w:type="spellStart"/>
      <w:r w:rsidRPr="00417D85">
        <w:rPr>
          <w:i/>
          <w:iCs/>
          <w:lang w:val="en-US"/>
        </w:rPr>
        <w:t>Cryptonanus</w:t>
      </w:r>
      <w:proofErr w:type="spellEnd"/>
      <w:r w:rsidRPr="00417D85">
        <w:rPr>
          <w:i/>
          <w:iCs/>
          <w:lang w:val="en-US"/>
        </w:rPr>
        <w:t xml:space="preserve"> </w:t>
      </w:r>
      <w:proofErr w:type="spellStart"/>
      <w:r w:rsidRPr="00417D85">
        <w:rPr>
          <w:i/>
          <w:iCs/>
          <w:lang w:val="en-US"/>
        </w:rPr>
        <w:t>guahybae</w:t>
      </w:r>
      <w:proofErr w:type="spellEnd"/>
      <w:r w:rsidRPr="00417D85">
        <w:rPr>
          <w:lang w:val="en-US"/>
        </w:rPr>
        <w:t xml:space="preserve"> </w:t>
      </w:r>
      <w:r w:rsidR="009B18DD" w:rsidRPr="00417D85">
        <w:rPr>
          <w:lang w:val="en-US"/>
        </w:rPr>
        <w:t xml:space="preserve">and their respective geographic coordinates (Longitude / Latitude) </w:t>
      </w:r>
      <w:r w:rsidRPr="00417D85">
        <w:rPr>
          <w:lang w:val="en-US"/>
        </w:rPr>
        <w:t xml:space="preserve">correspond to numbered localities on the map (Figure </w:t>
      </w:r>
      <w:r w:rsidR="00D65259" w:rsidRPr="00417D85">
        <w:rPr>
          <w:lang w:val="en-US"/>
        </w:rPr>
        <w:t>2</w:t>
      </w:r>
      <w:r w:rsidRPr="00417D85">
        <w:rPr>
          <w:lang w:val="en-US"/>
        </w:rPr>
        <w:t>).</w:t>
      </w:r>
      <w:r w:rsidR="009B18DD" w:rsidRPr="00417D85">
        <w:rPr>
          <w:lang w:val="en-US"/>
        </w:rPr>
        <w:t xml:space="preserve"> </w:t>
      </w:r>
      <w:r w:rsidR="003E6DBE" w:rsidRPr="00417D85">
        <w:rPr>
          <w:lang w:val="en-US"/>
        </w:rPr>
        <w:t xml:space="preserve">Localities are listed by Brazilian states (abbreviations in parentheses). Record </w:t>
      </w:r>
      <w:r w:rsidR="009B2EA3" w:rsidRPr="00417D85">
        <w:rPr>
          <w:lang w:val="en-US"/>
        </w:rPr>
        <w:t xml:space="preserve">localities </w:t>
      </w:r>
      <w:r w:rsidR="003E6DBE" w:rsidRPr="00417D85">
        <w:rPr>
          <w:lang w:val="en-US"/>
        </w:rPr>
        <w:t xml:space="preserve">from </w:t>
      </w:r>
      <w:r w:rsidR="007C5C58" w:rsidRPr="00417D85">
        <w:rPr>
          <w:lang w:val="en-US"/>
        </w:rPr>
        <w:t xml:space="preserve">the </w:t>
      </w:r>
      <w:r w:rsidR="003E6DBE" w:rsidRPr="00417D85">
        <w:rPr>
          <w:lang w:val="en-US"/>
        </w:rPr>
        <w:t xml:space="preserve">literature are underlined and new collecting localities are not underlined. Specimen collection numbers have superscript letters according to available </w:t>
      </w:r>
      <w:r w:rsidR="003E6DBE" w:rsidRPr="00417D85">
        <w:rPr>
          <w:lang w:val="en-US"/>
        </w:rPr>
        <w:lastRenderedPageBreak/>
        <w:t>data: genetic data (</w:t>
      </w:r>
      <w:r w:rsidR="003E6DBE" w:rsidRPr="00417D85">
        <w:rPr>
          <w:vertAlign w:val="superscript"/>
          <w:lang w:val="en-US"/>
        </w:rPr>
        <w:t>G</w:t>
      </w:r>
      <w:r w:rsidR="003E6DBE" w:rsidRPr="00417D85">
        <w:rPr>
          <w:lang w:val="en-US"/>
        </w:rPr>
        <w:t>), morphological data (</w:t>
      </w:r>
      <w:r w:rsidR="003E6DBE" w:rsidRPr="00417D85">
        <w:rPr>
          <w:vertAlign w:val="superscript"/>
          <w:lang w:val="en-US"/>
        </w:rPr>
        <w:t>M</w:t>
      </w:r>
      <w:r w:rsidR="003E6DBE" w:rsidRPr="00417D85">
        <w:rPr>
          <w:lang w:val="en-US"/>
        </w:rPr>
        <w:t>), and both genetic and morphological data (</w:t>
      </w:r>
      <w:r w:rsidR="003E6DBE" w:rsidRPr="00417D85">
        <w:rPr>
          <w:vertAlign w:val="superscript"/>
          <w:lang w:val="en-US"/>
        </w:rPr>
        <w:t>B</w:t>
      </w:r>
      <w:r w:rsidR="003E6DBE" w:rsidRPr="00417D85">
        <w:rPr>
          <w:lang w:val="en-US"/>
        </w:rPr>
        <w:t>).</w:t>
      </w:r>
    </w:p>
    <w:p w:rsidR="00D65259" w:rsidRPr="00417D85" w:rsidRDefault="00D65259" w:rsidP="00D65259">
      <w:pPr>
        <w:outlineLvl w:val="0"/>
        <w:rPr>
          <w:lang w:val="pt-BR"/>
        </w:rPr>
      </w:pPr>
      <w:r w:rsidRPr="00417D85">
        <w:rPr>
          <w:rFonts w:eastAsia="Times New Roman"/>
          <w:i/>
          <w:lang w:eastAsia="pt-BR"/>
        </w:rPr>
        <w:t>Cryptonanus guahybae</w:t>
      </w:r>
    </w:p>
    <w:p w:rsidR="003E6DBE" w:rsidRPr="00417D85" w:rsidRDefault="003E6DBE" w:rsidP="003E6DBE">
      <w:pPr>
        <w:spacing w:before="0" w:after="0"/>
        <w:rPr>
          <w:lang w:val="pt-BR"/>
        </w:rPr>
      </w:pPr>
      <w:r w:rsidRPr="00417D85">
        <w:rPr>
          <w:b/>
          <w:bCs/>
          <w:lang w:val="pt-BR"/>
        </w:rPr>
        <w:t xml:space="preserve">Paraná (PR): 1. </w:t>
      </w:r>
      <w:r w:rsidRPr="00417D85">
        <w:rPr>
          <w:lang w:val="pt-BR"/>
        </w:rPr>
        <w:t>São Mateus do Sul 25°50’S 50°24’W (UFSC 5197</w:t>
      </w:r>
      <w:r w:rsidRPr="00417D85">
        <w:rPr>
          <w:vertAlign w:val="superscript"/>
          <w:lang w:val="pt-BR"/>
        </w:rPr>
        <w:t xml:space="preserve"> M</w:t>
      </w:r>
      <w:r w:rsidRPr="00417D85">
        <w:rPr>
          <w:lang w:val="pt-BR"/>
        </w:rPr>
        <w:t>).</w:t>
      </w:r>
    </w:p>
    <w:p w:rsidR="003E6DBE" w:rsidRPr="00417D85" w:rsidRDefault="003E6DBE" w:rsidP="003E6DBE">
      <w:pPr>
        <w:spacing w:before="0" w:after="0"/>
        <w:rPr>
          <w:lang w:val="pt-BR"/>
        </w:rPr>
      </w:pPr>
      <w:r w:rsidRPr="00417D85">
        <w:rPr>
          <w:b/>
          <w:bCs/>
          <w:lang w:val="pt-BR"/>
        </w:rPr>
        <w:t>Santa Catarina (SC):</w:t>
      </w:r>
      <w:r w:rsidRPr="00417D85">
        <w:rPr>
          <w:lang w:val="pt-BR"/>
        </w:rPr>
        <w:t xml:space="preserve"> </w:t>
      </w:r>
      <w:r w:rsidRPr="00417D85">
        <w:rPr>
          <w:b/>
          <w:bCs/>
          <w:lang w:val="pt-BR"/>
        </w:rPr>
        <w:t>2.</w:t>
      </w:r>
      <w:r w:rsidRPr="00417D85">
        <w:rPr>
          <w:lang w:val="pt-BR"/>
        </w:rPr>
        <w:t xml:space="preserve"> Quilombo 26°41’'S 52°36’W (UFSC 3835</w:t>
      </w:r>
      <w:r w:rsidRPr="00417D85">
        <w:rPr>
          <w:vertAlign w:val="superscript"/>
          <w:lang w:val="pt-BR"/>
        </w:rPr>
        <w:t xml:space="preserve"> M</w:t>
      </w:r>
      <w:r w:rsidRPr="00417D85">
        <w:rPr>
          <w:lang w:val="pt-BR"/>
        </w:rPr>
        <w:t xml:space="preserve">); </w:t>
      </w:r>
      <w:r w:rsidRPr="00417D85">
        <w:rPr>
          <w:b/>
          <w:bCs/>
          <w:lang w:val="pt-BR"/>
        </w:rPr>
        <w:t>3.</w:t>
      </w:r>
      <w:r w:rsidRPr="00417D85">
        <w:rPr>
          <w:lang w:val="pt-BR"/>
        </w:rPr>
        <w:t xml:space="preserve"> Passos Maia 26º41’S 51º55’W (UFSC 4589 </w:t>
      </w:r>
      <w:r w:rsidRPr="00417D85">
        <w:rPr>
          <w:vertAlign w:val="superscript"/>
          <w:lang w:val="pt-BR"/>
        </w:rPr>
        <w:t>M</w:t>
      </w:r>
      <w:r w:rsidRPr="00417D85">
        <w:rPr>
          <w:lang w:val="pt-BR"/>
        </w:rPr>
        <w:t xml:space="preserve">, 5203 </w:t>
      </w:r>
      <w:r w:rsidRPr="00417D85">
        <w:rPr>
          <w:vertAlign w:val="superscript"/>
          <w:lang w:val="pt-BR"/>
        </w:rPr>
        <w:t>M</w:t>
      </w:r>
      <w:r w:rsidRPr="00417D85">
        <w:rPr>
          <w:lang w:val="pt-BR"/>
        </w:rPr>
        <w:t xml:space="preserve">), 26º42'S 51º54’W (UFSC 4821 </w:t>
      </w:r>
      <w:r w:rsidRPr="00417D85">
        <w:rPr>
          <w:vertAlign w:val="superscript"/>
          <w:lang w:val="pt-BR"/>
        </w:rPr>
        <w:t>M</w:t>
      </w:r>
      <w:r w:rsidRPr="00417D85">
        <w:rPr>
          <w:lang w:val="pt-BR"/>
        </w:rPr>
        <w:t xml:space="preserve">); </w:t>
      </w:r>
      <w:r w:rsidRPr="00417D85">
        <w:rPr>
          <w:b/>
          <w:bCs/>
          <w:lang w:val="pt-BR"/>
        </w:rPr>
        <w:t>4.</w:t>
      </w:r>
      <w:r w:rsidRPr="00417D85">
        <w:rPr>
          <w:lang w:val="pt-BR"/>
        </w:rPr>
        <w:t xml:space="preserve"> Baixada do Maciambu, Palhoça (Parque Estadual da Serra do Tabuleiro) 27°50’S 48°37’W (UFSC 3849 </w:t>
      </w:r>
      <w:r w:rsidRPr="00417D85">
        <w:rPr>
          <w:vertAlign w:val="superscript"/>
          <w:lang w:val="pt-BR"/>
        </w:rPr>
        <w:t>M</w:t>
      </w:r>
      <w:r w:rsidRPr="00417D85">
        <w:rPr>
          <w:lang w:val="pt-BR"/>
        </w:rPr>
        <w:t xml:space="preserve">, 3850 </w:t>
      </w:r>
      <w:r w:rsidRPr="00417D85">
        <w:rPr>
          <w:vertAlign w:val="superscript"/>
          <w:lang w:val="pt-BR"/>
        </w:rPr>
        <w:t>M</w:t>
      </w:r>
      <w:r w:rsidRPr="00417D85">
        <w:rPr>
          <w:lang w:val="pt-BR"/>
        </w:rPr>
        <w:t>, 4465</w:t>
      </w:r>
      <w:r w:rsidRPr="00417D85">
        <w:rPr>
          <w:vertAlign w:val="superscript"/>
          <w:lang w:val="pt-BR"/>
        </w:rPr>
        <w:t xml:space="preserve"> M</w:t>
      </w:r>
      <w:r w:rsidRPr="00417D85">
        <w:rPr>
          <w:lang w:val="pt-BR"/>
        </w:rPr>
        <w:t xml:space="preserve">, 4854 </w:t>
      </w:r>
      <w:r w:rsidRPr="00417D85">
        <w:rPr>
          <w:vertAlign w:val="superscript"/>
          <w:lang w:val="pt-BR"/>
        </w:rPr>
        <w:t>B</w:t>
      </w:r>
      <w:r w:rsidRPr="00417D85">
        <w:rPr>
          <w:lang w:val="pt-BR"/>
        </w:rPr>
        <w:t>, 4855</w:t>
      </w:r>
      <w:r w:rsidRPr="00417D85">
        <w:rPr>
          <w:vertAlign w:val="superscript"/>
          <w:lang w:val="pt-BR"/>
        </w:rPr>
        <w:t xml:space="preserve"> M</w:t>
      </w:r>
      <w:r w:rsidRPr="00417D85">
        <w:rPr>
          <w:lang w:val="pt-BR"/>
        </w:rPr>
        <w:t>; 5234</w:t>
      </w:r>
      <w:r w:rsidRPr="00417D85">
        <w:rPr>
          <w:vertAlign w:val="superscript"/>
          <w:lang w:val="pt-BR"/>
        </w:rPr>
        <w:t xml:space="preserve"> M</w:t>
      </w:r>
      <w:r w:rsidRPr="00417D85">
        <w:rPr>
          <w:lang w:val="pt-BR"/>
        </w:rPr>
        <w:t xml:space="preserve">); </w:t>
      </w:r>
      <w:r w:rsidRPr="00417D85">
        <w:rPr>
          <w:b/>
          <w:bCs/>
          <w:lang w:val="pt-BR"/>
        </w:rPr>
        <w:t>5.</w:t>
      </w:r>
      <w:r w:rsidRPr="00417D85">
        <w:rPr>
          <w:lang w:val="pt-BR"/>
        </w:rPr>
        <w:t xml:space="preserve"> Xavantina 27°00’S; 52°24’W (UFSC 3801 </w:t>
      </w:r>
      <w:r w:rsidRPr="00417D85">
        <w:rPr>
          <w:vertAlign w:val="superscript"/>
          <w:lang w:val="pt-BR"/>
        </w:rPr>
        <w:t>M</w:t>
      </w:r>
      <w:r w:rsidRPr="00417D85">
        <w:rPr>
          <w:lang w:val="pt-BR"/>
        </w:rPr>
        <w:t xml:space="preserve">); </w:t>
      </w:r>
      <w:r w:rsidRPr="00417D85">
        <w:rPr>
          <w:b/>
          <w:bCs/>
          <w:lang w:val="pt-BR"/>
        </w:rPr>
        <w:t>6.</w:t>
      </w:r>
      <w:r w:rsidRPr="00417D85">
        <w:rPr>
          <w:lang w:val="pt-BR"/>
        </w:rPr>
        <w:t xml:space="preserve"> Guatambu 27°10’S 52°46’W (UFSC 4006 </w:t>
      </w:r>
      <w:r w:rsidRPr="00417D85">
        <w:rPr>
          <w:vertAlign w:val="superscript"/>
          <w:lang w:val="pt-BR"/>
        </w:rPr>
        <w:t>M</w:t>
      </w:r>
      <w:r w:rsidRPr="00417D85">
        <w:rPr>
          <w:lang w:val="pt-BR"/>
        </w:rPr>
        <w:t xml:space="preserve">, 4007 </w:t>
      </w:r>
      <w:r w:rsidRPr="00417D85">
        <w:rPr>
          <w:vertAlign w:val="superscript"/>
          <w:lang w:val="pt-BR"/>
        </w:rPr>
        <w:t>M</w:t>
      </w:r>
      <w:r w:rsidRPr="00417D85">
        <w:rPr>
          <w:lang w:val="pt-BR"/>
        </w:rPr>
        <w:t xml:space="preserve">); </w:t>
      </w:r>
      <w:r w:rsidRPr="00417D85">
        <w:rPr>
          <w:b/>
          <w:bCs/>
          <w:lang w:val="pt-BR"/>
        </w:rPr>
        <w:t>7.</w:t>
      </w:r>
      <w:r w:rsidRPr="00417D85">
        <w:rPr>
          <w:lang w:val="pt-BR"/>
        </w:rPr>
        <w:t xml:space="preserve"> Chapecó 27°14’S 52°35’W (UFSC 3853 </w:t>
      </w:r>
      <w:r w:rsidRPr="00417D85">
        <w:rPr>
          <w:vertAlign w:val="superscript"/>
          <w:lang w:val="pt-BR"/>
        </w:rPr>
        <w:t>M</w:t>
      </w:r>
      <w:r w:rsidRPr="00417D85">
        <w:rPr>
          <w:lang w:val="pt-BR"/>
        </w:rPr>
        <w:t>, 4050</w:t>
      </w:r>
      <w:r w:rsidRPr="00417D85">
        <w:rPr>
          <w:vertAlign w:val="superscript"/>
          <w:lang w:val="pt-BR"/>
        </w:rPr>
        <w:t xml:space="preserve"> M</w:t>
      </w:r>
      <w:r w:rsidRPr="00417D85">
        <w:rPr>
          <w:lang w:val="pt-BR"/>
        </w:rPr>
        <w:t xml:space="preserve">, </w:t>
      </w:r>
      <w:r w:rsidRPr="00417D85">
        <w:rPr>
          <w:u w:val="single"/>
          <w:lang w:val="pt-BR"/>
        </w:rPr>
        <w:t>4051</w:t>
      </w:r>
      <w:r w:rsidRPr="00417D85">
        <w:rPr>
          <w:lang w:val="pt-BR"/>
        </w:rPr>
        <w:t xml:space="preserve">); </w:t>
      </w:r>
    </w:p>
    <w:p w:rsidR="003E6DBE" w:rsidRPr="00417D85" w:rsidRDefault="003E6DBE" w:rsidP="003E6DBE">
      <w:pPr>
        <w:spacing w:before="0" w:after="0"/>
        <w:rPr>
          <w:lang w:val="pt-BR"/>
        </w:rPr>
      </w:pPr>
      <w:r w:rsidRPr="00417D85">
        <w:rPr>
          <w:b/>
          <w:bCs/>
          <w:lang w:val="pt-BR"/>
        </w:rPr>
        <w:t>Rio Grande do Sul (RS): 8.</w:t>
      </w:r>
      <w:r w:rsidRPr="00417D85">
        <w:rPr>
          <w:lang w:val="pt-BR"/>
        </w:rPr>
        <w:t xml:space="preserve"> </w:t>
      </w:r>
      <w:proofErr w:type="gramStart"/>
      <w:r w:rsidRPr="00417D85">
        <w:rPr>
          <w:u w:val="single"/>
          <w:lang w:val="en-US"/>
        </w:rPr>
        <w:t xml:space="preserve">Area of influence of </w:t>
      </w:r>
      <w:proofErr w:type="spellStart"/>
      <w:r w:rsidRPr="00417D85">
        <w:rPr>
          <w:u w:val="single"/>
          <w:lang w:val="en-US"/>
        </w:rPr>
        <w:t>Itá</w:t>
      </w:r>
      <w:proofErr w:type="spellEnd"/>
      <w:r w:rsidRPr="00417D85">
        <w:rPr>
          <w:u w:val="single"/>
          <w:lang w:val="en-US"/>
        </w:rPr>
        <w:t xml:space="preserve"> </w:t>
      </w:r>
      <w:r w:rsidRPr="00417D85">
        <w:rPr>
          <w:rStyle w:val="hps"/>
          <w:u w:val="single"/>
          <w:lang w:val="en-US"/>
        </w:rPr>
        <w:t>hydroelectric</w:t>
      </w:r>
      <w:r w:rsidRPr="00417D85">
        <w:rPr>
          <w:rStyle w:val="hps"/>
          <w:lang w:val="en-US"/>
        </w:rPr>
        <w:t xml:space="preserve"> </w:t>
      </w:r>
      <w:r w:rsidRPr="00417D85">
        <w:rPr>
          <w:lang w:val="en-US"/>
        </w:rPr>
        <w:t>27°16’S 52°23’W (</w:t>
      </w:r>
      <w:proofErr w:type="spellStart"/>
      <w:r w:rsidRPr="00417D85">
        <w:rPr>
          <w:lang w:val="en-US"/>
        </w:rPr>
        <w:t>Quintela</w:t>
      </w:r>
      <w:proofErr w:type="spellEnd"/>
      <w:r w:rsidRPr="00417D85">
        <w:rPr>
          <w:lang w:val="en-US"/>
        </w:rPr>
        <w:t xml:space="preserve"> et al., 2011); </w:t>
      </w:r>
      <w:r w:rsidRPr="00417D85">
        <w:rPr>
          <w:b/>
          <w:bCs/>
          <w:lang w:val="en-US"/>
        </w:rPr>
        <w:t>9.</w:t>
      </w:r>
      <w:proofErr w:type="gramEnd"/>
      <w:r w:rsidRPr="00417D85">
        <w:rPr>
          <w:lang w:val="en-US"/>
        </w:rPr>
        <w:t xml:space="preserve"> </w:t>
      </w:r>
      <w:r w:rsidRPr="00417D85">
        <w:rPr>
          <w:lang w:val="pt-BR"/>
        </w:rPr>
        <w:t xml:space="preserve">Alpestre 27°14’S 52°58’W (UFSC 3856 </w:t>
      </w:r>
      <w:r w:rsidRPr="00417D85">
        <w:rPr>
          <w:vertAlign w:val="superscript"/>
          <w:lang w:val="pt-BR"/>
        </w:rPr>
        <w:t>M</w:t>
      </w:r>
      <w:r w:rsidRPr="00417D85">
        <w:rPr>
          <w:lang w:val="pt-BR"/>
        </w:rPr>
        <w:t xml:space="preserve">, UFSC 4049 </w:t>
      </w:r>
      <w:r w:rsidRPr="00417D85">
        <w:rPr>
          <w:vertAlign w:val="superscript"/>
          <w:lang w:val="pt-BR"/>
        </w:rPr>
        <w:t>B</w:t>
      </w:r>
      <w:r w:rsidRPr="00417D85">
        <w:rPr>
          <w:lang w:val="pt-BR"/>
        </w:rPr>
        <w:t xml:space="preserve">); Rio dos Índios 27°13’S 52°57’W (UFSC 3857 </w:t>
      </w:r>
      <w:r w:rsidRPr="00417D85">
        <w:rPr>
          <w:vertAlign w:val="superscript"/>
          <w:lang w:val="pt-BR"/>
        </w:rPr>
        <w:t>M</w:t>
      </w:r>
      <w:r w:rsidRPr="00417D85">
        <w:rPr>
          <w:lang w:val="pt-BR"/>
        </w:rPr>
        <w:t xml:space="preserve">); </w:t>
      </w:r>
      <w:r w:rsidRPr="00417D85">
        <w:rPr>
          <w:b/>
          <w:bCs/>
          <w:lang w:val="pt-BR"/>
        </w:rPr>
        <w:t>10.</w:t>
      </w:r>
      <w:r w:rsidRPr="00417D85">
        <w:rPr>
          <w:lang w:val="pt-BR"/>
        </w:rPr>
        <w:t xml:space="preserve"> </w:t>
      </w:r>
      <w:r w:rsidRPr="00417D85">
        <w:rPr>
          <w:u w:val="single"/>
          <w:lang w:val="pt-BR"/>
        </w:rPr>
        <w:t>Derrubadas</w:t>
      </w:r>
      <w:r w:rsidRPr="00417D85">
        <w:rPr>
          <w:lang w:val="pt-BR"/>
        </w:rPr>
        <w:t xml:space="preserve"> 27°15’S 53°51’W (Quintela et al., 2011); </w:t>
      </w:r>
      <w:r w:rsidRPr="00417D85">
        <w:rPr>
          <w:b/>
          <w:bCs/>
          <w:lang w:val="pt-BR"/>
        </w:rPr>
        <w:t>11.</w:t>
      </w:r>
      <w:r w:rsidRPr="00417D85">
        <w:rPr>
          <w:lang w:val="pt-BR"/>
        </w:rPr>
        <w:t xml:space="preserve"> Três Passos 27°27’S 53°55’W (MCNU 2808 </w:t>
      </w:r>
      <w:r w:rsidR="00F417D4" w:rsidRPr="00417D85">
        <w:rPr>
          <w:vertAlign w:val="superscript"/>
          <w:lang w:val="pt-BR"/>
        </w:rPr>
        <w:t>B</w:t>
      </w:r>
      <w:bookmarkStart w:id="0" w:name="_GoBack"/>
      <w:bookmarkEnd w:id="0"/>
      <w:r w:rsidRPr="00417D85">
        <w:rPr>
          <w:lang w:val="pt-BR"/>
        </w:rPr>
        <w:t xml:space="preserve">); </w:t>
      </w:r>
      <w:r w:rsidRPr="00417D85">
        <w:rPr>
          <w:b/>
          <w:bCs/>
          <w:lang w:val="pt-BR"/>
        </w:rPr>
        <w:t>12.</w:t>
      </w:r>
      <w:r w:rsidRPr="00417D85">
        <w:rPr>
          <w:lang w:val="pt-BR"/>
        </w:rPr>
        <w:t xml:space="preserve"> </w:t>
      </w:r>
      <w:r w:rsidRPr="00417D85">
        <w:rPr>
          <w:u w:val="single"/>
          <w:lang w:val="pt-BR"/>
        </w:rPr>
        <w:t>Esmeralda</w:t>
      </w:r>
      <w:r w:rsidRPr="00417D85">
        <w:rPr>
          <w:lang w:val="pt-BR"/>
        </w:rPr>
        <w:t xml:space="preserve"> (Estação Ecológica de Aracuri) 28°12’S 51°09’W (MCNU 1725 </w:t>
      </w:r>
      <w:r w:rsidRPr="00417D85">
        <w:rPr>
          <w:vertAlign w:val="superscript"/>
          <w:lang w:val="pt-BR"/>
        </w:rPr>
        <w:t>B</w:t>
      </w:r>
      <w:r w:rsidRPr="00417D85">
        <w:rPr>
          <w:lang w:val="pt-BR"/>
        </w:rPr>
        <w:t xml:space="preserve">) (Quintela et al., 2011); </w:t>
      </w:r>
      <w:r w:rsidRPr="00417D85">
        <w:rPr>
          <w:b/>
          <w:bCs/>
          <w:lang w:val="pt-BR"/>
        </w:rPr>
        <w:t>13.</w:t>
      </w:r>
      <w:r w:rsidRPr="00417D85">
        <w:rPr>
          <w:lang w:val="pt-BR"/>
        </w:rPr>
        <w:t xml:space="preserve"> </w:t>
      </w:r>
      <w:r w:rsidRPr="00417D85">
        <w:rPr>
          <w:u w:val="single"/>
          <w:lang w:val="pt-BR"/>
        </w:rPr>
        <w:t>Tainhas</w:t>
      </w:r>
      <w:r w:rsidRPr="00417D85">
        <w:rPr>
          <w:lang w:val="pt-BR"/>
        </w:rPr>
        <w:t xml:space="preserve"> 29°15’S 50°18’W (Quintela et al., 2011); </w:t>
      </w:r>
      <w:r w:rsidRPr="00417D85">
        <w:rPr>
          <w:b/>
          <w:bCs/>
          <w:lang w:val="pt-BR"/>
        </w:rPr>
        <w:t>14.</w:t>
      </w:r>
      <w:r w:rsidRPr="00417D85">
        <w:rPr>
          <w:lang w:val="pt-BR"/>
        </w:rPr>
        <w:t xml:space="preserve"> </w:t>
      </w:r>
      <w:r w:rsidRPr="00417D85">
        <w:rPr>
          <w:u w:val="single"/>
          <w:lang w:val="pt-BR"/>
        </w:rPr>
        <w:t>Taquara</w:t>
      </w:r>
      <w:r w:rsidRPr="00417D85">
        <w:rPr>
          <w:lang w:val="pt-BR"/>
        </w:rPr>
        <w:t xml:space="preserve"> 29°38’S 50°46’W (Quintela et al., 2011); </w:t>
      </w:r>
      <w:r w:rsidRPr="00417D85">
        <w:rPr>
          <w:b/>
          <w:bCs/>
          <w:lang w:val="pt-BR"/>
        </w:rPr>
        <w:t>15.</w:t>
      </w:r>
      <w:r w:rsidRPr="00417D85">
        <w:rPr>
          <w:lang w:val="pt-BR"/>
        </w:rPr>
        <w:t xml:space="preserve"> </w:t>
      </w:r>
      <w:r w:rsidR="008B48A7" w:rsidRPr="00417D85">
        <w:rPr>
          <w:u w:val="single"/>
          <w:lang w:val="pt-BR"/>
        </w:rPr>
        <w:t>Venâncio Aires</w:t>
      </w:r>
      <w:r w:rsidR="008B48A7" w:rsidRPr="00417D85">
        <w:rPr>
          <w:lang w:val="pt-BR"/>
        </w:rPr>
        <w:t xml:space="preserve"> 29°36’S 52°11’W (Quintela et al., 2011); </w:t>
      </w:r>
      <w:r w:rsidR="008B48A7" w:rsidRPr="00417D85">
        <w:rPr>
          <w:b/>
          <w:bCs/>
          <w:lang w:val="pt-BR"/>
        </w:rPr>
        <w:t>16.</w:t>
      </w:r>
      <w:r w:rsidR="008B48A7" w:rsidRPr="00417D85">
        <w:rPr>
          <w:lang w:val="pt-BR"/>
        </w:rPr>
        <w:t xml:space="preserve"> </w:t>
      </w:r>
      <w:proofErr w:type="spellStart"/>
      <w:r w:rsidR="008B48A7" w:rsidRPr="00417D85">
        <w:rPr>
          <w:u w:val="single"/>
          <w:lang w:val="pt-BR"/>
        </w:rPr>
        <w:t>Island</w:t>
      </w:r>
      <w:proofErr w:type="spellEnd"/>
      <w:r w:rsidR="008B48A7" w:rsidRPr="00417D85">
        <w:rPr>
          <w:u w:val="single"/>
          <w:lang w:val="pt-BR"/>
        </w:rPr>
        <w:t xml:space="preserve"> </w:t>
      </w:r>
      <w:proofErr w:type="spellStart"/>
      <w:r w:rsidR="008B48A7" w:rsidRPr="00417D85">
        <w:rPr>
          <w:u w:val="single"/>
          <w:lang w:val="pt-BR"/>
        </w:rPr>
        <w:t>of</w:t>
      </w:r>
      <w:proofErr w:type="spellEnd"/>
      <w:r w:rsidR="008B48A7" w:rsidRPr="00417D85">
        <w:rPr>
          <w:u w:val="single"/>
          <w:lang w:val="pt-BR"/>
        </w:rPr>
        <w:t xml:space="preserve"> Guaíba</w:t>
      </w:r>
      <w:r w:rsidR="008B48A7" w:rsidRPr="00417D85">
        <w:rPr>
          <w:lang w:val="pt-BR"/>
        </w:rPr>
        <w:t xml:space="preserve"> 29°58’S 51°19’W (Tate, 1931); </w:t>
      </w:r>
      <w:r w:rsidR="008B48A7" w:rsidRPr="00417D85">
        <w:rPr>
          <w:b/>
          <w:bCs/>
          <w:lang w:val="pt-BR"/>
        </w:rPr>
        <w:t>17.</w:t>
      </w:r>
      <w:r w:rsidR="008B48A7" w:rsidRPr="00417D85">
        <w:rPr>
          <w:lang w:val="pt-BR"/>
        </w:rPr>
        <w:t xml:space="preserve"> </w:t>
      </w:r>
      <w:r w:rsidRPr="00417D85">
        <w:rPr>
          <w:u w:val="single"/>
          <w:lang w:val="pt-BR"/>
        </w:rPr>
        <w:t>Charqueadas</w:t>
      </w:r>
      <w:r w:rsidRPr="00417D85">
        <w:rPr>
          <w:lang w:val="pt-BR"/>
        </w:rPr>
        <w:t xml:space="preserve"> 29°56’S 51°37’W (Carvalho et al., 2002); </w:t>
      </w:r>
      <w:r w:rsidRPr="00417D85">
        <w:rPr>
          <w:b/>
          <w:bCs/>
          <w:lang w:val="pt-BR"/>
        </w:rPr>
        <w:t>18.</w:t>
      </w:r>
      <w:r w:rsidRPr="00417D85">
        <w:rPr>
          <w:lang w:val="pt-BR"/>
        </w:rPr>
        <w:t xml:space="preserve"> </w:t>
      </w:r>
      <w:r w:rsidRPr="00417D85">
        <w:rPr>
          <w:u w:val="single"/>
          <w:lang w:val="pt-BR"/>
        </w:rPr>
        <w:t>Mostardas</w:t>
      </w:r>
      <w:r w:rsidRPr="00417D85">
        <w:rPr>
          <w:lang w:val="pt-BR"/>
        </w:rPr>
        <w:t xml:space="preserve"> 31°00’S 50°55’W (Carvalho et al., 2002); </w:t>
      </w:r>
      <w:r w:rsidRPr="00417D85">
        <w:rPr>
          <w:b/>
          <w:bCs/>
          <w:lang w:val="pt-BR"/>
        </w:rPr>
        <w:t>19.</w:t>
      </w:r>
      <w:r w:rsidRPr="00417D85">
        <w:rPr>
          <w:lang w:val="pt-BR"/>
        </w:rPr>
        <w:t xml:space="preserve"> </w:t>
      </w:r>
      <w:r w:rsidRPr="00417D85">
        <w:rPr>
          <w:u w:val="single"/>
          <w:lang w:val="pt-BR"/>
        </w:rPr>
        <w:t>Tapes</w:t>
      </w:r>
      <w:r w:rsidRPr="00417D85">
        <w:rPr>
          <w:lang w:val="pt-BR"/>
        </w:rPr>
        <w:t xml:space="preserve"> 30°39’S 51°23’W; </w:t>
      </w:r>
      <w:r w:rsidRPr="00417D85">
        <w:rPr>
          <w:b/>
          <w:bCs/>
          <w:lang w:val="pt-BR"/>
        </w:rPr>
        <w:t>20.</w:t>
      </w:r>
      <w:r w:rsidRPr="00417D85">
        <w:rPr>
          <w:lang w:val="pt-BR"/>
        </w:rPr>
        <w:t xml:space="preserve"> </w:t>
      </w:r>
      <w:r w:rsidRPr="00417D85">
        <w:rPr>
          <w:u w:val="single"/>
          <w:lang w:val="pt-BR"/>
        </w:rPr>
        <w:t>São Lourenço do Sul</w:t>
      </w:r>
      <w:r w:rsidRPr="00417D85">
        <w:rPr>
          <w:lang w:val="pt-BR"/>
        </w:rPr>
        <w:t xml:space="preserve"> 31°21’S 51°58’W (Tate, 1931); </w:t>
      </w:r>
      <w:r w:rsidRPr="00417D85">
        <w:rPr>
          <w:b/>
          <w:bCs/>
          <w:lang w:val="pt-BR"/>
        </w:rPr>
        <w:t>21.</w:t>
      </w:r>
      <w:r w:rsidRPr="00417D85">
        <w:rPr>
          <w:lang w:val="pt-BR"/>
        </w:rPr>
        <w:t xml:space="preserve"> </w:t>
      </w:r>
      <w:r w:rsidRPr="00417D85">
        <w:rPr>
          <w:u w:val="single"/>
          <w:lang w:val="pt-BR"/>
        </w:rPr>
        <w:t>Rio Grande</w:t>
      </w:r>
      <w:r w:rsidRPr="00417D85">
        <w:rPr>
          <w:lang w:val="pt-BR"/>
        </w:rPr>
        <w:t xml:space="preserve"> (Área de Proteção Ambiental da Lagoa Verde) 32°01’S 52°04’W (Quintela et al., 2011). </w:t>
      </w:r>
    </w:p>
    <w:p w:rsidR="00D65259" w:rsidRPr="00417D85" w:rsidRDefault="00D65259" w:rsidP="00D65259">
      <w:pPr>
        <w:outlineLvl w:val="0"/>
        <w:rPr>
          <w:rFonts w:eastAsia="Times New Roman"/>
          <w:i/>
          <w:lang w:eastAsia="pt-BR"/>
        </w:rPr>
      </w:pPr>
      <w:r w:rsidRPr="00417D85">
        <w:rPr>
          <w:rFonts w:eastAsia="Times New Roman"/>
          <w:i/>
          <w:lang w:eastAsia="pt-BR"/>
        </w:rPr>
        <w:t xml:space="preserve">Gracilinanus microtarsus </w:t>
      </w:r>
    </w:p>
    <w:p w:rsidR="00D65259" w:rsidRPr="00417D85" w:rsidRDefault="00D65259" w:rsidP="00D65259">
      <w:pPr>
        <w:rPr>
          <w:rFonts w:eastAsia="Times New Roman"/>
          <w:lang w:eastAsia="pt-BR"/>
        </w:rPr>
      </w:pPr>
      <w:r w:rsidRPr="00417D85">
        <w:rPr>
          <w:rFonts w:eastAsia="Times New Roman"/>
          <w:b/>
          <w:lang w:eastAsia="pt-BR"/>
        </w:rPr>
        <w:lastRenderedPageBreak/>
        <w:t>Paraná (PR):</w:t>
      </w:r>
      <w:r w:rsidRPr="00417D85">
        <w:rPr>
          <w:rFonts w:eastAsia="Times New Roman"/>
          <w:lang w:eastAsia="pt-BR"/>
        </w:rPr>
        <w:t xml:space="preserve"> São Mateus do Sul (UFSC 5199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)</w:t>
      </w:r>
    </w:p>
    <w:p w:rsidR="00422953" w:rsidRDefault="00D65259">
      <w:pPr>
        <w:rPr>
          <w:rFonts w:eastAsia="Times New Roman"/>
          <w:color w:val="000000"/>
          <w:lang w:eastAsia="pt-BR"/>
        </w:rPr>
      </w:pPr>
      <w:r w:rsidRPr="00417D85">
        <w:rPr>
          <w:rFonts w:eastAsia="Times New Roman"/>
          <w:b/>
          <w:lang w:eastAsia="pt-BR"/>
        </w:rPr>
        <w:t>Santa Catarina (SC):</w:t>
      </w:r>
      <w:r w:rsidRPr="00417D85">
        <w:rPr>
          <w:rFonts w:eastAsia="Times New Roman"/>
          <w:lang w:eastAsia="pt-BR"/>
        </w:rPr>
        <w:t xml:space="preserve"> São Domingos (UFSC 2951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, 3716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); Itapoá (UFSC 3000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); Santo Amaro da Imperatriz (UFSC 3214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); Três Barras (UFSC 3715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 xml:space="preserve">); </w:t>
      </w:r>
      <w:r w:rsidRPr="00417D85">
        <w:rPr>
          <w:rFonts w:eastAsia="Times New Roman"/>
          <w:color w:val="000000"/>
          <w:lang w:eastAsia="pt-BR"/>
        </w:rPr>
        <w:t>Rio dos Índios (</w:t>
      </w:r>
      <w:r w:rsidRPr="00417D85">
        <w:rPr>
          <w:rFonts w:eastAsia="Times New Roman"/>
          <w:lang w:eastAsia="pt-BR"/>
        </w:rPr>
        <w:t>UFSC 3855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); Xaxim (UFSC 3914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, 4972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); Caçador (UFSC 4054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); Joinville (UFSC 4370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, 4371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, 4372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, 4373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); Passos Maia (UFSC 4466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, 4467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, 4468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)</w:t>
      </w:r>
      <w:r w:rsidR="00A360DA" w:rsidRPr="00417D85">
        <w:rPr>
          <w:rFonts w:eastAsia="Times New Roman"/>
          <w:lang w:eastAsia="pt-BR"/>
        </w:rPr>
        <w:t>;</w:t>
      </w:r>
      <w:r w:rsidRPr="00417D85">
        <w:rPr>
          <w:rFonts w:eastAsia="Times New Roman"/>
          <w:lang w:eastAsia="pt-BR"/>
        </w:rPr>
        <w:t xml:space="preserve"> Praia Grande (UFSC 4856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); Tangará (UFSC 4864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lang w:eastAsia="pt-BR"/>
        </w:rPr>
        <w:t>);</w:t>
      </w:r>
      <w:r w:rsidRPr="00417D85">
        <w:rPr>
          <w:rFonts w:eastAsia="Times New Roman"/>
          <w:color w:val="000000"/>
          <w:lang w:eastAsia="pt-BR"/>
        </w:rPr>
        <w:t xml:space="preserve"> Chapecó (</w:t>
      </w:r>
      <w:r w:rsidRPr="00417D85">
        <w:rPr>
          <w:rFonts w:eastAsia="Times New Roman"/>
          <w:lang w:eastAsia="pt-BR"/>
        </w:rPr>
        <w:t>UFSC 3854</w:t>
      </w:r>
      <w:r w:rsidR="00BA6113" w:rsidRPr="00417D85">
        <w:rPr>
          <w:vertAlign w:val="superscript"/>
          <w:lang w:val="pt-BR"/>
        </w:rPr>
        <w:t xml:space="preserve"> M</w:t>
      </w:r>
      <w:r w:rsidRPr="00417D85">
        <w:rPr>
          <w:rFonts w:eastAsia="Times New Roman"/>
          <w:color w:val="000000"/>
          <w:lang w:eastAsia="pt-BR"/>
        </w:rPr>
        <w:t>).</w:t>
      </w:r>
    </w:p>
    <w:p w:rsidR="00D84A26" w:rsidRPr="00D84A26" w:rsidRDefault="00D84A26" w:rsidP="00D84A26">
      <w:pPr>
        <w:rPr>
          <w:rFonts w:eastAsia="Times New Roman"/>
          <w:lang w:eastAsia="pt-BR"/>
        </w:rPr>
      </w:pPr>
    </w:p>
    <w:sectPr w:rsidR="00D84A26" w:rsidRPr="00D84A26" w:rsidSect="00422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E6DBE"/>
    <w:rsid w:val="00007660"/>
    <w:rsid w:val="000B622A"/>
    <w:rsid w:val="000E0923"/>
    <w:rsid w:val="001244E8"/>
    <w:rsid w:val="002446D5"/>
    <w:rsid w:val="002C0806"/>
    <w:rsid w:val="00302204"/>
    <w:rsid w:val="0033049F"/>
    <w:rsid w:val="00353091"/>
    <w:rsid w:val="003878E3"/>
    <w:rsid w:val="003C0C20"/>
    <w:rsid w:val="003E6DBE"/>
    <w:rsid w:val="00417D85"/>
    <w:rsid w:val="00422953"/>
    <w:rsid w:val="00456220"/>
    <w:rsid w:val="004E1547"/>
    <w:rsid w:val="004F04B0"/>
    <w:rsid w:val="0051535D"/>
    <w:rsid w:val="00575816"/>
    <w:rsid w:val="00675033"/>
    <w:rsid w:val="00711492"/>
    <w:rsid w:val="00770A4C"/>
    <w:rsid w:val="007C5C58"/>
    <w:rsid w:val="00895EBC"/>
    <w:rsid w:val="008B1997"/>
    <w:rsid w:val="008B48A7"/>
    <w:rsid w:val="00927963"/>
    <w:rsid w:val="009B18DD"/>
    <w:rsid w:val="009B2EA3"/>
    <w:rsid w:val="009E2D6C"/>
    <w:rsid w:val="00A360DA"/>
    <w:rsid w:val="00A56F82"/>
    <w:rsid w:val="00AA212F"/>
    <w:rsid w:val="00AF3B90"/>
    <w:rsid w:val="00BA6113"/>
    <w:rsid w:val="00BC3EDA"/>
    <w:rsid w:val="00C8418B"/>
    <w:rsid w:val="00D65259"/>
    <w:rsid w:val="00D84A26"/>
    <w:rsid w:val="00E103D0"/>
    <w:rsid w:val="00F4137E"/>
    <w:rsid w:val="00F417D4"/>
    <w:rsid w:val="00F5611C"/>
    <w:rsid w:val="00F926F1"/>
    <w:rsid w:val="00FB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BE"/>
    <w:pPr>
      <w:spacing w:before="120" w:after="120" w:line="480" w:lineRule="auto"/>
      <w:jc w:val="both"/>
    </w:pPr>
    <w:rPr>
      <w:rFonts w:ascii="Arial" w:eastAsia="Calibri" w:hAnsi="Arial" w:cs="Arial"/>
      <w:sz w:val="24"/>
      <w:szCs w:val="24"/>
      <w:lang w:val="pt-PT"/>
    </w:rPr>
  </w:style>
  <w:style w:type="paragraph" w:styleId="Ttulo1">
    <w:name w:val="heading 1"/>
    <w:basedOn w:val="Normal"/>
    <w:next w:val="Normal"/>
    <w:link w:val="Ttulo1Char"/>
    <w:uiPriority w:val="99"/>
    <w:qFormat/>
    <w:rsid w:val="003E6DBE"/>
    <w:pPr>
      <w:keepNext/>
      <w:keepLines/>
      <w:spacing w:before="0" w:after="0"/>
      <w:outlineLvl w:val="0"/>
    </w:pPr>
    <w:rPr>
      <w:rFonts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E6DBE"/>
    <w:rPr>
      <w:rFonts w:ascii="Arial" w:eastAsia="Calibri" w:hAnsi="Arial" w:cs="Times New Roman"/>
      <w:b/>
      <w:bCs/>
      <w:sz w:val="28"/>
      <w:szCs w:val="28"/>
      <w:lang w:val="pt-PT"/>
    </w:rPr>
  </w:style>
  <w:style w:type="character" w:customStyle="1" w:styleId="hps">
    <w:name w:val="hps"/>
    <w:rsid w:val="003E6DBE"/>
    <w:rPr>
      <w:rFonts w:cs="Times New Roman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E6DB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E6DBE"/>
    <w:rPr>
      <w:rFonts w:ascii="Tahoma" w:eastAsia="Calibri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5EB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EBC"/>
    <w:rPr>
      <w:rFonts w:ascii="Tahoma" w:eastAsia="Calibri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0B622A"/>
    <w:pPr>
      <w:spacing w:after="0" w:line="240" w:lineRule="auto"/>
    </w:pPr>
    <w:rPr>
      <w:rFonts w:ascii="Arial" w:eastAsia="Calibri" w:hAnsi="Arial" w:cs="Arial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11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14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1492"/>
    <w:rPr>
      <w:rFonts w:ascii="Arial" w:eastAsia="Calibri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14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1492"/>
    <w:rPr>
      <w:rFonts w:ascii="Arial" w:eastAsia="Calibri" w:hAnsi="Arial" w:cs="Arial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758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Dayse Dias</dc:creator>
  <cp:lastModifiedBy>Dayse Dias</cp:lastModifiedBy>
  <cp:revision>22</cp:revision>
  <dcterms:created xsi:type="dcterms:W3CDTF">2014-07-07T16:36:00Z</dcterms:created>
  <dcterms:modified xsi:type="dcterms:W3CDTF">2015-02-23T20:22:00Z</dcterms:modified>
</cp:coreProperties>
</file>