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1652" w14:textId="77777777" w:rsidR="00A11AA3" w:rsidRDefault="00000000">
      <w:pPr>
        <w:pStyle w:val="Heading1"/>
      </w:pPr>
      <w:bookmarkStart w:id="0" w:name="_ajln87fef30y" w:colFirst="0" w:colLast="0"/>
      <w:bookmarkEnd w:id="0"/>
      <w:r>
        <w:t>Supplementary Material</w:t>
      </w:r>
    </w:p>
    <w:p w14:paraId="25CEFF17" w14:textId="77777777" w:rsidR="00A11AA3" w:rsidRDefault="00000000">
      <w:pPr>
        <w:pStyle w:val="Heading2"/>
      </w:pPr>
      <w:bookmarkStart w:id="1" w:name="_7i81i782zqx4" w:colFirst="0" w:colLast="0"/>
      <w:bookmarkEnd w:id="1"/>
      <w:r>
        <w:t>Table of Contents</w:t>
      </w:r>
    </w:p>
    <w:sdt>
      <w:sdtPr>
        <w:id w:val="-920171256"/>
        <w:docPartObj>
          <w:docPartGallery w:val="Table of Contents"/>
          <w:docPartUnique/>
        </w:docPartObj>
      </w:sdtPr>
      <w:sdtContent>
        <w:p w14:paraId="111CD649" w14:textId="77777777" w:rsidR="00A11AA3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skhevr88av0c">
            <w:r>
              <w:rPr>
                <w:b/>
                <w:color w:val="000000"/>
              </w:rPr>
              <w:t>Supplementary Figure 1: Schematic Overview of Simulated Contamination</w:t>
            </w:r>
            <w:r>
              <w:rPr>
                <w:b/>
                <w:color w:val="000000"/>
              </w:rPr>
              <w:tab/>
              <w:t>2</w:t>
            </w:r>
          </w:hyperlink>
        </w:p>
        <w:p w14:paraId="1A555DD7" w14:textId="77777777" w:rsidR="00A11AA3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638i2mxo3qf5">
            <w:r>
              <w:rPr>
                <w:b/>
                <w:color w:val="000000"/>
              </w:rPr>
              <w:t>Supplementary Figure 2: Fluid Compositions Used for the Simulation of IV Fluid Contamination.</w:t>
            </w:r>
            <w:r>
              <w:rPr>
                <w:b/>
                <w:color w:val="000000"/>
              </w:rPr>
              <w:tab/>
              <w:t>3</w:t>
            </w:r>
          </w:hyperlink>
        </w:p>
        <w:p w14:paraId="57FDBC7C" w14:textId="77777777" w:rsidR="00A11AA3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2nrcf4pdujkq">
            <w:r>
              <w:rPr>
                <w:b/>
                <w:color w:val="000000"/>
              </w:rPr>
              <w:t>Supplementary Tab</w:t>
            </w:r>
            <w:r>
              <w:rPr>
                <w:b/>
                <w:color w:val="000000"/>
              </w:rPr>
              <w:t>l</w:t>
            </w:r>
            <w:r>
              <w:rPr>
                <w:b/>
                <w:color w:val="000000"/>
              </w:rPr>
              <w:t>e 1: Total Allowable Error and Reference Change Values</w:t>
            </w:r>
            <w:r>
              <w:rPr>
                <w:b/>
                <w:color w:val="000000"/>
              </w:rPr>
              <w:tab/>
              <w:t>4</w:t>
            </w:r>
          </w:hyperlink>
        </w:p>
        <w:p w14:paraId="3C34CC28" w14:textId="77777777" w:rsidR="00A11AA3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1wxt65enk660">
            <w:r>
              <w:rPr>
                <w:b/>
                <w:color w:val="000000"/>
              </w:rPr>
              <w:t>Supplementary Table 2: Reference Intervals, Delta and Feasibility Limits</w:t>
            </w:r>
            <w:r>
              <w:rPr>
                <w:b/>
                <w:color w:val="000000"/>
              </w:rPr>
              <w:tab/>
              <w:t>5</w:t>
            </w:r>
          </w:hyperlink>
        </w:p>
        <w:p w14:paraId="5088FA4A" w14:textId="77777777" w:rsidR="00A11AA3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f8xw64wsfovp">
            <w:r>
              <w:rPr>
                <w:b/>
                <w:color w:val="000000"/>
              </w:rPr>
              <w:t>Supplementary Figure 3: Significant Mixtures for All Ten Fluids by TEa.</w:t>
            </w:r>
            <w:r>
              <w:rPr>
                <w:b/>
                <w:color w:val="000000"/>
              </w:rPr>
              <w:tab/>
              <w:t>6</w:t>
            </w:r>
          </w:hyperlink>
        </w:p>
        <w:p w14:paraId="31F6C7F8" w14:textId="77777777" w:rsidR="00A11AA3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lo75lxeefok">
            <w:r>
              <w:rPr>
                <w:b/>
                <w:color w:val="000000"/>
              </w:rPr>
              <w:t>Supplementary Figure 4: Significant Mixtures for All Ten Fluids by RCV.</w:t>
            </w:r>
            <w:r>
              <w:rPr>
                <w:b/>
                <w:color w:val="000000"/>
              </w:rPr>
              <w:tab/>
              <w:t>7</w:t>
            </w:r>
          </w:hyperlink>
          <w:r>
            <w:fldChar w:fldCharType="end"/>
          </w:r>
        </w:p>
      </w:sdtContent>
    </w:sdt>
    <w:p w14:paraId="63623BD3" w14:textId="77777777" w:rsidR="00A11AA3" w:rsidRDefault="00A11AA3"/>
    <w:p w14:paraId="4A9DF979" w14:textId="77777777" w:rsidR="00A11AA3" w:rsidRDefault="00000000">
      <w:pPr>
        <w:pStyle w:val="Heading1"/>
      </w:pPr>
      <w:bookmarkStart w:id="2" w:name="_re9hcnctjy29" w:colFirst="0" w:colLast="0"/>
      <w:bookmarkEnd w:id="2"/>
      <w:r>
        <w:br w:type="page"/>
      </w:r>
    </w:p>
    <w:p w14:paraId="29787F69" w14:textId="77777777" w:rsidR="00A11AA3" w:rsidRDefault="00000000">
      <w:pPr>
        <w:pStyle w:val="Heading1"/>
      </w:pPr>
      <w:bookmarkStart w:id="3" w:name="_skhevr88av0c" w:colFirst="0" w:colLast="0"/>
      <w:bookmarkEnd w:id="3"/>
      <w:r>
        <w:lastRenderedPageBreak/>
        <w:t>Supplementary Figure 1: Schematic Overview of Simulated Contamination</w:t>
      </w:r>
    </w:p>
    <w:p w14:paraId="0EBC9A91" w14:textId="77777777" w:rsidR="00A11AA3" w:rsidRDefault="00A11AA3">
      <w:pPr>
        <w:rPr>
          <w:b/>
        </w:rPr>
      </w:pPr>
    </w:p>
    <w:p w14:paraId="748261B9" w14:textId="3291B982" w:rsidR="00A11AA3" w:rsidRDefault="009F21DC">
      <w:pPr>
        <w:rPr>
          <w:b/>
        </w:rPr>
      </w:pPr>
      <w:r>
        <w:rPr>
          <w:b/>
          <w:noProof/>
        </w:rPr>
        <w:drawing>
          <wp:inline distT="0" distB="0" distL="0" distR="0" wp14:anchorId="1B868AD1" wp14:editId="6FCAF25E">
            <wp:extent cx="5943600" cy="1741805"/>
            <wp:effectExtent l="0" t="0" r="0" b="0"/>
            <wp:docPr id="1444449729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49729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E720" w14:textId="77777777" w:rsidR="00A11AA3" w:rsidRDefault="00A11AA3">
      <w:pPr>
        <w:rPr>
          <w:b/>
        </w:rPr>
      </w:pPr>
    </w:p>
    <w:p w14:paraId="1D0E8647" w14:textId="77777777" w:rsidR="00A11AA3" w:rsidRDefault="00000000">
      <w:r>
        <w:t xml:space="preserve">An overview of the </w:t>
      </w:r>
      <w:r>
        <w:rPr>
          <w:i/>
        </w:rPr>
        <w:t xml:space="preserve">in silico </w:t>
      </w:r>
      <w:r>
        <w:t xml:space="preserve">mixture approach to simulate IV fluid contamination. </w:t>
      </w:r>
    </w:p>
    <w:p w14:paraId="5142087D" w14:textId="77777777" w:rsidR="00A11AA3" w:rsidRDefault="00000000">
      <w:pPr>
        <w:rPr>
          <w:b/>
        </w:rPr>
      </w:pPr>
      <w:r>
        <w:br w:type="page"/>
      </w:r>
    </w:p>
    <w:p w14:paraId="6D4C942D" w14:textId="77777777" w:rsidR="00A11AA3" w:rsidRDefault="00000000">
      <w:pPr>
        <w:pStyle w:val="Heading1"/>
      </w:pPr>
      <w:bookmarkStart w:id="4" w:name="_638i2mxo3qf5" w:colFirst="0" w:colLast="0"/>
      <w:bookmarkEnd w:id="4"/>
      <w:r>
        <w:rPr>
          <w:b/>
        </w:rPr>
        <w:lastRenderedPageBreak/>
        <w:t xml:space="preserve">Supplementary Figure 2: </w:t>
      </w:r>
      <w:r>
        <w:t>Fluid Compositions Used for the Simulation of IV Fluid Contamination.</w:t>
      </w:r>
    </w:p>
    <w:p w14:paraId="2DDD6A59" w14:textId="77777777" w:rsidR="00A11AA3" w:rsidRDefault="00000000">
      <w:pPr>
        <w:rPr>
          <w:b/>
        </w:rPr>
      </w:pPr>
      <w:r>
        <w:rPr>
          <w:noProof/>
        </w:rPr>
        <w:drawing>
          <wp:inline distT="114300" distB="114300" distL="114300" distR="114300" wp14:anchorId="60B13D71" wp14:editId="0A8F0E4B">
            <wp:extent cx="5943600" cy="4699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677D8BE5" w14:textId="3ABD9BD9" w:rsidR="00A11AA3" w:rsidRPr="00F82215" w:rsidRDefault="00000000" w:rsidP="00F82215">
      <w:pPr>
        <w:pStyle w:val="Heading1"/>
      </w:pPr>
      <w:bookmarkStart w:id="5" w:name="_2nrcf4pdujkq" w:colFirst="0" w:colLast="0"/>
      <w:bookmarkEnd w:id="5"/>
      <w:r>
        <w:lastRenderedPageBreak/>
        <w:t>Supplementary Table 1: Total Allowable Error and Reference Change Values</w:t>
      </w:r>
    </w:p>
    <w:p w14:paraId="566CBEDC" w14:textId="77777777" w:rsidR="00A11AA3" w:rsidRDefault="00A11AA3">
      <w:pPr>
        <w:rPr>
          <w:b/>
        </w:rPr>
      </w:pPr>
    </w:p>
    <w:tbl>
      <w:tblPr>
        <w:tblStyle w:val="a"/>
        <w:tblW w:w="901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5"/>
        <w:gridCol w:w="975"/>
        <w:gridCol w:w="990"/>
        <w:gridCol w:w="1110"/>
        <w:gridCol w:w="870"/>
        <w:gridCol w:w="1110"/>
        <w:gridCol w:w="975"/>
        <w:gridCol w:w="885"/>
        <w:gridCol w:w="990"/>
      </w:tblGrid>
      <w:tr w:rsidR="00A11AA3" w14:paraId="331D47D4" w14:textId="77777777" w:rsidTr="000278EC">
        <w:trPr>
          <w:trHeight w:val="415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E2E2A1" w14:textId="77777777" w:rsidR="00A11AA3" w:rsidRDefault="00A11AA3" w:rsidP="000278EC">
            <w:pPr>
              <w:widowControl w:val="0"/>
              <w:rPr>
                <w:b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1CF2C3" w14:textId="7DB0048F" w:rsidR="00E97EF9" w:rsidRPr="00E97EF9" w:rsidRDefault="00000000" w:rsidP="00E97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Sodium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99E621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Chloride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1E37D0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Potassium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4FE666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CO2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46CDF7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Creatinine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5860AF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BUN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81FF42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Calcium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2A26BE" w14:textId="77777777" w:rsidR="00A11AA3" w:rsidRPr="00F82215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82215">
              <w:rPr>
                <w:rFonts w:ascii="Calibri" w:eastAsia="Calibri" w:hAnsi="Calibri" w:cs="Calibri"/>
                <w:b/>
                <w:sz w:val="24"/>
                <w:szCs w:val="24"/>
              </w:rPr>
              <w:t>Glucose</w:t>
            </w:r>
          </w:p>
        </w:tc>
      </w:tr>
      <w:tr w:rsidR="00A11AA3" w14:paraId="4481DCD2" w14:textId="77777777" w:rsidTr="000278EC">
        <w:trPr>
          <w:trHeight w:val="415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595853" w14:textId="3A586A3E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i/>
                <w:iCs/>
              </w:rPr>
            </w:pPr>
            <w:r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TE</w:t>
            </w:r>
            <w:r w:rsid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 xml:space="preserve">a </w:t>
            </w:r>
            <w:r w:rsidR="004577C4" w:rsidRPr="004577C4">
              <w:rPr>
                <w:rFonts w:ascii="Calibri" w:eastAsia="Calibri" w:hAnsi="Calibri" w:cs="Calibri"/>
                <w:b/>
                <w:i/>
                <w:iCs/>
                <w:sz w:val="2"/>
                <w:szCs w:val="2"/>
              </w:rPr>
              <w:t>.</w:t>
            </w:r>
            <w:r w:rsid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9E267E" w14:textId="27E8F560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4</w:t>
            </w:r>
            <w:r w:rsidR="00E97EF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7EF9" w:rsidRPr="00E97EF9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mmol/L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378E69" w14:textId="121A7640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3</w:t>
            </w:r>
            <w:r w:rsidR="00E97EF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7EF9" w:rsidRPr="00E97EF9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mmol/L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5F156E" w14:textId="0ED9AE70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0.5</w:t>
            </w:r>
            <w:r w:rsidR="00E97EF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7EF9" w:rsidRPr="00E97EF9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mmol/L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C5FB26" w14:textId="080C0A5A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  <w:r w:rsidR="00E97EF9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97EF9" w:rsidRPr="00E97EF9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mmol/L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40AC1B" w14:textId="3C80C0D1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0.3</w:t>
            </w:r>
            <w:r w:rsid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44B" w:rsidRPr="00C3644B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mg/dL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1776B3" w14:textId="105C1353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  <w:r w:rsid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44B" w:rsidRPr="00C3644B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mg/dL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31AAA3" w14:textId="30BE9226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</w:t>
            </w:r>
            <w:r w:rsid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44B" w:rsidRPr="00C3644B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mg/dL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6C017C" w14:textId="156A9E13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4577C4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6</w:t>
            </w:r>
            <w:r w:rsid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44B" w:rsidRPr="00C3644B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mg/dL</w:t>
            </w:r>
          </w:p>
        </w:tc>
      </w:tr>
      <w:tr w:rsidR="00A11AA3" w14:paraId="1984F755" w14:textId="77777777" w:rsidTr="000278EC">
        <w:trPr>
          <w:trHeight w:val="415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0137E9" w14:textId="3D013FA4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i/>
                <w:iCs/>
              </w:rPr>
            </w:pPr>
            <w:r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RCV</w:t>
            </w:r>
            <w:r w:rsidR="004577C4"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vertAlign w:val="subscript"/>
              </w:rPr>
              <w:t>D</w:t>
            </w:r>
            <w:r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vertAlign w:val="subscript"/>
              </w:rPr>
              <w:t>ecrease</w:t>
            </w:r>
            <w:r w:rsid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4577C4" w:rsidRPr="004577C4">
              <w:rPr>
                <w:rFonts w:ascii="Calibri" w:eastAsia="Calibri" w:hAnsi="Calibri" w:cs="Calibri"/>
                <w:b/>
                <w:i/>
                <w:iCs/>
                <w:sz w:val="2"/>
                <w:szCs w:val="2"/>
                <w:vertAlign w:val="subscript"/>
              </w:rPr>
              <w:t>.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CAB465" w14:textId="08DC55DC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3.1%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775CDC" w14:textId="528F082C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5.5%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32396A" w14:textId="2B37BF0A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9.9%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D17B03" w14:textId="02E68D38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23.2%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690452" w14:textId="1312877F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13.4%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D79CA7" w14:textId="746F5797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29.5%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A1647E" w14:textId="1D1B5F3D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5.9%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992DF6" w14:textId="42ED9486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12.6%</w:t>
            </w:r>
          </w:p>
        </w:tc>
      </w:tr>
      <w:tr w:rsidR="00A11AA3" w14:paraId="309FC70D" w14:textId="77777777" w:rsidTr="000278EC">
        <w:trPr>
          <w:trHeight w:val="415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113DDD" w14:textId="51DB6503" w:rsidR="00A11AA3" w:rsidRPr="004577C4" w:rsidRDefault="00000000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i/>
                <w:iCs/>
              </w:rPr>
            </w:pPr>
            <w:r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RCV</w:t>
            </w:r>
            <w:r w:rsidR="004577C4"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vertAlign w:val="subscript"/>
              </w:rPr>
              <w:t>I</w:t>
            </w:r>
            <w:r w:rsidRP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vertAlign w:val="subscript"/>
              </w:rPr>
              <w:t>ncrease</w:t>
            </w:r>
            <w:r w:rsidR="004577C4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="004577C4" w:rsidRPr="004577C4">
              <w:rPr>
                <w:rFonts w:ascii="Calibri" w:eastAsia="Calibri" w:hAnsi="Calibri" w:cs="Calibri"/>
                <w:b/>
                <w:i/>
                <w:iCs/>
                <w:sz w:val="2"/>
                <w:szCs w:val="2"/>
                <w:vertAlign w:val="subscript"/>
              </w:rPr>
              <w:t xml:space="preserve"> .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7F13CA" w14:textId="201E3353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3.2%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6F151" w14:textId="3615F58B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5.8%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48E77" w14:textId="2128777D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DA1D22" w14:textId="7C996436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20.8%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9C7A24" w14:textId="4BD571EE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15.5%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06A825" w14:textId="6FEAC54C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41.8%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6D70F4" w14:textId="33F4EE4C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6.2%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930E7D" w14:textId="19C7B800" w:rsidR="00A11AA3" w:rsidRPr="004577C4" w:rsidRDefault="00E97EF9" w:rsidP="00457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14.5%</w:t>
            </w:r>
          </w:p>
        </w:tc>
      </w:tr>
    </w:tbl>
    <w:p w14:paraId="7CA3F817" w14:textId="77777777" w:rsidR="00A11AA3" w:rsidRDefault="00A11AA3">
      <w:pPr>
        <w:rPr>
          <w:b/>
        </w:rPr>
      </w:pPr>
    </w:p>
    <w:p w14:paraId="3971774D" w14:textId="77777777" w:rsidR="00A11AA3" w:rsidRDefault="00000000">
      <w:pPr>
        <w:spacing w:line="479" w:lineRule="auto"/>
        <w:ind w:firstLine="720"/>
        <w:rPr>
          <w:color w:val="2E2E2E"/>
          <w:sz w:val="24"/>
          <w:szCs w:val="24"/>
          <w:highlight w:val="white"/>
        </w:rPr>
      </w:pPr>
      <w:r>
        <w:rPr>
          <w:color w:val="2E2E2E"/>
          <w:sz w:val="24"/>
          <w:szCs w:val="24"/>
          <w:highlight w:val="white"/>
        </w:rPr>
        <w:t>TEa thresholds were adopted from the CLIA ‘88 requirements for analytical quality. For analytes without CLIA-defined, absolute TEa thresholds (chloride and CO2), the absolute thresholds from the Royal College of Pathologists of Australasia (RCPA) were used. R</w:t>
      </w:r>
      <w:r>
        <w:rPr>
          <w:color w:val="2A2A2A"/>
          <w:sz w:val="24"/>
          <w:szCs w:val="24"/>
          <w:highlight w:val="white"/>
        </w:rPr>
        <w:t xml:space="preserve">eference change values (RCV) were </w:t>
      </w:r>
      <w:r>
        <w:rPr>
          <w:color w:val="2E2E2E"/>
          <w:sz w:val="24"/>
          <w:szCs w:val="24"/>
          <w:highlight w:val="white"/>
        </w:rPr>
        <w:t xml:space="preserve">calculated using the European Federation of Clinical Chemistry and Laboratory Medicine Biological Variation Database </w:t>
      </w:r>
      <w:hyperlink r:id="rId6">
        <w:r>
          <w:rPr>
            <w:sz w:val="24"/>
            <w:szCs w:val="24"/>
            <w:highlight w:val="white"/>
          </w:rPr>
          <w:t>(25)</w:t>
        </w:r>
      </w:hyperlink>
      <w:r>
        <w:rPr>
          <w:color w:val="2E2E2E"/>
          <w:sz w:val="24"/>
          <w:szCs w:val="24"/>
          <w:highlight w:val="white"/>
        </w:rPr>
        <w:t>, which applies the asymmetric approach. As such, contamination that caused an increase in the analyte-of-interest was compared to the appropriate RCV</w:t>
      </w:r>
      <w:r>
        <w:rPr>
          <w:color w:val="2E2E2E"/>
          <w:sz w:val="24"/>
          <w:szCs w:val="24"/>
          <w:highlight w:val="white"/>
          <w:vertAlign w:val="subscript"/>
        </w:rPr>
        <w:t>Increase</w:t>
      </w:r>
      <w:r>
        <w:rPr>
          <w:color w:val="2E2E2E"/>
          <w:sz w:val="24"/>
          <w:szCs w:val="24"/>
          <w:highlight w:val="white"/>
        </w:rPr>
        <w:t>, while those that caused a decrease were compared with the RCV</w:t>
      </w:r>
      <w:r>
        <w:rPr>
          <w:color w:val="2E2E2E"/>
          <w:sz w:val="24"/>
          <w:szCs w:val="24"/>
          <w:highlight w:val="white"/>
          <w:vertAlign w:val="subscript"/>
        </w:rPr>
        <w:t>Decrease</w:t>
      </w:r>
      <w:r>
        <w:rPr>
          <w:color w:val="2E2E2E"/>
          <w:sz w:val="24"/>
          <w:szCs w:val="24"/>
          <w:highlight w:val="white"/>
        </w:rPr>
        <w:t>. The mean of the high and low-level analytical coefficients of variation from our hospital laboratory’s most recent 30 days of quality control analysis were used as the CV</w:t>
      </w:r>
      <w:r>
        <w:rPr>
          <w:color w:val="2E2E2E"/>
          <w:sz w:val="24"/>
          <w:szCs w:val="24"/>
          <w:highlight w:val="white"/>
          <w:vertAlign w:val="subscript"/>
        </w:rPr>
        <w:t>a</w:t>
      </w:r>
      <w:r>
        <w:rPr>
          <w:color w:val="2E2E2E"/>
          <w:sz w:val="24"/>
          <w:szCs w:val="24"/>
          <w:highlight w:val="white"/>
        </w:rPr>
        <w:t xml:space="preserve"> for the calculation. </w:t>
      </w:r>
    </w:p>
    <w:p w14:paraId="50FAA302" w14:textId="77777777" w:rsidR="00A11AA3" w:rsidRDefault="00A11AA3">
      <w:pPr>
        <w:spacing w:line="479" w:lineRule="auto"/>
        <w:ind w:firstLine="720"/>
        <w:rPr>
          <w:color w:val="2E2E2E"/>
          <w:sz w:val="24"/>
          <w:szCs w:val="24"/>
          <w:highlight w:val="white"/>
        </w:rPr>
      </w:pPr>
    </w:p>
    <w:p w14:paraId="3A4C5BFE" w14:textId="77777777" w:rsidR="00A11AA3" w:rsidRDefault="00000000">
      <w:pPr>
        <w:rPr>
          <w:b/>
        </w:rPr>
      </w:pPr>
      <w:r>
        <w:br w:type="page"/>
      </w:r>
    </w:p>
    <w:p w14:paraId="1E71F811" w14:textId="77777777" w:rsidR="00A11AA3" w:rsidRDefault="00000000">
      <w:pPr>
        <w:pStyle w:val="Heading1"/>
      </w:pPr>
      <w:bookmarkStart w:id="6" w:name="_1wxt65enk660" w:colFirst="0" w:colLast="0"/>
      <w:bookmarkEnd w:id="6"/>
      <w:r>
        <w:lastRenderedPageBreak/>
        <w:t>Supplementary Table 2: Reference Intervals, Delta and Feasibility Limits</w:t>
      </w:r>
    </w:p>
    <w:p w14:paraId="15466105" w14:textId="77777777" w:rsidR="00A11AA3" w:rsidRDefault="00A11AA3">
      <w:pPr>
        <w:rPr>
          <w:b/>
        </w:rPr>
      </w:pPr>
    </w:p>
    <w:tbl>
      <w:tblPr>
        <w:tblStyle w:val="a0"/>
        <w:tblW w:w="910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5"/>
        <w:gridCol w:w="975"/>
        <w:gridCol w:w="990"/>
        <w:gridCol w:w="1110"/>
        <w:gridCol w:w="870"/>
        <w:gridCol w:w="1110"/>
        <w:gridCol w:w="975"/>
        <w:gridCol w:w="885"/>
        <w:gridCol w:w="990"/>
      </w:tblGrid>
      <w:tr w:rsidR="00A11AA3" w14:paraId="66FFF941" w14:textId="77777777" w:rsidTr="00C3644B">
        <w:trPr>
          <w:trHeight w:val="284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04C32D" w14:textId="77777777" w:rsidR="00A11AA3" w:rsidRDefault="00A11AA3" w:rsidP="00F514C2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C05E53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Sodium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EF9335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Chloride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EF383C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Potassium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4D49CA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1484C1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Creatinine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35A6B3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BUN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48D88D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Calcium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A8638D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Glucose</w:t>
            </w:r>
          </w:p>
        </w:tc>
      </w:tr>
      <w:tr w:rsidR="00C3644B" w14:paraId="5C213C1F" w14:textId="77777777" w:rsidTr="00C3644B">
        <w:trPr>
          <w:trHeight w:val="23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3EA339" w14:textId="540FD6FF" w:rsidR="00C3644B" w:rsidRPr="00F514C2" w:rsidRDefault="00C3644B" w:rsidP="00F514C2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Units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08BFF5" w14:textId="441324C2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sz w:val="24"/>
                <w:szCs w:val="24"/>
              </w:rPr>
              <w:t>mmol/L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B91CAD" w14:textId="5085EB47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sz w:val="24"/>
                <w:szCs w:val="24"/>
              </w:rPr>
              <w:t>mmol/L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8E10A9" w14:textId="3C9FD584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sz w:val="24"/>
                <w:szCs w:val="24"/>
              </w:rPr>
              <w:t>mmol/L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21E7F4" w14:textId="5ACEF0CF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sz w:val="24"/>
                <w:szCs w:val="24"/>
              </w:rPr>
              <w:t>mmol/L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CC5D33" w14:textId="0353B194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mg/dL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203409" w14:textId="3CD02207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mg/dL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791430" w14:textId="17B64748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mg/dL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0843E3" w14:textId="46D94C61" w:rsidR="00C3644B" w:rsidRPr="00C3644B" w:rsidRDefault="00C3644B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3644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mg/dL</w:t>
            </w:r>
          </w:p>
        </w:tc>
      </w:tr>
      <w:tr w:rsidR="00A11AA3" w14:paraId="7BB222ED" w14:textId="77777777" w:rsidTr="00F514C2">
        <w:trPr>
          <w:trHeight w:val="415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0A1513" w14:textId="77777777" w:rsidR="00A11AA3" w:rsidRPr="00F514C2" w:rsidRDefault="00000000" w:rsidP="00F514C2">
            <w:pPr>
              <w:widowControl w:val="0"/>
              <w:spacing w:line="240" w:lineRule="auto"/>
              <w:jc w:val="right"/>
              <w:rPr>
                <w:b/>
                <w:i/>
                <w:iCs/>
              </w:rPr>
            </w:pPr>
            <w:r w:rsidRPr="00F514C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Reference Range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D720F0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135-145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178961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97-110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FE212E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3.3-4.9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4BE4D5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22-32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96BAC9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Varied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889128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6-25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3560BB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8.5-10.3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CCBE6C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70-199</w:t>
            </w:r>
          </w:p>
        </w:tc>
      </w:tr>
      <w:tr w:rsidR="00A11AA3" w14:paraId="1CD6380E" w14:textId="77777777" w:rsidTr="00F514C2">
        <w:trPr>
          <w:trHeight w:val="415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3BC5A8" w14:textId="77777777" w:rsidR="00F514C2" w:rsidRPr="00F514C2" w:rsidRDefault="00000000" w:rsidP="00F514C2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F514C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 xml:space="preserve">Critical </w:t>
            </w:r>
          </w:p>
          <w:p w14:paraId="7BF2DB4D" w14:textId="7692EA84" w:rsidR="00A11AA3" w:rsidRPr="00F514C2" w:rsidRDefault="00000000" w:rsidP="00F514C2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F514C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Range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D406E5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120-160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1944A7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75-130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6B7CC1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2.5-6.2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9DD9E6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10-45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BD019A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F361DE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FE2ADB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6.5-14.0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BF1003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54-450</w:t>
            </w:r>
          </w:p>
        </w:tc>
      </w:tr>
      <w:tr w:rsidR="00A11AA3" w14:paraId="2BD6EEAE" w14:textId="77777777" w:rsidTr="00F514C2">
        <w:trPr>
          <w:trHeight w:val="415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313951" w14:textId="77777777" w:rsidR="00A11AA3" w:rsidRPr="00F514C2" w:rsidRDefault="00000000" w:rsidP="00F514C2">
            <w:pPr>
              <w:widowControl w:val="0"/>
              <w:spacing w:line="240" w:lineRule="auto"/>
              <w:jc w:val="right"/>
              <w:rPr>
                <w:b/>
                <w:i/>
                <w:iCs/>
              </w:rPr>
            </w:pPr>
            <w:r w:rsidRPr="00F514C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Delta Magnitude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70B629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0925A6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F63A95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100% change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322179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75% change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3AF367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200% change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988519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400% change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36B8EC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60E8FD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200% change</w:t>
            </w:r>
          </w:p>
        </w:tc>
      </w:tr>
      <w:tr w:rsidR="00A11AA3" w14:paraId="133B2321" w14:textId="77777777" w:rsidTr="00F514C2">
        <w:trPr>
          <w:trHeight w:val="415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8F4899" w14:textId="77777777" w:rsidR="00A11AA3" w:rsidRPr="00F514C2" w:rsidRDefault="00000000" w:rsidP="00F514C2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F514C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Feasible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E1090B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24E7C0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DB9B26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DBD7F2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F84245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13255D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8D2186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&lt;5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4BE91E" w14:textId="77777777" w:rsidR="00A11AA3" w:rsidRDefault="00000000" w:rsidP="00F514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</w:p>
        </w:tc>
      </w:tr>
    </w:tbl>
    <w:p w14:paraId="70C37673" w14:textId="77777777" w:rsidR="00A11AA3" w:rsidRDefault="00A11AA3">
      <w:pPr>
        <w:rPr>
          <w:b/>
        </w:rPr>
      </w:pPr>
    </w:p>
    <w:p w14:paraId="15A40142" w14:textId="77777777" w:rsidR="00A11AA3" w:rsidRDefault="00000000">
      <w:r>
        <w:t xml:space="preserve">Supplementary Table 2 presents the reference ranges, critical limits, delta check thresholds, and feasibility check limits used in the analysis. </w:t>
      </w:r>
    </w:p>
    <w:p w14:paraId="4FD0EE9B" w14:textId="77777777" w:rsidR="00A11AA3" w:rsidRDefault="00000000">
      <w:pPr>
        <w:rPr>
          <w:b/>
        </w:rPr>
      </w:pPr>
      <w:r>
        <w:br w:type="page"/>
      </w:r>
    </w:p>
    <w:p w14:paraId="5275DC7B" w14:textId="69DFB614" w:rsidR="00A11AA3" w:rsidRPr="00C2780C" w:rsidRDefault="00000000" w:rsidP="00C2780C">
      <w:pPr>
        <w:pStyle w:val="Heading1"/>
      </w:pPr>
      <w:bookmarkStart w:id="7" w:name="_f8xw64wsfovp" w:colFirst="0" w:colLast="0"/>
      <w:bookmarkEnd w:id="7"/>
      <w:r>
        <w:lastRenderedPageBreak/>
        <w:t xml:space="preserve">Supplementary Figure 3: Significant Mixtures for All Ten Fluids by TEa. </w:t>
      </w:r>
    </w:p>
    <w:p w14:paraId="33C83442" w14:textId="5275F0EC" w:rsidR="003C6546" w:rsidRDefault="00000000">
      <w:r>
        <w:t xml:space="preserve">The mixture ratio at which a majority of contaminated results would exceed the TEa for each analyte on the BMP for each of the ten most common fluids at our institution. </w:t>
      </w:r>
      <w:r w:rsidR="00402BD1">
        <w:t>A</w:t>
      </w:r>
      <w:r w:rsidR="00EC1539">
        <w:t xml:space="preserve">n ad hoc </w:t>
      </w:r>
      <w:r w:rsidR="00402BD1">
        <w:t xml:space="preserve">cut-off of 50% was chosen for the sake of simplicity. </w:t>
      </w:r>
    </w:p>
    <w:p w14:paraId="7385AA35" w14:textId="77777777" w:rsidR="00C2780C" w:rsidRDefault="00C2780C"/>
    <w:p w14:paraId="0E98320E" w14:textId="470206B5" w:rsidR="00A11AA3" w:rsidRDefault="003C6546">
      <w:r>
        <w:rPr>
          <w:noProof/>
        </w:rPr>
        <w:drawing>
          <wp:inline distT="114300" distB="114300" distL="114300" distR="114300" wp14:anchorId="0A68BC30" wp14:editId="520939FA">
            <wp:extent cx="5943600" cy="4102100"/>
            <wp:effectExtent l="0" t="0" r="0" b="0"/>
            <wp:docPr id="1" name="image4.png" descr="A table with numbers and a number of different mixture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A table with numbers and a number of different mixtures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C4EE9E" w14:textId="77777777" w:rsidR="00A11AA3" w:rsidRDefault="00000000">
      <w:pPr>
        <w:rPr>
          <w:b/>
        </w:rPr>
      </w:pPr>
      <w:r>
        <w:br w:type="page"/>
      </w:r>
    </w:p>
    <w:p w14:paraId="50BD56EB" w14:textId="55D68092" w:rsidR="00A11AA3" w:rsidRPr="0018159B" w:rsidRDefault="00000000" w:rsidP="0018159B">
      <w:pPr>
        <w:pStyle w:val="Heading1"/>
      </w:pPr>
      <w:bookmarkStart w:id="8" w:name="_3lo75lxeefok" w:colFirst="0" w:colLast="0"/>
      <w:bookmarkEnd w:id="8"/>
      <w:r>
        <w:lastRenderedPageBreak/>
        <w:t xml:space="preserve">Supplementary Figure 4: Significant Mixtures for All Ten Fluids by RCV. </w:t>
      </w:r>
    </w:p>
    <w:p w14:paraId="77344F2C" w14:textId="77777777" w:rsidR="0018159B" w:rsidRDefault="00000000">
      <w:r>
        <w:t xml:space="preserve">The mixture ratio at which a majority of contaminated results would exceed the RCV for each analyte on the BMP for each of the ten most common fluids at our institution. </w:t>
      </w:r>
    </w:p>
    <w:p w14:paraId="7D6FCCEA" w14:textId="77777777" w:rsidR="0018159B" w:rsidRDefault="0018159B"/>
    <w:p w14:paraId="0ABC5D26" w14:textId="2CCE3263" w:rsidR="00A11AA3" w:rsidRDefault="0018159B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71BB8401" wp14:editId="5FC2911B">
            <wp:extent cx="5943600" cy="4114800"/>
            <wp:effectExtent l="0" t="0" r="0" b="0"/>
            <wp:docPr id="4" name="image3.png" descr="A chart with numbers and a number of different value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A chart with numbers and a number of different values&#10;&#10;Description automatically generated with medium confiden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11A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A3"/>
    <w:rsid w:val="000278EC"/>
    <w:rsid w:val="0018159B"/>
    <w:rsid w:val="003C6546"/>
    <w:rsid w:val="00402BD1"/>
    <w:rsid w:val="004577C4"/>
    <w:rsid w:val="006D5525"/>
    <w:rsid w:val="009026F7"/>
    <w:rsid w:val="009F21DC"/>
    <w:rsid w:val="00A11AA3"/>
    <w:rsid w:val="00B44141"/>
    <w:rsid w:val="00C2780C"/>
    <w:rsid w:val="00C3644B"/>
    <w:rsid w:val="00E97EF9"/>
    <w:rsid w:val="00EC1539"/>
    <w:rsid w:val="00F341F8"/>
    <w:rsid w:val="00F514C2"/>
    <w:rsid w:val="00F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E620C"/>
  <w15:docId w15:val="{F2BEE6F8-C976-7745-8297-428F0142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otero.org/google-docs/?TK3qf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Spies</cp:lastModifiedBy>
  <cp:revision>12</cp:revision>
  <dcterms:created xsi:type="dcterms:W3CDTF">2023-08-20T16:53:00Z</dcterms:created>
  <dcterms:modified xsi:type="dcterms:W3CDTF">2023-10-22T19:54:00Z</dcterms:modified>
</cp:coreProperties>
</file>