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3F8C" w:rsidRDefault="00B5226C">
      <w:pPr>
        <w:pStyle w:val="Titel"/>
      </w:pPr>
      <w:r>
        <w:t>A new machine-learning-based prediction of survival in patients with end-stage liver disease</w:t>
      </w:r>
    </w:p>
    <w:p w:rsidR="006A3F8C" w:rsidRDefault="00B5226C">
      <w:pPr>
        <w:pStyle w:val="Untertitel"/>
      </w:pPr>
      <w:r>
        <w:t>Supplement</w:t>
      </w:r>
    </w:p>
    <w:p w:rsidR="006A3F8C" w:rsidRDefault="00B5226C">
      <w:pPr>
        <w:pStyle w:val="Author"/>
      </w:pPr>
      <w:r>
        <w:t>Sebastian Gibb</w:t>
      </w:r>
      <w:r>
        <w:rPr>
          <w:rStyle w:val="Funotenzeichen"/>
        </w:rPr>
        <w:footnoteReference w:id="1"/>
      </w:r>
      <w:r>
        <w:t xml:space="preserve">, Thomas Berg, Adam </w:t>
      </w:r>
      <w:proofErr w:type="spellStart"/>
      <w:r>
        <w:t>Herber</w:t>
      </w:r>
      <w:proofErr w:type="spellEnd"/>
      <w:r>
        <w:t xml:space="preserve">, </w:t>
      </w:r>
      <w:proofErr w:type="spellStart"/>
      <w:r>
        <w:t>Berend</w:t>
      </w:r>
      <w:proofErr w:type="spellEnd"/>
      <w:r>
        <w:t xml:space="preserve"> </w:t>
      </w:r>
      <w:proofErr w:type="spellStart"/>
      <w:r>
        <w:t>Isermann</w:t>
      </w:r>
      <w:proofErr w:type="spellEnd"/>
      <w:r>
        <w:t>, and Thorsten Kaiser</w:t>
      </w:r>
    </w:p>
    <w:p w:rsidR="006A3F8C" w:rsidRDefault="00B5226C">
      <w:pPr>
        <w:pStyle w:val="berschrift1"/>
      </w:pPr>
      <w:bookmarkStart w:id="0" w:name="survival-plot"/>
      <w:r>
        <w:rPr>
          <w:rStyle w:val="SectionNumber"/>
        </w:rPr>
        <w:t>1</w:t>
      </w:r>
      <w:r>
        <w:tab/>
        <w:t>Survival plot</w:t>
      </w:r>
    </w:p>
    <w:p w:rsidR="006A3F8C" w:rsidRDefault="00B5226C">
      <w:pPr>
        <w:pStyle w:val="CaptionedFigure"/>
      </w:pPr>
      <w:r>
        <w:rPr>
          <w:noProof/>
          <w:lang w:val="de-DE" w:eastAsia="de-DE"/>
        </w:rPr>
        <w:drawing>
          <wp:inline distT="0" distB="0" distL="0" distR="0">
            <wp:extent cx="5334000" cy="3333750"/>
            <wp:effectExtent l="0" t="0" r="0" b="0"/>
            <wp:docPr id="1" name="Picture" descr="(#fig:survival.plot)Survival plot. Kaplan-Meier survival estimate for the first 90 days of the analyzed popul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sebastian/projects/ampel/ampel-leipzig-meld/submission/labm/supplement_files/figure-docx/survival.plot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533400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8C" w:rsidRDefault="00B5226C">
      <w:pPr>
        <w:pStyle w:val="ImageCaption"/>
      </w:pPr>
      <w:r>
        <w:t>Survival plot. Kaplan-Meier survival estimate for the first 90 days of the analyzed population.</w:t>
      </w:r>
    </w:p>
    <w:p w:rsidR="006A3F8C" w:rsidRDefault="00B5226C">
      <w:pPr>
        <w:pStyle w:val="berschrift1"/>
      </w:pPr>
      <w:bookmarkStart w:id="1" w:name="Xbee7ff07b3972900a76df907d7b94d9b3941ee3"/>
      <w:bookmarkEnd w:id="0"/>
      <w:r>
        <w:rPr>
          <w:rStyle w:val="SectionNumber"/>
        </w:rPr>
        <w:lastRenderedPageBreak/>
        <w:t>2</w:t>
      </w:r>
      <w:r>
        <w:tab/>
        <w:t>Benchmark results of machine-learning algorithms</w:t>
      </w:r>
    </w:p>
    <w:p w:rsidR="006A3F8C" w:rsidRDefault="00B5226C">
      <w:pPr>
        <w:pStyle w:val="CaptionedFigure"/>
      </w:pPr>
      <w:r>
        <w:rPr>
          <w:noProof/>
          <w:lang w:val="de-DE" w:eastAsia="de-DE"/>
        </w:rPr>
        <w:drawing>
          <wp:inline distT="0" distB="0" distL="0" distR="0">
            <wp:extent cx="5334000" cy="3556000"/>
            <wp:effectExtent l="0" t="0" r="0" b="0"/>
            <wp:docPr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sebastian/projects/ampel/ampel-leipzig-meld/submission/labm/supplement_files/figure-docx/benchmark-plot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8C" w:rsidRDefault="00B5226C">
      <w:pPr>
        <w:pStyle w:val="ImageCaption"/>
      </w:pPr>
      <w:r>
        <w:t>Figure 2.1: Benchmark results of machine-learning algorithms.</w:t>
      </w:r>
    </w:p>
    <w:p w:rsidR="006A3F8C" w:rsidRDefault="006A3F8C">
      <w:pPr>
        <w:pStyle w:val="ImageCaption"/>
      </w:pPr>
    </w:p>
    <w:p w:rsidR="006A3F8C" w:rsidRDefault="006A3F8C">
      <w:pPr>
        <w:pStyle w:val="ImageCaption"/>
      </w:pPr>
    </w:p>
    <w:p w:rsidR="006A3F8C" w:rsidRDefault="00B5226C">
      <w:pPr>
        <w:pStyle w:val="TableCaption"/>
      </w:pPr>
      <w:r>
        <w:t>Table 2.1: Benchmark results. Ranking of th</w:t>
      </w:r>
      <w:r>
        <w:t>e 13 tested machine-learning algorithms.</w:t>
      </w:r>
    </w:p>
    <w:tbl>
      <w:tblPr>
        <w:tblStyle w:val="Table"/>
        <w:tblW w:w="0" w:type="auto"/>
        <w:tblLook w:val="0020" w:firstRow="1" w:lastRow="0" w:firstColumn="0" w:lastColumn="0" w:noHBand="0" w:noVBand="0"/>
        <w:tblCaption w:val="Table 2.1: Benchmark results. Ranking of the 13 tested machine-learning algorithms."/>
      </w:tblPr>
      <w:tblGrid>
        <w:gridCol w:w="1726"/>
        <w:gridCol w:w="3080"/>
      </w:tblGrid>
      <w:tr w:rsidR="006A3F8C" w:rsidTr="006A3F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Model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Harrell’s concordance index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ridge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0.915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elasticnet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0.913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ranger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0.913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penlasso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0.911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penridge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0.909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lasso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0.909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rfsrc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0.906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cox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0.872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deepsurv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0.833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xgboost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0.828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svmvanbelle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0.823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coxtime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0.819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proofErr w:type="spellStart"/>
            <w:r>
              <w:t>svmregression</w:t>
            </w:r>
            <w:proofErr w:type="spellEnd"/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0.809</w:t>
            </w:r>
          </w:p>
        </w:tc>
      </w:tr>
    </w:tbl>
    <w:p w:rsidR="006A3F8C" w:rsidRDefault="00B5226C">
      <w:pPr>
        <w:pStyle w:val="berschrift1"/>
      </w:pPr>
      <w:bookmarkStart w:id="2" w:name="X21772f5b8af15cbf1694a15e955b7880b8ec438"/>
      <w:bookmarkEnd w:id="1"/>
      <w:r>
        <w:rPr>
          <w:rStyle w:val="SectionNumber"/>
        </w:rPr>
        <w:lastRenderedPageBreak/>
        <w:t>3</w:t>
      </w:r>
      <w:r>
        <w:tab/>
        <w:t>Observed versus MELD-Na-expected 90-day mortality</w:t>
      </w:r>
    </w:p>
    <w:p w:rsidR="006A3F8C" w:rsidRDefault="00B5226C">
      <w:pPr>
        <w:pStyle w:val="TableCaption"/>
      </w:pPr>
      <w:r>
        <w:t xml:space="preserve">Table 3.1: Observed vs. MELD-Na-expected 90-day mortality. MELD-Na mortality values are taken from [1] and the mean value was calculated for each MELD-Na </w:t>
      </w:r>
      <w:proofErr w:type="spellStart"/>
      <w:r>
        <w:t>category.All</w:t>
      </w:r>
      <w:proofErr w:type="spellEnd"/>
      <w:r>
        <w:t xml:space="preserve"> patients censore</w:t>
      </w:r>
      <w:r>
        <w:t>d before day 90 are ignored for the calculation of the MELD-Na-expected deaths. SMR, Standardized mortality ratio = observed deaths/expected deaths.</w:t>
      </w:r>
    </w:p>
    <w:tbl>
      <w:tblPr>
        <w:tblStyle w:val="Table"/>
        <w:tblW w:w="5000" w:type="pct"/>
        <w:tblLook w:val="0020" w:firstRow="1" w:lastRow="0" w:firstColumn="0" w:lastColumn="0" w:noHBand="0" w:noVBand="0"/>
        <w:tblCaption w:val="Table 3.1: Observed vs. MELD-Na-expected 90-day mortality. MELD-Na mortality values are taken from [1] and the mean value was calculated for each MELD-Na category.All patients censored before day 90 are ignored for the calculation of the MELD-Na-expected deaths. SMR, Standardized mortality ratio = observed deaths/expected deaths."/>
      </w:tblPr>
      <w:tblGrid>
        <w:gridCol w:w="1289"/>
        <w:gridCol w:w="1500"/>
        <w:gridCol w:w="1463"/>
        <w:gridCol w:w="2199"/>
        <w:gridCol w:w="1598"/>
        <w:gridCol w:w="1573"/>
      </w:tblGrid>
      <w:tr w:rsidR="006A3F8C" w:rsidTr="006A3F8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MELD category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Observed deaths (n)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Expected deaths (n)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Standardized mortality ratio (SMR)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Observed mortality (%)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Expected mortality (%)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[6,9]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5.8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0.2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0.5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2.8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[10,15)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4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2.9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1.4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3.0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2.3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[15,20)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5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3.1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1.6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7.5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5.1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[20,25)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15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5.7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2.6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27.1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13.0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[25,30)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22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10.2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2.1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62.5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31.1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[30,35)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14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8.1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1.7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88.0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54.2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[35,40)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9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7.5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1.2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90.0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75.1</w:t>
            </w:r>
          </w:p>
        </w:tc>
      </w:tr>
      <w:tr w:rsidR="006A3F8C" w:rsidTr="006A3F8C">
        <w:tc>
          <w:tcPr>
            <w:tcW w:w="0" w:type="auto"/>
          </w:tcPr>
          <w:p w:rsidR="006A3F8C" w:rsidRDefault="00B5226C">
            <w:pPr>
              <w:pStyle w:val="Compact"/>
            </w:pPr>
            <w:r>
              <w:t>[40,52)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6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5.1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1.2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100.0</w:t>
            </w:r>
          </w:p>
        </w:tc>
        <w:tc>
          <w:tcPr>
            <w:tcW w:w="0" w:type="auto"/>
          </w:tcPr>
          <w:p w:rsidR="006A3F8C" w:rsidRDefault="00B5226C">
            <w:pPr>
              <w:pStyle w:val="Compact"/>
              <w:jc w:val="right"/>
            </w:pPr>
            <w:r>
              <w:t>84.4</w:t>
            </w:r>
          </w:p>
        </w:tc>
      </w:tr>
    </w:tbl>
    <w:p w:rsidR="006A3F8C" w:rsidRDefault="006A3F8C">
      <w:pPr>
        <w:pStyle w:val="berschrift1"/>
        <w:rPr>
          <w:rStyle w:val="SectionNumber"/>
        </w:rPr>
      </w:pPr>
      <w:bookmarkStart w:id="3" w:name="auroc-trend"/>
      <w:bookmarkEnd w:id="2"/>
    </w:p>
    <w:p w:rsidR="006A3F8C" w:rsidRDefault="00B5226C">
      <w:pPr>
        <w:pStyle w:val="berschrift1"/>
      </w:pPr>
      <w:r>
        <w:rPr>
          <w:rStyle w:val="SectionNumber"/>
        </w:rPr>
        <w:t>4</w:t>
      </w:r>
      <w:r>
        <w:tab/>
        <w:t>ROC curves</w:t>
      </w:r>
    </w:p>
    <w:p w:rsidR="006A3F8C" w:rsidRDefault="00B5226C">
      <w:pPr>
        <w:pStyle w:val="CaptionedFigure"/>
      </w:pPr>
      <w:r>
        <w:rPr>
          <w:noProof/>
          <w:lang w:val="de-DE" w:eastAsia="de-DE"/>
        </w:rPr>
        <w:drawing>
          <wp:inline distT="0" distB="0" distL="0" distR="0">
            <wp:extent cx="5333999" cy="5333999"/>
            <wp:effectExtent l="0" t="0" r="0" b="0"/>
            <wp:docPr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909257" name="Picture" descr="/home/sebastian/projects/ampel/ampel-leipzig-meld/submission/labm/supplement_files/figure-docx/roc-cb-all-1.png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99" cy="5333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8C" w:rsidRDefault="00B5226C">
      <w:pPr>
        <w:pStyle w:val="ImageCaption"/>
      </w:pPr>
      <w:r>
        <w:t>Figure 4.1: Receiver operating characteristic (ROC) curve. Area under the time-dependent ROC curve (AUC) based on the nonparametric inverse probability of censoring weighting estimate (IPCW) for AMELD, MELD, MELD-Na, MELD 3.0, MELD-Plus7, as described in [</w:t>
      </w:r>
      <w:r>
        <w:t>2]. The dashed lines depict the corresponding 95% confidence bands calculated by threshold averaging as described in [3].</w:t>
      </w:r>
    </w:p>
    <w:p w:rsidR="006A3F8C" w:rsidRDefault="00B5226C">
      <w:pPr>
        <w:pStyle w:val="CaptionedFigure"/>
      </w:pPr>
      <w:r>
        <w:rPr>
          <w:noProof/>
          <w:lang w:val="de-DE" w:eastAsia="de-DE"/>
        </w:rPr>
        <w:drawing>
          <wp:inline distT="0" distB="0" distL="0" distR="0">
            <wp:extent cx="5333999" cy="5333999"/>
            <wp:effectExtent l="0" t="0" r="0" b="0"/>
            <wp:docPr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214263" name="Picture" descr="/home/sebastian/projects/ampel/ampel-leipzig-meld/submission/labm/supplement_files/figure-docx/roc-cb-ameld-1.png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999" cy="533399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8C" w:rsidRDefault="00B5226C">
      <w:pPr>
        <w:pStyle w:val="ImageCaption"/>
      </w:pPr>
      <w:r>
        <w:t xml:space="preserve">Figure 4.2: Receiver operating characteristic (ROC) curve. Area under the time-dependent ROC curve (AUC) based on the nonparametric </w:t>
      </w:r>
      <w:r>
        <w:t xml:space="preserve">inverse probability of censoring weighting estimate (IPCW) for AMELD, MELD, MELD-Na, MELD 3.0, MELD-Plus7, as described in [2]. The dashed lines depict the corresponding 95% confidence bands for AMELD calculated by threshold averaging as described in [3]. </w:t>
      </w:r>
      <w:r>
        <w:t>Identical to the figure 4.1 above but the other confidence bands are hidden for easier readability.</w:t>
      </w:r>
    </w:p>
    <w:p w:rsidR="006A3F8C" w:rsidRDefault="00B5226C">
      <w:pPr>
        <w:pStyle w:val="berschrift1"/>
      </w:pPr>
      <w:r>
        <w:rPr>
          <w:rStyle w:val="SectionNumber"/>
        </w:rPr>
        <w:t>5</w:t>
      </w:r>
      <w:r>
        <w:tab/>
        <w:t>AUROC trend</w:t>
      </w:r>
    </w:p>
    <w:p w:rsidR="006A3F8C" w:rsidRDefault="00B5226C">
      <w:pPr>
        <w:pStyle w:val="CaptionedFigure"/>
      </w:pPr>
      <w:r>
        <w:rPr>
          <w:noProof/>
          <w:lang w:val="de-DE" w:eastAsia="de-DE"/>
        </w:rPr>
        <w:drawing>
          <wp:inline distT="0" distB="0" distL="0" distR="0">
            <wp:extent cx="5334000" cy="3556000"/>
            <wp:effectExtent l="0" t="0" r="0" b="0"/>
            <wp:docPr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sebastian/projects/ampel/ampel-leipzig-meld/submission/labm/supplement_files/figure-docx/roc-plot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8C" w:rsidRDefault="00B5226C">
      <w:pPr>
        <w:pStyle w:val="ImageCaption"/>
      </w:pPr>
      <w:r>
        <w:t>Figure 5.1: Trend in the area under the time-dependent receiver operating characteristic curve (AUROC) based on the nonparametric inverse pr</w:t>
      </w:r>
      <w:r>
        <w:t>obability of censoring weighting estimate (IPCW) for AMELD, MELD, MELD-Na, MELD 3.0, and MELD-Plus7, as described in [2].</w:t>
      </w:r>
    </w:p>
    <w:p w:rsidR="006A3F8C" w:rsidRDefault="00B5226C">
      <w:pPr>
        <w:pStyle w:val="CaptionedFigure"/>
      </w:pPr>
      <w:r>
        <w:rPr>
          <w:noProof/>
          <w:lang w:val="de-DE" w:eastAsia="de-DE"/>
        </w:rPr>
        <w:drawing>
          <wp:inline distT="0" distB="0" distL="0" distR="0">
            <wp:extent cx="5334000" cy="3556000"/>
            <wp:effectExtent l="0" t="0" r="0" b="0"/>
            <wp:docPr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sebastian/projects/ampel/ampel-leipzig-meld/submission/labm/supplement_files/figure-docx/roc-plot-wo-cb-1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5334000" cy="3556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8C" w:rsidRDefault="00B5226C">
      <w:pPr>
        <w:pStyle w:val="ImageCaption"/>
      </w:pPr>
      <w:r>
        <w:t>Figure 5.2: Trend in the area under the time-dependent receiver operating characteristic curve (AUROC) based on the nonparametric in</w:t>
      </w:r>
      <w:r>
        <w:t>verse probability of censoring weighting estimate (IPCW) for AMELD, MELD, MELD-Na, MELD 3.0 and MELD-Plus7, as described in [2]. Identical to figure 5.1 above but without confidence bands.</w:t>
      </w:r>
    </w:p>
    <w:p w:rsidR="006A3F8C" w:rsidRDefault="00B5226C">
      <w:pPr>
        <w:pStyle w:val="berschrift1"/>
      </w:pPr>
      <w:bookmarkStart w:id="4" w:name="variable-importance"/>
      <w:bookmarkEnd w:id="3"/>
      <w:r>
        <w:t>6</w:t>
      </w:r>
      <w:r>
        <w:tab/>
        <w:t>Variable importance</w:t>
      </w:r>
    </w:p>
    <w:p w:rsidR="006A3F8C" w:rsidRDefault="00B5226C">
      <w:pPr>
        <w:pStyle w:val="CaptionedFigure"/>
      </w:pPr>
      <w:r>
        <w:rPr>
          <w:noProof/>
          <w:lang w:val="de-DE" w:eastAsia="de-DE"/>
        </w:rPr>
        <w:drawing>
          <wp:inline distT="0" distB="0" distL="0" distR="0">
            <wp:extent cx="5334000" cy="6667500"/>
            <wp:effectExtent l="0" t="0" r="0" b="0"/>
            <wp:docPr id="7" name="Picture" descr="Figure 5.1: Variable importance by frequency of bootstrap selection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sebastian/projects/ampel/ampel-leipzig-meld/submission/labm/supplement_files/figure-docx/vimpbs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5334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8C" w:rsidRDefault="00B5226C">
      <w:pPr>
        <w:pStyle w:val="ImageCaption"/>
      </w:pPr>
      <w:r>
        <w:t>Figure 6.1: Variable importance by frequenc</w:t>
      </w:r>
      <w:r>
        <w:t>y of bootstrap selections.</w:t>
      </w:r>
    </w:p>
    <w:p w:rsidR="006A3F8C" w:rsidRDefault="00B5226C">
      <w:pPr>
        <w:pStyle w:val="CaptionedFigure"/>
      </w:pPr>
      <w:r>
        <w:rPr>
          <w:noProof/>
          <w:lang w:val="de-DE" w:eastAsia="de-DE"/>
        </w:rPr>
        <w:drawing>
          <wp:inline distT="0" distB="0" distL="0" distR="0">
            <wp:extent cx="5334000" cy="6667500"/>
            <wp:effectExtent l="0" t="0" r="0" b="0"/>
            <wp:docPr id="8" name="Picture" descr="Figure 5.2: Variable importance by logrank in random for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/home/sebastian/projects/ampel/ampel-leipzig-meld/submission/labm/supplement_files/figure-docx/vimprf-1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/>
                  </pic:blipFill>
                  <pic:spPr bwMode="auto">
                    <a:xfrm>
                      <a:off x="0" y="0"/>
                      <a:ext cx="533400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3F8C" w:rsidRDefault="00B5226C">
      <w:pPr>
        <w:pStyle w:val="ImageCaption"/>
      </w:pPr>
      <w:r>
        <w:t xml:space="preserve">Figure 6.2: Variable importance by </w:t>
      </w:r>
      <w:proofErr w:type="spellStart"/>
      <w:r>
        <w:t>logrank</w:t>
      </w:r>
      <w:proofErr w:type="spellEnd"/>
      <w:r>
        <w:t xml:space="preserve"> in random forest.</w:t>
      </w:r>
    </w:p>
    <w:bookmarkEnd w:id="4"/>
    <w:p w:rsidR="006A3F8C" w:rsidRDefault="006A3F8C">
      <w:pPr>
        <w:pStyle w:val="berschrift1"/>
      </w:pPr>
    </w:p>
    <w:p w:rsidR="006A3F8C" w:rsidRDefault="00B5226C">
      <w:pPr>
        <w:pStyle w:val="berschrift1"/>
      </w:pPr>
      <w:r>
        <w:t>References</w:t>
      </w:r>
    </w:p>
    <w:p w:rsidR="006A3F8C" w:rsidRDefault="00B5226C" w:rsidP="00B5226C">
      <w:pPr>
        <w:pStyle w:val="Literaturverzeichnis"/>
        <w:numPr>
          <w:ilvl w:val="0"/>
          <w:numId w:val="3"/>
        </w:numPr>
      </w:pPr>
      <w:proofErr w:type="spellStart"/>
      <w:r>
        <w:t>VanDerwerken</w:t>
      </w:r>
      <w:proofErr w:type="spellEnd"/>
      <w:r>
        <w:t xml:space="preserve"> DN, Wood NL, </w:t>
      </w:r>
      <w:proofErr w:type="spellStart"/>
      <w:r>
        <w:t>Segev</w:t>
      </w:r>
      <w:proofErr w:type="spellEnd"/>
      <w:r>
        <w:t xml:space="preserve"> DL, Gentry SE. The Precise Relationship Between Model for End-Stage Liver Disease and Survival Without a Liver Transpl</w:t>
      </w:r>
      <w:r>
        <w:t xml:space="preserve">ant. </w:t>
      </w:r>
      <w:proofErr w:type="spellStart"/>
      <w:r>
        <w:t>Hepatology</w:t>
      </w:r>
      <w:proofErr w:type="spellEnd"/>
      <w:r>
        <w:t xml:space="preserve">. 2021;74(2):950–60. </w:t>
      </w:r>
    </w:p>
    <w:p w:rsidR="006A3F8C" w:rsidRDefault="00B5226C" w:rsidP="00B5226C">
      <w:pPr>
        <w:pStyle w:val="Literaturverzeichnis"/>
        <w:numPr>
          <w:ilvl w:val="0"/>
          <w:numId w:val="3"/>
        </w:numPr>
      </w:pPr>
      <w:r>
        <w:t xml:space="preserve">Blanche P, </w:t>
      </w:r>
      <w:proofErr w:type="spellStart"/>
      <w:r>
        <w:t>Dartigues</w:t>
      </w:r>
      <w:proofErr w:type="spellEnd"/>
      <w:r>
        <w:t xml:space="preserve"> J-F, </w:t>
      </w:r>
      <w:proofErr w:type="spellStart"/>
      <w:r>
        <w:t>Jacqmin-Gadda</w:t>
      </w:r>
      <w:proofErr w:type="spellEnd"/>
      <w:r>
        <w:t xml:space="preserve"> H. Estimating and comparing time-dependent areas under receiver operating characteristic curves for censored event times with competing risks. Stat Med. 2013 Sep;32(30):5381–9</w:t>
      </w:r>
      <w:r>
        <w:t xml:space="preserve">7. </w:t>
      </w:r>
    </w:p>
    <w:p w:rsidR="006A3F8C" w:rsidRDefault="00B5226C" w:rsidP="00B5226C">
      <w:pPr>
        <w:pStyle w:val="Literaturverzeichnis"/>
        <w:numPr>
          <w:ilvl w:val="0"/>
          <w:numId w:val="3"/>
        </w:numPr>
      </w:pPr>
      <w:bookmarkStart w:id="5" w:name="undefined"/>
      <w:r>
        <w:t xml:space="preserve">Fawcett T. ROC graphs: Notes and practical considerations for researchers. Machine learning. 2004;31(1):1–38. </w:t>
      </w:r>
      <w:bookmarkEnd w:id="5"/>
    </w:p>
    <w:p w:rsidR="006A3F8C" w:rsidRDefault="006A3F8C">
      <w:pPr>
        <w:pStyle w:val="Literaturverzeichnis"/>
      </w:pPr>
      <w:bookmarkStart w:id="6" w:name="_GoBack"/>
      <w:bookmarkEnd w:id="6"/>
    </w:p>
    <w:sectPr w:rsidR="006A3F8C">
      <w:pgSz w:w="12240" w:h="15840"/>
      <w:pgMar w:top="1417" w:right="1417" w:bottom="1134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A3F8C" w:rsidRDefault="00B5226C">
      <w:pPr>
        <w:spacing w:after="0"/>
      </w:pPr>
      <w:r>
        <w:separator/>
      </w:r>
    </w:p>
  </w:endnote>
  <w:endnote w:type="continuationSeparator" w:id="0">
    <w:p w:rsidR="006A3F8C" w:rsidRDefault="00B5226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A3F8C" w:rsidRDefault="00B5226C">
      <w:r>
        <w:separator/>
      </w:r>
    </w:p>
  </w:footnote>
  <w:footnote w:type="continuationSeparator" w:id="0">
    <w:p w:rsidR="006A3F8C" w:rsidRDefault="00B5226C">
      <w:r>
        <w:continuationSeparator/>
      </w:r>
    </w:p>
  </w:footnote>
  <w:footnote w:id="1">
    <w:p w:rsidR="006A3F8C" w:rsidRDefault="00B5226C">
      <w:pPr>
        <w:pStyle w:val="Funotentext"/>
      </w:pPr>
      <w:r>
        <w:rPr>
          <w:rStyle w:val="Funotenzeichen"/>
        </w:rPr>
        <w:footnoteRef/>
      </w:r>
      <w:r>
        <w:t xml:space="preserve"> </w:t>
      </w:r>
      <w:hyperlink r:id="rId1" w:tooltip="mailto:mail@sebastiangibb.de" w:history="1">
        <w:r>
          <w:rPr>
            <w:rStyle w:val="Hyperlink"/>
          </w:rPr>
          <w:t>mail@sebastiangibb.de</w:t>
        </w:r>
      </w:hyperlink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DF718E"/>
    <w:multiLevelType w:val="hybridMultilevel"/>
    <w:tmpl w:val="5C988A72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FE7847"/>
    <w:multiLevelType w:val="hybridMultilevel"/>
    <w:tmpl w:val="FE7ED7C4"/>
    <w:lvl w:ilvl="0" w:tplc="25709616">
      <w:start w:val="1"/>
      <w:numFmt w:val="bullet"/>
      <w:lvlText w:val=" "/>
      <w:lvlJc w:val="left"/>
      <w:pPr>
        <w:ind w:left="720" w:hanging="480"/>
      </w:pPr>
    </w:lvl>
    <w:lvl w:ilvl="1" w:tplc="456EFA9A">
      <w:start w:val="1"/>
      <w:numFmt w:val="bullet"/>
      <w:lvlText w:val=" "/>
      <w:lvlJc w:val="left"/>
      <w:pPr>
        <w:ind w:left="1440" w:hanging="480"/>
      </w:pPr>
    </w:lvl>
    <w:lvl w:ilvl="2" w:tplc="7E3E7110">
      <w:start w:val="1"/>
      <w:numFmt w:val="bullet"/>
      <w:lvlText w:val=" "/>
      <w:lvlJc w:val="left"/>
      <w:pPr>
        <w:ind w:left="2160" w:hanging="480"/>
      </w:pPr>
    </w:lvl>
    <w:lvl w:ilvl="3" w:tplc="CF1E3FFA">
      <w:start w:val="1"/>
      <w:numFmt w:val="bullet"/>
      <w:lvlText w:val=" "/>
      <w:lvlJc w:val="left"/>
      <w:pPr>
        <w:ind w:left="2880" w:hanging="480"/>
      </w:pPr>
    </w:lvl>
    <w:lvl w:ilvl="4" w:tplc="E7809934">
      <w:start w:val="1"/>
      <w:numFmt w:val="bullet"/>
      <w:lvlText w:val=" "/>
      <w:lvlJc w:val="left"/>
      <w:pPr>
        <w:ind w:left="3600" w:hanging="480"/>
      </w:pPr>
    </w:lvl>
    <w:lvl w:ilvl="5" w:tplc="DCECC612">
      <w:start w:val="1"/>
      <w:numFmt w:val="bullet"/>
      <w:lvlText w:val=" "/>
      <w:lvlJc w:val="left"/>
      <w:pPr>
        <w:ind w:left="4320" w:hanging="480"/>
      </w:pPr>
    </w:lvl>
    <w:lvl w:ilvl="6" w:tplc="5AB2C07A">
      <w:start w:val="1"/>
      <w:numFmt w:val="bullet"/>
      <w:lvlText w:val=" "/>
      <w:lvlJc w:val="left"/>
      <w:pPr>
        <w:ind w:left="5040" w:hanging="480"/>
      </w:pPr>
    </w:lvl>
    <w:lvl w:ilvl="7" w:tplc="BB84383C">
      <w:start w:val="1"/>
      <w:numFmt w:val="bullet"/>
      <w:lvlText w:val=" "/>
      <w:lvlJc w:val="left"/>
      <w:pPr>
        <w:ind w:left="5760" w:hanging="480"/>
      </w:pPr>
    </w:lvl>
    <w:lvl w:ilvl="8" w:tplc="B4E8C30E">
      <w:start w:val="1"/>
      <w:numFmt w:val="bullet"/>
      <w:lvlText w:val=" "/>
      <w:lvlJc w:val="left"/>
      <w:pPr>
        <w:ind w:left="6480" w:hanging="480"/>
      </w:pPr>
    </w:lvl>
  </w:abstractNum>
  <w:abstractNum w:abstractNumId="2" w15:restartNumberingAfterBreak="0">
    <w:nsid w:val="68B65518"/>
    <w:multiLevelType w:val="hybridMultilevel"/>
    <w:tmpl w:val="AC12A708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F8C"/>
    <w:rsid w:val="006A3F8C"/>
    <w:rsid w:val="00B5226C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2FEA3"/>
  <w15:docId w15:val="{133FA7B6-8F42-4950-8CF3-3BEC9800B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Textkrper"/>
    <w:link w:val="berschrift1Zchn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berschrift2">
    <w:name w:val="heading 2"/>
    <w:basedOn w:val="Standard"/>
    <w:next w:val="Textkrper"/>
    <w:link w:val="berschrift2Zchn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berschrift3">
    <w:name w:val="heading 3"/>
    <w:basedOn w:val="Standard"/>
    <w:next w:val="Textkrper"/>
    <w:link w:val="berschrift3Zchn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Textkrper"/>
    <w:link w:val="berschrift4Zchn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Cs/>
      <w:i/>
      <w:color w:val="4F81BD" w:themeColor="accent1"/>
    </w:rPr>
  </w:style>
  <w:style w:type="paragraph" w:styleId="berschrift5">
    <w:name w:val="heading 5"/>
    <w:basedOn w:val="Standard"/>
    <w:next w:val="Textkrper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Cs/>
      <w:color w:val="4F81BD" w:themeColor="accent1"/>
    </w:rPr>
  </w:style>
  <w:style w:type="paragraph" w:styleId="berschrift6">
    <w:name w:val="heading 6"/>
    <w:basedOn w:val="Standard"/>
    <w:next w:val="Textkrper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7">
    <w:name w:val="heading 7"/>
    <w:basedOn w:val="Standard"/>
    <w:next w:val="Textkrper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8">
    <w:name w:val="heading 8"/>
    <w:basedOn w:val="Standard"/>
    <w:next w:val="Textkrper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berschrift9">
    <w:name w:val="heading 9"/>
    <w:basedOn w:val="Standard"/>
    <w:next w:val="Textkrper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KeinLeerraum">
    <w:name w:val="No Spacing"/>
    <w:uiPriority w:val="1"/>
    <w:qFormat/>
    <w:pPr>
      <w:spacing w:after="0"/>
    </w:p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  <w:spacing w:after="0"/>
    </w:pPr>
  </w:style>
  <w:style w:type="character" w:customStyle="1" w:styleId="FooterChar">
    <w:name w:val="Footer Char"/>
    <w:basedOn w:val="Absatz-Standardschriftart"/>
    <w:uiPriority w:val="99"/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basedOn w:val="NormaleTabelle"/>
    <w:uiPriority w:val="59"/>
    <w:pPr>
      <w:spacing w:after="0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ritternetztabelle6farbig">
    <w:name w:val="Grid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ritternetztabelle7farbig">
    <w:name w:val="Grid Table 7 Colorful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/>
    </w:pPr>
    <w:rPr>
      <w:color w:val="404040"/>
      <w:sz w:val="20"/>
      <w:szCs w:val="20"/>
      <w:lang w:val="de-DE" w:eastAsia="de-DE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paragraph" w:styleId="Textkrper">
    <w:name w:val="Body Text"/>
    <w:basedOn w:val="Standard"/>
    <w:qFormat/>
    <w:pPr>
      <w:spacing w:before="180" w:after="180"/>
    </w:pPr>
  </w:style>
  <w:style w:type="paragraph" w:customStyle="1" w:styleId="FirstParagraph">
    <w:name w:val="First Paragraph"/>
    <w:basedOn w:val="Textkrper"/>
    <w:next w:val="Textkrper"/>
    <w:qFormat/>
  </w:style>
  <w:style w:type="paragraph" w:customStyle="1" w:styleId="Compact">
    <w:name w:val="Compact"/>
    <w:basedOn w:val="Textkrper"/>
    <w:qFormat/>
    <w:pPr>
      <w:spacing w:before="36" w:after="36"/>
    </w:pPr>
  </w:style>
  <w:style w:type="paragraph" w:styleId="Titel">
    <w:name w:val="Title"/>
    <w:basedOn w:val="Standard"/>
    <w:next w:val="Textkrper"/>
    <w:link w:val="TitelZchn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Untertitel">
    <w:name w:val="Subtitle"/>
    <w:basedOn w:val="Titel"/>
    <w:next w:val="Textkrper"/>
    <w:link w:val="UntertitelZchn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Textkrper"/>
    <w:qFormat/>
    <w:pPr>
      <w:keepNext/>
      <w:keepLines/>
      <w:jc w:val="center"/>
    </w:pPr>
  </w:style>
  <w:style w:type="paragraph" w:styleId="Datum">
    <w:name w:val="Date"/>
    <w:next w:val="Textkrper"/>
    <w:qFormat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pPr>
      <w:keepNext/>
      <w:keepLines/>
      <w:spacing w:before="300" w:after="300"/>
    </w:pPr>
    <w:rPr>
      <w:sz w:val="20"/>
      <w:szCs w:val="20"/>
    </w:rPr>
  </w:style>
  <w:style w:type="paragraph" w:styleId="Literaturverzeichnis">
    <w:name w:val="Bibliography"/>
    <w:basedOn w:val="Standard"/>
    <w:qFormat/>
  </w:style>
  <w:style w:type="paragraph" w:styleId="Blocktext">
    <w:name w:val="Block Text"/>
    <w:basedOn w:val="Textkrper"/>
    <w:next w:val="Textkrper"/>
    <w:uiPriority w:val="9"/>
    <w:unhideWhenUsed/>
    <w:qFormat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Standard"/>
  </w:style>
  <w:style w:type="paragraph" w:styleId="Beschriftung">
    <w:name w:val="caption"/>
    <w:basedOn w:val="Standard"/>
    <w:link w:val="BeschriftungZchn"/>
    <w:pPr>
      <w:spacing w:after="120"/>
    </w:pPr>
    <w:rPr>
      <w:i/>
    </w:rPr>
  </w:style>
  <w:style w:type="paragraph" w:customStyle="1" w:styleId="TableCaption">
    <w:name w:val="Table Caption"/>
    <w:basedOn w:val="Beschriftung"/>
    <w:pPr>
      <w:keepNext/>
    </w:pPr>
  </w:style>
  <w:style w:type="paragraph" w:customStyle="1" w:styleId="ImageCaption">
    <w:name w:val="Image Caption"/>
    <w:basedOn w:val="Beschriftung"/>
  </w:style>
  <w:style w:type="paragraph" w:customStyle="1" w:styleId="Figure">
    <w:name w:val="Figure"/>
    <w:basedOn w:val="Standard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BeschriftungZchn">
    <w:name w:val="Beschriftung Zchn"/>
    <w:basedOn w:val="Absatz-Standardschriftart"/>
    <w:link w:val="Beschriftung"/>
  </w:style>
  <w:style w:type="character" w:customStyle="1" w:styleId="VerbatimChar">
    <w:name w:val="Verbatim Char"/>
    <w:basedOn w:val="BeschriftungZchn"/>
    <w:link w:val="SourceCode"/>
    <w:rPr>
      <w:rFonts w:ascii="Consolas" w:hAnsi="Consolas"/>
      <w:sz w:val="22"/>
    </w:rPr>
  </w:style>
  <w:style w:type="character" w:customStyle="1" w:styleId="SectionNumber">
    <w:name w:val="Section Number"/>
    <w:basedOn w:val="BeschriftungZchn"/>
  </w:style>
  <w:style w:type="character" w:styleId="Funotenzeichen">
    <w:name w:val="footnote reference"/>
    <w:basedOn w:val="BeschriftungZchn"/>
    <w:rPr>
      <w:vertAlign w:val="superscript"/>
    </w:rPr>
  </w:style>
  <w:style w:type="character" w:styleId="Hyperlink">
    <w:name w:val="Hyperlink"/>
    <w:basedOn w:val="BeschriftungZchn"/>
    <w:rPr>
      <w:color w:val="4F81BD" w:themeColor="accent1"/>
    </w:rPr>
  </w:style>
  <w:style w:type="paragraph" w:styleId="Inhaltsverzeichnisberschrift">
    <w:name w:val="TOC Heading"/>
    <w:basedOn w:val="berschrift1"/>
    <w:next w:val="Textkrper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Standard"/>
    <w:link w:val="VerbatimChar"/>
    <w:pPr>
      <w:shd w:val="clear" w:color="auto" w:fill="F8F8F8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mail@sebastiangibb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500</Words>
  <Characters>3155</Characters>
  <Application>Microsoft Office Word</Application>
  <DocSecurity>0</DocSecurity>
  <Lines>26</Lines>
  <Paragraphs>7</Paragraphs>
  <ScaleCrop>false</ScaleCrop>
  <Company>Universitätsmedizin Greifswald</Company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new machine-learning-based prediction of survival in patients with end-stage liver disease</dc:title>
  <dc:creator>Sebastian Gibb; Thomas Berg; Adam Herber; Berend Isermann; Thorsten Kaiser</dc:creator>
  <cp:keywords/>
  <cp:lastModifiedBy>Gibb, Sebastian</cp:lastModifiedBy>
  <cp:revision>6</cp:revision>
  <dcterms:created xsi:type="dcterms:W3CDTF">2022-12-01T09:30:00Z</dcterms:created>
  <dcterms:modified xsi:type="dcterms:W3CDTF">2022-12-05T21:42:00Z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bliography">
    <vt:lpwstr/>
  </property>
  <property fmtid="{D5CDD505-2E9C-101B-9397-08002B2CF9AE}" pid="3" name="csl">
    <vt:lpwstr>pandoc/csl/vancouver.csl</vt:lpwstr>
  </property>
  <property fmtid="{D5CDD505-2E9C-101B-9397-08002B2CF9AE}" pid="4" name="output">
    <vt:lpwstr/>
  </property>
  <property fmtid="{D5CDD505-2E9C-101B-9397-08002B2CF9AE}" pid="5" name="subtitle">
    <vt:lpwstr>Supplement</vt:lpwstr>
  </property>
</Properties>
</file>